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E5156C">
      <w:pPr>
        <w:spacing w:line="240" w:lineRule="auto"/>
        <w:jc w:val="center"/>
        <w:rPr>
          <w:rFonts w:hint="default" w:ascii="Times New Roman" w:hAnsi="Times New Roman" w:cs="Times New Roman"/>
          <w:b/>
          <w:bCs/>
          <w:color w:val="auto"/>
          <w:sz w:val="36"/>
          <w:szCs w:val="44"/>
          <w:highlight w:val="none"/>
        </w:rPr>
      </w:pPr>
    </w:p>
    <w:p w14:paraId="3CE4B162">
      <w:pPr>
        <w:spacing w:line="240" w:lineRule="auto"/>
        <w:jc w:val="center"/>
        <w:rPr>
          <w:rFonts w:hint="default" w:ascii="Times New Roman" w:hAnsi="Times New Roman" w:cs="Times New Roman"/>
          <w:b/>
          <w:bCs/>
          <w:color w:val="auto"/>
          <w:sz w:val="36"/>
          <w:szCs w:val="44"/>
          <w:highlight w:val="none"/>
        </w:rPr>
      </w:pPr>
    </w:p>
    <w:p w14:paraId="5E55ACC7">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4" name="图片 24" descr="scan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can2145"/>
                    <pic:cNvPicPr>
                      <a:picLocks noChangeAspect="1"/>
                    </pic:cNvPicPr>
                  </pic:nvPicPr>
                  <pic:blipFill>
                    <a:blip r:embed="rId11"/>
                    <a:stretch>
                      <a:fillRect/>
                    </a:stretch>
                  </pic:blipFill>
                  <pic:spPr>
                    <a:xfrm>
                      <a:off x="0" y="0"/>
                      <a:ext cx="5608955" cy="7924800"/>
                    </a:xfrm>
                    <a:prstGeom prst="rect">
                      <a:avLst/>
                    </a:prstGeom>
                  </pic:spPr>
                </pic:pic>
              </a:graphicData>
            </a:graphic>
          </wp:inline>
        </w:drawing>
      </w:r>
    </w:p>
    <w:p w14:paraId="522D20CE">
      <w:pPr>
        <w:spacing w:line="240" w:lineRule="auto"/>
        <w:jc w:val="center"/>
        <w:rPr>
          <w:rFonts w:hint="default" w:ascii="Times New Roman" w:hAnsi="Times New Roman" w:cs="Times New Roman"/>
          <w:b/>
          <w:bCs/>
          <w:color w:val="auto"/>
          <w:sz w:val="36"/>
          <w:szCs w:val="44"/>
          <w:highlight w:val="none"/>
        </w:rPr>
      </w:pPr>
    </w:p>
    <w:p w14:paraId="5B3EA92A">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79744" behindDoc="0" locked="0" layoutInCell="1" allowOverlap="1">
                <wp:simplePos x="0" y="0"/>
                <wp:positionH relativeFrom="column">
                  <wp:posOffset>2698115</wp:posOffset>
                </wp:positionH>
                <wp:positionV relativeFrom="paragraph">
                  <wp:posOffset>2932430</wp:posOffset>
                </wp:positionV>
                <wp:extent cx="1199515" cy="959485"/>
                <wp:effectExtent l="12700" t="12700" r="19685" b="18415"/>
                <wp:wrapNone/>
                <wp:docPr id="79" name="矩形 79"/>
                <wp:cNvGraphicFramePr/>
                <a:graphic xmlns:a="http://schemas.openxmlformats.org/drawingml/2006/main">
                  <a:graphicData uri="http://schemas.microsoft.com/office/word/2010/wordprocessingShape">
                    <wps:wsp>
                      <wps:cNvSpPr/>
                      <wps:spPr>
                        <a:xfrm>
                          <a:off x="3670300" y="4274820"/>
                          <a:ext cx="1199515" cy="95948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45pt;margin-top:230.9pt;height:75.55pt;width:94.45pt;z-index:251679744;v-text-anchor:middle;mso-width-relative:page;mso-height-relative:page;" fillcolor="#4F81BD [3204]" filled="t" stroked="t" coordsize="21600,21600" o:gfxdata="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Mn7/rZAAAACwEAAA8A&#10;AAAAAAAAAQAgAAAAIgAAAGRycy9kb3ducmV2LnhtbFBLAQIUABQAAAAIAIdO4kAOQ2+GiAIAAA0F&#10;AAAOAAAAAAAAAAEAIAAAACgBAABkcnMvZTJvRG9jLnhtbFBLBQYAAAAABgAGAFkBAAAiBg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5" name="图片 25" descr="scan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can2146"/>
                    <pic:cNvPicPr>
                      <a:picLocks noChangeAspect="1"/>
                    </pic:cNvPicPr>
                  </pic:nvPicPr>
                  <pic:blipFill>
                    <a:blip r:embed="rId12"/>
                    <a:stretch>
                      <a:fillRect/>
                    </a:stretch>
                  </pic:blipFill>
                  <pic:spPr>
                    <a:xfrm>
                      <a:off x="0" y="0"/>
                      <a:ext cx="5608955" cy="7924800"/>
                    </a:xfrm>
                    <a:prstGeom prst="rect">
                      <a:avLst/>
                    </a:prstGeom>
                  </pic:spPr>
                </pic:pic>
              </a:graphicData>
            </a:graphic>
          </wp:inline>
        </w:drawing>
      </w:r>
    </w:p>
    <w:p w14:paraId="5BDA927B">
      <w:pPr>
        <w:spacing w:line="240" w:lineRule="auto"/>
        <w:jc w:val="center"/>
        <w:rPr>
          <w:rFonts w:hint="default" w:ascii="Times New Roman" w:hAnsi="Times New Roman" w:cs="Times New Roman"/>
          <w:b/>
          <w:bCs/>
          <w:color w:val="auto"/>
          <w:sz w:val="36"/>
          <w:szCs w:val="44"/>
          <w:highlight w:val="none"/>
        </w:rPr>
      </w:pPr>
    </w:p>
    <w:p w14:paraId="76C228D1">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7" name="图片 27" descr="scan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2147"/>
                    <pic:cNvPicPr>
                      <a:picLocks noChangeAspect="1"/>
                    </pic:cNvPicPr>
                  </pic:nvPicPr>
                  <pic:blipFill>
                    <a:blip r:embed="rId13"/>
                    <a:stretch>
                      <a:fillRect/>
                    </a:stretch>
                  </pic:blipFill>
                  <pic:spPr>
                    <a:xfrm>
                      <a:off x="0" y="0"/>
                      <a:ext cx="5608955" cy="7924800"/>
                    </a:xfrm>
                    <a:prstGeom prst="rect">
                      <a:avLst/>
                    </a:prstGeom>
                  </pic:spPr>
                </pic:pic>
              </a:graphicData>
            </a:graphic>
          </wp:inline>
        </w:drawing>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8" name="图片 28" descr="scan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can2152"/>
                    <pic:cNvPicPr>
                      <a:picLocks noChangeAspect="1"/>
                    </pic:cNvPicPr>
                  </pic:nvPicPr>
                  <pic:blipFill>
                    <a:blip r:embed="rId14"/>
                    <a:stretch>
                      <a:fillRect/>
                    </a:stretch>
                  </pic:blipFill>
                  <pic:spPr>
                    <a:xfrm>
                      <a:off x="0" y="0"/>
                      <a:ext cx="5608955" cy="7924800"/>
                    </a:xfrm>
                    <a:prstGeom prst="rect">
                      <a:avLst/>
                    </a:prstGeom>
                  </pic:spPr>
                </pic:pic>
              </a:graphicData>
            </a:graphic>
          </wp:inline>
        </w:drawing>
      </w:r>
    </w:p>
    <w:p w14:paraId="0A710F1B">
      <w:pPr>
        <w:spacing w:line="240" w:lineRule="auto"/>
        <w:jc w:val="center"/>
        <w:rPr>
          <w:rFonts w:hint="default" w:ascii="Times New Roman" w:hAnsi="Times New Roman" w:cs="Times New Roman"/>
          <w:b/>
          <w:bCs/>
          <w:color w:val="auto"/>
          <w:sz w:val="36"/>
          <w:szCs w:val="44"/>
          <w:highlight w:val="none"/>
        </w:rPr>
      </w:pPr>
    </w:p>
    <w:p w14:paraId="61CDF519">
      <w:pPr>
        <w:spacing w:line="240" w:lineRule="auto"/>
        <w:jc w:val="center"/>
        <w:rPr>
          <w:rFonts w:hint="default" w:ascii="Times New Roman" w:hAnsi="Times New Roman" w:cs="Times New Roman"/>
          <w:b/>
          <w:bCs/>
          <w:color w:val="auto"/>
          <w:sz w:val="36"/>
          <w:szCs w:val="44"/>
          <w:highlight w:val="none"/>
        </w:rPr>
      </w:pPr>
    </w:p>
    <w:p w14:paraId="330FBD13">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9" name="图片 29" descr="scan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can2148"/>
                    <pic:cNvPicPr>
                      <a:picLocks noChangeAspect="1"/>
                    </pic:cNvPicPr>
                  </pic:nvPicPr>
                  <pic:blipFill>
                    <a:blip r:embed="rId15"/>
                    <a:stretch>
                      <a:fillRect/>
                    </a:stretch>
                  </pic:blipFill>
                  <pic:spPr>
                    <a:xfrm>
                      <a:off x="0" y="0"/>
                      <a:ext cx="5608955" cy="7924800"/>
                    </a:xfrm>
                    <a:prstGeom prst="rect">
                      <a:avLst/>
                    </a:prstGeom>
                  </pic:spPr>
                </pic:pic>
              </a:graphicData>
            </a:graphic>
          </wp:inline>
        </w:drawing>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31" name="图片 31" descr="scan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can2149"/>
                    <pic:cNvPicPr>
                      <a:picLocks noChangeAspect="1"/>
                    </pic:cNvPicPr>
                  </pic:nvPicPr>
                  <pic:blipFill>
                    <a:blip r:embed="rId16"/>
                    <a:stretch>
                      <a:fillRect/>
                    </a:stretch>
                  </pic:blipFill>
                  <pic:spPr>
                    <a:xfrm>
                      <a:off x="0" y="0"/>
                      <a:ext cx="5608955" cy="7924800"/>
                    </a:xfrm>
                    <a:prstGeom prst="rect">
                      <a:avLst/>
                    </a:prstGeom>
                  </pic:spPr>
                </pic:pic>
              </a:graphicData>
            </a:graphic>
          </wp:inline>
        </w:drawing>
      </w:r>
    </w:p>
    <w:p w14:paraId="4F618D82">
      <w:pPr>
        <w:spacing w:line="240" w:lineRule="auto"/>
        <w:jc w:val="center"/>
        <w:rPr>
          <w:rFonts w:hint="default" w:ascii="Times New Roman" w:hAnsi="Times New Roman" w:cs="Times New Roman"/>
          <w:b/>
          <w:bCs/>
          <w:color w:val="auto"/>
          <w:sz w:val="36"/>
          <w:szCs w:val="44"/>
          <w:highlight w:val="none"/>
        </w:rPr>
      </w:pPr>
    </w:p>
    <w:p w14:paraId="7D48EC9F">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80768" behindDoc="0" locked="0" layoutInCell="1" allowOverlap="1">
                <wp:simplePos x="0" y="0"/>
                <wp:positionH relativeFrom="column">
                  <wp:posOffset>3777615</wp:posOffset>
                </wp:positionH>
                <wp:positionV relativeFrom="paragraph">
                  <wp:posOffset>1687830</wp:posOffset>
                </wp:positionV>
                <wp:extent cx="1453515" cy="381000"/>
                <wp:effectExtent l="12700" t="12700" r="19685" b="12700"/>
                <wp:wrapNone/>
                <wp:docPr id="80" name="矩形 80"/>
                <wp:cNvGraphicFramePr/>
                <a:graphic xmlns:a="http://schemas.openxmlformats.org/drawingml/2006/main">
                  <a:graphicData uri="http://schemas.microsoft.com/office/word/2010/wordprocessingShape">
                    <wps:wsp>
                      <wps:cNvSpPr/>
                      <wps:spPr>
                        <a:xfrm>
                          <a:off x="4749800" y="2767965"/>
                          <a:ext cx="1453515" cy="3810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45pt;margin-top:132.9pt;height:30pt;width:114.45pt;z-index:251680768;v-text-anchor:middle;mso-width-relative:page;mso-height-relative:page;" fillcolor="#4F81BD [3204]" filled="t" stroked="t" coordsize="21600,21600" o:gfxdata="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kIOtGNsAAAALAQAADwAA&#10;AAAAAAABACAAAAAiAAAAZHJzL2Rvd25yZXYueG1sUEsBAhQAFAAAAAgAh07iQFu/uoqFAgAADQUA&#10;AA4AAAAAAAAAAQAgAAAAKgEAAGRycy9lMm9Eb2MueG1sUEsFBgAAAAAGAAYAWQEAACEGA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33" name="图片 33" descr="scan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can2150"/>
                    <pic:cNvPicPr>
                      <a:picLocks noChangeAspect="1"/>
                    </pic:cNvPicPr>
                  </pic:nvPicPr>
                  <pic:blipFill>
                    <a:blip r:embed="rId17"/>
                    <a:stretch>
                      <a:fillRect/>
                    </a:stretch>
                  </pic:blipFill>
                  <pic:spPr>
                    <a:xfrm>
                      <a:off x="0" y="0"/>
                      <a:ext cx="5608955" cy="7924800"/>
                    </a:xfrm>
                    <a:prstGeom prst="rect">
                      <a:avLst/>
                    </a:prstGeom>
                  </pic:spPr>
                </pic:pic>
              </a:graphicData>
            </a:graphic>
          </wp:inline>
        </w:drawing>
      </w:r>
    </w:p>
    <w:p w14:paraId="561987CF">
      <w:pPr>
        <w:spacing w:line="240" w:lineRule="auto"/>
        <w:jc w:val="center"/>
        <w:rPr>
          <w:rFonts w:hint="default" w:ascii="Times New Roman" w:hAnsi="Times New Roman" w:cs="Times New Roman"/>
          <w:b/>
          <w:bCs/>
          <w:color w:val="auto"/>
          <w:sz w:val="36"/>
          <w:szCs w:val="44"/>
          <w:highlight w:val="none"/>
        </w:rPr>
      </w:pPr>
    </w:p>
    <w:p w14:paraId="616DF8B9">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81792" behindDoc="0" locked="0" layoutInCell="1" allowOverlap="1">
                <wp:simplePos x="0" y="0"/>
                <wp:positionH relativeFrom="column">
                  <wp:posOffset>3777615</wp:posOffset>
                </wp:positionH>
                <wp:positionV relativeFrom="paragraph">
                  <wp:posOffset>1687830</wp:posOffset>
                </wp:positionV>
                <wp:extent cx="1453515" cy="381000"/>
                <wp:effectExtent l="12700" t="12700" r="19685" b="12700"/>
                <wp:wrapNone/>
                <wp:docPr id="81" name="矩形 81"/>
                <wp:cNvGraphicFramePr/>
                <a:graphic xmlns:a="http://schemas.openxmlformats.org/drawingml/2006/main">
                  <a:graphicData uri="http://schemas.microsoft.com/office/word/2010/wordprocessingShape">
                    <wps:wsp>
                      <wps:cNvSpPr/>
                      <wps:spPr>
                        <a:xfrm>
                          <a:off x="0" y="0"/>
                          <a:ext cx="1453515" cy="3810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45pt;margin-top:132.9pt;height:30pt;width:114.45pt;z-index:251681792;v-text-anchor:middle;mso-width-relative:page;mso-height-relative:page;" fillcolor="#4F81BD [3204]" filled="t" stroked="t" coordsize="21600,21600" o:gfxdata="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Qg60Y2wAAAAsBAAAPAAAAAAAAAAEAIAAAACIA&#10;AABkcnMvZG93bnJldi54bWxQSwECFAAUAAAACACHTuJAm0RhKngCAAABBQAADgAAAAAAAAABACAA&#10;AAAqAQAAZHJzL2Uyb0RvYy54bWxQSwUGAAAAAAYABgBZAQAAFAY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78" name="图片 78" descr="scan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scan2151"/>
                    <pic:cNvPicPr>
                      <a:picLocks noChangeAspect="1"/>
                    </pic:cNvPicPr>
                  </pic:nvPicPr>
                  <pic:blipFill>
                    <a:blip r:embed="rId18"/>
                    <a:stretch>
                      <a:fillRect/>
                    </a:stretch>
                  </pic:blipFill>
                  <pic:spPr>
                    <a:xfrm>
                      <a:off x="0" y="0"/>
                      <a:ext cx="5608955" cy="7924800"/>
                    </a:xfrm>
                    <a:prstGeom prst="rect">
                      <a:avLst/>
                    </a:prstGeom>
                  </pic:spPr>
                </pic:pic>
              </a:graphicData>
            </a:graphic>
          </wp:inline>
        </w:drawing>
      </w:r>
    </w:p>
    <w:p w14:paraId="1442A616">
      <w:pPr>
        <w:spacing w:line="240" w:lineRule="auto"/>
        <w:jc w:val="center"/>
        <w:rPr>
          <w:rFonts w:hint="default" w:ascii="Times New Roman" w:hAnsi="Times New Roman" w:cs="Times New Roman"/>
          <w:b/>
          <w:bCs/>
          <w:color w:val="auto"/>
          <w:sz w:val="36"/>
          <w:szCs w:val="44"/>
          <w:highlight w:val="none"/>
        </w:rPr>
      </w:pPr>
    </w:p>
    <w:p w14:paraId="7BEB153C">
      <w:pPr>
        <w:spacing w:line="240" w:lineRule="auto"/>
        <w:jc w:val="center"/>
        <w:rPr>
          <w:rFonts w:hint="default" w:ascii="Times New Roman" w:hAnsi="Times New Roman" w:cs="Times New Roman"/>
          <w:b/>
          <w:bCs/>
          <w:color w:val="auto"/>
          <w:sz w:val="36"/>
          <w:szCs w:val="44"/>
          <w:highlight w:val="none"/>
        </w:rPr>
      </w:pPr>
    </w:p>
    <w:p w14:paraId="284525B0">
      <w:pPr>
        <w:spacing w:line="240" w:lineRule="auto"/>
        <w:jc w:val="center"/>
        <w:rPr>
          <w:rFonts w:hint="default" w:ascii="Times New Roman" w:hAnsi="Times New Roman" w:cs="Times New Roman"/>
          <w:b/>
          <w:bCs/>
          <w:color w:val="auto"/>
          <w:sz w:val="36"/>
          <w:szCs w:val="44"/>
          <w:highlight w:val="none"/>
        </w:rPr>
      </w:pPr>
    </w:p>
    <w:p w14:paraId="5E51613F">
      <w:pPr>
        <w:spacing w:line="240" w:lineRule="auto"/>
        <w:jc w:val="center"/>
        <w:rPr>
          <w:rFonts w:hint="default" w:ascii="Times New Roman" w:hAnsi="Times New Roman" w:cs="Times New Roman"/>
          <w:b/>
          <w:bCs/>
          <w:color w:val="auto"/>
          <w:sz w:val="36"/>
          <w:szCs w:val="44"/>
          <w:highlight w:val="none"/>
        </w:rPr>
      </w:pPr>
    </w:p>
    <w:p w14:paraId="7E163AB7">
      <w:pPr>
        <w:spacing w:line="240" w:lineRule="auto"/>
        <w:jc w:val="center"/>
        <w:rPr>
          <w:rFonts w:hint="default" w:ascii="Times New Roman" w:hAnsi="Times New Roman" w:cs="Times New Roman"/>
          <w:b/>
          <w:bCs/>
          <w:color w:val="auto"/>
          <w:sz w:val="36"/>
          <w:szCs w:val="44"/>
          <w:highlight w:val="none"/>
        </w:rPr>
      </w:pPr>
    </w:p>
    <w:p w14:paraId="2A9A7739">
      <w:pPr>
        <w:spacing w:line="240" w:lineRule="auto"/>
        <w:jc w:val="center"/>
        <w:rPr>
          <w:rFonts w:hint="default" w:ascii="Times New Roman" w:hAnsi="Times New Roman" w:cs="Times New Roman"/>
          <w:b/>
          <w:bCs/>
          <w:color w:val="auto"/>
          <w:sz w:val="36"/>
          <w:szCs w:val="44"/>
          <w:highlight w:val="none"/>
        </w:rPr>
      </w:pPr>
    </w:p>
    <w:p w14:paraId="4DF0AEBB">
      <w:pPr>
        <w:spacing w:line="240" w:lineRule="auto"/>
        <w:jc w:val="center"/>
        <w:rPr>
          <w:rFonts w:hint="default" w:ascii="Times New Roman" w:hAnsi="Times New Roman" w:cs="Times New Roman"/>
          <w:b/>
          <w:bCs/>
          <w:color w:val="auto"/>
          <w:sz w:val="36"/>
          <w:szCs w:val="44"/>
          <w:highlight w:val="none"/>
        </w:rPr>
      </w:pPr>
    </w:p>
    <w:p w14:paraId="6E38899E">
      <w:pPr>
        <w:spacing w:line="240" w:lineRule="auto"/>
        <w:jc w:val="center"/>
        <w:rPr>
          <w:rFonts w:hint="default" w:ascii="Times New Roman" w:hAnsi="Times New Roman" w:cs="Times New Roman"/>
          <w:b/>
          <w:bCs/>
          <w:color w:val="auto"/>
          <w:sz w:val="44"/>
          <w:szCs w:val="44"/>
          <w:highlight w:val="none"/>
        </w:rPr>
      </w:pPr>
      <w:r>
        <w:rPr>
          <w:rFonts w:hint="default" w:ascii="Times New Roman" w:hAnsi="Times New Roman" w:cs="Times New Roman"/>
          <w:b/>
          <w:bCs/>
          <w:color w:val="auto"/>
          <w:sz w:val="36"/>
          <w:szCs w:val="44"/>
          <w:highlight w:val="none"/>
        </w:rPr>
        <w:t>目</w:t>
      </w:r>
      <w:r>
        <w:rPr>
          <w:rFonts w:hint="default" w:ascii="Times New Roman" w:hAnsi="Times New Roman" w:cs="Times New Roman"/>
          <w:b/>
          <w:bCs/>
          <w:color w:val="auto"/>
          <w:sz w:val="36"/>
          <w:szCs w:val="44"/>
          <w:highlight w:val="none"/>
          <w:lang w:val="en-US" w:eastAsia="zh-CN"/>
        </w:rPr>
        <w:t xml:space="preserve">  </w:t>
      </w:r>
      <w:r>
        <w:rPr>
          <w:rFonts w:hint="default" w:ascii="Times New Roman" w:hAnsi="Times New Roman" w:cs="Times New Roman"/>
          <w:b/>
          <w:bCs/>
          <w:color w:val="auto"/>
          <w:sz w:val="36"/>
          <w:szCs w:val="44"/>
          <w:highlight w:val="none"/>
        </w:rPr>
        <w:t>录</w:t>
      </w:r>
    </w:p>
    <w:p w14:paraId="348AF10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_Toc25319 </w:instrText>
      </w:r>
      <w:r>
        <w:rPr>
          <w:rFonts w:hint="default" w:ascii="Times New Roman" w:hAnsi="Times New Roman" w:cs="Times New Roman"/>
          <w:color w:val="auto"/>
          <w:highlight w:val="none"/>
        </w:rPr>
        <w:fldChar w:fldCharType="separate"/>
      </w:r>
      <w:r>
        <w:rPr>
          <w:rFonts w:hint="eastAsia" w:ascii="宋体" w:hAnsi="宋体" w:eastAsia="宋体" w:cs="宋体"/>
          <w:color w:val="auto"/>
          <w:highlight w:val="none"/>
        </w:rPr>
        <w:t>建设项目环境影响报告表</w:t>
      </w:r>
      <w:r>
        <w:rPr>
          <w:color w:val="auto"/>
          <w:highlight w:val="none"/>
        </w:rPr>
        <w:tab/>
      </w:r>
      <w:r>
        <w:rPr>
          <w:color w:val="auto"/>
          <w:highlight w:val="none"/>
        </w:rPr>
        <w:fldChar w:fldCharType="begin"/>
      </w:r>
      <w:r>
        <w:rPr>
          <w:color w:val="auto"/>
          <w:highlight w:val="none"/>
        </w:rPr>
        <w:instrText xml:space="preserve"> PAGEREF _Toc25319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475BBA6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_Toc14733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_Toc14733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5464AE9E">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_Toc7930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_Toc7930 \h </w:instrText>
      </w:r>
      <w:r>
        <w:rPr>
          <w:color w:val="auto"/>
          <w:highlight w:val="none"/>
        </w:rPr>
        <w:fldChar w:fldCharType="separate"/>
      </w:r>
      <w:r>
        <w:rPr>
          <w:color w:val="auto"/>
          <w:highlight w:val="none"/>
        </w:rPr>
        <w:t>20</w:t>
      </w:r>
      <w:r>
        <w:rPr>
          <w:color w:val="auto"/>
          <w:highlight w:val="none"/>
        </w:rPr>
        <w:fldChar w:fldCharType="end"/>
      </w:r>
      <w:r>
        <w:rPr>
          <w:rFonts w:hint="default" w:ascii="Times New Roman" w:hAnsi="Times New Roman" w:cs="Times New Roman"/>
          <w:color w:val="auto"/>
          <w:highlight w:val="none"/>
        </w:rPr>
        <w:fldChar w:fldCharType="end"/>
      </w:r>
    </w:p>
    <w:p w14:paraId="2037C15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_Toc20293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_Toc20293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cs="Times New Roman"/>
          <w:color w:val="auto"/>
          <w:highlight w:val="none"/>
        </w:rPr>
        <w:fldChar w:fldCharType="end"/>
      </w:r>
    </w:p>
    <w:p w14:paraId="0E9EC4A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_Toc2573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_Toc2573 \h </w:instrText>
      </w:r>
      <w:r>
        <w:rPr>
          <w:color w:val="auto"/>
          <w:highlight w:val="none"/>
        </w:rPr>
        <w:fldChar w:fldCharType="separate"/>
      </w:r>
      <w:r>
        <w:rPr>
          <w:color w:val="auto"/>
          <w:highlight w:val="none"/>
        </w:rPr>
        <w:t>57</w:t>
      </w:r>
      <w:r>
        <w:rPr>
          <w:color w:val="auto"/>
          <w:highlight w:val="none"/>
        </w:rPr>
        <w:fldChar w:fldCharType="end"/>
      </w:r>
      <w:r>
        <w:rPr>
          <w:rFonts w:hint="default" w:ascii="Times New Roman" w:hAnsi="Times New Roman" w:cs="Times New Roman"/>
          <w:color w:val="auto"/>
          <w:highlight w:val="none"/>
        </w:rPr>
        <w:fldChar w:fldCharType="end"/>
      </w:r>
    </w:p>
    <w:p w14:paraId="08ADF8C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_Toc15545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_Toc15545 \h </w:instrText>
      </w:r>
      <w:r>
        <w:rPr>
          <w:color w:val="auto"/>
          <w:highlight w:val="none"/>
        </w:rPr>
        <w:fldChar w:fldCharType="separate"/>
      </w:r>
      <w:r>
        <w:rPr>
          <w:color w:val="auto"/>
          <w:highlight w:val="none"/>
        </w:rPr>
        <w:t>104</w:t>
      </w:r>
      <w:r>
        <w:rPr>
          <w:color w:val="auto"/>
          <w:highlight w:val="none"/>
        </w:rPr>
        <w:fldChar w:fldCharType="end"/>
      </w:r>
      <w:r>
        <w:rPr>
          <w:rFonts w:hint="default" w:ascii="Times New Roman" w:hAnsi="Times New Roman" w:cs="Times New Roman"/>
          <w:color w:val="auto"/>
          <w:highlight w:val="none"/>
        </w:rPr>
        <w:fldChar w:fldCharType="end"/>
      </w:r>
    </w:p>
    <w:p w14:paraId="59C7817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_Toc401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六、结论</w:t>
      </w:r>
      <w:r>
        <w:rPr>
          <w:color w:val="auto"/>
          <w:highlight w:val="none"/>
        </w:rPr>
        <w:tab/>
      </w:r>
      <w:r>
        <w:rPr>
          <w:color w:val="auto"/>
          <w:highlight w:val="none"/>
        </w:rPr>
        <w:fldChar w:fldCharType="begin"/>
      </w:r>
      <w:r>
        <w:rPr>
          <w:color w:val="auto"/>
          <w:highlight w:val="none"/>
        </w:rPr>
        <w:instrText xml:space="preserve"> PAGEREF _Toc401 \h </w:instrText>
      </w:r>
      <w:r>
        <w:rPr>
          <w:color w:val="auto"/>
          <w:highlight w:val="none"/>
        </w:rPr>
        <w:fldChar w:fldCharType="separate"/>
      </w:r>
      <w:r>
        <w:rPr>
          <w:color w:val="auto"/>
          <w:highlight w:val="none"/>
        </w:rPr>
        <w:t>109</w:t>
      </w:r>
      <w:r>
        <w:rPr>
          <w:color w:val="auto"/>
          <w:highlight w:val="none"/>
        </w:rPr>
        <w:fldChar w:fldCharType="end"/>
      </w:r>
      <w:r>
        <w:rPr>
          <w:rFonts w:hint="default" w:ascii="Times New Roman" w:hAnsi="Times New Roman" w:cs="Times New Roman"/>
          <w:color w:val="auto"/>
          <w:highlight w:val="none"/>
        </w:rPr>
        <w:fldChar w:fldCharType="end"/>
      </w:r>
    </w:p>
    <w:p w14:paraId="13551B5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_Toc8548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8"/>
          <w:highlight w:val="none"/>
          <w:lang w:val="en-US" w:eastAsia="zh-CN"/>
        </w:rPr>
        <w:t>附表</w:t>
      </w:r>
      <w:r>
        <w:rPr>
          <w:color w:val="auto"/>
          <w:highlight w:val="none"/>
        </w:rPr>
        <w:tab/>
      </w:r>
      <w:r>
        <w:rPr>
          <w:color w:val="auto"/>
          <w:highlight w:val="none"/>
        </w:rPr>
        <w:fldChar w:fldCharType="begin"/>
      </w:r>
      <w:r>
        <w:rPr>
          <w:color w:val="auto"/>
          <w:highlight w:val="none"/>
        </w:rPr>
        <w:instrText xml:space="preserve"> PAGEREF _Toc8548 \h </w:instrText>
      </w:r>
      <w:r>
        <w:rPr>
          <w:color w:val="auto"/>
          <w:highlight w:val="none"/>
        </w:rPr>
        <w:fldChar w:fldCharType="separate"/>
      </w:r>
      <w:r>
        <w:rPr>
          <w:color w:val="auto"/>
          <w:highlight w:val="none"/>
        </w:rPr>
        <w:t>110</w:t>
      </w:r>
      <w:r>
        <w:rPr>
          <w:color w:val="auto"/>
          <w:highlight w:val="none"/>
        </w:rPr>
        <w:fldChar w:fldCharType="end"/>
      </w:r>
      <w:r>
        <w:rPr>
          <w:rFonts w:hint="default" w:ascii="Times New Roman" w:hAnsi="Times New Roman" w:cs="Times New Roman"/>
          <w:color w:val="auto"/>
          <w:highlight w:val="none"/>
        </w:rPr>
        <w:fldChar w:fldCharType="end"/>
      </w:r>
    </w:p>
    <w:p w14:paraId="51DEEA1F">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_Toc10251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附图1 项目地理位置图</w:t>
      </w:r>
      <w:r>
        <w:rPr>
          <w:color w:val="auto"/>
          <w:highlight w:val="none"/>
        </w:rPr>
        <w:tab/>
      </w:r>
      <w:r>
        <w:rPr>
          <w:color w:val="auto"/>
          <w:highlight w:val="none"/>
        </w:rPr>
        <w:fldChar w:fldCharType="begin"/>
      </w:r>
      <w:r>
        <w:rPr>
          <w:color w:val="auto"/>
          <w:highlight w:val="none"/>
        </w:rPr>
        <w:instrText xml:space="preserve"> PAGEREF _Toc10251 \h </w:instrText>
      </w:r>
      <w:r>
        <w:rPr>
          <w:color w:val="auto"/>
          <w:highlight w:val="none"/>
        </w:rPr>
        <w:fldChar w:fldCharType="separate"/>
      </w:r>
      <w:r>
        <w:rPr>
          <w:color w:val="auto"/>
          <w:highlight w:val="none"/>
        </w:rPr>
        <w:t>112</w:t>
      </w:r>
      <w:r>
        <w:rPr>
          <w:color w:val="auto"/>
          <w:highlight w:val="none"/>
        </w:rPr>
        <w:fldChar w:fldCharType="end"/>
      </w:r>
      <w:r>
        <w:rPr>
          <w:rFonts w:hint="default" w:ascii="Times New Roman" w:hAnsi="Times New Roman" w:cs="Times New Roman"/>
          <w:color w:val="auto"/>
          <w:highlight w:val="none"/>
        </w:rPr>
        <w:fldChar w:fldCharType="end"/>
      </w:r>
    </w:p>
    <w:p w14:paraId="0B3AC93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_Toc3620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附图2 项目四至情况</w:t>
      </w:r>
      <w:r>
        <w:rPr>
          <w:rFonts w:hint="default" w:ascii="Times New Roman" w:hAnsi="Times New Roman" w:cs="Times New Roman"/>
          <w:bCs/>
          <w:color w:val="auto"/>
          <w:szCs w:val="24"/>
          <w:highlight w:val="none"/>
          <w:lang w:val="en-US" w:eastAsia="zh-CN"/>
        </w:rPr>
        <w:t>卫星图</w:t>
      </w:r>
      <w:r>
        <w:rPr>
          <w:color w:val="auto"/>
          <w:highlight w:val="none"/>
        </w:rPr>
        <w:tab/>
      </w:r>
      <w:r>
        <w:rPr>
          <w:color w:val="auto"/>
          <w:highlight w:val="none"/>
        </w:rPr>
        <w:fldChar w:fldCharType="begin"/>
      </w:r>
      <w:r>
        <w:rPr>
          <w:color w:val="auto"/>
          <w:highlight w:val="none"/>
        </w:rPr>
        <w:instrText xml:space="preserve"> PAGEREF _Toc3620 \h </w:instrText>
      </w:r>
      <w:r>
        <w:rPr>
          <w:color w:val="auto"/>
          <w:highlight w:val="none"/>
        </w:rPr>
        <w:fldChar w:fldCharType="separate"/>
      </w:r>
      <w:r>
        <w:rPr>
          <w:color w:val="auto"/>
          <w:highlight w:val="none"/>
        </w:rPr>
        <w:t>113</w:t>
      </w:r>
      <w:r>
        <w:rPr>
          <w:color w:val="auto"/>
          <w:highlight w:val="none"/>
        </w:rPr>
        <w:fldChar w:fldCharType="end"/>
      </w:r>
      <w:r>
        <w:rPr>
          <w:rFonts w:hint="default" w:ascii="Times New Roman" w:hAnsi="Times New Roman" w:cs="Times New Roman"/>
          <w:color w:val="auto"/>
          <w:highlight w:val="none"/>
        </w:rPr>
        <w:fldChar w:fldCharType="end"/>
      </w:r>
    </w:p>
    <w:p w14:paraId="2CDA126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_Toc10334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 xml:space="preserve">附图3 </w:t>
      </w:r>
      <w:r>
        <w:rPr>
          <w:rFonts w:hint="default" w:ascii="Times New Roman" w:hAnsi="Times New Roman" w:cs="Times New Roman"/>
          <w:bCs/>
          <w:color w:val="auto"/>
          <w:szCs w:val="24"/>
          <w:highlight w:val="none"/>
          <w:lang w:eastAsia="zh-CN"/>
        </w:rPr>
        <w:t>厂区</w:t>
      </w:r>
      <w:r>
        <w:rPr>
          <w:rFonts w:hint="default" w:ascii="Times New Roman" w:hAnsi="Times New Roman" w:eastAsia="宋体" w:cs="Times New Roman"/>
          <w:bCs/>
          <w:color w:val="auto"/>
          <w:szCs w:val="24"/>
          <w:highlight w:val="none"/>
        </w:rPr>
        <w:t>平面布置图</w:t>
      </w:r>
      <w:r>
        <w:rPr>
          <w:color w:val="auto"/>
          <w:highlight w:val="none"/>
        </w:rPr>
        <w:tab/>
      </w:r>
      <w:r>
        <w:rPr>
          <w:color w:val="auto"/>
          <w:highlight w:val="none"/>
        </w:rPr>
        <w:fldChar w:fldCharType="begin"/>
      </w:r>
      <w:r>
        <w:rPr>
          <w:color w:val="auto"/>
          <w:highlight w:val="none"/>
        </w:rPr>
        <w:instrText xml:space="preserve"> PAGEREF _Toc10334 \h </w:instrText>
      </w:r>
      <w:r>
        <w:rPr>
          <w:color w:val="auto"/>
          <w:highlight w:val="none"/>
        </w:rPr>
        <w:fldChar w:fldCharType="separate"/>
      </w:r>
      <w:r>
        <w:rPr>
          <w:color w:val="auto"/>
          <w:highlight w:val="none"/>
        </w:rPr>
        <w:t>114</w:t>
      </w:r>
      <w:r>
        <w:rPr>
          <w:color w:val="auto"/>
          <w:highlight w:val="none"/>
        </w:rPr>
        <w:fldChar w:fldCharType="end"/>
      </w:r>
      <w:r>
        <w:rPr>
          <w:rFonts w:hint="default" w:ascii="Times New Roman" w:hAnsi="Times New Roman" w:cs="Times New Roman"/>
          <w:color w:val="auto"/>
          <w:highlight w:val="none"/>
        </w:rPr>
        <w:fldChar w:fldCharType="end"/>
      </w:r>
    </w:p>
    <w:p w14:paraId="271108B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_Toc1046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附图4 </w:t>
      </w:r>
      <w:r>
        <w:rPr>
          <w:rFonts w:hint="eastAsia" w:cs="Times New Roman"/>
          <w:bCs/>
          <w:color w:val="auto"/>
          <w:szCs w:val="24"/>
          <w:highlight w:val="none"/>
          <w:lang w:val="en-US" w:eastAsia="zh-CN"/>
        </w:rPr>
        <w:t>1#厂房</w:t>
      </w:r>
      <w:r>
        <w:rPr>
          <w:rFonts w:hint="default" w:ascii="Times New Roman" w:hAnsi="Times New Roman" w:eastAsia="宋体" w:cs="Times New Roman"/>
          <w:bCs/>
          <w:color w:val="auto"/>
          <w:szCs w:val="24"/>
          <w:highlight w:val="none"/>
          <w:lang w:eastAsia="zh-CN"/>
        </w:rPr>
        <w:t>平面布置图</w:t>
      </w:r>
      <w:r>
        <w:rPr>
          <w:color w:val="auto"/>
          <w:highlight w:val="none"/>
        </w:rPr>
        <w:tab/>
      </w:r>
      <w:r>
        <w:rPr>
          <w:color w:val="auto"/>
          <w:highlight w:val="none"/>
        </w:rPr>
        <w:fldChar w:fldCharType="begin"/>
      </w:r>
      <w:r>
        <w:rPr>
          <w:color w:val="auto"/>
          <w:highlight w:val="none"/>
        </w:rPr>
        <w:instrText xml:space="preserve"> PAGEREF _Toc1046 \h </w:instrText>
      </w:r>
      <w:r>
        <w:rPr>
          <w:color w:val="auto"/>
          <w:highlight w:val="none"/>
        </w:rPr>
        <w:fldChar w:fldCharType="separate"/>
      </w:r>
      <w:r>
        <w:rPr>
          <w:color w:val="auto"/>
          <w:highlight w:val="none"/>
        </w:rPr>
        <w:t>115</w:t>
      </w:r>
      <w:r>
        <w:rPr>
          <w:color w:val="auto"/>
          <w:highlight w:val="none"/>
        </w:rPr>
        <w:fldChar w:fldCharType="end"/>
      </w:r>
      <w:r>
        <w:rPr>
          <w:rFonts w:hint="default" w:ascii="Times New Roman" w:hAnsi="Times New Roman" w:cs="Times New Roman"/>
          <w:color w:val="auto"/>
          <w:highlight w:val="none"/>
        </w:rPr>
        <w:fldChar w:fldCharType="end"/>
      </w:r>
    </w:p>
    <w:p w14:paraId="6433B0E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附图5 </w:t>
      </w:r>
      <w:r>
        <w:rPr>
          <w:rFonts w:hint="eastAsia" w:cs="Times New Roman"/>
          <w:bCs/>
          <w:color w:val="auto"/>
          <w:szCs w:val="24"/>
          <w:highlight w:val="none"/>
          <w:lang w:val="en-US" w:eastAsia="zh-CN"/>
        </w:rPr>
        <w:t>4#厂房</w:t>
      </w:r>
      <w:r>
        <w:rPr>
          <w:rFonts w:hint="default" w:ascii="Times New Roman" w:hAnsi="Times New Roman" w:eastAsia="宋体" w:cs="Times New Roman"/>
          <w:bCs/>
          <w:color w:val="auto"/>
          <w:szCs w:val="24"/>
          <w:highlight w:val="none"/>
          <w:lang w:eastAsia="zh-CN"/>
        </w:rPr>
        <w:t>平面布置图</w:t>
      </w:r>
      <w:r>
        <w:rPr>
          <w:color w:val="auto"/>
          <w:highlight w:val="none"/>
        </w:rPr>
        <w:tab/>
      </w:r>
      <w:r>
        <w:rPr>
          <w:color w:val="auto"/>
          <w:highlight w:val="none"/>
        </w:rPr>
        <w:fldChar w:fldCharType="begin"/>
      </w:r>
      <w:r>
        <w:rPr>
          <w:color w:val="auto"/>
          <w:highlight w:val="none"/>
        </w:rPr>
        <w:instrText xml:space="preserve"> PAGEREF _Toc490 \h </w:instrText>
      </w:r>
      <w:r>
        <w:rPr>
          <w:color w:val="auto"/>
          <w:highlight w:val="none"/>
        </w:rPr>
        <w:fldChar w:fldCharType="separate"/>
      </w:r>
      <w:r>
        <w:rPr>
          <w:color w:val="auto"/>
          <w:highlight w:val="none"/>
        </w:rPr>
        <w:t>116</w:t>
      </w:r>
      <w:r>
        <w:rPr>
          <w:color w:val="auto"/>
          <w:highlight w:val="none"/>
        </w:rPr>
        <w:fldChar w:fldCharType="end"/>
      </w:r>
      <w:r>
        <w:rPr>
          <w:rFonts w:hint="default" w:ascii="Times New Roman" w:hAnsi="Times New Roman" w:cs="Times New Roman"/>
          <w:color w:val="auto"/>
          <w:highlight w:val="none"/>
        </w:rPr>
        <w:fldChar w:fldCharType="end"/>
      </w:r>
    </w:p>
    <w:p w14:paraId="25FE0B1C">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_Toc25832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附图6 环境保护目标分布图</w:t>
      </w:r>
      <w:r>
        <w:rPr>
          <w:color w:val="auto"/>
          <w:highlight w:val="none"/>
        </w:rPr>
        <w:tab/>
      </w:r>
      <w:r>
        <w:rPr>
          <w:color w:val="auto"/>
          <w:highlight w:val="none"/>
        </w:rPr>
        <w:fldChar w:fldCharType="begin"/>
      </w:r>
      <w:r>
        <w:rPr>
          <w:color w:val="auto"/>
          <w:highlight w:val="none"/>
        </w:rPr>
        <w:instrText xml:space="preserve"> PAGEREF _Toc25832 \h </w:instrText>
      </w:r>
      <w:r>
        <w:rPr>
          <w:color w:val="auto"/>
          <w:highlight w:val="none"/>
        </w:rPr>
        <w:fldChar w:fldCharType="separate"/>
      </w:r>
      <w:r>
        <w:rPr>
          <w:color w:val="auto"/>
          <w:highlight w:val="none"/>
        </w:rPr>
        <w:t>117</w:t>
      </w:r>
      <w:r>
        <w:rPr>
          <w:color w:val="auto"/>
          <w:highlight w:val="none"/>
        </w:rPr>
        <w:fldChar w:fldCharType="end"/>
      </w:r>
      <w:r>
        <w:rPr>
          <w:rFonts w:hint="default" w:ascii="Times New Roman" w:hAnsi="Times New Roman" w:cs="Times New Roman"/>
          <w:color w:val="auto"/>
          <w:highlight w:val="none"/>
        </w:rPr>
        <w:fldChar w:fldCharType="end"/>
      </w:r>
    </w:p>
    <w:p w14:paraId="0EEB167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_Toc21614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附图7 建设项目土地利用规划图</w:t>
      </w:r>
      <w:r>
        <w:rPr>
          <w:color w:val="auto"/>
          <w:highlight w:val="none"/>
        </w:rPr>
        <w:tab/>
      </w:r>
      <w:r>
        <w:rPr>
          <w:color w:val="auto"/>
          <w:highlight w:val="none"/>
        </w:rPr>
        <w:fldChar w:fldCharType="begin"/>
      </w:r>
      <w:r>
        <w:rPr>
          <w:color w:val="auto"/>
          <w:highlight w:val="none"/>
        </w:rPr>
        <w:instrText xml:space="preserve"> PAGEREF _Toc21614 \h </w:instrText>
      </w:r>
      <w:r>
        <w:rPr>
          <w:color w:val="auto"/>
          <w:highlight w:val="none"/>
        </w:rPr>
        <w:fldChar w:fldCharType="separate"/>
      </w:r>
      <w:r>
        <w:rPr>
          <w:color w:val="auto"/>
          <w:highlight w:val="none"/>
        </w:rPr>
        <w:t>118</w:t>
      </w:r>
      <w:r>
        <w:rPr>
          <w:color w:val="auto"/>
          <w:highlight w:val="none"/>
        </w:rPr>
        <w:fldChar w:fldCharType="end"/>
      </w:r>
      <w:r>
        <w:rPr>
          <w:rFonts w:hint="default" w:ascii="Times New Roman" w:hAnsi="Times New Roman" w:cs="Times New Roman"/>
          <w:color w:val="auto"/>
          <w:highlight w:val="none"/>
        </w:rPr>
        <w:fldChar w:fldCharType="end"/>
      </w:r>
    </w:p>
    <w:p w14:paraId="6945386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_Toc23701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附图8 水环境功能区划图</w:t>
      </w:r>
      <w:r>
        <w:rPr>
          <w:color w:val="auto"/>
          <w:highlight w:val="none"/>
        </w:rPr>
        <w:tab/>
      </w:r>
      <w:r>
        <w:rPr>
          <w:color w:val="auto"/>
          <w:highlight w:val="none"/>
        </w:rPr>
        <w:fldChar w:fldCharType="begin"/>
      </w:r>
      <w:r>
        <w:rPr>
          <w:color w:val="auto"/>
          <w:highlight w:val="none"/>
        </w:rPr>
        <w:instrText xml:space="preserve"> PAGEREF _Toc23701 \h </w:instrText>
      </w:r>
      <w:r>
        <w:rPr>
          <w:color w:val="auto"/>
          <w:highlight w:val="none"/>
        </w:rPr>
        <w:fldChar w:fldCharType="separate"/>
      </w:r>
      <w:r>
        <w:rPr>
          <w:color w:val="auto"/>
          <w:highlight w:val="none"/>
        </w:rPr>
        <w:t>119</w:t>
      </w:r>
      <w:r>
        <w:rPr>
          <w:color w:val="auto"/>
          <w:highlight w:val="none"/>
        </w:rPr>
        <w:fldChar w:fldCharType="end"/>
      </w:r>
      <w:r>
        <w:rPr>
          <w:rFonts w:hint="default" w:ascii="Times New Roman" w:hAnsi="Times New Roman" w:cs="Times New Roman"/>
          <w:color w:val="auto"/>
          <w:highlight w:val="none"/>
        </w:rPr>
        <w:fldChar w:fldCharType="end"/>
      </w:r>
    </w:p>
    <w:p w14:paraId="1A7FB59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_Toc4109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附图9 大气环境功能区划图</w:t>
      </w:r>
      <w:r>
        <w:rPr>
          <w:color w:val="auto"/>
          <w:highlight w:val="none"/>
        </w:rPr>
        <w:tab/>
      </w:r>
      <w:r>
        <w:rPr>
          <w:color w:val="auto"/>
          <w:highlight w:val="none"/>
        </w:rPr>
        <w:fldChar w:fldCharType="begin"/>
      </w:r>
      <w:r>
        <w:rPr>
          <w:color w:val="auto"/>
          <w:highlight w:val="none"/>
        </w:rPr>
        <w:instrText xml:space="preserve"> PAGEREF _Toc4109 \h </w:instrText>
      </w:r>
      <w:r>
        <w:rPr>
          <w:color w:val="auto"/>
          <w:highlight w:val="none"/>
        </w:rPr>
        <w:fldChar w:fldCharType="separate"/>
      </w:r>
      <w:r>
        <w:rPr>
          <w:color w:val="auto"/>
          <w:highlight w:val="none"/>
        </w:rPr>
        <w:t>120</w:t>
      </w:r>
      <w:r>
        <w:rPr>
          <w:color w:val="auto"/>
          <w:highlight w:val="none"/>
        </w:rPr>
        <w:fldChar w:fldCharType="end"/>
      </w:r>
      <w:r>
        <w:rPr>
          <w:rFonts w:hint="default" w:ascii="Times New Roman" w:hAnsi="Times New Roman" w:cs="Times New Roman"/>
          <w:color w:val="auto"/>
          <w:highlight w:val="none"/>
        </w:rPr>
        <w:fldChar w:fldCharType="end"/>
      </w:r>
    </w:p>
    <w:p w14:paraId="58C825F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附图10 </w:t>
      </w:r>
      <w:r>
        <w:rPr>
          <w:rFonts w:hint="eastAsia" w:cs="Times New Roman"/>
          <w:bCs/>
          <w:color w:val="auto"/>
          <w:szCs w:val="24"/>
          <w:highlight w:val="none"/>
          <w:lang w:val="en-US" w:eastAsia="zh-CN"/>
        </w:rPr>
        <w:t>声功能区划图</w:t>
      </w:r>
      <w:r>
        <w:rPr>
          <w:color w:val="auto"/>
          <w:highlight w:val="none"/>
        </w:rPr>
        <w:tab/>
      </w:r>
      <w:r>
        <w:rPr>
          <w:color w:val="auto"/>
          <w:highlight w:val="none"/>
        </w:rPr>
        <w:fldChar w:fldCharType="begin"/>
      </w:r>
      <w:r>
        <w:rPr>
          <w:color w:val="auto"/>
          <w:highlight w:val="none"/>
        </w:rPr>
        <w:instrText xml:space="preserve"> PAGEREF _Toc10890 \h </w:instrText>
      </w:r>
      <w:r>
        <w:rPr>
          <w:color w:val="auto"/>
          <w:highlight w:val="none"/>
        </w:rPr>
        <w:fldChar w:fldCharType="separate"/>
      </w:r>
      <w:r>
        <w:rPr>
          <w:color w:val="auto"/>
          <w:highlight w:val="none"/>
        </w:rPr>
        <w:t>121</w:t>
      </w:r>
      <w:r>
        <w:rPr>
          <w:color w:val="auto"/>
          <w:highlight w:val="none"/>
        </w:rPr>
        <w:fldChar w:fldCharType="end"/>
      </w:r>
      <w:r>
        <w:rPr>
          <w:rFonts w:hint="default" w:ascii="Times New Roman" w:hAnsi="Times New Roman" w:cs="Times New Roman"/>
          <w:color w:val="auto"/>
          <w:highlight w:val="none"/>
        </w:rPr>
        <w:fldChar w:fldCharType="end"/>
      </w:r>
    </w:p>
    <w:p w14:paraId="61D3F9C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_Toc12886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附图11 生态红线分布图</w:t>
      </w:r>
      <w:r>
        <w:rPr>
          <w:color w:val="auto"/>
          <w:highlight w:val="none"/>
        </w:rPr>
        <w:tab/>
      </w:r>
      <w:r>
        <w:rPr>
          <w:color w:val="auto"/>
          <w:highlight w:val="none"/>
        </w:rPr>
        <w:fldChar w:fldCharType="begin"/>
      </w:r>
      <w:r>
        <w:rPr>
          <w:color w:val="auto"/>
          <w:highlight w:val="none"/>
        </w:rPr>
        <w:instrText xml:space="preserve"> PAGEREF _Toc12886 \h </w:instrText>
      </w:r>
      <w:r>
        <w:rPr>
          <w:color w:val="auto"/>
          <w:highlight w:val="none"/>
        </w:rPr>
        <w:fldChar w:fldCharType="separate"/>
      </w:r>
      <w:r>
        <w:rPr>
          <w:color w:val="auto"/>
          <w:highlight w:val="none"/>
        </w:rPr>
        <w:t>122</w:t>
      </w:r>
      <w:r>
        <w:rPr>
          <w:color w:val="auto"/>
          <w:highlight w:val="none"/>
        </w:rPr>
        <w:fldChar w:fldCharType="end"/>
      </w:r>
      <w:r>
        <w:rPr>
          <w:rFonts w:hint="default" w:ascii="Times New Roman" w:hAnsi="Times New Roman" w:cs="Times New Roman"/>
          <w:color w:val="auto"/>
          <w:highlight w:val="none"/>
        </w:rPr>
        <w:fldChar w:fldCharType="end"/>
      </w:r>
    </w:p>
    <w:p w14:paraId="2CBD261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_Toc29531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附图12 水环境管控单元图</w:t>
      </w:r>
      <w:r>
        <w:rPr>
          <w:color w:val="auto"/>
          <w:highlight w:val="none"/>
        </w:rPr>
        <w:tab/>
      </w:r>
      <w:r>
        <w:rPr>
          <w:color w:val="auto"/>
          <w:highlight w:val="none"/>
        </w:rPr>
        <w:fldChar w:fldCharType="begin"/>
      </w:r>
      <w:r>
        <w:rPr>
          <w:color w:val="auto"/>
          <w:highlight w:val="none"/>
        </w:rPr>
        <w:instrText xml:space="preserve"> PAGEREF _Toc29531 \h </w:instrText>
      </w:r>
      <w:r>
        <w:rPr>
          <w:color w:val="auto"/>
          <w:highlight w:val="none"/>
        </w:rPr>
        <w:fldChar w:fldCharType="separate"/>
      </w:r>
      <w:r>
        <w:rPr>
          <w:color w:val="auto"/>
          <w:highlight w:val="none"/>
        </w:rPr>
        <w:t>123</w:t>
      </w:r>
      <w:r>
        <w:rPr>
          <w:color w:val="auto"/>
          <w:highlight w:val="none"/>
        </w:rPr>
        <w:fldChar w:fldCharType="end"/>
      </w:r>
      <w:r>
        <w:rPr>
          <w:rFonts w:hint="default" w:ascii="Times New Roman" w:hAnsi="Times New Roman" w:cs="Times New Roman"/>
          <w:color w:val="auto"/>
          <w:highlight w:val="none"/>
        </w:rPr>
        <w:fldChar w:fldCharType="end"/>
      </w:r>
    </w:p>
    <w:p w14:paraId="51AB5BF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_Toc19580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附图13 大气环境管控单元图</w:t>
      </w:r>
      <w:r>
        <w:rPr>
          <w:color w:val="auto"/>
          <w:highlight w:val="none"/>
        </w:rPr>
        <w:tab/>
      </w:r>
      <w:r>
        <w:rPr>
          <w:color w:val="auto"/>
          <w:highlight w:val="none"/>
        </w:rPr>
        <w:fldChar w:fldCharType="begin"/>
      </w:r>
      <w:r>
        <w:rPr>
          <w:color w:val="auto"/>
          <w:highlight w:val="none"/>
        </w:rPr>
        <w:instrText xml:space="preserve"> PAGEREF _Toc19580 \h </w:instrText>
      </w:r>
      <w:r>
        <w:rPr>
          <w:color w:val="auto"/>
          <w:highlight w:val="none"/>
        </w:rPr>
        <w:fldChar w:fldCharType="separate"/>
      </w:r>
      <w:r>
        <w:rPr>
          <w:color w:val="auto"/>
          <w:highlight w:val="none"/>
        </w:rPr>
        <w:t>124</w:t>
      </w:r>
      <w:r>
        <w:rPr>
          <w:color w:val="auto"/>
          <w:highlight w:val="none"/>
        </w:rPr>
        <w:fldChar w:fldCharType="end"/>
      </w:r>
      <w:r>
        <w:rPr>
          <w:rFonts w:hint="default" w:ascii="Times New Roman" w:hAnsi="Times New Roman" w:cs="Times New Roman"/>
          <w:color w:val="auto"/>
          <w:highlight w:val="none"/>
        </w:rPr>
        <w:fldChar w:fldCharType="end"/>
      </w:r>
    </w:p>
    <w:p w14:paraId="5752132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_Toc15417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附图14 生态管控单元分区图</w:t>
      </w:r>
      <w:r>
        <w:rPr>
          <w:color w:val="auto"/>
          <w:highlight w:val="none"/>
        </w:rPr>
        <w:tab/>
      </w:r>
      <w:r>
        <w:rPr>
          <w:color w:val="auto"/>
          <w:highlight w:val="none"/>
        </w:rPr>
        <w:fldChar w:fldCharType="begin"/>
      </w:r>
      <w:r>
        <w:rPr>
          <w:color w:val="auto"/>
          <w:highlight w:val="none"/>
        </w:rPr>
        <w:instrText xml:space="preserve"> PAGEREF _Toc15417 \h </w:instrText>
      </w:r>
      <w:r>
        <w:rPr>
          <w:color w:val="auto"/>
          <w:highlight w:val="none"/>
        </w:rPr>
        <w:fldChar w:fldCharType="separate"/>
      </w:r>
      <w:r>
        <w:rPr>
          <w:color w:val="auto"/>
          <w:highlight w:val="none"/>
        </w:rPr>
        <w:t>125</w:t>
      </w:r>
      <w:r>
        <w:rPr>
          <w:color w:val="auto"/>
          <w:highlight w:val="none"/>
        </w:rPr>
        <w:fldChar w:fldCharType="end"/>
      </w:r>
      <w:r>
        <w:rPr>
          <w:rFonts w:hint="default" w:ascii="Times New Roman" w:hAnsi="Times New Roman" w:cs="Times New Roman"/>
          <w:color w:val="auto"/>
          <w:highlight w:val="none"/>
        </w:rPr>
        <w:fldChar w:fldCharType="end"/>
      </w:r>
    </w:p>
    <w:p w14:paraId="6DAA52F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_Toc19604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附图15 项目周边现状图</w:t>
      </w:r>
      <w:r>
        <w:rPr>
          <w:rFonts w:hint="eastAsia" w:cs="Times New Roman"/>
          <w:bCs/>
          <w:color w:val="auto"/>
          <w:szCs w:val="24"/>
          <w:highlight w:val="none"/>
          <w:lang w:eastAsia="zh-CN"/>
        </w:rPr>
        <w:t>、</w:t>
      </w:r>
      <w:r>
        <w:rPr>
          <w:rFonts w:hint="eastAsia" w:cs="Times New Roman"/>
          <w:bCs/>
          <w:color w:val="auto"/>
          <w:szCs w:val="24"/>
          <w:highlight w:val="none"/>
          <w:lang w:val="en-US" w:eastAsia="zh-CN"/>
        </w:rPr>
        <w:t>喷漆房、烘干房图</w:t>
      </w:r>
      <w:r>
        <w:rPr>
          <w:color w:val="auto"/>
          <w:highlight w:val="none"/>
        </w:rPr>
        <w:tab/>
      </w:r>
      <w:r>
        <w:rPr>
          <w:color w:val="auto"/>
          <w:highlight w:val="none"/>
        </w:rPr>
        <w:fldChar w:fldCharType="begin"/>
      </w:r>
      <w:r>
        <w:rPr>
          <w:color w:val="auto"/>
          <w:highlight w:val="none"/>
        </w:rPr>
        <w:instrText xml:space="preserve"> PAGEREF _Toc19604 \h </w:instrText>
      </w:r>
      <w:r>
        <w:rPr>
          <w:color w:val="auto"/>
          <w:highlight w:val="none"/>
        </w:rPr>
        <w:fldChar w:fldCharType="separate"/>
      </w:r>
      <w:r>
        <w:rPr>
          <w:color w:val="auto"/>
          <w:highlight w:val="none"/>
        </w:rPr>
        <w:t>126</w:t>
      </w:r>
      <w:r>
        <w:rPr>
          <w:color w:val="auto"/>
          <w:highlight w:val="none"/>
        </w:rPr>
        <w:fldChar w:fldCharType="end"/>
      </w:r>
      <w:r>
        <w:rPr>
          <w:rFonts w:hint="default" w:ascii="Times New Roman" w:hAnsi="Times New Roman" w:cs="Times New Roman"/>
          <w:color w:val="auto"/>
          <w:highlight w:val="none"/>
        </w:rPr>
        <w:fldChar w:fldCharType="end"/>
      </w:r>
    </w:p>
    <w:p w14:paraId="3D75FDE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_Toc7871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附图16 广东省“三线一单”截图</w:t>
      </w:r>
      <w:r>
        <w:rPr>
          <w:color w:val="auto"/>
          <w:highlight w:val="none"/>
        </w:rPr>
        <w:tab/>
      </w:r>
      <w:r>
        <w:rPr>
          <w:color w:val="auto"/>
          <w:highlight w:val="none"/>
        </w:rPr>
        <w:fldChar w:fldCharType="begin"/>
      </w:r>
      <w:r>
        <w:rPr>
          <w:color w:val="auto"/>
          <w:highlight w:val="none"/>
        </w:rPr>
        <w:instrText xml:space="preserve"> PAGEREF _Toc7871 \h </w:instrText>
      </w:r>
      <w:r>
        <w:rPr>
          <w:color w:val="auto"/>
          <w:highlight w:val="none"/>
        </w:rPr>
        <w:fldChar w:fldCharType="separate"/>
      </w:r>
      <w:r>
        <w:rPr>
          <w:color w:val="auto"/>
          <w:highlight w:val="none"/>
        </w:rPr>
        <w:t>127</w:t>
      </w:r>
      <w:r>
        <w:rPr>
          <w:color w:val="auto"/>
          <w:highlight w:val="none"/>
        </w:rPr>
        <w:fldChar w:fldCharType="end"/>
      </w:r>
      <w:r>
        <w:rPr>
          <w:rFonts w:hint="default" w:ascii="Times New Roman" w:hAnsi="Times New Roman" w:cs="Times New Roman"/>
          <w:color w:val="auto"/>
          <w:highlight w:val="none"/>
        </w:rPr>
        <w:fldChar w:fldCharType="end"/>
      </w:r>
    </w:p>
    <w:p w14:paraId="0DE04E8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_Toc28721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附图17 项目与大气</w:t>
      </w:r>
      <w:r>
        <w:rPr>
          <w:rFonts w:hint="eastAsia" w:cs="Times New Roman"/>
          <w:bCs/>
          <w:color w:val="auto"/>
          <w:szCs w:val="24"/>
          <w:highlight w:val="none"/>
          <w:lang w:val="en-US" w:eastAsia="zh-CN"/>
        </w:rPr>
        <w:t>引用</w:t>
      </w:r>
      <w:r>
        <w:rPr>
          <w:rFonts w:hint="default" w:ascii="Times New Roman" w:hAnsi="Times New Roman" w:eastAsia="宋体" w:cs="Times New Roman"/>
          <w:bCs/>
          <w:color w:val="auto"/>
          <w:szCs w:val="24"/>
          <w:highlight w:val="none"/>
          <w:lang w:val="en-US" w:eastAsia="zh-CN"/>
        </w:rPr>
        <w:t>监测点位置图</w:t>
      </w:r>
      <w:r>
        <w:rPr>
          <w:color w:val="auto"/>
          <w:highlight w:val="none"/>
        </w:rPr>
        <w:tab/>
      </w:r>
      <w:r>
        <w:rPr>
          <w:color w:val="auto"/>
          <w:highlight w:val="none"/>
        </w:rPr>
        <w:fldChar w:fldCharType="begin"/>
      </w:r>
      <w:r>
        <w:rPr>
          <w:color w:val="auto"/>
          <w:highlight w:val="none"/>
        </w:rPr>
        <w:instrText xml:space="preserve"> PAGEREF _Toc28721 \h </w:instrText>
      </w:r>
      <w:r>
        <w:rPr>
          <w:color w:val="auto"/>
          <w:highlight w:val="none"/>
        </w:rPr>
        <w:fldChar w:fldCharType="separate"/>
      </w:r>
      <w:r>
        <w:rPr>
          <w:color w:val="auto"/>
          <w:highlight w:val="none"/>
        </w:rPr>
        <w:t>128</w:t>
      </w:r>
      <w:r>
        <w:rPr>
          <w:color w:val="auto"/>
          <w:highlight w:val="none"/>
        </w:rPr>
        <w:fldChar w:fldCharType="end"/>
      </w:r>
      <w:r>
        <w:rPr>
          <w:rFonts w:hint="default" w:ascii="Times New Roman" w:hAnsi="Times New Roman" w:cs="Times New Roman"/>
          <w:color w:val="auto"/>
          <w:highlight w:val="none"/>
        </w:rPr>
        <w:fldChar w:fldCharType="end"/>
      </w:r>
    </w:p>
    <w:p w14:paraId="4C7140D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_Toc25862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附图18 乐昌产业转移工业园管网分布图</w:t>
      </w:r>
      <w:r>
        <w:rPr>
          <w:color w:val="auto"/>
          <w:highlight w:val="none"/>
        </w:rPr>
        <w:tab/>
      </w:r>
      <w:r>
        <w:rPr>
          <w:color w:val="auto"/>
          <w:highlight w:val="none"/>
        </w:rPr>
        <w:fldChar w:fldCharType="begin"/>
      </w:r>
      <w:r>
        <w:rPr>
          <w:color w:val="auto"/>
          <w:highlight w:val="none"/>
        </w:rPr>
        <w:instrText xml:space="preserve"> PAGEREF _Toc25862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cs="Times New Roman"/>
          <w:color w:val="auto"/>
          <w:highlight w:val="none"/>
        </w:rPr>
        <w:fldChar w:fldCharType="end"/>
      </w:r>
    </w:p>
    <w:p w14:paraId="6380DBD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_Toc31241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附件1 </w:t>
      </w:r>
      <w:r>
        <w:rPr>
          <w:rFonts w:hint="default" w:ascii="Times New Roman" w:hAnsi="Times New Roman" w:cs="Times New Roman"/>
          <w:bCs/>
          <w:color w:val="auto"/>
          <w:szCs w:val="24"/>
          <w:highlight w:val="none"/>
          <w:lang w:val="en-US" w:eastAsia="zh-CN"/>
        </w:rPr>
        <w:t>营业执照</w:t>
      </w:r>
      <w:r>
        <w:rPr>
          <w:color w:val="auto"/>
          <w:highlight w:val="none"/>
        </w:rPr>
        <w:tab/>
      </w:r>
      <w:r>
        <w:rPr>
          <w:color w:val="auto"/>
          <w:highlight w:val="none"/>
        </w:rPr>
        <w:fldChar w:fldCharType="begin"/>
      </w:r>
      <w:r>
        <w:rPr>
          <w:color w:val="auto"/>
          <w:highlight w:val="none"/>
        </w:rPr>
        <w:instrText xml:space="preserve"> PAGEREF _Toc31241 \h </w:instrText>
      </w:r>
      <w:r>
        <w:rPr>
          <w:color w:val="auto"/>
          <w:highlight w:val="none"/>
        </w:rPr>
        <w:fldChar w:fldCharType="separate"/>
      </w:r>
      <w:r>
        <w:rPr>
          <w:color w:val="auto"/>
          <w:highlight w:val="none"/>
        </w:rPr>
        <w:t>130</w:t>
      </w:r>
      <w:r>
        <w:rPr>
          <w:color w:val="auto"/>
          <w:highlight w:val="none"/>
        </w:rPr>
        <w:fldChar w:fldCharType="end"/>
      </w:r>
      <w:r>
        <w:rPr>
          <w:rFonts w:hint="default" w:ascii="Times New Roman" w:hAnsi="Times New Roman" w:cs="Times New Roman"/>
          <w:color w:val="auto"/>
          <w:highlight w:val="none"/>
        </w:rPr>
        <w:fldChar w:fldCharType="end"/>
      </w:r>
    </w:p>
    <w:p w14:paraId="349173C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_Toc10858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附件2 </w:t>
      </w:r>
      <w:r>
        <w:rPr>
          <w:rFonts w:hint="default" w:ascii="Times New Roman" w:hAnsi="Times New Roman" w:cs="Times New Roman"/>
          <w:bCs/>
          <w:color w:val="auto"/>
          <w:szCs w:val="24"/>
          <w:highlight w:val="none"/>
          <w:lang w:val="en-US" w:eastAsia="zh-CN"/>
        </w:rPr>
        <w:t>法人身份证复印件</w:t>
      </w:r>
      <w:r>
        <w:rPr>
          <w:color w:val="auto"/>
          <w:highlight w:val="none"/>
        </w:rPr>
        <w:tab/>
      </w:r>
      <w:r>
        <w:rPr>
          <w:color w:val="auto"/>
          <w:highlight w:val="none"/>
        </w:rPr>
        <w:fldChar w:fldCharType="begin"/>
      </w:r>
      <w:r>
        <w:rPr>
          <w:color w:val="auto"/>
          <w:highlight w:val="none"/>
        </w:rPr>
        <w:instrText xml:space="preserve"> PAGEREF _Toc10858 \h </w:instrText>
      </w:r>
      <w:r>
        <w:rPr>
          <w:color w:val="auto"/>
          <w:highlight w:val="none"/>
        </w:rPr>
        <w:fldChar w:fldCharType="separate"/>
      </w:r>
      <w:r>
        <w:rPr>
          <w:color w:val="auto"/>
          <w:highlight w:val="none"/>
        </w:rPr>
        <w:t>131</w:t>
      </w:r>
      <w:r>
        <w:rPr>
          <w:color w:val="auto"/>
          <w:highlight w:val="none"/>
        </w:rPr>
        <w:fldChar w:fldCharType="end"/>
      </w:r>
      <w:r>
        <w:rPr>
          <w:rFonts w:hint="default" w:ascii="Times New Roman" w:hAnsi="Times New Roman" w:cs="Times New Roman"/>
          <w:color w:val="auto"/>
          <w:highlight w:val="none"/>
        </w:rPr>
        <w:fldChar w:fldCharType="end"/>
      </w:r>
    </w:p>
    <w:p w14:paraId="59EF8D3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_Toc8698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附件3 </w:t>
      </w:r>
      <w:r>
        <w:rPr>
          <w:rFonts w:hint="default" w:ascii="Times New Roman" w:hAnsi="Times New Roman" w:cs="Times New Roman"/>
          <w:bCs/>
          <w:color w:val="auto"/>
          <w:szCs w:val="24"/>
          <w:highlight w:val="none"/>
          <w:lang w:val="en-US" w:eastAsia="zh-CN"/>
        </w:rPr>
        <w:t>不动产权证书</w:t>
      </w:r>
      <w:r>
        <w:rPr>
          <w:color w:val="auto"/>
          <w:highlight w:val="none"/>
        </w:rPr>
        <w:tab/>
      </w:r>
      <w:r>
        <w:rPr>
          <w:color w:val="auto"/>
          <w:highlight w:val="none"/>
        </w:rPr>
        <w:fldChar w:fldCharType="begin"/>
      </w:r>
      <w:r>
        <w:rPr>
          <w:color w:val="auto"/>
          <w:highlight w:val="none"/>
        </w:rPr>
        <w:instrText xml:space="preserve"> PAGEREF _Toc8698 \h </w:instrText>
      </w:r>
      <w:r>
        <w:rPr>
          <w:color w:val="auto"/>
          <w:highlight w:val="none"/>
        </w:rPr>
        <w:fldChar w:fldCharType="separate"/>
      </w:r>
      <w:r>
        <w:rPr>
          <w:color w:val="auto"/>
          <w:highlight w:val="none"/>
        </w:rPr>
        <w:t>132</w:t>
      </w:r>
      <w:r>
        <w:rPr>
          <w:color w:val="auto"/>
          <w:highlight w:val="none"/>
        </w:rPr>
        <w:fldChar w:fldCharType="end"/>
      </w:r>
      <w:r>
        <w:rPr>
          <w:rFonts w:hint="default" w:ascii="Times New Roman" w:hAnsi="Times New Roman" w:cs="Times New Roman"/>
          <w:color w:val="auto"/>
          <w:highlight w:val="none"/>
        </w:rPr>
        <w:fldChar w:fldCharType="end"/>
      </w:r>
    </w:p>
    <w:p w14:paraId="08073580">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_Toc23643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附件4 </w:t>
      </w:r>
      <w:r>
        <w:rPr>
          <w:rFonts w:hint="default" w:ascii="Times New Roman" w:hAnsi="Times New Roman" w:cs="Times New Roman"/>
          <w:bCs/>
          <w:color w:val="auto"/>
          <w:szCs w:val="24"/>
          <w:highlight w:val="none"/>
          <w:lang w:val="en-US" w:eastAsia="zh-CN"/>
        </w:rPr>
        <w:t>备案证</w:t>
      </w:r>
      <w:r>
        <w:rPr>
          <w:color w:val="auto"/>
          <w:highlight w:val="none"/>
        </w:rPr>
        <w:tab/>
      </w:r>
      <w:r>
        <w:rPr>
          <w:color w:val="auto"/>
          <w:highlight w:val="none"/>
        </w:rPr>
        <w:fldChar w:fldCharType="begin"/>
      </w:r>
      <w:r>
        <w:rPr>
          <w:color w:val="auto"/>
          <w:highlight w:val="none"/>
        </w:rPr>
        <w:instrText xml:space="preserve"> PAGEREF _Toc23643 \h </w:instrText>
      </w:r>
      <w:r>
        <w:rPr>
          <w:color w:val="auto"/>
          <w:highlight w:val="none"/>
        </w:rPr>
        <w:fldChar w:fldCharType="separate"/>
      </w:r>
      <w:r>
        <w:rPr>
          <w:color w:val="auto"/>
          <w:highlight w:val="none"/>
        </w:rPr>
        <w:t>134</w:t>
      </w:r>
      <w:r>
        <w:rPr>
          <w:color w:val="auto"/>
          <w:highlight w:val="none"/>
        </w:rPr>
        <w:fldChar w:fldCharType="end"/>
      </w:r>
      <w:r>
        <w:rPr>
          <w:rFonts w:hint="default" w:ascii="Times New Roman" w:hAnsi="Times New Roman" w:cs="Times New Roman"/>
          <w:color w:val="auto"/>
          <w:highlight w:val="none"/>
        </w:rPr>
        <w:fldChar w:fldCharType="end"/>
      </w:r>
    </w:p>
    <w:p w14:paraId="72494F8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_Toc22646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附件5 </w:t>
      </w:r>
      <w:r>
        <w:rPr>
          <w:rFonts w:hint="default" w:ascii="Times New Roman" w:hAnsi="Times New Roman" w:cs="Times New Roman"/>
          <w:bCs/>
          <w:color w:val="auto"/>
          <w:szCs w:val="24"/>
          <w:highlight w:val="none"/>
          <w:lang w:val="en-US" w:eastAsia="zh-CN"/>
        </w:rPr>
        <w:t>环境质量现状监测报告（摘录部分）</w:t>
      </w:r>
      <w:r>
        <w:rPr>
          <w:color w:val="auto"/>
          <w:highlight w:val="none"/>
        </w:rPr>
        <w:tab/>
      </w:r>
      <w:r>
        <w:rPr>
          <w:color w:val="auto"/>
          <w:highlight w:val="none"/>
        </w:rPr>
        <w:fldChar w:fldCharType="begin"/>
      </w:r>
      <w:r>
        <w:rPr>
          <w:color w:val="auto"/>
          <w:highlight w:val="none"/>
        </w:rPr>
        <w:instrText xml:space="preserve"> PAGEREF _Toc22646 \h </w:instrText>
      </w:r>
      <w:r>
        <w:rPr>
          <w:color w:val="auto"/>
          <w:highlight w:val="none"/>
        </w:rPr>
        <w:fldChar w:fldCharType="separate"/>
      </w:r>
      <w:r>
        <w:rPr>
          <w:color w:val="auto"/>
          <w:highlight w:val="none"/>
        </w:rPr>
        <w:t>135</w:t>
      </w:r>
      <w:r>
        <w:rPr>
          <w:color w:val="auto"/>
          <w:highlight w:val="none"/>
        </w:rPr>
        <w:fldChar w:fldCharType="end"/>
      </w:r>
      <w:r>
        <w:rPr>
          <w:rFonts w:hint="default" w:ascii="Times New Roman" w:hAnsi="Times New Roman" w:cs="Times New Roman"/>
          <w:color w:val="auto"/>
          <w:highlight w:val="none"/>
        </w:rPr>
        <w:fldChar w:fldCharType="end"/>
      </w:r>
    </w:p>
    <w:p w14:paraId="41306BA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_Toc30494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附件6 </w:t>
      </w:r>
      <w:r>
        <w:rPr>
          <w:rFonts w:hint="eastAsia" w:cs="Times New Roman"/>
          <w:bCs/>
          <w:color w:val="auto"/>
          <w:szCs w:val="24"/>
          <w:highlight w:val="none"/>
          <w:lang w:val="en-US" w:eastAsia="zh-CN"/>
        </w:rPr>
        <w:t>原辅料MSDS及VOCs含量检测报告</w:t>
      </w:r>
      <w:r>
        <w:rPr>
          <w:color w:val="auto"/>
          <w:highlight w:val="none"/>
        </w:rPr>
        <w:tab/>
      </w:r>
      <w:r>
        <w:rPr>
          <w:color w:val="auto"/>
          <w:highlight w:val="none"/>
        </w:rPr>
        <w:fldChar w:fldCharType="begin"/>
      </w:r>
      <w:r>
        <w:rPr>
          <w:color w:val="auto"/>
          <w:highlight w:val="none"/>
        </w:rPr>
        <w:instrText xml:space="preserve"> PAGEREF _Toc30494 \h </w:instrText>
      </w:r>
      <w:r>
        <w:rPr>
          <w:color w:val="auto"/>
          <w:highlight w:val="none"/>
        </w:rPr>
        <w:fldChar w:fldCharType="separate"/>
      </w:r>
      <w:r>
        <w:rPr>
          <w:color w:val="auto"/>
          <w:highlight w:val="none"/>
        </w:rPr>
        <w:t>143</w:t>
      </w:r>
      <w:r>
        <w:rPr>
          <w:color w:val="auto"/>
          <w:highlight w:val="none"/>
        </w:rPr>
        <w:fldChar w:fldCharType="end"/>
      </w:r>
      <w:r>
        <w:rPr>
          <w:rFonts w:hint="default" w:ascii="Times New Roman" w:hAnsi="Times New Roman" w:cs="Times New Roman"/>
          <w:color w:val="auto"/>
          <w:highlight w:val="none"/>
        </w:rPr>
        <w:fldChar w:fldCharType="end"/>
      </w:r>
    </w:p>
    <w:p w14:paraId="21D0E6D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_Toc25646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附件7 </w:t>
      </w:r>
      <w:r>
        <w:rPr>
          <w:rFonts w:hint="eastAsia" w:cs="Times New Roman"/>
          <w:bCs/>
          <w:color w:val="auto"/>
          <w:szCs w:val="24"/>
          <w:highlight w:val="none"/>
          <w:lang w:val="en-US" w:eastAsia="zh-CN"/>
        </w:rPr>
        <w:t>韶关豪立再生资源利用有限公司验收检测报告</w:t>
      </w:r>
      <w:r>
        <w:rPr>
          <w:color w:val="auto"/>
          <w:highlight w:val="none"/>
        </w:rPr>
        <w:tab/>
      </w:r>
      <w:r>
        <w:rPr>
          <w:color w:val="auto"/>
          <w:highlight w:val="none"/>
        </w:rPr>
        <w:fldChar w:fldCharType="begin"/>
      </w:r>
      <w:r>
        <w:rPr>
          <w:color w:val="auto"/>
          <w:highlight w:val="none"/>
        </w:rPr>
        <w:instrText xml:space="preserve"> PAGEREF _Toc25646 \h </w:instrText>
      </w:r>
      <w:r>
        <w:rPr>
          <w:color w:val="auto"/>
          <w:highlight w:val="none"/>
        </w:rPr>
        <w:fldChar w:fldCharType="separate"/>
      </w:r>
      <w:r>
        <w:rPr>
          <w:color w:val="auto"/>
          <w:highlight w:val="none"/>
        </w:rPr>
        <w:t>205</w:t>
      </w:r>
      <w:r>
        <w:rPr>
          <w:color w:val="auto"/>
          <w:highlight w:val="none"/>
        </w:rPr>
        <w:fldChar w:fldCharType="end"/>
      </w:r>
      <w:r>
        <w:rPr>
          <w:rFonts w:hint="default" w:ascii="Times New Roman" w:hAnsi="Times New Roman" w:cs="Times New Roman"/>
          <w:color w:val="auto"/>
          <w:highlight w:val="none"/>
        </w:rPr>
        <w:fldChar w:fldCharType="end"/>
      </w:r>
    </w:p>
    <w:p w14:paraId="75DA3B0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_Toc31763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附件8 </w:t>
      </w:r>
      <w:r>
        <w:rPr>
          <w:rFonts w:hint="eastAsia"/>
          <w:bCs/>
          <w:color w:val="auto"/>
          <w:highlight w:val="none"/>
          <w:lang w:val="en-US" w:eastAsia="zh-CN"/>
        </w:rPr>
        <w:t>原环评批复</w:t>
      </w:r>
      <w:r>
        <w:rPr>
          <w:color w:val="auto"/>
          <w:highlight w:val="none"/>
        </w:rPr>
        <w:tab/>
      </w:r>
      <w:r>
        <w:rPr>
          <w:color w:val="auto"/>
          <w:highlight w:val="none"/>
        </w:rPr>
        <w:fldChar w:fldCharType="begin"/>
      </w:r>
      <w:r>
        <w:rPr>
          <w:color w:val="auto"/>
          <w:highlight w:val="none"/>
        </w:rPr>
        <w:instrText xml:space="preserve"> PAGEREF _Toc31763 \h </w:instrText>
      </w:r>
      <w:r>
        <w:rPr>
          <w:color w:val="auto"/>
          <w:highlight w:val="none"/>
        </w:rPr>
        <w:fldChar w:fldCharType="separate"/>
      </w:r>
      <w:r>
        <w:rPr>
          <w:color w:val="auto"/>
          <w:highlight w:val="none"/>
        </w:rPr>
        <w:t>221</w:t>
      </w:r>
      <w:r>
        <w:rPr>
          <w:color w:val="auto"/>
          <w:highlight w:val="none"/>
        </w:rPr>
        <w:fldChar w:fldCharType="end"/>
      </w:r>
      <w:r>
        <w:rPr>
          <w:rFonts w:hint="default" w:ascii="Times New Roman" w:hAnsi="Times New Roman" w:cs="Times New Roman"/>
          <w:color w:val="auto"/>
          <w:highlight w:val="none"/>
        </w:rPr>
        <w:fldChar w:fldCharType="end"/>
      </w:r>
    </w:p>
    <w:p w14:paraId="638F7C6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_Toc10387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附件9 </w:t>
      </w:r>
      <w:r>
        <w:rPr>
          <w:rFonts w:hint="eastAsia"/>
          <w:bCs/>
          <w:color w:val="auto"/>
          <w:highlight w:val="none"/>
          <w:lang w:val="en-US" w:eastAsia="zh-CN"/>
        </w:rPr>
        <w:t>总量指标来源说明</w:t>
      </w:r>
      <w:r>
        <w:rPr>
          <w:color w:val="auto"/>
          <w:highlight w:val="none"/>
        </w:rPr>
        <w:tab/>
      </w:r>
      <w:r>
        <w:rPr>
          <w:color w:val="auto"/>
          <w:highlight w:val="none"/>
        </w:rPr>
        <w:fldChar w:fldCharType="begin"/>
      </w:r>
      <w:r>
        <w:rPr>
          <w:color w:val="auto"/>
          <w:highlight w:val="none"/>
        </w:rPr>
        <w:instrText xml:space="preserve"> PAGEREF _Toc10387 \h </w:instrText>
      </w:r>
      <w:r>
        <w:rPr>
          <w:color w:val="auto"/>
          <w:highlight w:val="none"/>
        </w:rPr>
        <w:fldChar w:fldCharType="separate"/>
      </w:r>
      <w:r>
        <w:rPr>
          <w:color w:val="auto"/>
          <w:highlight w:val="none"/>
        </w:rPr>
        <w:t>225</w:t>
      </w:r>
      <w:r>
        <w:rPr>
          <w:color w:val="auto"/>
          <w:highlight w:val="none"/>
        </w:rPr>
        <w:fldChar w:fldCharType="end"/>
      </w:r>
      <w:r>
        <w:rPr>
          <w:rFonts w:hint="default" w:ascii="Times New Roman" w:hAnsi="Times New Roman" w:cs="Times New Roman"/>
          <w:color w:val="auto"/>
          <w:highlight w:val="none"/>
        </w:rPr>
        <w:fldChar w:fldCharType="end"/>
      </w:r>
    </w:p>
    <w:p w14:paraId="2CF5F986">
      <w:pPr>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p w14:paraId="3A7B9121">
      <w:pPr>
        <w:rPr>
          <w:rFonts w:hint="default" w:ascii="Times New Roman" w:hAnsi="Times New Roman" w:cs="Times New Roman"/>
          <w:color w:val="auto"/>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35C93D17">
      <w:pPr>
        <w:pStyle w:val="18"/>
        <w:numPr>
          <w:ilvl w:val="0"/>
          <w:numId w:val="0"/>
        </w:numPr>
        <w:jc w:val="left"/>
        <w:rPr>
          <w:rFonts w:hint="default" w:ascii="Times New Roman" w:hAnsi="Times New Roman" w:cs="Times New Roman"/>
          <w:color w:val="auto"/>
          <w:highlight w:val="none"/>
        </w:rPr>
      </w:pPr>
      <w:bookmarkStart w:id="0" w:name="_Toc14733"/>
      <w:bookmarkStart w:id="1" w:name="_Toc2620"/>
      <w:r>
        <w:rPr>
          <w:rFonts w:hint="default" w:ascii="Times New Roman" w:hAnsi="Times New Roman" w:cs="Times New Roman"/>
          <w:color w:val="auto"/>
          <w:highlight w:val="none"/>
        </w:rPr>
        <w:t>一、建设项目基本情况</w:t>
      </w:r>
      <w:bookmarkEnd w:id="0"/>
      <w:bookmarkEnd w:id="1"/>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5"/>
        <w:gridCol w:w="1809"/>
        <w:gridCol w:w="502"/>
        <w:gridCol w:w="1147"/>
        <w:gridCol w:w="967"/>
        <w:gridCol w:w="2162"/>
      </w:tblGrid>
      <w:tr w14:paraId="3636A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04C7DD7B">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3876" w:type="pct"/>
            <w:gridSpan w:val="5"/>
            <w:vAlign w:val="center"/>
          </w:tcPr>
          <w:p w14:paraId="2510DEFC">
            <w:pPr>
              <w:keepNext w:val="0"/>
              <w:keepLines w:val="0"/>
              <w:pageBreakBefore w:val="0"/>
              <w:kinsoku/>
              <w:overflowPunct/>
              <w:topLinePunct w:val="0"/>
              <w:bidi w:val="0"/>
              <w:adjustRightInd/>
              <w:snapToGrid/>
              <w:jc w:val="center"/>
              <w:outlineLvl w:val="9"/>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广东欣汇复合材料有限公司玻璃纤维复合新材料建设项目</w:t>
            </w:r>
            <w:r>
              <w:rPr>
                <w:rFonts w:hint="eastAsia" w:cs="Times New Roman"/>
                <w:color w:val="auto"/>
                <w:highlight w:val="none"/>
                <w:lang w:eastAsia="zh-CN"/>
              </w:rPr>
              <w:t>（</w:t>
            </w:r>
            <w:r>
              <w:rPr>
                <w:rFonts w:hint="eastAsia" w:cs="Times New Roman"/>
                <w:color w:val="auto"/>
                <w:highlight w:val="none"/>
                <w:lang w:val="en-US" w:eastAsia="zh-CN"/>
              </w:rPr>
              <w:t>重新报批</w:t>
            </w:r>
            <w:r>
              <w:rPr>
                <w:rFonts w:hint="eastAsia" w:cs="Times New Roman"/>
                <w:color w:val="auto"/>
                <w:highlight w:val="none"/>
                <w:lang w:eastAsia="zh-CN"/>
              </w:rPr>
              <w:t>）</w:t>
            </w:r>
          </w:p>
        </w:tc>
      </w:tr>
      <w:tr w14:paraId="0AEFF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416DFFF6">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3876" w:type="pct"/>
            <w:gridSpan w:val="5"/>
            <w:vAlign w:val="center"/>
          </w:tcPr>
          <w:p w14:paraId="0CB9257F">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2312-440281-04-01-956538</w:t>
            </w:r>
          </w:p>
        </w:tc>
      </w:tr>
      <w:tr w14:paraId="0B35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E075149">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361" w:type="pct"/>
            <w:gridSpan w:val="2"/>
            <w:vAlign w:val="center"/>
          </w:tcPr>
          <w:p w14:paraId="05D134E5">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史</w:t>
            </w:r>
          </w:p>
        </w:tc>
        <w:tc>
          <w:tcPr>
            <w:tcW w:w="1245" w:type="pct"/>
            <w:gridSpan w:val="2"/>
            <w:vAlign w:val="center"/>
          </w:tcPr>
          <w:p w14:paraId="6F37CB1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269" w:type="pct"/>
            <w:vAlign w:val="center"/>
          </w:tcPr>
          <w:p w14:paraId="05D47816">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p>
        </w:tc>
      </w:tr>
      <w:tr w14:paraId="138E3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7702B73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3876" w:type="pct"/>
            <w:gridSpan w:val="5"/>
            <w:vAlign w:val="center"/>
          </w:tcPr>
          <w:p w14:paraId="64D71773">
            <w:pPr>
              <w:keepNext w:val="0"/>
              <w:keepLines w:val="0"/>
              <w:pageBreakBefore w:val="0"/>
              <w:widowControl/>
              <w:kinsoku/>
              <w:overflowPunct/>
              <w:topLinePunct w:val="0"/>
              <w:bidi w:val="0"/>
              <w:adjustRightInd/>
              <w:snapToGrid/>
              <w:jc w:val="center"/>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韶关市乐昌市乐昌产业转移工业园建设路1号</w:t>
            </w:r>
          </w:p>
          <w:p w14:paraId="642EC223">
            <w:pPr>
              <w:keepNext w:val="0"/>
              <w:keepLines w:val="0"/>
              <w:pageBreakBefore w:val="0"/>
              <w:widowControl/>
              <w:kinsoku/>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（广东乐昌经济开发区）</w:t>
            </w:r>
          </w:p>
        </w:tc>
      </w:tr>
      <w:tr w14:paraId="7D5B3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329BA4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3876" w:type="pct"/>
            <w:gridSpan w:val="5"/>
            <w:vAlign w:val="center"/>
          </w:tcPr>
          <w:p w14:paraId="60A04C4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rPr>
              <w:t>113°25′0.534″，</w:t>
            </w:r>
            <w:r>
              <w:rPr>
                <w:rFonts w:hint="default" w:ascii="Times New Roman" w:hAnsi="Times New Roman" w:cs="Times New Roman"/>
                <w:color w:val="auto"/>
                <w:sz w:val="24"/>
                <w:szCs w:val="24"/>
                <w:highlight w:val="none"/>
                <w:lang w:val="en-US" w:eastAsia="zh-CN"/>
              </w:rPr>
              <w:t>N</w:t>
            </w:r>
            <w:r>
              <w:rPr>
                <w:rFonts w:hint="default" w:ascii="Times New Roman" w:hAnsi="Times New Roman" w:cs="Times New Roman"/>
                <w:color w:val="auto"/>
                <w:sz w:val="24"/>
                <w:szCs w:val="24"/>
                <w:highlight w:val="none"/>
              </w:rPr>
              <w:t>25°7′30.284″</w:t>
            </w:r>
          </w:p>
        </w:tc>
      </w:tr>
      <w:tr w14:paraId="6DF88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23" w:type="pct"/>
            <w:gridSpan w:val="2"/>
            <w:vAlign w:val="center"/>
          </w:tcPr>
          <w:p w14:paraId="005B502C">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27A0A1C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64" w:type="pct"/>
            <w:vAlign w:val="center"/>
          </w:tcPr>
          <w:p w14:paraId="7B827FA9">
            <w:pPr>
              <w:pStyle w:val="60"/>
              <w:keepNext w:val="0"/>
              <w:keepLines w:val="0"/>
              <w:pageBreakBefore w:val="0"/>
              <w:kinsoku/>
              <w:overflowPunct/>
              <w:topLinePunct w:val="0"/>
              <w:bidi w:val="0"/>
              <w:adjustRightInd/>
              <w:snapToGrid/>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C3062玻璃纤维增强塑料制品制造</w:t>
            </w:r>
            <w:r>
              <w:rPr>
                <w:rFonts w:hint="eastAsia" w:cs="Times New Roman"/>
                <w:color w:val="auto"/>
                <w:sz w:val="24"/>
                <w:szCs w:val="24"/>
                <w:highlight w:val="none"/>
                <w:lang w:val="en-US" w:eastAsia="zh-CN"/>
              </w:rPr>
              <w:t>、C3091石墨及碳素制品制造</w:t>
            </w:r>
          </w:p>
        </w:tc>
        <w:tc>
          <w:tcPr>
            <w:tcW w:w="972" w:type="pct"/>
            <w:gridSpan w:val="2"/>
            <w:vAlign w:val="center"/>
          </w:tcPr>
          <w:p w14:paraId="104D37FB">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1198466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39" w:type="pct"/>
            <w:gridSpan w:val="2"/>
            <w:vAlign w:val="center"/>
          </w:tcPr>
          <w:p w14:paraId="575C3393">
            <w:pPr>
              <w:pStyle w:val="60"/>
              <w:keepNext w:val="0"/>
              <w:keepLines w:val="0"/>
              <w:pageBreakBefore w:val="0"/>
              <w:kinsoku/>
              <w:overflowPunct/>
              <w:topLinePunct w:val="0"/>
              <w:bidi w:val="0"/>
              <w:adjustRightInd/>
              <w:snapToGrid/>
              <w:outlineLvl w:val="9"/>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二十七－非金属矿物制品业30－58、玻璃纤维和玻璃纤维增强塑料制品制造306</w:t>
            </w:r>
            <w:r>
              <w:rPr>
                <w:rFonts w:hint="eastAsia" w:cs="Times New Roman"/>
                <w:color w:val="auto"/>
                <w:sz w:val="24"/>
                <w:szCs w:val="24"/>
                <w:highlight w:val="none"/>
                <w:lang w:eastAsia="zh-CN"/>
              </w:rPr>
              <w:t>，</w:t>
            </w:r>
            <w:r>
              <w:rPr>
                <w:rFonts w:hint="eastAsia" w:cs="Times New Roman"/>
                <w:color w:val="auto"/>
                <w:kern w:val="2"/>
                <w:sz w:val="24"/>
                <w:szCs w:val="24"/>
                <w:highlight w:val="none"/>
                <w:lang w:val="en-US" w:eastAsia="zh-CN" w:bidi="ar-SA"/>
              </w:rPr>
              <w:t>60、石墨及其他非金属矿物制品制造309</w:t>
            </w:r>
          </w:p>
        </w:tc>
      </w:tr>
      <w:tr w14:paraId="558D7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23" w:type="pct"/>
            <w:gridSpan w:val="2"/>
            <w:vAlign w:val="center"/>
          </w:tcPr>
          <w:p w14:paraId="22C7D38F">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64" w:type="pct"/>
            <w:vAlign w:val="center"/>
          </w:tcPr>
          <w:p w14:paraId="534568E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62048EB2">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6F41A49A">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1DB278E">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6329497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1631A12E">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839" w:type="pct"/>
            <w:gridSpan w:val="2"/>
            <w:vAlign w:val="center"/>
          </w:tcPr>
          <w:p w14:paraId="36884F1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首次申报项目</w:t>
            </w:r>
          </w:p>
          <w:p w14:paraId="1125047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056786B3">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5EF4BEA">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重大变动重新报批项目</w:t>
            </w:r>
          </w:p>
        </w:tc>
      </w:tr>
      <w:tr w14:paraId="3FC3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23" w:type="pct"/>
            <w:gridSpan w:val="2"/>
            <w:vAlign w:val="center"/>
          </w:tcPr>
          <w:p w14:paraId="00FBB9AF">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64" w:type="pct"/>
            <w:vAlign w:val="center"/>
          </w:tcPr>
          <w:p w14:paraId="283C70AB">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972" w:type="pct"/>
            <w:gridSpan w:val="2"/>
            <w:vAlign w:val="center"/>
          </w:tcPr>
          <w:p w14:paraId="61025E61">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1839" w:type="pct"/>
            <w:gridSpan w:val="2"/>
            <w:vAlign w:val="center"/>
          </w:tcPr>
          <w:p w14:paraId="57A3FB14">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4BCAA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23" w:type="pct"/>
            <w:gridSpan w:val="2"/>
            <w:vAlign w:val="center"/>
          </w:tcPr>
          <w:p w14:paraId="0A4E5AF2">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64" w:type="pct"/>
            <w:vAlign w:val="center"/>
          </w:tcPr>
          <w:p w14:paraId="3760F6E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000</w:t>
            </w:r>
          </w:p>
        </w:tc>
        <w:tc>
          <w:tcPr>
            <w:tcW w:w="972" w:type="pct"/>
            <w:gridSpan w:val="2"/>
            <w:vAlign w:val="center"/>
          </w:tcPr>
          <w:p w14:paraId="60B5E3E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14:paraId="6AD28090">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1839" w:type="pct"/>
            <w:gridSpan w:val="2"/>
            <w:vAlign w:val="center"/>
          </w:tcPr>
          <w:p w14:paraId="79D5A0F0">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50</w:t>
            </w:r>
          </w:p>
        </w:tc>
      </w:tr>
      <w:tr w14:paraId="11B8F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23" w:type="pct"/>
            <w:gridSpan w:val="2"/>
            <w:vAlign w:val="center"/>
          </w:tcPr>
          <w:p w14:paraId="6B5C297A">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64" w:type="pct"/>
            <w:vAlign w:val="center"/>
          </w:tcPr>
          <w:p w14:paraId="15A58C3B">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0.5</w:t>
            </w:r>
            <w:r>
              <w:rPr>
                <w:rFonts w:hint="default" w:ascii="Times New Roman" w:hAnsi="Times New Roman" w:cs="Times New Roman"/>
                <w:color w:val="auto"/>
                <w:sz w:val="24"/>
                <w:szCs w:val="24"/>
                <w:highlight w:val="none"/>
                <w:lang w:val="en-US" w:eastAsia="zh-CN"/>
              </w:rPr>
              <w:t>0</w:t>
            </w:r>
          </w:p>
        </w:tc>
        <w:tc>
          <w:tcPr>
            <w:tcW w:w="972" w:type="pct"/>
            <w:gridSpan w:val="2"/>
            <w:vAlign w:val="center"/>
          </w:tcPr>
          <w:p w14:paraId="13223127">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839" w:type="pct"/>
            <w:gridSpan w:val="2"/>
            <w:vAlign w:val="center"/>
          </w:tcPr>
          <w:p w14:paraId="7D26129C">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27</w:t>
            </w:r>
            <w:r>
              <w:rPr>
                <w:rFonts w:hint="default" w:ascii="Times New Roman" w:hAnsi="Times New Roman" w:cs="Times New Roman"/>
                <w:color w:val="auto"/>
                <w:sz w:val="24"/>
                <w:szCs w:val="24"/>
                <w:highlight w:val="none"/>
                <w:lang w:eastAsia="zh-CN"/>
              </w:rPr>
              <w:t>个月</w:t>
            </w:r>
          </w:p>
        </w:tc>
      </w:tr>
      <w:tr w14:paraId="7B81D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23" w:type="pct"/>
            <w:gridSpan w:val="2"/>
            <w:vAlign w:val="center"/>
          </w:tcPr>
          <w:p w14:paraId="0AFBBBE5">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64" w:type="pct"/>
            <w:vAlign w:val="center"/>
          </w:tcPr>
          <w:p w14:paraId="483A14BF">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否</w:t>
            </w:r>
          </w:p>
          <w:p w14:paraId="136D1E2D">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是：</w:t>
            </w:r>
            <w:r>
              <w:rPr>
                <w:rFonts w:hint="eastAsia"/>
                <w:color w:val="auto"/>
                <w:highlight w:val="none"/>
              </w:rPr>
              <w:t>原项目建设过程中存在重大变动，需重新申报</w:t>
            </w:r>
          </w:p>
        </w:tc>
        <w:tc>
          <w:tcPr>
            <w:tcW w:w="972" w:type="pct"/>
            <w:gridSpan w:val="2"/>
            <w:vAlign w:val="center"/>
          </w:tcPr>
          <w:p w14:paraId="13080183">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1839" w:type="pct"/>
            <w:gridSpan w:val="2"/>
            <w:vAlign w:val="center"/>
          </w:tcPr>
          <w:p w14:paraId="203AA239">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29024.94</w:t>
            </w:r>
          </w:p>
        </w:tc>
      </w:tr>
      <w:tr w14:paraId="74495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23F1BB48">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专项评价设置情况</w:t>
            </w:r>
          </w:p>
        </w:tc>
        <w:tc>
          <w:tcPr>
            <w:tcW w:w="3876" w:type="pct"/>
            <w:gridSpan w:val="5"/>
            <w:vAlign w:val="center"/>
          </w:tcPr>
          <w:p w14:paraId="22569845">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lang w:val="en-US"/>
              </w:rPr>
            </w:pPr>
            <w:r>
              <w:rPr>
                <w:rFonts w:hint="eastAsia"/>
                <w:color w:val="auto"/>
                <w:sz w:val="24"/>
                <w:szCs w:val="24"/>
                <w:highlight w:val="none"/>
                <w:lang w:val="en-US" w:eastAsia="zh-CN"/>
              </w:rPr>
              <w:t>无</w:t>
            </w:r>
          </w:p>
        </w:tc>
      </w:tr>
      <w:tr w14:paraId="0325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23" w:type="pct"/>
            <w:gridSpan w:val="2"/>
            <w:vAlign w:val="center"/>
          </w:tcPr>
          <w:p w14:paraId="4256B736">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规划情况</w:t>
            </w:r>
          </w:p>
        </w:tc>
        <w:tc>
          <w:tcPr>
            <w:tcW w:w="3876" w:type="pct"/>
            <w:gridSpan w:val="5"/>
            <w:vAlign w:val="center"/>
          </w:tcPr>
          <w:p w14:paraId="6B32CCBC">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《乐昌产业转移工业园</w:t>
            </w:r>
            <w:r>
              <w:rPr>
                <w:rFonts w:hint="default" w:ascii="Times New Roman" w:hAnsi="Times New Roman" w:cs="Times New Roman"/>
                <w:color w:val="auto"/>
                <w:spacing w:val="-1"/>
                <w:sz w:val="24"/>
                <w:szCs w:val="24"/>
                <w:highlight w:val="none"/>
                <w:lang w:val="en-US" w:eastAsia="zh-CN"/>
              </w:rPr>
              <w:t>城东片区控制性详细规划修编（2023年）</w:t>
            </w:r>
            <w:r>
              <w:rPr>
                <w:rFonts w:hint="default" w:ascii="Times New Roman" w:hAnsi="Times New Roman" w:cs="Times New Roman"/>
                <w:color w:val="auto"/>
                <w:spacing w:val="-1"/>
                <w:sz w:val="24"/>
                <w:szCs w:val="24"/>
                <w:highlight w:val="none"/>
              </w:rPr>
              <w:t>》</w:t>
            </w:r>
          </w:p>
        </w:tc>
      </w:tr>
      <w:tr w14:paraId="6663A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7EABC43A">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规划环境影响评价情况</w:t>
            </w:r>
          </w:p>
        </w:tc>
        <w:tc>
          <w:tcPr>
            <w:tcW w:w="3876" w:type="pct"/>
            <w:gridSpan w:val="5"/>
            <w:vAlign w:val="center"/>
          </w:tcPr>
          <w:p w14:paraId="0C71996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《广东乐昌经济开发区区位调整规划环境影响报告书》，</w:t>
            </w:r>
            <w:r>
              <w:rPr>
                <w:rFonts w:hint="default" w:ascii="Times New Roman" w:hAnsi="Times New Roman" w:cs="Times New Roman"/>
                <w:color w:val="auto"/>
                <w:spacing w:val="-1"/>
                <w:sz w:val="24"/>
                <w:szCs w:val="24"/>
                <w:highlight w:val="none"/>
                <w:lang w:eastAsia="zh-CN"/>
              </w:rPr>
              <w:t>审查单位：</w:t>
            </w:r>
            <w:r>
              <w:rPr>
                <w:rFonts w:hint="default" w:ascii="Times New Roman" w:hAnsi="Times New Roman" w:cs="Times New Roman"/>
                <w:color w:val="auto"/>
                <w:spacing w:val="-1"/>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2016</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186号）</w:t>
            </w:r>
          </w:p>
        </w:tc>
      </w:tr>
      <w:tr w14:paraId="6AA55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23" w:type="pct"/>
            <w:gridSpan w:val="2"/>
            <w:vAlign w:val="center"/>
          </w:tcPr>
          <w:p w14:paraId="0DB984A1">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规划及规划环境影响评价符合性分析</w:t>
            </w:r>
          </w:p>
        </w:tc>
        <w:tc>
          <w:tcPr>
            <w:tcW w:w="3876" w:type="pct"/>
            <w:gridSpan w:val="5"/>
            <w:vAlign w:val="center"/>
          </w:tcPr>
          <w:p w14:paraId="48543C5B">
            <w:pPr>
              <w:keepNext w:val="0"/>
              <w:keepLines w:val="0"/>
              <w:pageBreakBefore w:val="0"/>
              <w:numPr>
                <w:ilvl w:val="0"/>
                <w:numId w:val="0"/>
              </w:numPr>
              <w:tabs>
                <w:tab w:val="left" w:pos="0"/>
              </w:tabs>
              <w:kinsoku/>
              <w:overflowPunct/>
              <w:topLinePunct w:val="0"/>
              <w:bidi w:val="0"/>
              <w:adjustRightInd/>
              <w:snapToGrid/>
              <w:spacing w:line="420" w:lineRule="exact"/>
              <w:ind w:firstLine="476" w:firstLineChars="200"/>
              <w:jc w:val="left"/>
              <w:outlineLvl w:val="9"/>
              <w:rPr>
                <w:rFonts w:hint="default" w:ascii="Times New Roman" w:hAnsi="Times New Roman" w:eastAsia="宋体" w:cs="Times New Roman"/>
                <w:color w:val="auto"/>
                <w:spacing w:val="-1"/>
                <w:sz w:val="24"/>
                <w:szCs w:val="24"/>
                <w:highlight w:val="none"/>
              </w:rPr>
            </w:pPr>
            <w:bookmarkStart w:id="2" w:name="_Toc9596"/>
            <w:bookmarkStart w:id="3" w:name="_Toc24148"/>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2"/>
            <w:bookmarkEnd w:id="3"/>
          </w:p>
          <w:p w14:paraId="20F9438F">
            <w:pPr>
              <w:pStyle w:val="60"/>
              <w:keepNext w:val="0"/>
              <w:keepLines w:val="0"/>
              <w:pageBreakBefore w:val="0"/>
              <w:kinsoku/>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tc>
      </w:tr>
      <w:tr w14:paraId="0104A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9" w:type="pct"/>
            <w:vAlign w:val="center"/>
          </w:tcPr>
          <w:p w14:paraId="44070655">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4" w:name="_Toc2999"/>
            <w:bookmarkStart w:id="5" w:name="_Toc22642"/>
            <w:bookmarkStart w:id="6" w:name="_Toc28749"/>
            <w:bookmarkStart w:id="7" w:name="_Toc11884"/>
            <w:bookmarkStart w:id="8" w:name="_Toc27052"/>
            <w:r>
              <w:rPr>
                <w:rFonts w:hint="default" w:ascii="Times New Roman" w:hAnsi="Times New Roman" w:cs="Times New Roman"/>
                <w:color w:val="auto"/>
                <w:highlight w:val="none"/>
              </w:rPr>
              <w:t>其他符合性分析</w:t>
            </w:r>
            <w:bookmarkEnd w:id="4"/>
            <w:bookmarkEnd w:id="5"/>
            <w:bookmarkEnd w:id="6"/>
            <w:bookmarkEnd w:id="7"/>
            <w:bookmarkEnd w:id="8"/>
          </w:p>
        </w:tc>
        <w:tc>
          <w:tcPr>
            <w:tcW w:w="4750" w:type="pct"/>
            <w:gridSpan w:val="6"/>
            <w:vAlign w:val="center"/>
          </w:tcPr>
          <w:p w14:paraId="70F174EF">
            <w:pPr>
              <w:keepNext/>
              <w:keepLines/>
              <w:tabs>
                <w:tab w:val="left" w:pos="0"/>
              </w:tabs>
              <w:ind w:left="-2" w:firstLine="480" w:firstLineChars="200"/>
              <w:outlineLvl w:val="2"/>
              <w:rPr>
                <w:b/>
                <w:bCs/>
                <w:color w:val="auto"/>
                <w:highlight w:val="none"/>
              </w:rPr>
            </w:pPr>
            <w:r>
              <w:rPr>
                <w:b/>
                <w:bCs/>
                <w:color w:val="auto"/>
                <w:highlight w:val="none"/>
              </w:rPr>
              <w:t xml:space="preserve">一、产业政策相符性分析 </w:t>
            </w:r>
          </w:p>
          <w:p w14:paraId="5EDB9997">
            <w:pPr>
              <w:keepNext/>
              <w:keepLines/>
              <w:tabs>
                <w:tab w:val="left" w:pos="0"/>
              </w:tabs>
              <w:ind w:firstLine="480" w:firstLineChars="200"/>
              <w:outlineLvl w:val="2"/>
              <w:rPr>
                <w:color w:val="auto"/>
                <w:highlight w:val="none"/>
              </w:rPr>
            </w:pPr>
            <w:r>
              <w:rPr>
                <w:color w:val="auto"/>
                <w:highlight w:val="none"/>
              </w:rPr>
              <w:t>本项目所属行业类别为</w:t>
            </w:r>
            <w:r>
              <w:rPr>
                <w:rFonts w:hint="eastAsia"/>
                <w:color w:val="auto"/>
                <w:highlight w:val="none"/>
              </w:rPr>
              <w:t>C3062玻璃纤维增强塑料制品制造</w:t>
            </w:r>
            <w:r>
              <w:rPr>
                <w:rFonts w:hint="eastAsia"/>
                <w:color w:val="auto"/>
                <w:highlight w:val="none"/>
                <w:lang w:eastAsia="zh-CN"/>
              </w:rPr>
              <w:t>、</w:t>
            </w:r>
            <w:r>
              <w:rPr>
                <w:rFonts w:hint="eastAsia"/>
                <w:color w:val="auto"/>
                <w:highlight w:val="none"/>
                <w:lang w:val="en-US" w:eastAsia="zh-CN"/>
              </w:rPr>
              <w:t>C</w:t>
            </w:r>
            <w:r>
              <w:rPr>
                <w:rFonts w:hint="eastAsia"/>
                <w:color w:val="auto"/>
                <w:highlight w:val="none"/>
              </w:rPr>
              <w:t>3091石墨及碳素制品制造，根据《产业结构调整指导目录（2024年本）》（国家发展和改革委员会令 第7号），本项目不属于指导目录中的鼓励类、限制类和淘汰类产业，符合国家有关法律、法规和政策规定，属于允许类。</w:t>
            </w:r>
          </w:p>
          <w:p w14:paraId="08D3208E">
            <w:pPr>
              <w:pStyle w:val="25"/>
              <w:ind w:firstLine="480" w:firstLineChars="200"/>
              <w:rPr>
                <w:color w:val="auto"/>
                <w:highlight w:val="none"/>
              </w:rPr>
            </w:pPr>
            <w:r>
              <w:rPr>
                <w:rFonts w:hint="eastAsia" w:ascii="宋体" w:hAnsi="宋体" w:cs="宋体"/>
                <w:color w:val="auto"/>
                <w:kern w:val="0"/>
                <w:highlight w:val="none"/>
              </w:rPr>
              <w:t>根据《国家发展改革委商务部关于印发</w:t>
            </w:r>
            <w:r>
              <w:rPr>
                <w:rFonts w:hint="default" w:ascii="Times New Roman" w:hAnsi="Times New Roman" w:cs="Times New Roman"/>
                <w:color w:val="auto"/>
                <w:kern w:val="0"/>
                <w:highlight w:val="none"/>
              </w:rPr>
              <w:t>&lt;市场准入负面清单（202</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年版）&gt;的通知》（发改体改规〔2025〕466号）</w:t>
            </w:r>
            <w:r>
              <w:rPr>
                <w:rFonts w:hint="eastAsia" w:ascii="宋体" w:hAnsi="宋体" w:cs="宋体"/>
                <w:color w:val="auto"/>
                <w:kern w:val="0"/>
                <w:highlight w:val="none"/>
                <w:lang w:eastAsia="zh-CN"/>
              </w:rPr>
              <w:t>、</w:t>
            </w:r>
            <w:r>
              <w:rPr>
                <w:rFonts w:hint="eastAsia" w:ascii="宋体" w:hAnsi="宋体" w:cs="宋体"/>
                <w:color w:val="auto"/>
                <w:kern w:val="0"/>
                <w:highlight w:val="none"/>
              </w:rPr>
              <w:t>《广东省国家重点生态功能区产业准入负面清单（试行）》（粤发改规划（</w:t>
            </w:r>
            <w:r>
              <w:rPr>
                <w:color w:val="auto"/>
                <w:kern w:val="0"/>
                <w:highlight w:val="none"/>
              </w:rPr>
              <w:t>2017</w:t>
            </w:r>
            <w:r>
              <w:rPr>
                <w:rFonts w:hint="eastAsia" w:ascii="宋体" w:hAnsi="宋体" w:cs="宋体"/>
                <w:color w:val="auto"/>
                <w:kern w:val="0"/>
                <w:highlight w:val="none"/>
              </w:rPr>
              <w:t>）</w:t>
            </w:r>
            <w:r>
              <w:rPr>
                <w:color w:val="auto"/>
                <w:kern w:val="0"/>
                <w:highlight w:val="none"/>
              </w:rPr>
              <w:t>331</w:t>
            </w:r>
            <w:r>
              <w:rPr>
                <w:rFonts w:hint="eastAsia" w:ascii="宋体" w:hAnsi="宋体" w:cs="宋体"/>
                <w:color w:val="auto"/>
                <w:kern w:val="0"/>
                <w:highlight w:val="none"/>
              </w:rPr>
              <w:t>号），</w:t>
            </w:r>
            <w:r>
              <w:rPr>
                <w:rFonts w:hint="eastAsia" w:ascii="宋体" w:hAnsi="宋体" w:cs="宋体"/>
                <w:color w:val="auto"/>
                <w:kern w:val="0"/>
                <w:highlight w:val="none"/>
                <w:lang w:eastAsia="zh-CN"/>
              </w:rPr>
              <w:t>项目</w:t>
            </w:r>
            <w:r>
              <w:rPr>
                <w:rFonts w:hint="eastAsia" w:ascii="宋体" w:hAnsi="宋体" w:cs="宋体"/>
                <w:color w:val="auto"/>
                <w:kern w:val="0"/>
                <w:highlight w:val="none"/>
              </w:rPr>
              <w:t>不属于</w:t>
            </w:r>
            <w:r>
              <w:rPr>
                <w:rFonts w:hint="eastAsia"/>
                <w:color w:val="auto"/>
                <w:highlight w:val="none"/>
                <w:lang w:val="en-US" w:eastAsia="zh-CN"/>
              </w:rPr>
              <w:t>负面清单所列行业，也不属于许可准入事项</w:t>
            </w:r>
            <w:r>
              <w:rPr>
                <w:rFonts w:hint="eastAsia" w:ascii="宋体" w:hAnsi="宋体" w:cs="宋体"/>
                <w:color w:val="auto"/>
                <w:kern w:val="0"/>
                <w:highlight w:val="none"/>
              </w:rPr>
              <w:t>。因此，本项目可依法进行建设和投产。</w:t>
            </w:r>
          </w:p>
          <w:p w14:paraId="722AA7D1">
            <w:pPr>
              <w:adjustRightInd w:val="0"/>
              <w:snapToGrid w:val="0"/>
              <w:ind w:firstLine="480" w:firstLineChars="200"/>
              <w:jc w:val="left"/>
              <w:rPr>
                <w:b/>
                <w:bCs/>
                <w:color w:val="auto"/>
                <w:kern w:val="0"/>
                <w:highlight w:val="none"/>
              </w:rPr>
            </w:pPr>
            <w:r>
              <w:rPr>
                <w:rFonts w:hint="eastAsia"/>
                <w:b/>
                <w:bCs/>
                <w:color w:val="auto"/>
                <w:kern w:val="0"/>
                <w:highlight w:val="none"/>
              </w:rPr>
              <w:t>二</w:t>
            </w:r>
            <w:r>
              <w:rPr>
                <w:b/>
                <w:bCs/>
                <w:color w:val="auto"/>
                <w:kern w:val="0"/>
                <w:highlight w:val="none"/>
              </w:rPr>
              <w:t>、与环境功能区划相符性分析</w:t>
            </w:r>
          </w:p>
          <w:p w14:paraId="2E49A602">
            <w:pPr>
              <w:pStyle w:val="25"/>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kern w:val="0"/>
                <w:highlight w:val="none"/>
              </w:rPr>
            </w:pPr>
            <w:r>
              <w:rPr>
                <w:color w:val="auto"/>
                <w:kern w:val="0"/>
                <w:highlight w:val="none"/>
              </w:rPr>
              <w:t>（1）根据《广东省人民政府关于印发</w:t>
            </w:r>
            <w:r>
              <w:rPr>
                <w:rFonts w:hint="eastAsia"/>
                <w:color w:val="auto"/>
                <w:kern w:val="0"/>
                <w:highlight w:val="none"/>
                <w:lang w:val="en-US" w:eastAsia="zh-CN"/>
              </w:rPr>
              <w:t>&lt;</w:t>
            </w:r>
            <w:r>
              <w:rPr>
                <w:color w:val="auto"/>
                <w:kern w:val="0"/>
                <w:highlight w:val="none"/>
              </w:rPr>
              <w:t>部分市乡镇集中式饮用水源保护区划分方案</w:t>
            </w:r>
            <w:r>
              <w:rPr>
                <w:rFonts w:hint="eastAsia"/>
                <w:color w:val="auto"/>
                <w:kern w:val="0"/>
                <w:highlight w:val="none"/>
                <w:lang w:val="en-US" w:eastAsia="zh-CN"/>
              </w:rPr>
              <w:t>&gt;</w:t>
            </w:r>
            <w:r>
              <w:rPr>
                <w:color w:val="auto"/>
                <w:kern w:val="0"/>
                <w:highlight w:val="none"/>
              </w:rPr>
              <w:t>的通知》（粤府函〔2015〕17号）</w:t>
            </w:r>
            <w:r>
              <w:rPr>
                <w:rFonts w:hint="eastAsia"/>
                <w:color w:val="auto"/>
                <w:kern w:val="0"/>
                <w:highlight w:val="none"/>
                <w:lang w:eastAsia="zh-CN"/>
              </w:rPr>
              <w:t>、</w:t>
            </w:r>
            <w:r>
              <w:rPr>
                <w:color w:val="auto"/>
                <w:kern w:val="0"/>
                <w:highlight w:val="none"/>
              </w:rPr>
              <w:t>《广东省人民政府关于调整韶关市部分饮用水水源保护区的批复》（粤府函〔2018〕427号）</w:t>
            </w:r>
            <w:r>
              <w:rPr>
                <w:rFonts w:hint="default" w:ascii="Times New Roman" w:hAnsi="Times New Roman" w:cs="Times New Roman"/>
                <w:color w:val="auto"/>
                <w:kern w:val="0"/>
                <w:highlight w:val="none"/>
              </w:rPr>
              <w:t>及《广东省人民政府关于韶关市部分饮用水水源保护区调整方案的批复》（粤府函〔2024〕31号）</w:t>
            </w:r>
            <w:r>
              <w:rPr>
                <w:color w:val="auto"/>
                <w:kern w:val="0"/>
                <w:highlight w:val="none"/>
              </w:rPr>
              <w:t>，项目所在地不属于韶关市一、二级水源保护区，符合</w:t>
            </w:r>
            <w:r>
              <w:rPr>
                <w:rFonts w:hint="default"/>
                <w:color w:val="auto"/>
                <w:highlight w:val="none"/>
              </w:rPr>
              <w:t>水污染防治条例</w:t>
            </w:r>
            <w:r>
              <w:rPr>
                <w:color w:val="auto"/>
                <w:kern w:val="0"/>
                <w:highlight w:val="none"/>
              </w:rPr>
              <w:t>的有关要求</w:t>
            </w:r>
            <w:r>
              <w:rPr>
                <w:rFonts w:hint="eastAsia"/>
                <w:color w:val="auto"/>
                <w:kern w:val="0"/>
                <w:highlight w:val="none"/>
                <w:lang w:eastAsia="zh-CN"/>
              </w:rPr>
              <w:t>（</w:t>
            </w:r>
            <w:r>
              <w:rPr>
                <w:rFonts w:hint="eastAsia"/>
                <w:color w:val="auto"/>
                <w:kern w:val="0"/>
                <w:highlight w:val="none"/>
                <w:lang w:val="en-US" w:eastAsia="zh-CN"/>
              </w:rPr>
              <w:t>详见附图8</w:t>
            </w:r>
            <w:r>
              <w:rPr>
                <w:rFonts w:hint="eastAsia"/>
                <w:color w:val="auto"/>
                <w:kern w:val="0"/>
                <w:highlight w:val="none"/>
                <w:lang w:eastAsia="zh-CN"/>
              </w:rPr>
              <w:t>）</w:t>
            </w:r>
            <w:r>
              <w:rPr>
                <w:color w:val="auto"/>
                <w:kern w:val="0"/>
                <w:highlight w:val="none"/>
              </w:rPr>
              <w:t>。</w:t>
            </w:r>
          </w:p>
          <w:p w14:paraId="0EBF2731">
            <w:pPr>
              <w:widowControl/>
              <w:ind w:firstLine="480" w:firstLineChars="200"/>
              <w:jc w:val="left"/>
              <w:rPr>
                <w:color w:val="auto"/>
                <w:kern w:val="0"/>
                <w:highlight w:val="none"/>
              </w:rPr>
            </w:pPr>
            <w:r>
              <w:rPr>
                <w:color w:val="auto"/>
                <w:kern w:val="0"/>
                <w:highlight w:val="none"/>
              </w:rPr>
              <w:t>（2）根据《乐昌市人民政府办公室关于印发</w:t>
            </w:r>
            <w:r>
              <w:rPr>
                <w:rFonts w:hint="eastAsia"/>
                <w:color w:val="auto"/>
                <w:kern w:val="0"/>
                <w:highlight w:val="none"/>
                <w:lang w:val="en-US" w:eastAsia="zh-CN"/>
              </w:rPr>
              <w:t>&lt;</w:t>
            </w:r>
            <w:r>
              <w:rPr>
                <w:color w:val="auto"/>
                <w:kern w:val="0"/>
                <w:highlight w:val="none"/>
              </w:rPr>
              <w:t>乐昌市生态环境保护“十四五”规划</w:t>
            </w:r>
            <w:r>
              <w:rPr>
                <w:rFonts w:hint="eastAsia"/>
                <w:color w:val="auto"/>
                <w:kern w:val="0"/>
                <w:highlight w:val="none"/>
                <w:lang w:val="en-US" w:eastAsia="zh-CN"/>
              </w:rPr>
              <w:t>&gt;</w:t>
            </w:r>
            <w:r>
              <w:rPr>
                <w:color w:val="auto"/>
                <w:kern w:val="0"/>
                <w:highlight w:val="none"/>
              </w:rPr>
              <w:t>的通知》（乐府办〔2022〕16号）中《乐昌市“十四五”生态环境保护规划大气环境功能区划图》，项目所在区域为环境空气质量二类功能区</w:t>
            </w:r>
            <w:r>
              <w:rPr>
                <w:rFonts w:hint="eastAsia"/>
                <w:color w:val="auto"/>
                <w:kern w:val="0"/>
                <w:highlight w:val="none"/>
              </w:rPr>
              <w:t>（详见附图</w:t>
            </w:r>
            <w:r>
              <w:rPr>
                <w:rFonts w:hint="eastAsia"/>
                <w:color w:val="auto"/>
                <w:kern w:val="0"/>
                <w:highlight w:val="none"/>
                <w:lang w:val="en-US" w:eastAsia="zh-CN"/>
              </w:rPr>
              <w:t>9</w:t>
            </w:r>
            <w:r>
              <w:rPr>
                <w:rFonts w:hint="eastAsia"/>
                <w:color w:val="auto"/>
                <w:kern w:val="0"/>
                <w:highlight w:val="none"/>
              </w:rPr>
              <w:t>）</w:t>
            </w:r>
            <w:r>
              <w:rPr>
                <w:color w:val="auto"/>
                <w:kern w:val="0"/>
                <w:highlight w:val="none"/>
              </w:rPr>
              <w:t>，</w:t>
            </w:r>
            <w:r>
              <w:rPr>
                <w:rFonts w:hint="eastAsia" w:ascii="宋体" w:hAnsi="宋体" w:cs="宋体"/>
                <w:color w:val="auto"/>
                <w:kern w:val="0"/>
                <w:highlight w:val="none"/>
              </w:rPr>
              <w:t>不属于环境空气质量一类功能区中的自然保护区风景名胜区和</w:t>
            </w:r>
            <w:r>
              <w:rPr>
                <w:rFonts w:hint="eastAsia" w:ascii="宋体" w:hAnsi="宋体" w:cs="宋体"/>
                <w:color w:val="auto"/>
                <w:kern w:val="0"/>
                <w:highlight w:val="none"/>
                <w:lang w:eastAsia="zh-CN"/>
              </w:rPr>
              <w:t>其他需要</w:t>
            </w:r>
            <w:r>
              <w:rPr>
                <w:rFonts w:hint="eastAsia" w:ascii="宋体" w:hAnsi="宋体" w:cs="宋体"/>
                <w:color w:val="auto"/>
                <w:kern w:val="0"/>
                <w:highlight w:val="none"/>
              </w:rPr>
              <w:t>特殊保护的区域</w:t>
            </w:r>
            <w:r>
              <w:rPr>
                <w:color w:val="auto"/>
                <w:kern w:val="0"/>
                <w:highlight w:val="none"/>
              </w:rPr>
              <w:t>。</w:t>
            </w:r>
          </w:p>
          <w:p w14:paraId="75C5C526">
            <w:pPr>
              <w:adjustRightInd w:val="0"/>
              <w:snapToGrid w:val="0"/>
              <w:ind w:firstLine="480" w:firstLineChars="200"/>
              <w:jc w:val="left"/>
              <w:rPr>
                <w:color w:val="auto"/>
                <w:kern w:val="0"/>
                <w:highlight w:val="none"/>
              </w:rPr>
            </w:pPr>
            <w:r>
              <w:rPr>
                <w:color w:val="auto"/>
                <w:kern w:val="0"/>
                <w:highlight w:val="none"/>
              </w:rPr>
              <w:t>（3）根据</w:t>
            </w:r>
            <w:r>
              <w:rPr>
                <w:rFonts w:hint="eastAsia"/>
                <w:color w:val="auto"/>
                <w:kern w:val="0"/>
                <w:highlight w:val="none"/>
                <w:lang w:val="en-US" w:eastAsia="zh-CN"/>
              </w:rPr>
              <w:t>《关于印发（乐昌市声环境功能区划方案（2025年修订版）的通知》（乐府（2025）57号）</w:t>
            </w:r>
            <w:r>
              <w:rPr>
                <w:color w:val="auto"/>
                <w:kern w:val="0"/>
                <w:highlight w:val="none"/>
              </w:rPr>
              <w:t>，项目所在地</w:t>
            </w:r>
            <w:r>
              <w:rPr>
                <w:rFonts w:hint="eastAsia"/>
                <w:color w:val="auto"/>
                <w:kern w:val="0"/>
                <w:highlight w:val="none"/>
                <w:lang w:val="en-US" w:eastAsia="zh-CN"/>
              </w:rPr>
              <w:t>土地用途</w:t>
            </w:r>
            <w:r>
              <w:rPr>
                <w:rFonts w:hint="eastAsia"/>
                <w:color w:val="auto"/>
                <w:kern w:val="0"/>
                <w:highlight w:val="none"/>
              </w:rPr>
              <w:t>为</w:t>
            </w:r>
            <w:r>
              <w:rPr>
                <w:color w:val="auto"/>
                <w:kern w:val="0"/>
                <w:highlight w:val="none"/>
              </w:rPr>
              <w:t>工业用地，项目所在区域为声环境3类区，不属于声环境1类区</w:t>
            </w:r>
            <w:r>
              <w:rPr>
                <w:rFonts w:hint="eastAsia"/>
                <w:color w:val="auto"/>
                <w:kern w:val="0"/>
                <w:highlight w:val="none"/>
                <w:lang w:eastAsia="zh-CN"/>
              </w:rPr>
              <w:t>（</w:t>
            </w:r>
            <w:r>
              <w:rPr>
                <w:rFonts w:hint="eastAsia"/>
                <w:color w:val="auto"/>
                <w:kern w:val="0"/>
                <w:highlight w:val="none"/>
                <w:lang w:val="en-US" w:eastAsia="zh-CN"/>
              </w:rPr>
              <w:t>详见附图10）</w:t>
            </w:r>
            <w:r>
              <w:rPr>
                <w:color w:val="auto"/>
                <w:kern w:val="0"/>
                <w:highlight w:val="none"/>
              </w:rPr>
              <w:t>。</w:t>
            </w:r>
          </w:p>
          <w:p w14:paraId="0B5017AF">
            <w:pPr>
              <w:adjustRightInd w:val="0"/>
              <w:snapToGrid w:val="0"/>
              <w:ind w:firstLine="480" w:firstLineChars="200"/>
              <w:jc w:val="left"/>
              <w:rPr>
                <w:b/>
                <w:bCs/>
                <w:color w:val="auto"/>
                <w:kern w:val="0"/>
                <w:highlight w:val="none"/>
              </w:rPr>
            </w:pPr>
            <w:r>
              <w:rPr>
                <w:rFonts w:hint="eastAsia"/>
                <w:b/>
                <w:bCs/>
                <w:color w:val="auto"/>
                <w:kern w:val="0"/>
                <w:highlight w:val="none"/>
              </w:rPr>
              <w:t>三</w:t>
            </w:r>
            <w:r>
              <w:rPr>
                <w:b/>
                <w:bCs/>
                <w:color w:val="auto"/>
                <w:kern w:val="0"/>
                <w:highlight w:val="none"/>
              </w:rPr>
              <w:t>、与城市规划相符性分析</w:t>
            </w:r>
          </w:p>
          <w:p w14:paraId="5E6B54F7">
            <w:pPr>
              <w:adjustRightInd w:val="0"/>
              <w:snapToGrid w:val="0"/>
              <w:ind w:firstLine="480" w:firstLineChars="200"/>
              <w:rPr>
                <w:color w:val="auto"/>
                <w:highlight w:val="none"/>
              </w:rPr>
            </w:pPr>
            <w:r>
              <w:rPr>
                <w:color w:val="auto"/>
                <w:kern w:val="0"/>
                <w:highlight w:val="none"/>
              </w:rPr>
              <w:t>项目位于</w:t>
            </w:r>
            <w:r>
              <w:rPr>
                <w:rFonts w:hint="eastAsia"/>
                <w:color w:val="auto"/>
                <w:kern w:val="0"/>
                <w:highlight w:val="none"/>
              </w:rPr>
              <w:t>韶关市乐昌市乐昌产业转移工业园</w:t>
            </w:r>
            <w:r>
              <w:rPr>
                <w:rFonts w:hint="eastAsia"/>
                <w:color w:val="auto"/>
                <w:kern w:val="0"/>
                <w:highlight w:val="none"/>
                <w:lang w:val="en-US" w:eastAsia="zh-CN"/>
              </w:rPr>
              <w:t>建设路1</w:t>
            </w:r>
            <w:r>
              <w:rPr>
                <w:rFonts w:hint="eastAsia"/>
                <w:color w:val="auto"/>
                <w:kern w:val="0"/>
                <w:highlight w:val="none"/>
              </w:rPr>
              <w:t>号（广东乐昌经济开发区）</w:t>
            </w:r>
            <w:r>
              <w:rPr>
                <w:color w:val="auto"/>
                <w:kern w:val="0"/>
                <w:highlight w:val="none"/>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9" w:name="_Toc459880767"/>
          </w:p>
          <w:bookmarkEnd w:id="9"/>
          <w:p w14:paraId="7ACE3F59">
            <w:pPr>
              <w:keepNext/>
              <w:keepLines/>
              <w:tabs>
                <w:tab w:val="left" w:pos="0"/>
              </w:tabs>
              <w:ind w:left="-2" w:firstLine="480" w:firstLineChars="200"/>
              <w:outlineLvl w:val="2"/>
              <w:rPr>
                <w:b/>
                <w:bCs/>
                <w:color w:val="auto"/>
                <w:highlight w:val="none"/>
              </w:rPr>
            </w:pPr>
            <w:r>
              <w:rPr>
                <w:rFonts w:hint="eastAsia"/>
                <w:b/>
                <w:bCs/>
                <w:color w:val="auto"/>
                <w:highlight w:val="none"/>
              </w:rPr>
              <w:t>四</w:t>
            </w:r>
            <w:r>
              <w:rPr>
                <w:b/>
                <w:bCs/>
                <w:color w:val="auto"/>
                <w:highlight w:val="none"/>
              </w:rPr>
              <w:t>、与</w:t>
            </w:r>
            <w:r>
              <w:rPr>
                <w:rFonts w:hint="eastAsia"/>
                <w:b/>
                <w:bCs/>
                <w:color w:val="auto"/>
                <w:highlight w:val="none"/>
              </w:rPr>
              <w:t>《</w:t>
            </w:r>
            <w:r>
              <w:rPr>
                <w:b/>
                <w:bCs/>
                <w:color w:val="auto"/>
                <w:szCs w:val="28"/>
                <w:highlight w:val="none"/>
              </w:rPr>
              <w:t>工业和信息化部发布</w:t>
            </w:r>
            <w:r>
              <w:rPr>
                <w:rFonts w:hint="eastAsia"/>
                <w:b/>
                <w:bCs/>
                <w:color w:val="auto"/>
                <w:szCs w:val="28"/>
                <w:highlight w:val="none"/>
              </w:rPr>
              <w:t>&lt;</w:t>
            </w:r>
            <w:r>
              <w:rPr>
                <w:b/>
                <w:bCs/>
                <w:color w:val="auto"/>
                <w:szCs w:val="28"/>
                <w:highlight w:val="none"/>
              </w:rPr>
              <w:t>限期淘汰产生严重污染环境的工业固体废物的落后生产工艺设备名录</w:t>
            </w:r>
            <w:r>
              <w:rPr>
                <w:rFonts w:hint="eastAsia"/>
                <w:b/>
                <w:bCs/>
                <w:color w:val="auto"/>
                <w:szCs w:val="28"/>
                <w:highlight w:val="none"/>
              </w:rPr>
              <w:t>&gt;</w:t>
            </w:r>
            <w:r>
              <w:rPr>
                <w:b/>
                <w:bCs/>
                <w:color w:val="auto"/>
                <w:szCs w:val="28"/>
                <w:highlight w:val="none"/>
              </w:rPr>
              <w:t>公告</w:t>
            </w:r>
            <w:r>
              <w:rPr>
                <w:rFonts w:hint="eastAsia"/>
                <w:b/>
                <w:bCs/>
                <w:color w:val="auto"/>
                <w:szCs w:val="28"/>
                <w:highlight w:val="none"/>
              </w:rPr>
              <w:t>》（</w:t>
            </w:r>
            <w:r>
              <w:rPr>
                <w:b/>
                <w:bCs/>
                <w:color w:val="auto"/>
                <w:szCs w:val="28"/>
                <w:highlight w:val="none"/>
              </w:rPr>
              <w:t>中华人民共和国工业和信息化部公告 2021年第25号</w:t>
            </w:r>
            <w:r>
              <w:rPr>
                <w:rFonts w:hint="eastAsia"/>
                <w:b/>
                <w:bCs/>
                <w:color w:val="auto"/>
                <w:szCs w:val="28"/>
                <w:highlight w:val="none"/>
              </w:rPr>
              <w:t>）</w:t>
            </w:r>
            <w:r>
              <w:rPr>
                <w:b/>
                <w:bCs/>
                <w:color w:val="auto"/>
                <w:szCs w:val="28"/>
                <w:highlight w:val="none"/>
              </w:rPr>
              <w:t>相符性分析</w:t>
            </w:r>
          </w:p>
          <w:p w14:paraId="1E8A812F">
            <w:pPr>
              <w:pStyle w:val="2"/>
              <w:ind w:firstLine="480" w:firstLineChars="200"/>
              <w:rPr>
                <w:rFonts w:ascii="Times New Roman" w:cs="Times New Roman"/>
                <w:color w:val="auto"/>
                <w:highlight w:val="none"/>
              </w:rPr>
            </w:pPr>
            <w:r>
              <w:rPr>
                <w:rFonts w:ascii="Times New Roman" w:cs="Times New Roman"/>
                <w:color w:val="auto"/>
                <w:szCs w:val="28"/>
                <w:highlight w:val="none"/>
              </w:rPr>
              <w:t>本项目所用生产工艺及设备不属于《限期淘汰产生严重污染环境的工业固体废物的落后生产工艺设备名录》中限期淘汰的落后生产工艺设备，故与</w:t>
            </w:r>
            <w:r>
              <w:rPr>
                <w:rFonts w:hint="eastAsia" w:ascii="Times New Roman" w:cs="Times New Roman"/>
                <w:color w:val="auto"/>
                <w:szCs w:val="28"/>
                <w:highlight w:val="none"/>
              </w:rPr>
              <w:t>《</w:t>
            </w:r>
            <w:r>
              <w:rPr>
                <w:rFonts w:ascii="Times New Roman" w:cs="Times New Roman"/>
                <w:color w:val="auto"/>
                <w:szCs w:val="28"/>
                <w:highlight w:val="none"/>
              </w:rPr>
              <w:t>工业和信息化部发布</w:t>
            </w:r>
            <w:r>
              <w:rPr>
                <w:rFonts w:hint="eastAsia" w:ascii="Times New Roman" w:cs="Times New Roman"/>
                <w:color w:val="auto"/>
                <w:szCs w:val="28"/>
                <w:highlight w:val="none"/>
              </w:rPr>
              <w:t>&lt;</w:t>
            </w:r>
            <w:r>
              <w:rPr>
                <w:rFonts w:ascii="Times New Roman" w:cs="Times New Roman"/>
                <w:color w:val="auto"/>
                <w:szCs w:val="28"/>
                <w:highlight w:val="none"/>
              </w:rPr>
              <w:t>限期淘汰产生严重污染环境的工业固体废物的落后生产工艺设备名录</w:t>
            </w:r>
            <w:r>
              <w:rPr>
                <w:rFonts w:hint="eastAsia" w:ascii="Times New Roman" w:cs="Times New Roman"/>
                <w:color w:val="auto"/>
                <w:szCs w:val="28"/>
                <w:highlight w:val="none"/>
              </w:rPr>
              <w:t>&gt;</w:t>
            </w:r>
            <w:r>
              <w:rPr>
                <w:rFonts w:ascii="Times New Roman" w:cs="Times New Roman"/>
                <w:color w:val="auto"/>
                <w:szCs w:val="28"/>
                <w:highlight w:val="none"/>
              </w:rPr>
              <w:t>公告</w:t>
            </w:r>
            <w:r>
              <w:rPr>
                <w:rFonts w:hint="eastAsia" w:ascii="Times New Roman" w:cs="Times New Roman"/>
                <w:color w:val="auto"/>
                <w:szCs w:val="28"/>
                <w:highlight w:val="none"/>
              </w:rPr>
              <w:t>》（</w:t>
            </w:r>
            <w:r>
              <w:rPr>
                <w:rFonts w:ascii="Times New Roman" w:cs="Times New Roman"/>
                <w:color w:val="auto"/>
                <w:szCs w:val="28"/>
                <w:highlight w:val="none"/>
              </w:rPr>
              <w:t>中华人民共和国工业和信息化部公告 2021年第25号</w:t>
            </w:r>
            <w:r>
              <w:rPr>
                <w:rFonts w:hint="eastAsia" w:ascii="Times New Roman" w:cs="Times New Roman"/>
                <w:color w:val="auto"/>
                <w:szCs w:val="28"/>
                <w:highlight w:val="none"/>
              </w:rPr>
              <w:t>）</w:t>
            </w:r>
            <w:r>
              <w:rPr>
                <w:rFonts w:ascii="Times New Roman" w:cs="Times New Roman"/>
                <w:color w:val="auto"/>
                <w:szCs w:val="28"/>
                <w:highlight w:val="none"/>
              </w:rPr>
              <w:t>相符。</w:t>
            </w:r>
          </w:p>
          <w:p w14:paraId="70D4A1A8">
            <w:pPr>
              <w:keepNext/>
              <w:keepLines/>
              <w:tabs>
                <w:tab w:val="left" w:pos="0"/>
              </w:tabs>
              <w:ind w:left="-2" w:firstLine="480" w:firstLineChars="200"/>
              <w:outlineLvl w:val="2"/>
              <w:rPr>
                <w:b/>
                <w:bCs/>
                <w:color w:val="auto"/>
                <w:highlight w:val="none"/>
              </w:rPr>
            </w:pPr>
            <w:r>
              <w:rPr>
                <w:rFonts w:hint="eastAsia"/>
                <w:b/>
                <w:bCs/>
                <w:color w:val="auto"/>
                <w:highlight w:val="none"/>
              </w:rPr>
              <w:t>五</w:t>
            </w:r>
            <w:r>
              <w:rPr>
                <w:b/>
                <w:bCs/>
                <w:color w:val="auto"/>
                <w:highlight w:val="none"/>
              </w:rPr>
              <w:t>、</w:t>
            </w:r>
            <w:r>
              <w:rPr>
                <w:rFonts w:hint="eastAsia"/>
                <w:b/>
                <w:bCs/>
                <w:color w:val="auto"/>
                <w:highlight w:val="none"/>
                <w:lang w:val="en-US" w:eastAsia="zh-CN"/>
              </w:rPr>
              <w:t>与</w:t>
            </w:r>
            <w:r>
              <w:rPr>
                <w:rFonts w:hint="eastAsia"/>
                <w:b/>
                <w:bCs/>
                <w:color w:val="auto"/>
                <w:highlight w:val="none"/>
              </w:rPr>
              <w:t>生态环境分区管控方案</w:t>
            </w:r>
            <w:r>
              <w:rPr>
                <w:b/>
                <w:bCs/>
                <w:color w:val="auto"/>
                <w:highlight w:val="none"/>
              </w:rPr>
              <w:t>相符性分析</w:t>
            </w:r>
          </w:p>
          <w:p w14:paraId="793A385D">
            <w:pPr>
              <w:pStyle w:val="20"/>
              <w:numPr>
                <w:ilvl w:val="3"/>
                <w:numId w:val="0"/>
              </w:numPr>
              <w:ind w:firstLine="480" w:firstLineChars="200"/>
              <w:rPr>
                <w:color w:val="auto"/>
                <w:highlight w:val="none"/>
              </w:rPr>
            </w:pPr>
            <w:r>
              <w:rPr>
                <w:rFonts w:hint="eastAsia"/>
                <w:color w:val="auto"/>
                <w:highlight w:val="none"/>
              </w:rPr>
              <w:t>1、</w:t>
            </w:r>
            <w:r>
              <w:rPr>
                <w:color w:val="auto"/>
                <w:highlight w:val="none"/>
              </w:rPr>
              <w:t>《关于印发广东省“三线一单”生态环境分区管控方案的通知》（粤府〔2020〕71号）</w:t>
            </w:r>
          </w:p>
          <w:p w14:paraId="1C18F23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表1-</w:t>
            </w:r>
            <w:r>
              <w:rPr>
                <w:rFonts w:hint="eastAsia"/>
                <w:b/>
                <w:bCs/>
                <w:color w:val="auto"/>
                <w:highlight w:val="none"/>
                <w:lang w:val="en-US" w:eastAsia="zh-CN"/>
              </w:rPr>
              <w:t>1</w:t>
            </w:r>
            <w:r>
              <w:rPr>
                <w:b/>
                <w:bCs/>
                <w:color w:val="auto"/>
                <w:highlight w:val="none"/>
              </w:rPr>
              <w:t xml:space="preserve"> 生态环境分区管控方案相符性分析一览表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27"/>
              <w:gridCol w:w="608"/>
              <w:gridCol w:w="2868"/>
              <w:gridCol w:w="3392"/>
              <w:gridCol w:w="548"/>
            </w:tblGrid>
            <w:tr w14:paraId="2536A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28D44D04">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1291BE0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1FB0B67D">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269DC6AF">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712AB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53FA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7B8D045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6DCED69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2B375CB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11A8B0D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项目用地用途为工业</w:t>
                  </w:r>
                  <w:r>
                    <w:rPr>
                      <w:rFonts w:hint="eastAsia" w:ascii="Times New Roman" w:cs="Times New Roman"/>
                      <w:color w:val="auto"/>
                      <w:sz w:val="21"/>
                      <w:szCs w:val="21"/>
                      <w:highlight w:val="none"/>
                      <w:lang w:val="en-US" w:eastAsia="zh-CN"/>
                    </w:rPr>
                    <w:t>用地</w:t>
                  </w:r>
                  <w:r>
                    <w:rPr>
                      <w:rFonts w:hint="default" w:ascii="Times New Roman" w:hAnsi="Times New Roman" w:cs="Times New Roman"/>
                      <w:color w:val="auto"/>
                      <w:sz w:val="21"/>
                      <w:szCs w:val="21"/>
                      <w:highlight w:val="none"/>
                      <w:lang w:val="en-US"/>
                    </w:rPr>
                    <w:t>，不在生态保护红线和生态环境空间管控区内，符合生态保护红线要求。</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74346D3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200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612C5B1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41566EC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78D6579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51AC288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w:t>
                  </w:r>
                  <w:r>
                    <w:rPr>
                      <w:rFonts w:hint="eastAsia" w:asci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rPr>
                    <w:t>年韶关市生态环境状况公报》，可知项目所在地大气环境质量属于达标区，地表水环境质量现状良好。</w:t>
                  </w:r>
                  <w:r>
                    <w:rPr>
                      <w:rFonts w:hint="eastAsia" w:ascii="Times New Roman" w:hAnsi="Times New Roman" w:cs="Times New Roman"/>
                      <w:color w:val="auto"/>
                      <w:sz w:val="21"/>
                      <w:szCs w:val="21"/>
                      <w:highlight w:val="none"/>
                      <w:lang w:val="en-US" w:eastAsia="zh-CN"/>
                    </w:rPr>
                    <w:t>项目无生产废水排放，</w:t>
                  </w:r>
                  <w:r>
                    <w:rPr>
                      <w:rFonts w:hint="default" w:ascii="Times New Roman" w:hAnsi="Times New Roman" w:cs="Times New Roman"/>
                      <w:color w:val="auto"/>
                      <w:sz w:val="21"/>
                      <w:szCs w:val="21"/>
                      <w:highlight w:val="none"/>
                      <w:lang w:val="en-US"/>
                    </w:rPr>
                    <w:t>生活污水经预处理后引入园区污水处理厂处理，不直接排入水体。在严格落实各项污染防治措施的前提下，本项目的建设对周边环境影响较小，建成后不会突破当地环境质量底线，符合环境质量底线要求。</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5DE2813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757A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25DC4B7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36A78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79C3F8BB">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水资源、土地资源、岸线资源、能源消耗等达到或优于国家下达的总量和强度控制目标。</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73221D1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2491DD4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477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1BFB8F89">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73E0B6CA">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26CAF7F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5440002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本项目营运期主要污染物为废水、废气、噪声和固体废物，分别经处理后均能实现达标排放，固体废物经有效的分类收集、处置，对周围环境影响较小，故本项目可与周围环境相容，</w:t>
                  </w:r>
                  <w:r>
                    <w:rPr>
                      <w:rFonts w:hint="eastAsia" w:ascii="Times New Roman" w:cs="Times New Roman"/>
                      <w:color w:val="auto"/>
                      <w:sz w:val="21"/>
                      <w:szCs w:val="21"/>
                      <w:highlight w:val="none"/>
                      <w:lang w:val="en-US" w:eastAsia="zh-CN"/>
                    </w:rPr>
                    <w:t>对照</w:t>
                  </w:r>
                  <w:r>
                    <w:rPr>
                      <w:rFonts w:hint="default" w:ascii="Times New Roman" w:hAnsi="Times New Roman" w:cs="Times New Roman"/>
                      <w:color w:val="auto"/>
                      <w:sz w:val="21"/>
                      <w:szCs w:val="21"/>
                      <w:highlight w:val="none"/>
                      <w:lang w:val="en-US"/>
                    </w:rPr>
                    <w:t>《国家发展改革委商务部关于印发&lt;市场准入负面清单（2025年版）&gt;的通知》（发改体改规〔2025〕466号）</w:t>
                  </w:r>
                  <w:r>
                    <w:rPr>
                      <w:rFonts w:hint="eastAsia" w:ascii="Times New Roman" w:cs="Times New Roman"/>
                      <w:color w:val="auto"/>
                      <w:sz w:val="21"/>
                      <w:szCs w:val="21"/>
                      <w:highlight w:val="none"/>
                      <w:lang w:val="en-US" w:eastAsia="zh-CN"/>
                    </w:rPr>
                    <w:t>，本项目无</w:t>
                  </w:r>
                  <w:r>
                    <w:rPr>
                      <w:rFonts w:hint="default" w:ascii="Times New Roman" w:hAnsi="Times New Roman" w:cs="Times New Roman"/>
                      <w:color w:val="auto"/>
                      <w:sz w:val="21"/>
                      <w:szCs w:val="21"/>
                      <w:highlight w:val="none"/>
                      <w:lang w:val="en-US"/>
                    </w:rPr>
                    <w:t>禁止</w:t>
                  </w:r>
                  <w:r>
                    <w:rPr>
                      <w:rFonts w:hint="eastAsia" w:ascii="Times New Roman" w:cs="Times New Roman"/>
                      <w:color w:val="auto"/>
                      <w:sz w:val="21"/>
                      <w:szCs w:val="21"/>
                      <w:highlight w:val="none"/>
                      <w:lang w:val="en-US" w:eastAsia="zh-CN"/>
                    </w:rPr>
                    <w:t>或许可事项</w:t>
                  </w:r>
                  <w:r>
                    <w:rPr>
                      <w:rFonts w:hint="default" w:ascii="Times New Roman" w:hAnsi="Times New Roman" w:cs="Times New Roman"/>
                      <w:color w:val="auto"/>
                      <w:sz w:val="21"/>
                      <w:szCs w:val="21"/>
                      <w:highlight w:val="none"/>
                      <w:lang w:val="en-US"/>
                    </w:rPr>
                    <w:t>。</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39C87697">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bl>
          <w:p w14:paraId="2E374D71">
            <w:pPr>
              <w:rPr>
                <w:b/>
                <w:bCs/>
                <w:color w:val="auto"/>
                <w:highlight w:val="none"/>
              </w:rPr>
            </w:pPr>
          </w:p>
          <w:p w14:paraId="0E6FEB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表1-</w:t>
            </w:r>
            <w:r>
              <w:rPr>
                <w:rFonts w:hint="eastAsia"/>
                <w:b/>
                <w:bCs/>
                <w:color w:val="auto"/>
                <w:highlight w:val="none"/>
                <w:lang w:val="en-US" w:eastAsia="zh-CN"/>
              </w:rPr>
              <w:t>2</w:t>
            </w:r>
            <w:r>
              <w:rPr>
                <w:b/>
                <w:bCs/>
                <w:color w:val="auto"/>
                <w:highlight w:val="none"/>
              </w:rPr>
              <w:t xml:space="preserve"> 环境管控单元要求一览表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44"/>
              <w:gridCol w:w="4295"/>
              <w:gridCol w:w="2179"/>
              <w:gridCol w:w="725"/>
            </w:tblGrid>
            <w:tr w14:paraId="22F5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602513DE">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单元</w:t>
                  </w:r>
                </w:p>
              </w:tc>
              <w:tc>
                <w:tcPr>
                  <w:tcW w:w="2759" w:type="pct"/>
                  <w:vAlign w:val="center"/>
                </w:tcPr>
                <w:p w14:paraId="3CDA25F0">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保护和管控分区或相关要求（节选）</w:t>
                  </w:r>
                </w:p>
              </w:tc>
              <w:tc>
                <w:tcPr>
                  <w:tcW w:w="1324" w:type="pct"/>
                  <w:vAlign w:val="center"/>
                </w:tcPr>
                <w:p w14:paraId="5EA6CBC4">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项目情况</w:t>
                  </w:r>
                </w:p>
              </w:tc>
              <w:tc>
                <w:tcPr>
                  <w:tcW w:w="483" w:type="pct"/>
                  <w:vAlign w:val="center"/>
                </w:tcPr>
                <w:p w14:paraId="04851467">
                  <w:pPr>
                    <w:pStyle w:val="60"/>
                    <w:rPr>
                      <w:b/>
                      <w:bCs/>
                      <w:color w:val="auto"/>
                      <w:highlight w:val="none"/>
                    </w:rPr>
                  </w:pPr>
                  <w:r>
                    <w:rPr>
                      <w:rFonts w:hint="eastAsia"/>
                      <w:b/>
                      <w:bCs/>
                      <w:color w:val="auto"/>
                      <w:highlight w:val="none"/>
                      <w:lang w:eastAsia="zh-CN"/>
                    </w:rPr>
                    <w:t>相符性</w:t>
                  </w:r>
                </w:p>
              </w:tc>
            </w:tr>
            <w:tr w14:paraId="25502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76E8344E">
                  <w:pPr>
                    <w:pStyle w:val="60"/>
                    <w:rPr>
                      <w:color w:val="auto"/>
                      <w:highlight w:val="none"/>
                    </w:rPr>
                  </w:pPr>
                  <w:r>
                    <w:rPr>
                      <w:color w:val="auto"/>
                      <w:highlight w:val="none"/>
                    </w:rPr>
                    <w:t>优先保护单元</w:t>
                  </w:r>
                </w:p>
              </w:tc>
              <w:tc>
                <w:tcPr>
                  <w:tcW w:w="2759" w:type="pct"/>
                  <w:vAlign w:val="center"/>
                </w:tcPr>
                <w:p w14:paraId="4D211958">
                  <w:pPr>
                    <w:pStyle w:val="60"/>
                    <w:jc w:val="both"/>
                    <w:rPr>
                      <w:color w:val="auto"/>
                      <w:highlight w:val="none"/>
                    </w:rPr>
                  </w:pPr>
                  <w:r>
                    <w:rPr>
                      <w:color w:val="auto"/>
                      <w:highlight w:val="none"/>
                    </w:rPr>
                    <w:t>生态优先保护区：生态保护红线、一般生态空间</w:t>
                  </w:r>
                </w:p>
              </w:tc>
              <w:tc>
                <w:tcPr>
                  <w:tcW w:w="1324" w:type="pct"/>
                  <w:vAlign w:val="center"/>
                </w:tcPr>
                <w:p w14:paraId="7D15D756">
                  <w:pPr>
                    <w:pStyle w:val="60"/>
                    <w:jc w:val="both"/>
                    <w:rPr>
                      <w:rFonts w:hint="eastAsia" w:eastAsia="宋体"/>
                      <w:color w:val="auto"/>
                      <w:highlight w:val="none"/>
                      <w:lang w:eastAsia="zh-CN"/>
                    </w:rPr>
                  </w:pPr>
                  <w:r>
                    <w:rPr>
                      <w:color w:val="auto"/>
                      <w:highlight w:val="none"/>
                    </w:rPr>
                    <w:t>项目不在生态</w:t>
                  </w:r>
                  <w:r>
                    <w:rPr>
                      <w:rFonts w:hint="eastAsia"/>
                      <w:color w:val="auto"/>
                      <w:highlight w:val="none"/>
                    </w:rPr>
                    <w:t>保护红线内，详见附图</w:t>
                  </w:r>
                  <w:r>
                    <w:rPr>
                      <w:rFonts w:hint="eastAsia"/>
                      <w:color w:val="auto"/>
                      <w:highlight w:val="none"/>
                      <w:lang w:val="en-US" w:eastAsia="zh-CN"/>
                    </w:rPr>
                    <w:t>11</w:t>
                  </w:r>
                </w:p>
              </w:tc>
              <w:tc>
                <w:tcPr>
                  <w:tcW w:w="483" w:type="pct"/>
                  <w:vAlign w:val="center"/>
                </w:tcPr>
                <w:p w14:paraId="4D7CDC48">
                  <w:pPr>
                    <w:pStyle w:val="60"/>
                    <w:rPr>
                      <w:color w:val="auto"/>
                      <w:highlight w:val="none"/>
                    </w:rPr>
                  </w:pPr>
                  <w:r>
                    <w:rPr>
                      <w:color w:val="auto"/>
                      <w:highlight w:val="none"/>
                    </w:rPr>
                    <w:t>符合</w:t>
                  </w:r>
                </w:p>
              </w:tc>
            </w:tr>
            <w:tr w14:paraId="231B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48B8F803">
                  <w:pPr>
                    <w:pStyle w:val="60"/>
                    <w:rPr>
                      <w:color w:val="auto"/>
                      <w:highlight w:val="none"/>
                    </w:rPr>
                  </w:pPr>
                </w:p>
              </w:tc>
              <w:tc>
                <w:tcPr>
                  <w:tcW w:w="2759" w:type="pct"/>
                  <w:vAlign w:val="center"/>
                </w:tcPr>
                <w:p w14:paraId="34D0ABA7">
                  <w:pPr>
                    <w:pStyle w:val="60"/>
                    <w:jc w:val="both"/>
                    <w:rPr>
                      <w:color w:val="auto"/>
                      <w:highlight w:val="none"/>
                    </w:rPr>
                  </w:pPr>
                  <w:r>
                    <w:rPr>
                      <w:color w:val="auto"/>
                      <w:highlight w:val="none"/>
                    </w:rPr>
                    <w:t>水环境优先保护区：饮用水水源一级保护区、二级保护区、准保护区</w:t>
                  </w:r>
                </w:p>
              </w:tc>
              <w:tc>
                <w:tcPr>
                  <w:tcW w:w="1324" w:type="pct"/>
                  <w:vAlign w:val="center"/>
                </w:tcPr>
                <w:p w14:paraId="79AEC320">
                  <w:pPr>
                    <w:pStyle w:val="60"/>
                    <w:jc w:val="both"/>
                    <w:rPr>
                      <w:color w:val="auto"/>
                      <w:highlight w:val="none"/>
                    </w:rPr>
                  </w:pPr>
                  <w:r>
                    <w:rPr>
                      <w:color w:val="auto"/>
                      <w:highlight w:val="none"/>
                    </w:rPr>
                    <w:t>项目不在饮用水水源保护区内，不属于水环境优先保护区</w:t>
                  </w:r>
                </w:p>
              </w:tc>
              <w:tc>
                <w:tcPr>
                  <w:tcW w:w="483" w:type="pct"/>
                  <w:vAlign w:val="center"/>
                </w:tcPr>
                <w:p w14:paraId="511AC959">
                  <w:pPr>
                    <w:pStyle w:val="60"/>
                    <w:rPr>
                      <w:color w:val="auto"/>
                      <w:highlight w:val="none"/>
                    </w:rPr>
                  </w:pPr>
                  <w:r>
                    <w:rPr>
                      <w:color w:val="auto"/>
                      <w:highlight w:val="none"/>
                    </w:rPr>
                    <w:t>符合</w:t>
                  </w:r>
                </w:p>
              </w:tc>
            </w:tr>
            <w:tr w14:paraId="474D5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6F95F36B">
                  <w:pPr>
                    <w:pStyle w:val="60"/>
                    <w:rPr>
                      <w:color w:val="auto"/>
                      <w:highlight w:val="none"/>
                    </w:rPr>
                  </w:pPr>
                </w:p>
              </w:tc>
              <w:tc>
                <w:tcPr>
                  <w:tcW w:w="2759" w:type="pct"/>
                  <w:vAlign w:val="center"/>
                </w:tcPr>
                <w:p w14:paraId="0CA9B8E5">
                  <w:pPr>
                    <w:pStyle w:val="60"/>
                    <w:jc w:val="both"/>
                    <w:rPr>
                      <w:color w:val="auto"/>
                      <w:highlight w:val="none"/>
                    </w:rPr>
                  </w:pPr>
                  <w:r>
                    <w:rPr>
                      <w:color w:val="auto"/>
                      <w:highlight w:val="none"/>
                    </w:rPr>
                    <w:t>大气环境优先保护区（环境空气质量一类功能区）</w:t>
                  </w:r>
                </w:p>
              </w:tc>
              <w:tc>
                <w:tcPr>
                  <w:tcW w:w="1324" w:type="pct"/>
                  <w:vAlign w:val="center"/>
                </w:tcPr>
                <w:p w14:paraId="3CF690BC">
                  <w:pPr>
                    <w:pStyle w:val="60"/>
                    <w:jc w:val="both"/>
                    <w:rPr>
                      <w:color w:val="auto"/>
                      <w:highlight w:val="none"/>
                    </w:rPr>
                  </w:pPr>
                  <w:r>
                    <w:rPr>
                      <w:color w:val="auto"/>
                      <w:highlight w:val="none"/>
                    </w:rPr>
                    <w:t>项目属于空气质量二类功能区，不属于大气环境优先保护区</w:t>
                  </w:r>
                </w:p>
              </w:tc>
              <w:tc>
                <w:tcPr>
                  <w:tcW w:w="483" w:type="pct"/>
                  <w:vAlign w:val="center"/>
                </w:tcPr>
                <w:p w14:paraId="08E9AF24">
                  <w:pPr>
                    <w:pStyle w:val="60"/>
                    <w:rPr>
                      <w:color w:val="auto"/>
                      <w:highlight w:val="none"/>
                    </w:rPr>
                  </w:pPr>
                  <w:r>
                    <w:rPr>
                      <w:color w:val="auto"/>
                      <w:highlight w:val="none"/>
                    </w:rPr>
                    <w:t>符合</w:t>
                  </w:r>
                </w:p>
              </w:tc>
            </w:tr>
            <w:tr w14:paraId="711C8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1E5C2A93">
                  <w:pPr>
                    <w:pStyle w:val="60"/>
                    <w:rPr>
                      <w:color w:val="auto"/>
                      <w:highlight w:val="none"/>
                    </w:rPr>
                  </w:pPr>
                  <w:r>
                    <w:rPr>
                      <w:color w:val="auto"/>
                      <w:highlight w:val="none"/>
                    </w:rPr>
                    <w:t>重点管控单元</w:t>
                  </w:r>
                </w:p>
              </w:tc>
              <w:tc>
                <w:tcPr>
                  <w:tcW w:w="2759" w:type="pct"/>
                  <w:vAlign w:val="center"/>
                </w:tcPr>
                <w:p w14:paraId="7F39F204">
                  <w:pPr>
                    <w:pStyle w:val="60"/>
                    <w:jc w:val="both"/>
                    <w:rPr>
                      <w:color w:val="auto"/>
                      <w:highlight w:val="none"/>
                    </w:rPr>
                  </w:pPr>
                  <w:r>
                    <w:rPr>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r>
                    <w:rPr>
                      <w:rFonts w:hint="eastAsia"/>
                      <w:color w:val="auto"/>
                      <w:highlight w:val="none"/>
                    </w:rPr>
                    <w:t>。</w:t>
                  </w:r>
                </w:p>
              </w:tc>
              <w:tc>
                <w:tcPr>
                  <w:tcW w:w="1324" w:type="pct"/>
                  <w:vAlign w:val="center"/>
                </w:tcPr>
                <w:p w14:paraId="0E0772CE">
                  <w:pPr>
                    <w:spacing w:line="240" w:lineRule="auto"/>
                    <w:jc w:val="both"/>
                    <w:rPr>
                      <w:color w:val="auto"/>
                      <w:highlight w:val="none"/>
                    </w:rPr>
                  </w:pPr>
                  <w:r>
                    <w:rPr>
                      <w:color w:val="auto"/>
                      <w:sz w:val="21"/>
                      <w:szCs w:val="21"/>
                      <w:highlight w:val="none"/>
                    </w:rPr>
                    <w:t>项目位于</w:t>
                  </w:r>
                  <w:r>
                    <w:rPr>
                      <w:rFonts w:hint="eastAsia"/>
                      <w:color w:val="auto"/>
                      <w:sz w:val="21"/>
                      <w:szCs w:val="21"/>
                      <w:highlight w:val="none"/>
                      <w:lang w:val="en-US" w:eastAsia="zh-CN"/>
                    </w:rPr>
                    <w:t>乐昌市一般</w:t>
                  </w:r>
                  <w:r>
                    <w:rPr>
                      <w:color w:val="auto"/>
                      <w:sz w:val="21"/>
                      <w:szCs w:val="21"/>
                      <w:highlight w:val="none"/>
                    </w:rPr>
                    <w:t>管控单元</w:t>
                  </w:r>
                  <w:r>
                    <w:rPr>
                      <w:rFonts w:hint="eastAsia"/>
                      <w:color w:val="auto"/>
                      <w:sz w:val="21"/>
                      <w:szCs w:val="21"/>
                      <w:highlight w:val="none"/>
                    </w:rPr>
                    <w:t>（管控编码</w:t>
                  </w:r>
                  <w:r>
                    <w:rPr>
                      <w:color w:val="auto"/>
                      <w:sz w:val="21"/>
                      <w:szCs w:val="21"/>
                      <w:highlight w:val="none"/>
                    </w:rPr>
                    <w:t>ZH440281</w:t>
                  </w:r>
                  <w:r>
                    <w:rPr>
                      <w:rFonts w:hint="eastAsia"/>
                      <w:color w:val="auto"/>
                      <w:sz w:val="21"/>
                      <w:szCs w:val="21"/>
                      <w:highlight w:val="none"/>
                      <w:lang w:val="en-US" w:eastAsia="zh-CN"/>
                    </w:rPr>
                    <w:t>3</w:t>
                  </w:r>
                  <w:r>
                    <w:rPr>
                      <w:color w:val="auto"/>
                      <w:sz w:val="21"/>
                      <w:szCs w:val="21"/>
                      <w:highlight w:val="none"/>
                    </w:rPr>
                    <w:t>000</w:t>
                  </w:r>
                  <w:r>
                    <w:rPr>
                      <w:rFonts w:hint="eastAsia"/>
                      <w:color w:val="auto"/>
                      <w:sz w:val="21"/>
                      <w:szCs w:val="21"/>
                      <w:highlight w:val="none"/>
                      <w:lang w:val="en-US" w:eastAsia="zh-CN"/>
                    </w:rPr>
                    <w:t>1</w:t>
                  </w:r>
                  <w:r>
                    <w:rPr>
                      <w:rFonts w:hint="eastAsia"/>
                      <w:color w:val="auto"/>
                      <w:sz w:val="21"/>
                      <w:szCs w:val="21"/>
                      <w:highlight w:val="none"/>
                    </w:rPr>
                    <w:t>）</w:t>
                  </w:r>
                  <w:r>
                    <w:rPr>
                      <w:rFonts w:hint="eastAsia"/>
                      <w:color w:val="auto"/>
                      <w:sz w:val="21"/>
                      <w:szCs w:val="21"/>
                      <w:highlight w:val="none"/>
                      <w:lang w:val="en-US" w:eastAsia="zh-CN"/>
                    </w:rPr>
                    <w:t>和乐昌市经济开发区重点</w:t>
                  </w:r>
                  <w:r>
                    <w:rPr>
                      <w:color w:val="auto"/>
                      <w:sz w:val="21"/>
                      <w:szCs w:val="21"/>
                      <w:highlight w:val="none"/>
                    </w:rPr>
                    <w:t>管控单元</w:t>
                  </w:r>
                  <w:r>
                    <w:rPr>
                      <w:rFonts w:hint="eastAsia"/>
                      <w:color w:val="auto"/>
                      <w:sz w:val="21"/>
                      <w:szCs w:val="21"/>
                      <w:highlight w:val="none"/>
                      <w:lang w:eastAsia="zh-CN"/>
                    </w:rPr>
                    <w:t>（</w:t>
                  </w:r>
                  <w:r>
                    <w:rPr>
                      <w:rFonts w:hint="eastAsia"/>
                      <w:color w:val="auto"/>
                      <w:sz w:val="21"/>
                      <w:szCs w:val="21"/>
                      <w:highlight w:val="none"/>
                      <w:lang w:val="en-US" w:eastAsia="zh-CN"/>
                    </w:rPr>
                    <w:t>ZH44028120003</w:t>
                  </w:r>
                  <w:r>
                    <w:rPr>
                      <w:rFonts w:hint="eastAsia"/>
                      <w:color w:val="auto"/>
                      <w:sz w:val="21"/>
                      <w:szCs w:val="21"/>
                      <w:highlight w:val="none"/>
                      <w:lang w:eastAsia="zh-CN"/>
                    </w:rPr>
                    <w:t>）</w:t>
                  </w:r>
                  <w:r>
                    <w:rPr>
                      <w:color w:val="auto"/>
                      <w:sz w:val="21"/>
                      <w:szCs w:val="21"/>
                      <w:highlight w:val="none"/>
                    </w:rPr>
                    <w:t>，项目</w:t>
                  </w:r>
                  <w:r>
                    <w:rPr>
                      <w:rFonts w:hint="eastAsia"/>
                      <w:color w:val="auto"/>
                      <w:sz w:val="21"/>
                      <w:szCs w:val="21"/>
                      <w:highlight w:val="none"/>
                      <w:lang w:val="en-US" w:eastAsia="zh-CN"/>
                    </w:rPr>
                    <w:t>符合园区准入条件，</w:t>
                  </w:r>
                  <w:r>
                    <w:rPr>
                      <w:color w:val="auto"/>
                      <w:sz w:val="21"/>
                      <w:szCs w:val="21"/>
                      <w:highlight w:val="none"/>
                    </w:rPr>
                    <w:t>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，生产过程中</w:t>
                  </w:r>
                  <w:r>
                    <w:rPr>
                      <w:rFonts w:hint="eastAsia"/>
                      <w:color w:val="auto"/>
                      <w:sz w:val="21"/>
                      <w:szCs w:val="21"/>
                      <w:highlight w:val="none"/>
                    </w:rPr>
                    <w:t>产生</w:t>
                  </w:r>
                  <w:r>
                    <w:rPr>
                      <w:rFonts w:hint="eastAsia"/>
                      <w:color w:val="auto"/>
                      <w:sz w:val="21"/>
                      <w:szCs w:val="21"/>
                      <w:highlight w:val="none"/>
                      <w:lang w:val="en-US" w:eastAsia="zh-CN"/>
                    </w:rPr>
                    <w:t>有机废气</w:t>
                  </w:r>
                  <w:r>
                    <w:rPr>
                      <w:color w:val="auto"/>
                      <w:sz w:val="21"/>
                      <w:szCs w:val="21"/>
                      <w:highlight w:val="none"/>
                    </w:rPr>
                    <w:t>需分配大气污染物总量；</w:t>
                  </w:r>
                  <w:r>
                    <w:rPr>
                      <w:rFonts w:hint="eastAsia"/>
                      <w:color w:val="auto"/>
                      <w:sz w:val="21"/>
                      <w:szCs w:val="21"/>
                      <w:highlight w:val="none"/>
                    </w:rPr>
                    <w:t>生活污水经三级化粪池处理后</w:t>
                  </w:r>
                  <w:r>
                    <w:rPr>
                      <w:rFonts w:hint="eastAsia"/>
                      <w:color w:val="auto"/>
                      <w:sz w:val="21"/>
                      <w:szCs w:val="21"/>
                      <w:highlight w:val="none"/>
                      <w:lang w:val="en-US" w:eastAsia="zh-CN"/>
                    </w:rPr>
                    <w:t>引入</w:t>
                  </w:r>
                  <w:r>
                    <w:rPr>
                      <w:rFonts w:hint="eastAsia"/>
                      <w:color w:val="auto"/>
                      <w:sz w:val="21"/>
                      <w:szCs w:val="21"/>
                      <w:highlight w:val="none"/>
                    </w:rPr>
                    <w:t>园区污水处理厂处理</w:t>
                  </w:r>
                  <w:r>
                    <w:rPr>
                      <w:color w:val="auto"/>
                      <w:sz w:val="21"/>
                      <w:szCs w:val="21"/>
                      <w:highlight w:val="none"/>
                    </w:rPr>
                    <w:t>，无需分配水污染物总量。</w:t>
                  </w:r>
                </w:p>
              </w:tc>
              <w:tc>
                <w:tcPr>
                  <w:tcW w:w="483" w:type="pct"/>
                  <w:vAlign w:val="center"/>
                </w:tcPr>
                <w:p w14:paraId="704707DC">
                  <w:pPr>
                    <w:pStyle w:val="60"/>
                    <w:rPr>
                      <w:color w:val="auto"/>
                      <w:highlight w:val="none"/>
                    </w:rPr>
                  </w:pPr>
                  <w:r>
                    <w:rPr>
                      <w:color w:val="auto"/>
                      <w:highlight w:val="none"/>
                    </w:rPr>
                    <w:t>符合</w:t>
                  </w:r>
                </w:p>
              </w:tc>
            </w:tr>
            <w:tr w14:paraId="1003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0357AB31">
                  <w:pPr>
                    <w:pStyle w:val="60"/>
                    <w:rPr>
                      <w:color w:val="auto"/>
                      <w:highlight w:val="none"/>
                    </w:rPr>
                  </w:pPr>
                </w:p>
              </w:tc>
              <w:tc>
                <w:tcPr>
                  <w:tcW w:w="2759" w:type="pct"/>
                  <w:vAlign w:val="center"/>
                </w:tcPr>
                <w:p w14:paraId="6045A879">
                  <w:pPr>
                    <w:pStyle w:val="60"/>
                    <w:jc w:val="both"/>
                    <w:rPr>
                      <w:color w:val="auto"/>
                      <w:highlight w:val="none"/>
                    </w:rPr>
                  </w:pPr>
                  <w:r>
                    <w:rPr>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r>
                    <w:rPr>
                      <w:rFonts w:hint="eastAsia"/>
                      <w:color w:val="auto"/>
                      <w:highlight w:val="none"/>
                    </w:rPr>
                    <w:t>。</w:t>
                  </w:r>
                </w:p>
              </w:tc>
              <w:tc>
                <w:tcPr>
                  <w:tcW w:w="1324" w:type="pct"/>
                  <w:vAlign w:val="center"/>
                </w:tcPr>
                <w:p w14:paraId="2F65F08D">
                  <w:pPr>
                    <w:pStyle w:val="60"/>
                    <w:jc w:val="both"/>
                    <w:rPr>
                      <w:color w:val="auto"/>
                      <w:highlight w:val="none"/>
                    </w:rPr>
                  </w:pPr>
                  <w:r>
                    <w:rPr>
                      <w:color w:val="auto"/>
                      <w:highlight w:val="none"/>
                    </w:rPr>
                    <w:t>项目不属于耗水量大和污染物排放强度高的行业，</w:t>
                  </w:r>
                  <w:r>
                    <w:rPr>
                      <w:rFonts w:hint="eastAsia"/>
                      <w:color w:val="auto"/>
                      <w:highlight w:val="none"/>
                    </w:rPr>
                    <w:t>生活污水经三级化粪池预处理后排入园区污水处理</w:t>
                  </w:r>
                  <w:r>
                    <w:rPr>
                      <w:rFonts w:hint="eastAsia"/>
                      <w:color w:val="auto"/>
                      <w:highlight w:val="none"/>
                      <w:lang w:eastAsia="zh-CN"/>
                    </w:rPr>
                    <w:t>厂</w:t>
                  </w:r>
                  <w:r>
                    <w:rPr>
                      <w:rFonts w:hint="eastAsia"/>
                      <w:color w:val="auto"/>
                      <w:highlight w:val="none"/>
                    </w:rPr>
                    <w:t>，不直接</w:t>
                  </w:r>
                  <w:r>
                    <w:rPr>
                      <w:rFonts w:hint="eastAsia"/>
                      <w:color w:val="auto"/>
                      <w:highlight w:val="none"/>
                      <w:lang w:val="en-US" w:eastAsia="zh-CN"/>
                    </w:rPr>
                    <w:t>排</w:t>
                  </w:r>
                  <w:r>
                    <w:rPr>
                      <w:rFonts w:hint="eastAsia"/>
                      <w:color w:val="auto"/>
                      <w:highlight w:val="none"/>
                    </w:rPr>
                    <w:t>入水体，对水环境影响不大。</w:t>
                  </w:r>
                </w:p>
              </w:tc>
              <w:tc>
                <w:tcPr>
                  <w:tcW w:w="483" w:type="pct"/>
                  <w:vAlign w:val="center"/>
                </w:tcPr>
                <w:p w14:paraId="37EE09AA">
                  <w:pPr>
                    <w:pStyle w:val="60"/>
                    <w:rPr>
                      <w:color w:val="auto"/>
                      <w:highlight w:val="none"/>
                    </w:rPr>
                  </w:pPr>
                  <w:r>
                    <w:rPr>
                      <w:color w:val="auto"/>
                      <w:highlight w:val="none"/>
                    </w:rPr>
                    <w:t>符合</w:t>
                  </w:r>
                </w:p>
              </w:tc>
            </w:tr>
            <w:tr w14:paraId="107AE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7461D78F">
                  <w:pPr>
                    <w:pStyle w:val="60"/>
                    <w:rPr>
                      <w:color w:val="auto"/>
                      <w:highlight w:val="none"/>
                    </w:rPr>
                  </w:pPr>
                </w:p>
              </w:tc>
              <w:tc>
                <w:tcPr>
                  <w:tcW w:w="2759" w:type="pct"/>
                  <w:vAlign w:val="center"/>
                </w:tcPr>
                <w:p w14:paraId="1CD14DD8">
                  <w:pPr>
                    <w:pStyle w:val="60"/>
                    <w:jc w:val="both"/>
                    <w:rPr>
                      <w:color w:val="auto"/>
                      <w:highlight w:val="none"/>
                    </w:rPr>
                  </w:pPr>
                  <w:r>
                    <w:rPr>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324" w:type="pct"/>
                  <w:vAlign w:val="center"/>
                </w:tcPr>
                <w:p w14:paraId="45B5EE68">
                  <w:pPr>
                    <w:pStyle w:val="60"/>
                    <w:jc w:val="both"/>
                    <w:rPr>
                      <w:color w:val="auto"/>
                      <w:highlight w:val="none"/>
                    </w:rPr>
                  </w:pPr>
                  <w:r>
                    <w:rPr>
                      <w:color w:val="auto"/>
                      <w:highlight w:val="none"/>
                    </w:rPr>
                    <w:t>项目</w:t>
                  </w:r>
                  <w:r>
                    <w:rPr>
                      <w:rFonts w:hint="eastAsia"/>
                      <w:color w:val="auto"/>
                      <w:highlight w:val="none"/>
                      <w:lang w:val="en-US" w:eastAsia="zh-CN"/>
                    </w:rPr>
                    <w:t>采用低挥发性有机物原辅材料，</w:t>
                  </w:r>
                  <w:r>
                    <w:rPr>
                      <w:color w:val="auto"/>
                      <w:highlight w:val="none"/>
                    </w:rPr>
                    <w:t>不属于产排有毒有害大气污染物的项目</w:t>
                  </w:r>
                </w:p>
              </w:tc>
              <w:tc>
                <w:tcPr>
                  <w:tcW w:w="483" w:type="pct"/>
                  <w:vAlign w:val="center"/>
                </w:tcPr>
                <w:p w14:paraId="51DE2090">
                  <w:pPr>
                    <w:pStyle w:val="60"/>
                    <w:rPr>
                      <w:color w:val="auto"/>
                      <w:highlight w:val="none"/>
                    </w:rPr>
                  </w:pPr>
                  <w:r>
                    <w:rPr>
                      <w:color w:val="auto"/>
                      <w:highlight w:val="none"/>
                    </w:rPr>
                    <w:t>符合</w:t>
                  </w:r>
                </w:p>
              </w:tc>
            </w:tr>
            <w:tr w14:paraId="5D6F3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53D620B8">
                  <w:pPr>
                    <w:pStyle w:val="60"/>
                    <w:rPr>
                      <w:color w:val="auto"/>
                      <w:highlight w:val="none"/>
                    </w:rPr>
                  </w:pPr>
                  <w:r>
                    <w:rPr>
                      <w:color w:val="auto"/>
                      <w:highlight w:val="none"/>
                    </w:rPr>
                    <w:t>一般管控单元</w:t>
                  </w:r>
                </w:p>
              </w:tc>
              <w:tc>
                <w:tcPr>
                  <w:tcW w:w="2759" w:type="pct"/>
                  <w:vAlign w:val="center"/>
                </w:tcPr>
                <w:p w14:paraId="113E4030">
                  <w:pPr>
                    <w:pStyle w:val="60"/>
                    <w:jc w:val="both"/>
                    <w:rPr>
                      <w:color w:val="auto"/>
                      <w:highlight w:val="none"/>
                    </w:rPr>
                  </w:pPr>
                  <w:r>
                    <w:rPr>
                      <w:color w:val="auto"/>
                      <w:highlight w:val="none"/>
                    </w:rPr>
                    <w:t>执行区域生态环境保护的基本要求。根据资源环境承载能力，引导产业科学布局，合理控制开发强度，维护生态环境功能稳定</w:t>
                  </w:r>
                </w:p>
              </w:tc>
              <w:tc>
                <w:tcPr>
                  <w:tcW w:w="1324" w:type="pct"/>
                  <w:vAlign w:val="center"/>
                </w:tcPr>
                <w:p w14:paraId="42348C03">
                  <w:pPr>
                    <w:pStyle w:val="60"/>
                    <w:jc w:val="both"/>
                    <w:rPr>
                      <w:color w:val="auto"/>
                      <w:highlight w:val="none"/>
                    </w:rPr>
                  </w:pPr>
                  <w:r>
                    <w:rPr>
                      <w:color w:val="auto"/>
                      <w:highlight w:val="none"/>
                    </w:rPr>
                    <w:t>项目执行区域生态环境保护的基本要求</w:t>
                  </w:r>
                </w:p>
              </w:tc>
              <w:tc>
                <w:tcPr>
                  <w:tcW w:w="483" w:type="pct"/>
                  <w:vAlign w:val="center"/>
                </w:tcPr>
                <w:p w14:paraId="7A493E77">
                  <w:pPr>
                    <w:pStyle w:val="60"/>
                    <w:rPr>
                      <w:color w:val="auto"/>
                      <w:highlight w:val="none"/>
                    </w:rPr>
                  </w:pPr>
                  <w:r>
                    <w:rPr>
                      <w:color w:val="auto"/>
                      <w:highlight w:val="none"/>
                    </w:rPr>
                    <w:t>符合</w:t>
                  </w:r>
                </w:p>
              </w:tc>
            </w:tr>
          </w:tbl>
          <w:p w14:paraId="2A96BE2B">
            <w:pPr>
              <w:spacing w:line="348" w:lineRule="auto"/>
              <w:ind w:right="86" w:rightChars="36" w:firstLine="480" w:firstLineChars="200"/>
              <w:jc w:val="left"/>
              <w:rPr>
                <w:color w:val="auto"/>
                <w:highlight w:val="none"/>
              </w:rPr>
            </w:pPr>
            <w:r>
              <w:rPr>
                <w:color w:val="auto"/>
                <w:highlight w:val="none"/>
              </w:rPr>
              <w:t>综上所述，项目符合《广东省人民政府关于印发广东省“三线一单”生态环境分区管控方案的通知（粤府〔2020〕71 号）》的相关要求。</w:t>
            </w:r>
          </w:p>
          <w:p w14:paraId="522F556D">
            <w:pPr>
              <w:spacing w:line="348" w:lineRule="auto"/>
              <w:ind w:right="86" w:rightChars="36" w:firstLine="480" w:firstLineChars="200"/>
              <w:jc w:val="left"/>
              <w:rPr>
                <w:b/>
                <w:bCs/>
                <w:color w:val="auto"/>
                <w:highlight w:val="none"/>
              </w:rPr>
            </w:pPr>
            <w:r>
              <w:rPr>
                <w:b/>
                <w:bCs/>
                <w:color w:val="auto"/>
                <w:highlight w:val="none"/>
              </w:rPr>
              <w:t>②项目与韶关市人民政府关于印发《韶关市“三线一单”生态环境分区管控方案的通知》的通知（韶府〔2021〕10号）</w:t>
            </w:r>
            <w:r>
              <w:rPr>
                <w:rFonts w:hint="eastAsia"/>
                <w:b/>
                <w:bCs/>
                <w:color w:val="auto"/>
                <w:highlight w:val="none"/>
                <w:lang w:val="en-US" w:eastAsia="zh-CN"/>
              </w:rPr>
              <w:t>和《韶关市生态环境分区管控动态更新成果》</w:t>
            </w:r>
            <w:r>
              <w:rPr>
                <w:b/>
                <w:bCs/>
                <w:color w:val="auto"/>
                <w:highlight w:val="none"/>
              </w:rPr>
              <w:t>的相符性分析</w:t>
            </w:r>
          </w:p>
          <w:p w14:paraId="467E948B">
            <w:pPr>
              <w:keepNext w:val="0"/>
              <w:keepLines w:val="0"/>
              <w:pageBreakBefore w:val="0"/>
              <w:widowControl w:val="0"/>
              <w:kinsoku/>
              <w:wordWrap/>
              <w:overflowPunct/>
              <w:topLinePunct w:val="0"/>
              <w:autoSpaceDE/>
              <w:autoSpaceDN/>
              <w:bidi w:val="0"/>
              <w:adjustRightInd/>
              <w:snapToGrid/>
              <w:spacing w:line="240" w:lineRule="auto"/>
              <w:ind w:right="86" w:rightChars="36" w:firstLine="420" w:firstLineChars="200"/>
              <w:jc w:val="center"/>
              <w:textAlignment w:val="auto"/>
              <w:rPr>
                <w:b/>
                <w:bCs/>
                <w:color w:val="auto"/>
                <w:sz w:val="21"/>
                <w:szCs w:val="21"/>
                <w:highlight w:val="none"/>
              </w:rPr>
            </w:pPr>
          </w:p>
          <w:p w14:paraId="35EEC481">
            <w:pPr>
              <w:keepNext w:val="0"/>
              <w:keepLines w:val="0"/>
              <w:pageBreakBefore w:val="0"/>
              <w:widowControl w:val="0"/>
              <w:kinsoku/>
              <w:wordWrap/>
              <w:overflowPunct/>
              <w:topLinePunct w:val="0"/>
              <w:autoSpaceDE/>
              <w:autoSpaceDN/>
              <w:bidi w:val="0"/>
              <w:adjustRightInd/>
              <w:snapToGrid/>
              <w:spacing w:line="240" w:lineRule="auto"/>
              <w:ind w:right="86" w:rightChars="36" w:firstLine="420" w:firstLineChars="200"/>
              <w:jc w:val="center"/>
              <w:textAlignment w:val="auto"/>
              <w:rPr>
                <w:b/>
                <w:bCs/>
                <w:color w:val="auto"/>
                <w:sz w:val="21"/>
                <w:szCs w:val="21"/>
                <w:highlight w:val="none"/>
              </w:rPr>
            </w:pPr>
            <w:r>
              <w:rPr>
                <w:b/>
                <w:bCs/>
                <w:color w:val="auto"/>
                <w:sz w:val="21"/>
                <w:szCs w:val="21"/>
                <w:highlight w:val="none"/>
              </w:rPr>
              <w:t>表1-</w:t>
            </w:r>
            <w:r>
              <w:rPr>
                <w:rFonts w:hint="eastAsia"/>
                <w:b/>
                <w:bCs/>
                <w:color w:val="auto"/>
                <w:sz w:val="21"/>
                <w:szCs w:val="21"/>
                <w:highlight w:val="none"/>
                <w:lang w:val="en-US" w:eastAsia="zh-CN"/>
              </w:rPr>
              <w:t>3</w:t>
            </w:r>
            <w:r>
              <w:rPr>
                <w:b/>
                <w:bCs/>
                <w:color w:val="auto"/>
                <w:sz w:val="21"/>
                <w:szCs w:val="21"/>
                <w:highlight w:val="none"/>
              </w:rPr>
              <w:t xml:space="preserve"> </w:t>
            </w:r>
            <w:r>
              <w:rPr>
                <w:rFonts w:hint="eastAsia"/>
                <w:b/>
                <w:bCs/>
                <w:color w:val="auto"/>
                <w:sz w:val="21"/>
                <w:szCs w:val="21"/>
                <w:highlight w:val="none"/>
                <w:lang w:val="en-US" w:eastAsia="zh-CN"/>
              </w:rPr>
              <w:t>与韶关市生态环境分区管控方案</w:t>
            </w:r>
            <w:r>
              <w:rPr>
                <w:b/>
                <w:bCs/>
                <w:color w:val="auto"/>
                <w:sz w:val="21"/>
                <w:szCs w:val="21"/>
                <w:highlight w:val="none"/>
              </w:rPr>
              <w:t>的相符性分析</w:t>
            </w:r>
            <w:r>
              <w:rPr>
                <w:rFonts w:hint="eastAsia"/>
                <w:b/>
                <w:bCs/>
                <w:color w:val="auto"/>
                <w:sz w:val="21"/>
                <w:szCs w:val="21"/>
                <w:highlight w:val="none"/>
              </w:rPr>
              <w:t>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56"/>
              <w:gridCol w:w="584"/>
              <w:gridCol w:w="4464"/>
              <w:gridCol w:w="1951"/>
              <w:gridCol w:w="488"/>
            </w:tblGrid>
            <w:tr w14:paraId="08F84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03CC1F4D">
                  <w:pPr>
                    <w:spacing w:line="240" w:lineRule="auto"/>
                    <w:jc w:val="center"/>
                    <w:rPr>
                      <w:b/>
                      <w:bCs/>
                      <w:color w:val="auto"/>
                      <w:sz w:val="21"/>
                      <w:szCs w:val="21"/>
                      <w:highlight w:val="none"/>
                    </w:rPr>
                  </w:pPr>
                  <w:r>
                    <w:rPr>
                      <w:b/>
                      <w:bCs/>
                      <w:color w:val="auto"/>
                      <w:sz w:val="21"/>
                      <w:szCs w:val="21"/>
                      <w:highlight w:val="none"/>
                    </w:rPr>
                    <w:t>内容</w:t>
                  </w:r>
                </w:p>
              </w:tc>
              <w:tc>
                <w:tcPr>
                  <w:tcW w:w="2845" w:type="pct"/>
                  <w:tcBorders>
                    <w:tl2br w:val="nil"/>
                    <w:tr2bl w:val="nil"/>
                  </w:tcBorders>
                  <w:vAlign w:val="center"/>
                </w:tcPr>
                <w:p w14:paraId="6DAA77F3">
                  <w:pPr>
                    <w:spacing w:line="240" w:lineRule="auto"/>
                    <w:jc w:val="center"/>
                    <w:rPr>
                      <w:b/>
                      <w:bCs/>
                      <w:color w:val="auto"/>
                      <w:sz w:val="21"/>
                      <w:szCs w:val="21"/>
                      <w:highlight w:val="none"/>
                    </w:rPr>
                  </w:pPr>
                  <w:r>
                    <w:rPr>
                      <w:b/>
                      <w:bCs/>
                      <w:color w:val="auto"/>
                      <w:sz w:val="21"/>
                      <w:szCs w:val="21"/>
                      <w:highlight w:val="none"/>
                    </w:rPr>
                    <w:t>要求</w:t>
                  </w:r>
                </w:p>
              </w:tc>
              <w:tc>
                <w:tcPr>
                  <w:tcW w:w="1243" w:type="pct"/>
                  <w:tcBorders>
                    <w:tl2br w:val="nil"/>
                    <w:tr2bl w:val="nil"/>
                  </w:tcBorders>
                  <w:vAlign w:val="center"/>
                </w:tcPr>
                <w:p w14:paraId="27277DAE">
                  <w:pPr>
                    <w:spacing w:line="240" w:lineRule="auto"/>
                    <w:jc w:val="center"/>
                    <w:rPr>
                      <w:b/>
                      <w:bCs/>
                      <w:color w:val="auto"/>
                      <w:sz w:val="21"/>
                      <w:szCs w:val="21"/>
                      <w:highlight w:val="none"/>
                    </w:rPr>
                  </w:pPr>
                  <w:r>
                    <w:rPr>
                      <w:b/>
                      <w:bCs/>
                      <w:color w:val="auto"/>
                      <w:sz w:val="21"/>
                      <w:szCs w:val="21"/>
                      <w:highlight w:val="none"/>
                    </w:rPr>
                    <w:t>相符性分析</w:t>
                  </w:r>
                </w:p>
              </w:tc>
              <w:tc>
                <w:tcPr>
                  <w:tcW w:w="311" w:type="pct"/>
                  <w:tcBorders>
                    <w:tl2br w:val="nil"/>
                    <w:tr2bl w:val="nil"/>
                  </w:tcBorders>
                  <w:vAlign w:val="center"/>
                </w:tcPr>
                <w:p w14:paraId="11F7FC72">
                  <w:pPr>
                    <w:spacing w:line="240" w:lineRule="auto"/>
                    <w:jc w:val="center"/>
                    <w:rPr>
                      <w:b/>
                      <w:bCs/>
                      <w:color w:val="auto"/>
                      <w:sz w:val="21"/>
                      <w:szCs w:val="21"/>
                      <w:highlight w:val="none"/>
                    </w:rPr>
                  </w:pPr>
                  <w:r>
                    <w:rPr>
                      <w:b/>
                      <w:bCs/>
                      <w:color w:val="auto"/>
                      <w:sz w:val="21"/>
                      <w:szCs w:val="21"/>
                      <w:highlight w:val="none"/>
                    </w:rPr>
                    <w:t>结论</w:t>
                  </w:r>
                </w:p>
              </w:tc>
            </w:tr>
            <w:tr w14:paraId="05DB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61B4D147">
                  <w:pPr>
                    <w:spacing w:line="240" w:lineRule="auto"/>
                    <w:jc w:val="center"/>
                    <w:rPr>
                      <w:b/>
                      <w:bCs/>
                      <w:color w:val="auto"/>
                      <w:sz w:val="21"/>
                      <w:szCs w:val="21"/>
                      <w:highlight w:val="none"/>
                    </w:rPr>
                  </w:pPr>
                  <w:r>
                    <w:rPr>
                      <w:b/>
                      <w:bCs/>
                      <w:color w:val="auto"/>
                      <w:sz w:val="21"/>
                      <w:szCs w:val="21"/>
                      <w:highlight w:val="none"/>
                    </w:rPr>
                    <w:t>全市总体管控</w:t>
                  </w:r>
                </w:p>
              </w:tc>
              <w:tc>
                <w:tcPr>
                  <w:tcW w:w="372" w:type="pct"/>
                  <w:tcBorders>
                    <w:tl2br w:val="nil"/>
                    <w:tr2bl w:val="nil"/>
                  </w:tcBorders>
                  <w:vAlign w:val="center"/>
                </w:tcPr>
                <w:p w14:paraId="1E4EE23A">
                  <w:pPr>
                    <w:widowControl/>
                    <w:spacing w:line="240" w:lineRule="auto"/>
                    <w:jc w:val="center"/>
                    <w:rPr>
                      <w:b/>
                      <w:bCs/>
                      <w:color w:val="auto"/>
                      <w:sz w:val="21"/>
                      <w:szCs w:val="21"/>
                      <w:highlight w:val="none"/>
                    </w:rPr>
                  </w:pPr>
                  <w:r>
                    <w:rPr>
                      <w:color w:val="auto"/>
                      <w:kern w:val="0"/>
                      <w:sz w:val="21"/>
                      <w:szCs w:val="21"/>
                      <w:highlight w:val="none"/>
                    </w:rPr>
                    <w:t>区域布局管控</w:t>
                  </w:r>
                </w:p>
              </w:tc>
              <w:tc>
                <w:tcPr>
                  <w:tcW w:w="2845" w:type="pct"/>
                  <w:tcBorders>
                    <w:tl2br w:val="nil"/>
                    <w:tr2bl w:val="nil"/>
                  </w:tcBorders>
                  <w:vAlign w:val="center"/>
                </w:tcPr>
                <w:p w14:paraId="24DBB539">
                  <w:pPr>
                    <w:spacing w:line="240" w:lineRule="auto"/>
                    <w:jc w:val="both"/>
                    <w:rPr>
                      <w:b/>
                      <w:bCs/>
                      <w:color w:val="auto"/>
                      <w:sz w:val="21"/>
                      <w:szCs w:val="21"/>
                      <w:highlight w:val="none"/>
                    </w:rPr>
                  </w:pPr>
                  <w:r>
                    <w:rPr>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w:t>
                  </w:r>
                  <w:r>
                    <w:rPr>
                      <w:rFonts w:hint="eastAsia"/>
                      <w:color w:val="auto"/>
                      <w:sz w:val="21"/>
                      <w:szCs w:val="21"/>
                      <w:highlight w:val="none"/>
                    </w:rPr>
                    <w:t>（</w:t>
                  </w:r>
                  <w:r>
                    <w:rPr>
                      <w:color w:val="auto"/>
                      <w:sz w:val="21"/>
                      <w:szCs w:val="21"/>
                      <w:highlight w:val="none"/>
                    </w:rPr>
                    <w:t>丰城街道、梅坑镇、黄礤镇、马头镇</w:t>
                  </w:r>
                  <w:r>
                    <w:rPr>
                      <w:rFonts w:hint="eastAsia"/>
                      <w:color w:val="auto"/>
                      <w:sz w:val="21"/>
                      <w:szCs w:val="21"/>
                      <w:highlight w:val="none"/>
                    </w:rPr>
                    <w:t>）</w:t>
                  </w:r>
                  <w:r>
                    <w:rPr>
                      <w:color w:val="auto"/>
                      <w:sz w:val="21"/>
                      <w:szCs w:val="21"/>
                      <w:highlight w:val="none"/>
                    </w:rPr>
                    <w:t>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372EDA1E">
                  <w:pPr>
                    <w:spacing w:line="240" w:lineRule="auto"/>
                    <w:jc w:val="both"/>
                    <w:rPr>
                      <w:color w:val="auto"/>
                      <w:sz w:val="21"/>
                      <w:szCs w:val="21"/>
                      <w:highlight w:val="none"/>
                    </w:rPr>
                  </w:pPr>
                  <w:r>
                    <w:rPr>
                      <w:color w:val="auto"/>
                      <w:sz w:val="21"/>
                      <w:szCs w:val="21"/>
                      <w:highlight w:val="none"/>
                    </w:rPr>
                    <w:t>本项目为项目主要从事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，不涉重金属，不属于高污染高耗能行业，项目位于乐昌产业转移工业园，园区已开展规划环境评价，项目符合园区准入条件。项目所在地属于环境功能二类区、水环境质量达标区。</w:t>
                  </w:r>
                </w:p>
              </w:tc>
              <w:tc>
                <w:tcPr>
                  <w:tcW w:w="311" w:type="pct"/>
                  <w:tcBorders>
                    <w:tl2br w:val="nil"/>
                    <w:tr2bl w:val="nil"/>
                  </w:tcBorders>
                  <w:vAlign w:val="center"/>
                </w:tcPr>
                <w:p w14:paraId="76A22841">
                  <w:pPr>
                    <w:spacing w:line="240" w:lineRule="auto"/>
                    <w:jc w:val="center"/>
                    <w:rPr>
                      <w:b/>
                      <w:bCs/>
                      <w:color w:val="auto"/>
                      <w:sz w:val="21"/>
                      <w:szCs w:val="21"/>
                      <w:highlight w:val="none"/>
                    </w:rPr>
                  </w:pPr>
                  <w:r>
                    <w:rPr>
                      <w:color w:val="auto"/>
                      <w:sz w:val="21"/>
                      <w:szCs w:val="21"/>
                      <w:highlight w:val="none"/>
                    </w:rPr>
                    <w:t>符合</w:t>
                  </w:r>
                </w:p>
              </w:tc>
            </w:tr>
            <w:tr w14:paraId="078AE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F89A518">
                  <w:pPr>
                    <w:spacing w:line="240" w:lineRule="auto"/>
                    <w:jc w:val="center"/>
                    <w:rPr>
                      <w:b/>
                      <w:bCs/>
                      <w:color w:val="auto"/>
                      <w:sz w:val="21"/>
                      <w:szCs w:val="21"/>
                      <w:highlight w:val="none"/>
                    </w:rPr>
                  </w:pPr>
                </w:p>
              </w:tc>
              <w:tc>
                <w:tcPr>
                  <w:tcW w:w="372" w:type="pct"/>
                  <w:tcBorders>
                    <w:tl2br w:val="nil"/>
                    <w:tr2bl w:val="nil"/>
                  </w:tcBorders>
                  <w:vAlign w:val="center"/>
                </w:tcPr>
                <w:p w14:paraId="2CF88520">
                  <w:pPr>
                    <w:spacing w:line="240" w:lineRule="auto"/>
                    <w:jc w:val="center"/>
                    <w:rPr>
                      <w:color w:val="auto"/>
                      <w:sz w:val="21"/>
                      <w:szCs w:val="21"/>
                      <w:highlight w:val="none"/>
                    </w:rPr>
                  </w:pPr>
                  <w:r>
                    <w:rPr>
                      <w:color w:val="auto"/>
                      <w:sz w:val="21"/>
                      <w:szCs w:val="21"/>
                      <w:highlight w:val="none"/>
                    </w:rPr>
                    <w:t>能源资源利用</w:t>
                  </w:r>
                </w:p>
              </w:tc>
              <w:tc>
                <w:tcPr>
                  <w:tcW w:w="2845" w:type="pct"/>
                  <w:tcBorders>
                    <w:tl2br w:val="nil"/>
                    <w:tr2bl w:val="nil"/>
                  </w:tcBorders>
                  <w:vAlign w:val="center"/>
                </w:tcPr>
                <w:p w14:paraId="31C40A83">
                  <w:pPr>
                    <w:spacing w:line="240" w:lineRule="auto"/>
                    <w:jc w:val="both"/>
                    <w:rPr>
                      <w:color w:val="auto"/>
                      <w:sz w:val="21"/>
                      <w:szCs w:val="21"/>
                      <w:highlight w:val="none"/>
                    </w:rPr>
                  </w:pPr>
                  <w:r>
                    <w:rPr>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26241C34">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，不属于电力、建材、冶炼等重点耗能行业，不涉及水电、风电、矿产资源开发。</w:t>
                  </w:r>
                </w:p>
              </w:tc>
              <w:tc>
                <w:tcPr>
                  <w:tcW w:w="311" w:type="pct"/>
                  <w:tcBorders>
                    <w:tl2br w:val="nil"/>
                    <w:tr2bl w:val="nil"/>
                  </w:tcBorders>
                  <w:vAlign w:val="center"/>
                </w:tcPr>
                <w:p w14:paraId="6DA4C4C3">
                  <w:pPr>
                    <w:spacing w:line="240" w:lineRule="auto"/>
                    <w:jc w:val="center"/>
                    <w:rPr>
                      <w:b/>
                      <w:bCs/>
                      <w:color w:val="auto"/>
                      <w:sz w:val="21"/>
                      <w:szCs w:val="21"/>
                      <w:highlight w:val="none"/>
                    </w:rPr>
                  </w:pPr>
                  <w:r>
                    <w:rPr>
                      <w:color w:val="auto"/>
                      <w:sz w:val="21"/>
                      <w:szCs w:val="21"/>
                      <w:highlight w:val="none"/>
                    </w:rPr>
                    <w:t>符合</w:t>
                  </w:r>
                </w:p>
              </w:tc>
            </w:tr>
            <w:tr w14:paraId="779F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B8FA5B7">
                  <w:pPr>
                    <w:spacing w:line="240" w:lineRule="auto"/>
                    <w:jc w:val="center"/>
                    <w:rPr>
                      <w:b/>
                      <w:bCs/>
                      <w:color w:val="auto"/>
                      <w:sz w:val="21"/>
                      <w:szCs w:val="21"/>
                      <w:highlight w:val="none"/>
                    </w:rPr>
                  </w:pPr>
                </w:p>
              </w:tc>
              <w:tc>
                <w:tcPr>
                  <w:tcW w:w="372" w:type="pct"/>
                  <w:tcBorders>
                    <w:tl2br w:val="nil"/>
                    <w:tr2bl w:val="nil"/>
                  </w:tcBorders>
                  <w:vAlign w:val="center"/>
                </w:tcPr>
                <w:p w14:paraId="0BF0763C">
                  <w:pPr>
                    <w:spacing w:line="240" w:lineRule="auto"/>
                    <w:jc w:val="center"/>
                    <w:rPr>
                      <w:b/>
                      <w:bCs/>
                      <w:color w:val="auto"/>
                      <w:sz w:val="21"/>
                      <w:szCs w:val="21"/>
                      <w:highlight w:val="none"/>
                    </w:rPr>
                  </w:pPr>
                  <w:r>
                    <w:rPr>
                      <w:b/>
                      <w:bCs/>
                      <w:color w:val="auto"/>
                      <w:sz w:val="21"/>
                      <w:szCs w:val="21"/>
                      <w:highlight w:val="none"/>
                    </w:rPr>
                    <w:t>污染物排放管控</w:t>
                  </w:r>
                </w:p>
              </w:tc>
              <w:tc>
                <w:tcPr>
                  <w:tcW w:w="2845" w:type="pct"/>
                  <w:tcBorders>
                    <w:tl2br w:val="nil"/>
                    <w:tr2bl w:val="nil"/>
                  </w:tcBorders>
                  <w:vAlign w:val="center"/>
                </w:tcPr>
                <w:p w14:paraId="0A29E93D">
                  <w:pPr>
                    <w:spacing w:line="240" w:lineRule="auto"/>
                    <w:jc w:val="both"/>
                    <w:rPr>
                      <w:color w:val="auto"/>
                      <w:sz w:val="21"/>
                      <w:szCs w:val="21"/>
                      <w:highlight w:val="none"/>
                    </w:rPr>
                  </w:pPr>
                  <w:r>
                    <w:rPr>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w:t>
                  </w:r>
                  <w:r>
                    <w:rPr>
                      <w:rFonts w:hint="eastAsia"/>
                      <w:color w:val="auto"/>
                      <w:sz w:val="21"/>
                      <w:szCs w:val="21"/>
                      <w:highlight w:val="none"/>
                    </w:rPr>
                    <w:t>（</w:t>
                  </w:r>
                  <w:r>
                    <w:rPr>
                      <w:color w:val="auto"/>
                      <w:sz w:val="21"/>
                      <w:szCs w:val="21"/>
                      <w:highlight w:val="none"/>
                    </w:rPr>
                    <w:t>VOCs</w:t>
                  </w:r>
                  <w:r>
                    <w:rPr>
                      <w:rFonts w:hint="eastAsia"/>
                      <w:color w:val="auto"/>
                      <w:sz w:val="21"/>
                      <w:szCs w:val="21"/>
                      <w:highlight w:val="none"/>
                    </w:rPr>
                    <w:t>）</w:t>
                  </w:r>
                  <w:r>
                    <w:rPr>
                      <w:color w:val="auto"/>
                      <w:sz w:val="21"/>
                      <w:szCs w:val="21"/>
                      <w:highlight w:val="none"/>
                    </w:rPr>
                    <w:t>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1CCC4FD7">
                  <w:pPr>
                    <w:spacing w:line="240" w:lineRule="auto"/>
                    <w:jc w:val="both"/>
                    <w:rPr>
                      <w:color w:val="auto"/>
                      <w:sz w:val="21"/>
                      <w:szCs w:val="21"/>
                      <w:highlight w:val="none"/>
                    </w:rPr>
                  </w:pPr>
                  <w:r>
                    <w:rPr>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71EFB402">
                  <w:pPr>
                    <w:spacing w:line="240" w:lineRule="auto"/>
                    <w:jc w:val="both"/>
                    <w:rPr>
                      <w:color w:val="auto"/>
                      <w:sz w:val="21"/>
                      <w:szCs w:val="21"/>
                      <w:highlight w:val="none"/>
                    </w:rPr>
                  </w:pPr>
                  <w:r>
                    <w:rPr>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42D97A19">
                  <w:pPr>
                    <w:spacing w:line="240" w:lineRule="auto"/>
                    <w:jc w:val="both"/>
                    <w:rPr>
                      <w:b/>
                      <w:bCs/>
                      <w:color w:val="auto"/>
                      <w:sz w:val="21"/>
                      <w:szCs w:val="21"/>
                      <w:highlight w:val="none"/>
                    </w:rPr>
                  </w:pPr>
                  <w:r>
                    <w:rPr>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1C356890">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玻璃纤维增强塑料制品、碳纤维制品、生活用品等产品制造</w:t>
                  </w:r>
                  <w:r>
                    <w:rPr>
                      <w:color w:val="auto"/>
                      <w:sz w:val="21"/>
                      <w:szCs w:val="21"/>
                      <w:highlight w:val="none"/>
                    </w:rPr>
                    <w:t>，不属于造纸、焦化、有色金属、印染、农副食品加工、原料药制造、制革、农药、电镀等行业，不属于“两高”项目。项目所在地不涉及饮用水水源保护区，生活污水</w:t>
                  </w:r>
                  <w:r>
                    <w:rPr>
                      <w:rFonts w:hint="eastAsia"/>
                      <w:color w:val="auto"/>
                      <w:sz w:val="21"/>
                      <w:szCs w:val="21"/>
                      <w:highlight w:val="none"/>
                    </w:rPr>
                    <w:t>经三级化粪</w:t>
                  </w:r>
                  <w:r>
                    <w:rPr>
                      <w:color w:val="auto"/>
                      <w:sz w:val="21"/>
                      <w:szCs w:val="21"/>
                      <w:highlight w:val="none"/>
                    </w:rPr>
                    <w:t>池处理后排入园区污水处理厂，园区污水处理厂执行《城镇污水处理厂污染物排放标准》(GB18918-2002)中一级B标准和广东省《水污染物排放限值</w:t>
                  </w:r>
                  <w:r>
                    <w:rPr>
                      <w:rFonts w:hint="eastAsia"/>
                      <w:color w:val="auto"/>
                      <w:sz w:val="21"/>
                      <w:szCs w:val="21"/>
                      <w:highlight w:val="none"/>
                      <w:lang w:eastAsia="zh-CN"/>
                    </w:rPr>
                    <w:t>》</w:t>
                  </w:r>
                  <w:r>
                    <w:rPr>
                      <w:color w:val="auto"/>
                      <w:sz w:val="21"/>
                      <w:szCs w:val="21"/>
                      <w:highlight w:val="none"/>
                    </w:rPr>
                    <w:t>（DB44/26-2001）中的第二时段一级排放标准中严者。</w:t>
                  </w:r>
                </w:p>
              </w:tc>
              <w:tc>
                <w:tcPr>
                  <w:tcW w:w="311" w:type="pct"/>
                  <w:tcBorders>
                    <w:tl2br w:val="nil"/>
                    <w:tr2bl w:val="nil"/>
                  </w:tcBorders>
                  <w:vAlign w:val="center"/>
                </w:tcPr>
                <w:p w14:paraId="6B1AD50B">
                  <w:pPr>
                    <w:spacing w:line="240" w:lineRule="auto"/>
                    <w:jc w:val="center"/>
                    <w:rPr>
                      <w:b/>
                      <w:bCs/>
                      <w:color w:val="auto"/>
                      <w:sz w:val="21"/>
                      <w:szCs w:val="21"/>
                      <w:highlight w:val="none"/>
                    </w:rPr>
                  </w:pPr>
                  <w:r>
                    <w:rPr>
                      <w:color w:val="auto"/>
                      <w:sz w:val="21"/>
                      <w:szCs w:val="21"/>
                      <w:highlight w:val="none"/>
                    </w:rPr>
                    <w:t>符合</w:t>
                  </w:r>
                </w:p>
              </w:tc>
            </w:tr>
            <w:tr w14:paraId="3C4F4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35C61C44">
                  <w:pPr>
                    <w:spacing w:line="240" w:lineRule="auto"/>
                    <w:jc w:val="center"/>
                    <w:rPr>
                      <w:color w:val="auto"/>
                      <w:sz w:val="21"/>
                      <w:szCs w:val="21"/>
                      <w:highlight w:val="none"/>
                    </w:rPr>
                  </w:pPr>
                </w:p>
              </w:tc>
              <w:tc>
                <w:tcPr>
                  <w:tcW w:w="372" w:type="pct"/>
                  <w:tcBorders>
                    <w:tl2br w:val="nil"/>
                    <w:tr2bl w:val="nil"/>
                  </w:tcBorders>
                  <w:vAlign w:val="center"/>
                </w:tcPr>
                <w:p w14:paraId="32D8AA50">
                  <w:pPr>
                    <w:spacing w:line="240" w:lineRule="auto"/>
                    <w:jc w:val="center"/>
                    <w:rPr>
                      <w:color w:val="auto"/>
                      <w:sz w:val="21"/>
                      <w:szCs w:val="21"/>
                      <w:highlight w:val="none"/>
                    </w:rPr>
                  </w:pPr>
                  <w:r>
                    <w:rPr>
                      <w:color w:val="auto"/>
                      <w:sz w:val="21"/>
                      <w:szCs w:val="21"/>
                      <w:highlight w:val="none"/>
                    </w:rPr>
                    <w:t>环境风险管控</w:t>
                  </w:r>
                </w:p>
              </w:tc>
              <w:tc>
                <w:tcPr>
                  <w:tcW w:w="2845" w:type="pct"/>
                  <w:tcBorders>
                    <w:tl2br w:val="nil"/>
                    <w:tr2bl w:val="nil"/>
                  </w:tcBorders>
                  <w:vAlign w:val="center"/>
                </w:tcPr>
                <w:p w14:paraId="421440B0">
                  <w:pPr>
                    <w:spacing w:line="240" w:lineRule="auto"/>
                    <w:jc w:val="both"/>
                    <w:rPr>
                      <w:color w:val="auto"/>
                      <w:sz w:val="21"/>
                      <w:szCs w:val="21"/>
                      <w:highlight w:val="none"/>
                    </w:rPr>
                  </w:pPr>
                  <w:r>
                    <w:rPr>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w:t>
                  </w:r>
                  <w:r>
                    <w:rPr>
                      <w:rFonts w:hint="eastAsia"/>
                      <w:color w:val="auto"/>
                      <w:sz w:val="21"/>
                      <w:szCs w:val="21"/>
                      <w:highlight w:val="none"/>
                    </w:rPr>
                    <w:t>（</w:t>
                  </w:r>
                  <w:r>
                    <w:rPr>
                      <w:color w:val="auto"/>
                      <w:sz w:val="21"/>
                      <w:szCs w:val="21"/>
                      <w:highlight w:val="none"/>
                    </w:rPr>
                    <w:t>事件</w:t>
                  </w:r>
                  <w:r>
                    <w:rPr>
                      <w:rFonts w:hint="eastAsia"/>
                      <w:color w:val="auto"/>
                      <w:sz w:val="21"/>
                      <w:szCs w:val="21"/>
                      <w:highlight w:val="none"/>
                    </w:rPr>
                    <w:t>）</w:t>
                  </w:r>
                  <w:r>
                    <w:rPr>
                      <w:color w:val="auto"/>
                      <w:sz w:val="21"/>
                      <w:szCs w:val="21"/>
                      <w:highlight w:val="none"/>
                    </w:rPr>
                    <w:t>引发的次生环境风险事故</w:t>
                  </w:r>
                  <w:r>
                    <w:rPr>
                      <w:rFonts w:hint="eastAsia"/>
                      <w:color w:val="auto"/>
                      <w:sz w:val="21"/>
                      <w:szCs w:val="21"/>
                      <w:highlight w:val="none"/>
                    </w:rPr>
                    <w:t>（</w:t>
                  </w:r>
                  <w:r>
                    <w:rPr>
                      <w:color w:val="auto"/>
                      <w:sz w:val="21"/>
                      <w:szCs w:val="21"/>
                      <w:highlight w:val="none"/>
                    </w:rPr>
                    <w:t>事件</w:t>
                  </w:r>
                  <w:r>
                    <w:rPr>
                      <w:rFonts w:hint="eastAsia"/>
                      <w:color w:val="auto"/>
                      <w:sz w:val="21"/>
                      <w:szCs w:val="21"/>
                      <w:highlight w:val="none"/>
                    </w:rPr>
                    <w:t>）。</w:t>
                  </w:r>
                </w:p>
              </w:tc>
              <w:tc>
                <w:tcPr>
                  <w:tcW w:w="1243" w:type="pct"/>
                  <w:tcBorders>
                    <w:tl2br w:val="nil"/>
                    <w:tr2bl w:val="nil"/>
                  </w:tcBorders>
                  <w:vAlign w:val="center"/>
                </w:tcPr>
                <w:p w14:paraId="7AC5495B">
                  <w:pPr>
                    <w:spacing w:line="240" w:lineRule="auto"/>
                    <w:jc w:val="both"/>
                    <w:rPr>
                      <w:color w:val="auto"/>
                      <w:sz w:val="21"/>
                      <w:szCs w:val="21"/>
                      <w:highlight w:val="none"/>
                    </w:rPr>
                  </w:pPr>
                  <w:r>
                    <w:rPr>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30A9924F">
                  <w:pPr>
                    <w:spacing w:line="240" w:lineRule="auto"/>
                    <w:jc w:val="center"/>
                    <w:rPr>
                      <w:color w:val="auto"/>
                      <w:sz w:val="21"/>
                      <w:szCs w:val="21"/>
                      <w:highlight w:val="none"/>
                    </w:rPr>
                  </w:pPr>
                  <w:r>
                    <w:rPr>
                      <w:color w:val="auto"/>
                      <w:sz w:val="21"/>
                      <w:szCs w:val="21"/>
                      <w:highlight w:val="none"/>
                    </w:rPr>
                    <w:t>符合</w:t>
                  </w:r>
                </w:p>
              </w:tc>
            </w:tr>
            <w:tr w14:paraId="34312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4794E51F">
                  <w:pPr>
                    <w:spacing w:line="240" w:lineRule="auto"/>
                    <w:jc w:val="center"/>
                    <w:rPr>
                      <w:color w:val="auto"/>
                      <w:sz w:val="21"/>
                      <w:szCs w:val="21"/>
                      <w:highlight w:val="none"/>
                    </w:rPr>
                  </w:pPr>
                  <w:r>
                    <w:rPr>
                      <w:rFonts w:hint="eastAsia"/>
                      <w:color w:val="auto"/>
                      <w:sz w:val="21"/>
                      <w:szCs w:val="21"/>
                      <w:highlight w:val="none"/>
                    </w:rPr>
                    <w:t>生态环境准入清单</w:t>
                  </w:r>
                </w:p>
              </w:tc>
              <w:tc>
                <w:tcPr>
                  <w:tcW w:w="372" w:type="pct"/>
                  <w:tcBorders>
                    <w:tl2br w:val="nil"/>
                    <w:tr2bl w:val="nil"/>
                  </w:tcBorders>
                  <w:vAlign w:val="center"/>
                </w:tcPr>
                <w:p w14:paraId="7F5685E4">
                  <w:pPr>
                    <w:spacing w:line="240" w:lineRule="auto"/>
                    <w:jc w:val="center"/>
                    <w:rPr>
                      <w:color w:val="auto"/>
                      <w:sz w:val="21"/>
                      <w:szCs w:val="21"/>
                      <w:highlight w:val="none"/>
                    </w:rPr>
                  </w:pPr>
                  <w:r>
                    <w:rPr>
                      <w:color w:val="auto"/>
                      <w:sz w:val="21"/>
                      <w:szCs w:val="21"/>
                      <w:highlight w:val="none"/>
                    </w:rPr>
                    <w:t>区域布局管控</w:t>
                  </w:r>
                </w:p>
              </w:tc>
              <w:tc>
                <w:tcPr>
                  <w:tcW w:w="2845" w:type="pct"/>
                  <w:tcBorders>
                    <w:tl2br w:val="nil"/>
                    <w:tr2bl w:val="nil"/>
                  </w:tcBorders>
                  <w:vAlign w:val="center"/>
                </w:tcPr>
                <w:p w14:paraId="62348E71">
                  <w:pPr>
                    <w:spacing w:line="240" w:lineRule="auto"/>
                    <w:jc w:val="both"/>
                    <w:rPr>
                      <w:color w:val="auto"/>
                      <w:sz w:val="21"/>
                      <w:szCs w:val="21"/>
                      <w:highlight w:val="none"/>
                    </w:rPr>
                  </w:pPr>
                  <w:r>
                    <w:rPr>
                      <w:color w:val="auto"/>
                      <w:sz w:val="21"/>
                      <w:szCs w:val="21"/>
                      <w:highlight w:val="none"/>
                    </w:rPr>
                    <w:t>1-1.【产业/鼓励引导类】重点发展现代轻工产业（消费电子等）、先进装备制造业等产业，优先引进无污染物或轻污染项目。</w:t>
                  </w:r>
                </w:p>
                <w:p w14:paraId="213A6E77">
                  <w:pPr>
                    <w:spacing w:line="240" w:lineRule="auto"/>
                    <w:jc w:val="both"/>
                    <w:rPr>
                      <w:color w:val="auto"/>
                      <w:sz w:val="21"/>
                      <w:szCs w:val="21"/>
                      <w:highlight w:val="none"/>
                    </w:rPr>
                  </w:pPr>
                  <w:r>
                    <w:rPr>
                      <w:color w:val="auto"/>
                      <w:sz w:val="21"/>
                      <w:szCs w:val="21"/>
                      <w:highlight w:val="none"/>
                    </w:rPr>
                    <w:t>1-2.【产业/禁止类】园区禁止引入专业电镀、化学制浆、鞣革等水污染物排放量大或排放一类污染物、持久性有机污染物的项目。</w:t>
                  </w:r>
                </w:p>
                <w:p w14:paraId="22DD7890">
                  <w:pPr>
                    <w:spacing w:line="240" w:lineRule="auto"/>
                    <w:jc w:val="both"/>
                    <w:rPr>
                      <w:color w:val="auto"/>
                      <w:sz w:val="21"/>
                      <w:szCs w:val="21"/>
                      <w:highlight w:val="none"/>
                    </w:rPr>
                  </w:pPr>
                  <w:r>
                    <w:rPr>
                      <w:color w:val="auto"/>
                      <w:sz w:val="21"/>
                      <w:szCs w:val="21"/>
                      <w:highlight w:val="none"/>
                    </w:rPr>
                    <w:t>1-3.【产业/限制类】严格限制不符合园区发展定位的项目入驻。</w:t>
                  </w:r>
                </w:p>
                <w:p w14:paraId="32B91DC0">
                  <w:pPr>
                    <w:spacing w:line="240" w:lineRule="auto"/>
                    <w:jc w:val="both"/>
                    <w:rPr>
                      <w:color w:val="auto"/>
                      <w:sz w:val="21"/>
                      <w:szCs w:val="21"/>
                      <w:highlight w:val="none"/>
                    </w:rPr>
                  </w:pPr>
                  <w:r>
                    <w:rPr>
                      <w:color w:val="auto"/>
                      <w:sz w:val="21"/>
                      <w:szCs w:val="21"/>
                      <w:highlight w:val="none"/>
                    </w:rPr>
                    <w:t>1-4.【产业/综合类】居民区、学校等环境敏感点邻近地块优先布局废气排放量小、工业噪声影响小的产业。</w:t>
                  </w:r>
                </w:p>
              </w:tc>
              <w:tc>
                <w:tcPr>
                  <w:tcW w:w="1243" w:type="pct"/>
                  <w:tcBorders>
                    <w:tl2br w:val="nil"/>
                    <w:tr2bl w:val="nil"/>
                  </w:tcBorders>
                  <w:vAlign w:val="center"/>
                </w:tcPr>
                <w:p w14:paraId="513D96CF">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，不属于专业电镀、化学制浆、鞣革等水污染物排放量大或排放一类污染物、持久性有机污染物的项目</w:t>
                  </w:r>
                  <w:r>
                    <w:rPr>
                      <w:rFonts w:hint="eastAsia"/>
                      <w:color w:val="auto"/>
                      <w:sz w:val="21"/>
                      <w:szCs w:val="21"/>
                      <w:highlight w:val="none"/>
                    </w:rPr>
                    <w:t>；</w:t>
                  </w:r>
                  <w:r>
                    <w:rPr>
                      <w:color w:val="auto"/>
                      <w:sz w:val="21"/>
                      <w:szCs w:val="21"/>
                      <w:highlight w:val="none"/>
                    </w:rPr>
                    <w:t>项目符合园区发展定位</w:t>
                  </w:r>
                  <w:r>
                    <w:rPr>
                      <w:rFonts w:hint="eastAsia"/>
                      <w:color w:val="auto"/>
                      <w:sz w:val="21"/>
                      <w:szCs w:val="21"/>
                      <w:highlight w:val="none"/>
                    </w:rPr>
                    <w:t>；</w:t>
                  </w:r>
                  <w:r>
                    <w:rPr>
                      <w:color w:val="auto"/>
                      <w:sz w:val="21"/>
                      <w:szCs w:val="21"/>
                      <w:highlight w:val="none"/>
                    </w:rPr>
                    <w:t>周边无居民区、学校等敏感点。</w:t>
                  </w:r>
                </w:p>
              </w:tc>
              <w:tc>
                <w:tcPr>
                  <w:tcW w:w="311" w:type="pct"/>
                  <w:tcBorders>
                    <w:tl2br w:val="nil"/>
                    <w:tr2bl w:val="nil"/>
                  </w:tcBorders>
                  <w:vAlign w:val="center"/>
                </w:tcPr>
                <w:p w14:paraId="2A9A5959">
                  <w:pPr>
                    <w:spacing w:line="240" w:lineRule="auto"/>
                    <w:ind w:right="86" w:rightChars="36"/>
                    <w:jc w:val="center"/>
                    <w:rPr>
                      <w:color w:val="auto"/>
                      <w:sz w:val="21"/>
                      <w:szCs w:val="21"/>
                      <w:highlight w:val="none"/>
                    </w:rPr>
                  </w:pPr>
                  <w:r>
                    <w:rPr>
                      <w:color w:val="auto"/>
                      <w:sz w:val="21"/>
                      <w:szCs w:val="21"/>
                      <w:highlight w:val="none"/>
                    </w:rPr>
                    <w:t>符合</w:t>
                  </w:r>
                </w:p>
              </w:tc>
            </w:tr>
            <w:tr w14:paraId="2DD73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5BA82954">
                  <w:pPr>
                    <w:spacing w:line="240" w:lineRule="auto"/>
                    <w:jc w:val="center"/>
                    <w:rPr>
                      <w:color w:val="auto"/>
                      <w:sz w:val="21"/>
                      <w:szCs w:val="21"/>
                      <w:highlight w:val="none"/>
                    </w:rPr>
                  </w:pPr>
                </w:p>
              </w:tc>
              <w:tc>
                <w:tcPr>
                  <w:tcW w:w="372" w:type="pct"/>
                  <w:tcBorders>
                    <w:tl2br w:val="nil"/>
                    <w:tr2bl w:val="nil"/>
                  </w:tcBorders>
                  <w:vAlign w:val="center"/>
                </w:tcPr>
                <w:p w14:paraId="1E490604">
                  <w:pPr>
                    <w:spacing w:line="240" w:lineRule="auto"/>
                    <w:jc w:val="center"/>
                    <w:rPr>
                      <w:color w:val="auto"/>
                      <w:sz w:val="21"/>
                      <w:szCs w:val="21"/>
                      <w:highlight w:val="none"/>
                    </w:rPr>
                  </w:pPr>
                  <w:r>
                    <w:rPr>
                      <w:color w:val="auto"/>
                      <w:sz w:val="21"/>
                      <w:szCs w:val="21"/>
                      <w:highlight w:val="none"/>
                    </w:rPr>
                    <w:t>能源资源利用</w:t>
                  </w:r>
                </w:p>
              </w:tc>
              <w:tc>
                <w:tcPr>
                  <w:tcW w:w="2845" w:type="pct"/>
                  <w:tcBorders>
                    <w:tl2br w:val="nil"/>
                    <w:tr2bl w:val="nil"/>
                  </w:tcBorders>
                  <w:vAlign w:val="center"/>
                </w:tcPr>
                <w:p w14:paraId="480FE2D9">
                  <w:pPr>
                    <w:spacing w:line="240" w:lineRule="auto"/>
                    <w:jc w:val="both"/>
                    <w:rPr>
                      <w:color w:val="auto"/>
                      <w:sz w:val="21"/>
                      <w:szCs w:val="21"/>
                      <w:highlight w:val="none"/>
                    </w:rPr>
                  </w:pPr>
                  <w:r>
                    <w:rPr>
                      <w:color w:val="auto"/>
                      <w:sz w:val="21"/>
                      <w:szCs w:val="21"/>
                      <w:highlight w:val="none"/>
                    </w:rPr>
                    <w:t>2-1.【能源/鼓励引导类】园区内能源结构应以电能、燃气等清洁能源为主。</w:t>
                  </w:r>
                </w:p>
                <w:p w14:paraId="0F594AA3">
                  <w:pPr>
                    <w:spacing w:line="240" w:lineRule="auto"/>
                    <w:jc w:val="both"/>
                    <w:rPr>
                      <w:color w:val="auto"/>
                      <w:sz w:val="21"/>
                      <w:szCs w:val="21"/>
                      <w:highlight w:val="none"/>
                    </w:rPr>
                  </w:pPr>
                  <w:r>
                    <w:rPr>
                      <w:color w:val="auto"/>
                      <w:sz w:val="21"/>
                      <w:szCs w:val="21"/>
                      <w:highlight w:val="none"/>
                    </w:rPr>
                    <w:t>2-2.【水资源/综合类】提高园区水资源利用效率，加快中水回用系统建设</w:t>
                  </w:r>
                  <w:r>
                    <w:rPr>
                      <w:rFonts w:hint="eastAsia"/>
                      <w:color w:val="auto"/>
                      <w:sz w:val="21"/>
                      <w:szCs w:val="21"/>
                      <w:highlight w:val="none"/>
                    </w:rPr>
                    <w:t>。</w:t>
                  </w:r>
                </w:p>
                <w:p w14:paraId="1B2193D4">
                  <w:pPr>
                    <w:spacing w:line="240" w:lineRule="auto"/>
                    <w:jc w:val="both"/>
                    <w:rPr>
                      <w:color w:val="auto"/>
                      <w:sz w:val="21"/>
                      <w:szCs w:val="21"/>
                      <w:highlight w:val="none"/>
                    </w:rPr>
                  </w:pPr>
                  <w:r>
                    <w:rPr>
                      <w:color w:val="auto"/>
                      <w:sz w:val="21"/>
                      <w:szCs w:val="21"/>
                      <w:highlight w:val="none"/>
                    </w:rPr>
                    <w:t>2-3.【其他/综合类】有行业清洁生产标准的新引进项目清洁生产水平须达到本行业国内先进水平。</w:t>
                  </w:r>
                </w:p>
              </w:tc>
              <w:tc>
                <w:tcPr>
                  <w:tcW w:w="1243" w:type="pct"/>
                  <w:tcBorders>
                    <w:tl2br w:val="nil"/>
                    <w:tr2bl w:val="nil"/>
                  </w:tcBorders>
                  <w:vAlign w:val="center"/>
                </w:tcPr>
                <w:p w14:paraId="127AD33F">
                  <w:pPr>
                    <w:spacing w:line="240" w:lineRule="auto"/>
                    <w:jc w:val="both"/>
                    <w:rPr>
                      <w:color w:val="auto"/>
                      <w:sz w:val="21"/>
                      <w:szCs w:val="21"/>
                      <w:highlight w:val="none"/>
                    </w:rPr>
                  </w:pPr>
                  <w:r>
                    <w:rPr>
                      <w:color w:val="auto"/>
                      <w:sz w:val="21"/>
                      <w:szCs w:val="21"/>
                      <w:highlight w:val="none"/>
                    </w:rPr>
                    <w:t>项目以主要电能作为生产能源，属于清洁能源</w:t>
                  </w:r>
                  <w:r>
                    <w:rPr>
                      <w:rFonts w:hint="eastAsia"/>
                      <w:color w:val="auto"/>
                      <w:sz w:val="21"/>
                      <w:szCs w:val="21"/>
                      <w:highlight w:val="none"/>
                    </w:rPr>
                    <w:t>；项目</w:t>
                  </w:r>
                  <w:r>
                    <w:rPr>
                      <w:rFonts w:hint="eastAsia"/>
                      <w:color w:val="auto"/>
                      <w:sz w:val="21"/>
                      <w:szCs w:val="21"/>
                      <w:highlight w:val="none"/>
                      <w:lang w:val="en-US" w:eastAsia="zh-CN"/>
                    </w:rPr>
                    <w:t>生活污水</w:t>
                  </w:r>
                  <w:r>
                    <w:rPr>
                      <w:rFonts w:hint="eastAsia"/>
                      <w:color w:val="auto"/>
                      <w:sz w:val="21"/>
                      <w:szCs w:val="21"/>
                      <w:highlight w:val="none"/>
                    </w:rPr>
                    <w:t>经</w:t>
                  </w:r>
                  <w:r>
                    <w:rPr>
                      <w:rFonts w:hint="eastAsia"/>
                      <w:color w:val="auto"/>
                      <w:sz w:val="21"/>
                      <w:szCs w:val="21"/>
                      <w:highlight w:val="none"/>
                      <w:lang w:val="en-US" w:eastAsia="zh-CN"/>
                    </w:rPr>
                    <w:t>三级化粪池</w:t>
                  </w:r>
                  <w:r>
                    <w:rPr>
                      <w:rFonts w:hint="eastAsia"/>
                      <w:color w:val="auto"/>
                      <w:sz w:val="21"/>
                      <w:szCs w:val="21"/>
                      <w:highlight w:val="none"/>
                    </w:rPr>
                    <w:t>处理后排入园区污水处理厂</w:t>
                  </w:r>
                  <w:r>
                    <w:rPr>
                      <w:color w:val="auto"/>
                      <w:sz w:val="21"/>
                      <w:szCs w:val="21"/>
                      <w:highlight w:val="none"/>
                    </w:rPr>
                    <w:t>。</w:t>
                  </w:r>
                </w:p>
              </w:tc>
              <w:tc>
                <w:tcPr>
                  <w:tcW w:w="311" w:type="pct"/>
                  <w:tcBorders>
                    <w:tl2br w:val="nil"/>
                    <w:tr2bl w:val="nil"/>
                  </w:tcBorders>
                  <w:vAlign w:val="center"/>
                </w:tcPr>
                <w:p w14:paraId="13767907">
                  <w:pPr>
                    <w:spacing w:line="240" w:lineRule="auto"/>
                    <w:jc w:val="center"/>
                    <w:rPr>
                      <w:color w:val="auto"/>
                      <w:sz w:val="21"/>
                      <w:szCs w:val="21"/>
                      <w:highlight w:val="none"/>
                    </w:rPr>
                  </w:pPr>
                  <w:r>
                    <w:rPr>
                      <w:color w:val="auto"/>
                      <w:sz w:val="21"/>
                      <w:szCs w:val="21"/>
                      <w:highlight w:val="none"/>
                    </w:rPr>
                    <w:t>符合</w:t>
                  </w:r>
                </w:p>
              </w:tc>
            </w:tr>
            <w:tr w14:paraId="49817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4E597B0">
                  <w:pPr>
                    <w:spacing w:line="240" w:lineRule="auto"/>
                    <w:jc w:val="center"/>
                    <w:rPr>
                      <w:color w:val="auto"/>
                      <w:sz w:val="21"/>
                      <w:szCs w:val="21"/>
                      <w:highlight w:val="none"/>
                    </w:rPr>
                  </w:pPr>
                </w:p>
              </w:tc>
              <w:tc>
                <w:tcPr>
                  <w:tcW w:w="372" w:type="pct"/>
                  <w:tcBorders>
                    <w:tl2br w:val="nil"/>
                    <w:tr2bl w:val="nil"/>
                  </w:tcBorders>
                  <w:vAlign w:val="center"/>
                </w:tcPr>
                <w:p w14:paraId="6AB9F615">
                  <w:pPr>
                    <w:spacing w:line="240" w:lineRule="auto"/>
                    <w:jc w:val="center"/>
                    <w:rPr>
                      <w:color w:val="auto"/>
                      <w:sz w:val="21"/>
                      <w:szCs w:val="21"/>
                      <w:highlight w:val="none"/>
                    </w:rPr>
                  </w:pPr>
                  <w:r>
                    <w:rPr>
                      <w:color w:val="auto"/>
                      <w:sz w:val="21"/>
                      <w:szCs w:val="21"/>
                      <w:highlight w:val="none"/>
                    </w:rPr>
                    <w:t>污染物排放管控</w:t>
                  </w:r>
                </w:p>
              </w:tc>
              <w:tc>
                <w:tcPr>
                  <w:tcW w:w="2845" w:type="pct"/>
                  <w:tcBorders>
                    <w:tl2br w:val="nil"/>
                    <w:tr2bl w:val="nil"/>
                  </w:tcBorders>
                  <w:vAlign w:val="center"/>
                </w:tcPr>
                <w:p w14:paraId="6F8EB5D1">
                  <w:pPr>
                    <w:spacing w:line="240" w:lineRule="auto"/>
                    <w:jc w:val="both"/>
                    <w:rPr>
                      <w:color w:val="auto"/>
                      <w:sz w:val="21"/>
                      <w:szCs w:val="21"/>
                      <w:highlight w:val="none"/>
                    </w:rPr>
                  </w:pPr>
                  <w:r>
                    <w:rPr>
                      <w:color w:val="auto"/>
                      <w:sz w:val="21"/>
                      <w:szCs w:val="21"/>
                      <w:highlight w:val="none"/>
                    </w:rPr>
                    <w:t>3-1.【水、大气/限制类】园区各项污染物排放总量不得突破园区规划环评核定的污染物排放总量管控要求</w:t>
                  </w:r>
                  <w:r>
                    <w:rPr>
                      <w:rFonts w:hint="eastAsia"/>
                      <w:color w:val="auto"/>
                      <w:sz w:val="21"/>
                      <w:szCs w:val="21"/>
                      <w:highlight w:val="none"/>
                    </w:rPr>
                    <w:t>。</w:t>
                  </w:r>
                </w:p>
                <w:p w14:paraId="093142EF">
                  <w:pPr>
                    <w:spacing w:line="240" w:lineRule="auto"/>
                    <w:jc w:val="both"/>
                    <w:rPr>
                      <w:color w:val="auto"/>
                      <w:sz w:val="21"/>
                      <w:szCs w:val="21"/>
                      <w:highlight w:val="none"/>
                    </w:rPr>
                  </w:pPr>
                  <w:r>
                    <w:rPr>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w:t>
                  </w:r>
                </w:p>
                <w:p w14:paraId="3ACAF06C">
                  <w:pPr>
                    <w:spacing w:line="240" w:lineRule="auto"/>
                    <w:jc w:val="both"/>
                    <w:rPr>
                      <w:color w:val="auto"/>
                      <w:sz w:val="21"/>
                      <w:szCs w:val="21"/>
                      <w:highlight w:val="none"/>
                    </w:rPr>
                  </w:pPr>
                  <w:r>
                    <w:rPr>
                      <w:color w:val="auto"/>
                      <w:sz w:val="21"/>
                      <w:szCs w:val="21"/>
                      <w:highlight w:val="none"/>
                    </w:rPr>
                    <w:t>3-3.【大气/限制类】新建项目原则上实施氮氧化物、挥发性有机物排放量等量替代。</w:t>
                  </w:r>
                </w:p>
                <w:p w14:paraId="03A4D4CF">
                  <w:pPr>
                    <w:spacing w:line="240" w:lineRule="auto"/>
                    <w:jc w:val="both"/>
                    <w:rPr>
                      <w:color w:val="auto"/>
                      <w:highlight w:val="none"/>
                    </w:rPr>
                  </w:pPr>
                  <w:r>
                    <w:rPr>
                      <w:color w:val="auto"/>
                      <w:sz w:val="21"/>
                      <w:szCs w:val="21"/>
                      <w:highlight w:val="none"/>
                    </w:rPr>
                    <w:t>3-4.【其它/鼓励引导类】支持危险废物专业收集转运和利用处置单位建设区域性收集网点和贮存设施。</w:t>
                  </w:r>
                </w:p>
              </w:tc>
              <w:tc>
                <w:tcPr>
                  <w:tcW w:w="1243" w:type="pct"/>
                  <w:tcBorders>
                    <w:tl2br w:val="nil"/>
                    <w:tr2bl w:val="nil"/>
                  </w:tcBorders>
                  <w:vAlign w:val="center"/>
                </w:tcPr>
                <w:p w14:paraId="59CB58FF">
                  <w:pPr>
                    <w:spacing w:line="240" w:lineRule="auto"/>
                    <w:jc w:val="both"/>
                    <w:rPr>
                      <w:color w:val="auto"/>
                      <w:sz w:val="21"/>
                      <w:szCs w:val="21"/>
                      <w:highlight w:val="none"/>
                    </w:rPr>
                  </w:pPr>
                  <w:r>
                    <w:rPr>
                      <w:color w:val="auto"/>
                      <w:sz w:val="21"/>
                      <w:szCs w:val="21"/>
                      <w:highlight w:val="none"/>
                    </w:rPr>
                    <w:t>项目生产过程产生</w:t>
                  </w:r>
                  <w:r>
                    <w:rPr>
                      <w:rFonts w:hint="eastAsia"/>
                      <w:color w:val="auto"/>
                      <w:sz w:val="21"/>
                      <w:szCs w:val="21"/>
                      <w:highlight w:val="none"/>
                      <w:lang w:eastAsia="zh-CN"/>
                    </w:rPr>
                    <w:t>的</w:t>
                  </w:r>
                  <w:r>
                    <w:rPr>
                      <w:rFonts w:hint="eastAsia"/>
                      <w:color w:val="auto"/>
                      <w:sz w:val="21"/>
                      <w:szCs w:val="21"/>
                      <w:highlight w:val="none"/>
                      <w:lang w:val="en-US" w:eastAsia="zh-CN"/>
                    </w:rPr>
                    <w:t>有机废气</w:t>
                  </w:r>
                  <w:r>
                    <w:rPr>
                      <w:color w:val="auto"/>
                      <w:sz w:val="21"/>
                      <w:szCs w:val="21"/>
                      <w:highlight w:val="none"/>
                    </w:rPr>
                    <w:t>没有突破园区规划环评核定的污染物排放总量，需向韶关市生态环境局乐昌分局申请分配实行等量代替，</w:t>
                  </w:r>
                  <w:r>
                    <w:rPr>
                      <w:rFonts w:hint="eastAsia"/>
                      <w:color w:val="auto"/>
                      <w:sz w:val="21"/>
                      <w:szCs w:val="21"/>
                      <w:highlight w:val="none"/>
                    </w:rPr>
                    <w:t>项目</w:t>
                  </w:r>
                  <w:r>
                    <w:rPr>
                      <w:color w:val="auto"/>
                      <w:sz w:val="21"/>
                      <w:szCs w:val="21"/>
                      <w:highlight w:val="none"/>
                    </w:rPr>
                    <w:t>不涉及重金属污染物，危险废物贮存在厂区危险废物暂存间，统一收集后交有资质的单位处理。</w:t>
                  </w:r>
                </w:p>
              </w:tc>
              <w:tc>
                <w:tcPr>
                  <w:tcW w:w="311" w:type="pct"/>
                  <w:tcBorders>
                    <w:tl2br w:val="nil"/>
                    <w:tr2bl w:val="nil"/>
                  </w:tcBorders>
                  <w:vAlign w:val="center"/>
                </w:tcPr>
                <w:p w14:paraId="4882405E">
                  <w:pPr>
                    <w:spacing w:line="240" w:lineRule="auto"/>
                    <w:jc w:val="center"/>
                    <w:rPr>
                      <w:color w:val="auto"/>
                      <w:sz w:val="21"/>
                      <w:szCs w:val="21"/>
                      <w:highlight w:val="none"/>
                    </w:rPr>
                  </w:pPr>
                  <w:r>
                    <w:rPr>
                      <w:color w:val="auto"/>
                      <w:sz w:val="21"/>
                      <w:szCs w:val="21"/>
                      <w:highlight w:val="none"/>
                    </w:rPr>
                    <w:t>符合</w:t>
                  </w:r>
                </w:p>
              </w:tc>
            </w:tr>
            <w:tr w14:paraId="6E685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E7A827E">
                  <w:pPr>
                    <w:spacing w:line="240" w:lineRule="auto"/>
                    <w:ind w:right="86" w:rightChars="36"/>
                    <w:jc w:val="center"/>
                    <w:rPr>
                      <w:color w:val="auto"/>
                      <w:sz w:val="21"/>
                      <w:szCs w:val="21"/>
                      <w:highlight w:val="none"/>
                    </w:rPr>
                  </w:pPr>
                </w:p>
              </w:tc>
              <w:tc>
                <w:tcPr>
                  <w:tcW w:w="372" w:type="pct"/>
                  <w:tcBorders>
                    <w:tl2br w:val="nil"/>
                    <w:tr2bl w:val="nil"/>
                  </w:tcBorders>
                  <w:vAlign w:val="center"/>
                </w:tcPr>
                <w:p w14:paraId="6278A559">
                  <w:pPr>
                    <w:spacing w:line="240" w:lineRule="auto"/>
                    <w:ind w:right="86" w:rightChars="36"/>
                    <w:jc w:val="center"/>
                    <w:rPr>
                      <w:color w:val="auto"/>
                      <w:sz w:val="21"/>
                      <w:szCs w:val="21"/>
                      <w:highlight w:val="none"/>
                    </w:rPr>
                  </w:pPr>
                  <w:r>
                    <w:rPr>
                      <w:color w:val="auto"/>
                      <w:sz w:val="21"/>
                      <w:szCs w:val="21"/>
                      <w:highlight w:val="none"/>
                    </w:rPr>
                    <w:t>环境风险防控</w:t>
                  </w:r>
                </w:p>
              </w:tc>
              <w:tc>
                <w:tcPr>
                  <w:tcW w:w="2845" w:type="pct"/>
                  <w:tcBorders>
                    <w:tl2br w:val="nil"/>
                    <w:tr2bl w:val="nil"/>
                  </w:tcBorders>
                  <w:vAlign w:val="center"/>
                </w:tcPr>
                <w:p w14:paraId="0CBE12B8">
                  <w:pPr>
                    <w:spacing w:line="240" w:lineRule="auto"/>
                    <w:jc w:val="both"/>
                    <w:rPr>
                      <w:color w:val="auto"/>
                      <w:sz w:val="21"/>
                      <w:szCs w:val="21"/>
                      <w:highlight w:val="none"/>
                    </w:rPr>
                  </w:pPr>
                  <w:r>
                    <w:rPr>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eastAsia"/>
                      <w:color w:val="auto"/>
                      <w:sz w:val="21"/>
                      <w:szCs w:val="21"/>
                      <w:highlight w:val="none"/>
                      <w:lang w:eastAsia="zh-CN"/>
                    </w:rPr>
                    <w:t>水</w:t>
                  </w:r>
                  <w:r>
                    <w:rPr>
                      <w:color w:val="auto"/>
                      <w:sz w:val="21"/>
                      <w:szCs w:val="21"/>
                      <w:highlight w:val="none"/>
                    </w:rPr>
                    <w:t>处理厂设置足够容积的事故应急池，纳污水体设置水质监控断面，发现问题，及时采取限制废水排放等措施。</w:t>
                  </w:r>
                </w:p>
              </w:tc>
              <w:tc>
                <w:tcPr>
                  <w:tcW w:w="1243" w:type="pct"/>
                  <w:tcBorders>
                    <w:tl2br w:val="nil"/>
                    <w:tr2bl w:val="nil"/>
                  </w:tcBorders>
                  <w:vAlign w:val="center"/>
                </w:tcPr>
                <w:p w14:paraId="7CF78AA8">
                  <w:pPr>
                    <w:spacing w:line="240" w:lineRule="auto"/>
                    <w:jc w:val="both"/>
                    <w:rPr>
                      <w:color w:val="auto"/>
                      <w:sz w:val="21"/>
                      <w:szCs w:val="21"/>
                      <w:highlight w:val="none"/>
                    </w:rPr>
                  </w:pPr>
                  <w:r>
                    <w:rPr>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5D417322">
                  <w:pPr>
                    <w:spacing w:line="240" w:lineRule="auto"/>
                    <w:jc w:val="center"/>
                    <w:rPr>
                      <w:color w:val="auto"/>
                      <w:sz w:val="21"/>
                      <w:szCs w:val="21"/>
                      <w:highlight w:val="none"/>
                    </w:rPr>
                  </w:pPr>
                  <w:r>
                    <w:rPr>
                      <w:color w:val="auto"/>
                      <w:sz w:val="21"/>
                      <w:szCs w:val="21"/>
                      <w:highlight w:val="none"/>
                    </w:rPr>
                    <w:t>符合</w:t>
                  </w:r>
                </w:p>
              </w:tc>
            </w:tr>
          </w:tbl>
          <w:p w14:paraId="2EE3E428">
            <w:pPr>
              <w:pStyle w:val="16"/>
              <w:ind w:firstLine="480" w:firstLineChars="200"/>
              <w:jc w:val="left"/>
              <w:rPr>
                <w:b w:val="0"/>
                <w:bCs w:val="0"/>
                <w:color w:val="auto"/>
                <w:highlight w:val="none"/>
              </w:rPr>
            </w:pPr>
            <w:r>
              <w:rPr>
                <w:b w:val="0"/>
                <w:bCs w:val="0"/>
                <w:color w:val="auto"/>
                <w:sz w:val="24"/>
                <w:highlight w:val="none"/>
              </w:rPr>
              <w:t>综上，项目符合韶关市人民政府关于印发《韶关市“三线一单”生态环境分区管控方案的通知》的通知（韶府〔2021〕10号）</w:t>
            </w:r>
            <w:r>
              <w:rPr>
                <w:rFonts w:hint="eastAsia"/>
                <w:b w:val="0"/>
                <w:bCs w:val="0"/>
                <w:color w:val="auto"/>
                <w:sz w:val="24"/>
                <w:highlight w:val="none"/>
              </w:rPr>
              <w:t>和《韶关市生态环境分区管控动态更新成果》</w:t>
            </w:r>
            <w:r>
              <w:rPr>
                <w:b w:val="0"/>
                <w:bCs w:val="0"/>
                <w:color w:val="auto"/>
                <w:sz w:val="24"/>
                <w:highlight w:val="none"/>
              </w:rPr>
              <w:t>的相关要求。</w:t>
            </w:r>
          </w:p>
          <w:p w14:paraId="2F0AA290">
            <w:pPr>
              <w:keepNext/>
              <w:keepLines/>
              <w:tabs>
                <w:tab w:val="left" w:pos="0"/>
              </w:tabs>
              <w:ind w:left="-2" w:firstLine="480" w:firstLineChars="200"/>
              <w:outlineLvl w:val="2"/>
              <w:rPr>
                <w:color w:val="auto"/>
                <w:highlight w:val="none"/>
              </w:rPr>
            </w:pPr>
            <w:r>
              <w:rPr>
                <w:rFonts w:hint="eastAsia"/>
                <w:b/>
                <w:bCs/>
                <w:color w:val="auto"/>
                <w:highlight w:val="none"/>
              </w:rPr>
              <w:t>六</w:t>
            </w:r>
            <w:r>
              <w:rPr>
                <w:b/>
                <w:bCs/>
                <w:color w:val="auto"/>
                <w:highlight w:val="none"/>
              </w:rPr>
              <w:t>、相关规划相符性分析</w:t>
            </w:r>
          </w:p>
          <w:p w14:paraId="3879A0AC">
            <w:pPr>
              <w:keepNext/>
              <w:keepLines/>
              <w:tabs>
                <w:tab w:val="left" w:pos="0"/>
              </w:tabs>
              <w:ind w:firstLine="480" w:firstLineChars="200"/>
              <w:outlineLvl w:val="3"/>
              <w:rPr>
                <w:rFonts w:hint="default" w:eastAsia="宋体"/>
                <w:b/>
                <w:bCs/>
                <w:color w:val="auto"/>
                <w:highlight w:val="none"/>
                <w:lang w:val="en-US" w:eastAsia="zh-CN"/>
              </w:rPr>
            </w:pPr>
            <w:r>
              <w:rPr>
                <w:b/>
                <w:bCs/>
                <w:color w:val="auto"/>
                <w:highlight w:val="none"/>
              </w:rPr>
              <w:t>1、</w:t>
            </w:r>
            <w:r>
              <w:rPr>
                <w:rFonts w:hint="eastAsia"/>
                <w:b/>
                <w:bCs/>
                <w:color w:val="auto"/>
                <w:highlight w:val="none"/>
                <w:lang w:val="en-US" w:eastAsia="zh-CN"/>
              </w:rPr>
              <w:t>与</w:t>
            </w:r>
            <w:r>
              <w:rPr>
                <w:b/>
                <w:bCs/>
                <w:color w:val="auto"/>
                <w:highlight w:val="none"/>
              </w:rPr>
              <w:t>《关于印发&lt;广东省生态环境保护“十四五”规划&gt;的通知》（粤环〔2021〕10号）</w:t>
            </w:r>
            <w:r>
              <w:rPr>
                <w:rFonts w:hint="eastAsia"/>
                <w:b/>
                <w:bCs/>
                <w:color w:val="auto"/>
                <w:highlight w:val="none"/>
                <w:lang w:val="en-US" w:eastAsia="zh-CN"/>
              </w:rPr>
              <w:t>和《低挥发性有机化合物含量涂料产品技术要求》（GB/T38597-2020）相符性分析</w:t>
            </w:r>
          </w:p>
          <w:p w14:paraId="60BB3334">
            <w:pPr>
              <w:pStyle w:val="26"/>
              <w:ind w:firstLine="480"/>
              <w:rPr>
                <w:color w:val="auto"/>
                <w:highlight w:val="none"/>
              </w:rPr>
            </w:pPr>
            <w:r>
              <w:rPr>
                <w:color w:val="auto"/>
                <w:highlight w:val="none"/>
              </w:rPr>
              <w:t>《广东省生态环境保护“十四五”规划》要求：</w:t>
            </w:r>
            <w:r>
              <w:rPr>
                <w:rFonts w:hint="eastAsia"/>
                <w:color w:val="auto"/>
                <w:highlight w:val="none"/>
              </w:rPr>
              <w:t>新建高能耗项目单位产品（产值）能耗达到国际国内先进水平。</w:t>
            </w:r>
            <w:r>
              <w:rPr>
                <w:color w:val="auto"/>
                <w:highlight w:val="none"/>
              </w:rPr>
              <w:t>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10" w:name="_Toc16815"/>
            <w:bookmarkStart w:id="11" w:name="_Toc13033"/>
          </w:p>
          <w:p w14:paraId="4A813BDA">
            <w:pPr>
              <w:pStyle w:val="26"/>
              <w:ind w:firstLine="480"/>
              <w:rPr>
                <w:rFonts w:hint="eastAsia"/>
                <w:color w:val="auto"/>
                <w:highlight w:val="none"/>
              </w:rPr>
            </w:pPr>
            <w:r>
              <w:rPr>
                <w:rFonts w:hint="eastAsia"/>
                <w:color w:val="auto"/>
                <w:highlight w:val="none"/>
              </w:rPr>
              <w:t>项目水性漆符合《低挥发性有机化合物含量涂料产品技术要求》（GB/T38597-2020）</w:t>
            </w:r>
            <w:r>
              <w:rPr>
                <w:rFonts w:hint="eastAsia"/>
                <w:color w:val="auto"/>
                <w:highlight w:val="none"/>
                <w:lang w:val="en-US" w:eastAsia="zh-CN"/>
              </w:rPr>
              <w:t>表1</w:t>
            </w:r>
            <w:r>
              <w:rPr>
                <w:rFonts w:hint="eastAsia"/>
                <w:color w:val="auto"/>
                <w:highlight w:val="none"/>
              </w:rPr>
              <w:t>中“</w:t>
            </w:r>
            <w:r>
              <w:rPr>
                <w:rFonts w:hint="eastAsia"/>
                <w:color w:val="auto"/>
                <w:highlight w:val="none"/>
                <w:lang w:val="en-US" w:eastAsia="zh-CN"/>
              </w:rPr>
              <w:t>工业防护涂料</w:t>
            </w:r>
            <w:r>
              <w:rPr>
                <w:rFonts w:hint="eastAsia"/>
                <w:color w:val="auto"/>
                <w:highlight w:val="none"/>
              </w:rPr>
              <w:t>-</w:t>
            </w:r>
            <w:r>
              <w:rPr>
                <w:rFonts w:hint="eastAsia"/>
                <w:color w:val="auto"/>
                <w:highlight w:val="none"/>
                <w:lang w:val="en-US" w:eastAsia="zh-CN"/>
              </w:rPr>
              <w:t>型材涂料</w:t>
            </w:r>
            <w:r>
              <w:rPr>
                <w:rFonts w:hint="eastAsia"/>
                <w:color w:val="auto"/>
                <w:highlight w:val="none"/>
              </w:rPr>
              <w:t>-</w:t>
            </w:r>
            <w:r>
              <w:rPr>
                <w:rFonts w:hint="eastAsia"/>
                <w:color w:val="auto"/>
                <w:highlight w:val="none"/>
                <w:lang w:val="en-US" w:eastAsia="zh-CN"/>
              </w:rPr>
              <w:t>其他</w:t>
            </w:r>
            <w:r>
              <w:rPr>
                <w:rFonts w:hint="eastAsia"/>
                <w:color w:val="auto"/>
                <w:highlight w:val="none"/>
              </w:rPr>
              <w:t>：≤2</w:t>
            </w:r>
            <w:r>
              <w:rPr>
                <w:rFonts w:hint="eastAsia"/>
                <w:color w:val="auto"/>
                <w:highlight w:val="none"/>
                <w:lang w:val="en-US" w:eastAsia="zh-CN"/>
              </w:rPr>
              <w:t>5</w:t>
            </w:r>
            <w:r>
              <w:rPr>
                <w:rFonts w:hint="eastAsia"/>
                <w:color w:val="auto"/>
                <w:highlight w:val="none"/>
              </w:rPr>
              <w:t>0g/L”的要求；调配后油性漆符合《低挥发性有机化合物含量涂料产品技术要求》（GB/T38597-2020）中“</w:t>
            </w:r>
            <w:r>
              <w:rPr>
                <w:rFonts w:hint="eastAsia"/>
                <w:color w:val="auto"/>
                <w:highlight w:val="none"/>
                <w:lang w:val="en-US" w:eastAsia="zh-CN"/>
              </w:rPr>
              <w:t>表2中工业防护涂料-机械设备涂料（含零部件涂料）面漆双组分</w:t>
            </w:r>
            <w:r>
              <w:rPr>
                <w:rFonts w:hint="eastAsia"/>
                <w:color w:val="auto"/>
                <w:highlight w:val="none"/>
              </w:rPr>
              <w:t>≤420g/L”</w:t>
            </w:r>
            <w:r>
              <w:rPr>
                <w:rFonts w:hint="eastAsia"/>
                <w:color w:val="auto"/>
                <w:highlight w:val="none"/>
                <w:lang w:val="en-US" w:eastAsia="zh-CN"/>
              </w:rPr>
              <w:t>。</w:t>
            </w:r>
            <w:r>
              <w:rPr>
                <w:rFonts w:hint="eastAsia"/>
                <w:color w:val="auto"/>
                <w:highlight w:val="none"/>
              </w:rPr>
              <w:t>生产过程产生的污染物主要为颗粒物、有机废气（以VOCs表征、含苯系物）、臭气浓度。</w:t>
            </w:r>
            <w:r>
              <w:rPr>
                <w:rFonts w:hint="eastAsia"/>
                <w:color w:val="auto"/>
                <w:highlight w:val="none"/>
                <w:lang w:val="en-US" w:eastAsia="zh-CN"/>
              </w:rPr>
              <w:t>1#厂房、4#厂房有机废气经收集后分别</w:t>
            </w:r>
            <w:r>
              <w:rPr>
                <w:rFonts w:hint="eastAsia"/>
                <w:color w:val="auto"/>
                <w:highlight w:val="none"/>
              </w:rPr>
              <w:t>通过“水帘柜喷淋+干式过滤器+二级活性炭吸附装置”处理达标后，由15m高排气筒DA001~DA00</w:t>
            </w:r>
            <w:r>
              <w:rPr>
                <w:rFonts w:hint="eastAsia"/>
                <w:color w:val="auto"/>
                <w:highlight w:val="none"/>
                <w:lang w:val="en-US" w:eastAsia="zh-CN"/>
              </w:rPr>
              <w:t>2</w:t>
            </w:r>
            <w:r>
              <w:rPr>
                <w:rFonts w:hint="eastAsia"/>
                <w:color w:val="auto"/>
                <w:highlight w:val="none"/>
              </w:rPr>
              <w:t>高空排放。</w:t>
            </w:r>
          </w:p>
          <w:p w14:paraId="2142CCAA">
            <w:pPr>
              <w:pStyle w:val="26"/>
              <w:ind w:firstLine="480"/>
              <w:rPr>
                <w:color w:val="auto"/>
                <w:highlight w:val="none"/>
              </w:rPr>
            </w:pPr>
            <w:r>
              <w:rPr>
                <w:rFonts w:hint="eastAsia"/>
                <w:color w:val="auto"/>
                <w:highlight w:val="none"/>
              </w:rPr>
              <w:t>综上所述，本项目与《关于印发&lt;广东省生态环境保护“十四五”规划&gt;的通知》（粤环〔2021〕10号）相符。</w:t>
            </w:r>
          </w:p>
          <w:bookmarkEnd w:id="10"/>
          <w:bookmarkEnd w:id="11"/>
          <w:p w14:paraId="37A53995">
            <w:pPr>
              <w:pStyle w:val="26"/>
              <w:ind w:firstLine="482"/>
              <w:rPr>
                <w:b/>
                <w:bCs/>
                <w:color w:val="auto"/>
                <w:highlight w:val="none"/>
              </w:rPr>
            </w:pPr>
            <w:r>
              <w:rPr>
                <w:b/>
                <w:bCs/>
                <w:color w:val="auto"/>
                <w:highlight w:val="none"/>
              </w:rPr>
              <w:t>2、</w:t>
            </w:r>
            <w:r>
              <w:rPr>
                <w:rFonts w:hint="eastAsia"/>
                <w:b/>
                <w:bCs/>
                <w:color w:val="auto"/>
                <w:highlight w:val="none"/>
              </w:rPr>
              <w:t>《韶关市人民政府办公室关于印发&lt;韶关市生态环境保护“十四五”规划&gt;的通知》（韶府办〔2022〕1号）</w:t>
            </w:r>
          </w:p>
          <w:p w14:paraId="3AF76C70">
            <w:pPr>
              <w:widowControl/>
              <w:ind w:firstLine="480" w:firstLineChars="200"/>
              <w:jc w:val="left"/>
              <w:rPr>
                <w:color w:val="auto"/>
                <w:highlight w:val="none"/>
              </w:rPr>
            </w:pPr>
            <w:r>
              <w:rPr>
                <w:rFonts w:hint="eastAsia"/>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1E8BF4B9">
            <w:pPr>
              <w:pStyle w:val="26"/>
              <w:ind w:firstLine="480"/>
              <w:rPr>
                <w:color w:val="auto"/>
                <w:highlight w:val="none"/>
              </w:rPr>
            </w:pPr>
            <w:r>
              <w:rPr>
                <w:rFonts w:hint="eastAsia"/>
                <w:color w:val="auto"/>
                <w:highlight w:val="none"/>
              </w:rPr>
              <w:t>项目不涉及锅炉</w:t>
            </w:r>
            <w:r>
              <w:rPr>
                <w:color w:val="auto"/>
                <w:highlight w:val="none"/>
              </w:rPr>
              <w:t>，</w:t>
            </w:r>
            <w:r>
              <w:rPr>
                <w:rFonts w:hint="eastAsia"/>
                <w:color w:val="auto"/>
                <w:highlight w:val="none"/>
                <w:lang w:eastAsia="zh-CN"/>
              </w:rPr>
              <w:t>设备均采用电能，</w:t>
            </w:r>
            <w:r>
              <w:rPr>
                <w:color w:val="auto"/>
                <w:highlight w:val="none"/>
              </w:rPr>
              <w:t>产生的</w:t>
            </w:r>
            <w:r>
              <w:rPr>
                <w:rFonts w:hint="eastAsia"/>
                <w:color w:val="auto"/>
                <w:highlight w:val="none"/>
                <w:lang w:val="en-US" w:eastAsia="zh-CN"/>
              </w:rPr>
              <w:t>有机废气</w:t>
            </w:r>
            <w:r>
              <w:rPr>
                <w:color w:val="auto"/>
                <w:highlight w:val="none"/>
              </w:rPr>
              <w:t>经</w:t>
            </w:r>
            <w:r>
              <w:rPr>
                <w:rFonts w:hint="eastAsia"/>
                <w:color w:val="auto"/>
                <w:highlight w:val="none"/>
                <w:lang w:val="en-US" w:eastAsia="zh-CN"/>
              </w:rPr>
              <w:t>收集后分别通过2套“水帘柜喷淋+干式过滤器+二级活性炭吸附装置”处理达标后，由</w:t>
            </w:r>
            <w:r>
              <w:rPr>
                <w:color w:val="auto"/>
                <w:highlight w:val="none"/>
              </w:rPr>
              <w:t>排气筒</w:t>
            </w:r>
            <w:r>
              <w:rPr>
                <w:rFonts w:hint="eastAsia"/>
                <w:color w:val="auto"/>
                <w:highlight w:val="none"/>
                <w:lang w:eastAsia="zh-CN"/>
              </w:rPr>
              <w:t>DA001、DA002</w:t>
            </w:r>
            <w:r>
              <w:rPr>
                <w:color w:val="auto"/>
                <w:highlight w:val="none"/>
              </w:rPr>
              <w:t>高空排放，排放高度</w:t>
            </w:r>
            <w:r>
              <w:rPr>
                <w:rFonts w:hint="eastAsia"/>
                <w:color w:val="auto"/>
                <w:highlight w:val="none"/>
              </w:rPr>
              <w:t>为</w:t>
            </w:r>
            <w:r>
              <w:rPr>
                <w:rFonts w:hint="eastAsia"/>
                <w:color w:val="auto"/>
                <w:sz w:val="24"/>
                <w:highlight w:val="none"/>
                <w:lang w:val="en-US" w:eastAsia="zh-CN"/>
              </w:rPr>
              <w:t>15</w:t>
            </w:r>
            <w:r>
              <w:rPr>
                <w:rFonts w:hint="eastAsia"/>
                <w:color w:val="auto"/>
                <w:sz w:val="24"/>
                <w:highlight w:val="none"/>
              </w:rPr>
              <w:t>m</w:t>
            </w:r>
            <w:r>
              <w:rPr>
                <w:color w:val="auto"/>
                <w:highlight w:val="none"/>
              </w:rPr>
              <w:t>。本项目产生的工业固体废物均得到妥善处置。故本项目与</w:t>
            </w:r>
            <w:r>
              <w:rPr>
                <w:rFonts w:hint="eastAsia"/>
                <w:color w:val="auto"/>
                <w:highlight w:val="none"/>
              </w:rPr>
              <w:t>韶关市人民政府办公室《关于印发&lt;韶关市生态环境保护“十四五”规划&gt;的通知》（韶府办〔2022〕1号）</w:t>
            </w:r>
            <w:r>
              <w:rPr>
                <w:color w:val="auto"/>
                <w:highlight w:val="none"/>
              </w:rPr>
              <w:t>相符。</w:t>
            </w:r>
          </w:p>
          <w:p w14:paraId="279198B3">
            <w:pPr>
              <w:pStyle w:val="24"/>
              <w:ind w:firstLine="482"/>
              <w:rPr>
                <w:b/>
                <w:bCs/>
                <w:color w:val="auto"/>
                <w:sz w:val="24"/>
                <w:highlight w:val="none"/>
              </w:rPr>
            </w:pPr>
            <w:r>
              <w:rPr>
                <w:rFonts w:hint="eastAsia"/>
                <w:b/>
                <w:bCs/>
                <w:color w:val="auto"/>
                <w:sz w:val="24"/>
                <w:highlight w:val="none"/>
              </w:rPr>
              <w:t>3、《乐昌市人民政府办公室关于印发&lt;乐昌市生态环境保护“十四五”规划的通知》（乐府办〔2022〕16号）</w:t>
            </w:r>
          </w:p>
          <w:p w14:paraId="4B6A28AF">
            <w:pPr>
              <w:pStyle w:val="55"/>
              <w:ind w:firstLine="480" w:firstLineChars="200"/>
              <w:rPr>
                <w:color w:val="auto"/>
                <w:highlight w:val="none"/>
              </w:rPr>
            </w:pPr>
            <w:r>
              <w:rPr>
                <w:color w:val="auto"/>
                <w:highlight w:val="none"/>
              </w:rPr>
              <w:t>深化重点污染源治理，推进污染物减排</w:t>
            </w:r>
            <w:r>
              <w:rPr>
                <w:rFonts w:hint="eastAsia"/>
                <w:color w:val="auto"/>
                <w:highlight w:val="none"/>
              </w:rPr>
              <w:t>。在水泥、化工、火电等行业全面执行大气污染物特别排放限值。逐步推进水泥行业实施超低排放改造，力争到2025年全市水泥</w:t>
            </w:r>
            <w:r>
              <w:rPr>
                <w:rFonts w:hint="eastAsia"/>
                <w:color w:val="auto"/>
                <w:highlight w:val="none"/>
                <w:lang w:eastAsia="zh-CN"/>
              </w:rPr>
              <w:t>（</w:t>
            </w:r>
            <w:r>
              <w:rPr>
                <w:rFonts w:hint="eastAsia"/>
                <w:color w:val="auto"/>
                <w:highlight w:val="none"/>
              </w:rPr>
              <w:t>熟料</w:t>
            </w:r>
            <w:r>
              <w:rPr>
                <w:rFonts w:hint="eastAsia"/>
                <w:color w:val="auto"/>
                <w:highlight w:val="none"/>
                <w:lang w:eastAsia="zh-CN"/>
              </w:rPr>
              <w:t>）</w:t>
            </w:r>
            <w:r>
              <w:rPr>
                <w:rFonts w:hint="eastAsia"/>
                <w:color w:val="auto"/>
                <w:highlight w:val="none"/>
              </w:rPr>
              <w:t>制造企业的水泥窑及窑尾余热利用系统烟气 NOx 排放浓度不高于100mg/m</w:t>
            </w:r>
            <w:r>
              <w:rPr>
                <w:rFonts w:hint="eastAsia"/>
                <w:color w:val="auto"/>
                <w:highlight w:val="none"/>
                <w:vertAlign w:val="superscript"/>
              </w:rPr>
              <w:t>3</w:t>
            </w:r>
            <w:r>
              <w:rPr>
                <w:rFonts w:hint="eastAsia"/>
                <w:color w:val="auto"/>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71E9AA7">
            <w:pPr>
              <w:pStyle w:val="24"/>
              <w:ind w:firstLine="480"/>
              <w:rPr>
                <w:rFonts w:hint="eastAsia"/>
                <w:color w:val="auto"/>
                <w:sz w:val="24"/>
                <w:szCs w:val="28"/>
                <w:highlight w:val="none"/>
              </w:rPr>
            </w:pPr>
            <w:r>
              <w:rPr>
                <w:rFonts w:hint="eastAsia"/>
                <w:color w:val="auto"/>
                <w:sz w:val="24"/>
                <w:szCs w:val="28"/>
                <w:highlight w:val="none"/>
              </w:rPr>
              <w:t>项目不涉及锅炉，</w:t>
            </w:r>
            <w:r>
              <w:rPr>
                <w:rFonts w:hint="eastAsia"/>
                <w:color w:val="auto"/>
                <w:sz w:val="24"/>
                <w:szCs w:val="28"/>
                <w:highlight w:val="none"/>
                <w:lang w:eastAsia="zh-CN"/>
              </w:rPr>
              <w:t>设备均采用电能，</w:t>
            </w:r>
            <w:r>
              <w:rPr>
                <w:rFonts w:hint="eastAsia"/>
                <w:color w:val="auto"/>
                <w:sz w:val="24"/>
                <w:szCs w:val="28"/>
                <w:highlight w:val="none"/>
                <w:lang w:val="en-US" w:eastAsia="zh-CN"/>
              </w:rPr>
              <w:t>有机废气</w:t>
            </w:r>
            <w:r>
              <w:rPr>
                <w:rFonts w:hint="eastAsia"/>
                <w:color w:val="auto"/>
                <w:sz w:val="24"/>
                <w:szCs w:val="28"/>
                <w:highlight w:val="none"/>
              </w:rPr>
              <w:t>经</w:t>
            </w:r>
            <w:r>
              <w:rPr>
                <w:rFonts w:hint="eastAsia"/>
                <w:color w:val="auto"/>
                <w:sz w:val="24"/>
                <w:szCs w:val="28"/>
                <w:highlight w:val="none"/>
                <w:lang w:val="en-US" w:eastAsia="zh-CN"/>
              </w:rPr>
              <w:t>收集后分别通过2套“水帘柜喷淋+干式过滤器+二级活性炭吸附装置”处理达标后，由</w:t>
            </w:r>
            <w:r>
              <w:rPr>
                <w:rFonts w:hint="eastAsia"/>
                <w:color w:val="auto"/>
                <w:sz w:val="24"/>
                <w:szCs w:val="28"/>
                <w:highlight w:val="none"/>
              </w:rPr>
              <w:t>排气筒</w:t>
            </w:r>
            <w:r>
              <w:rPr>
                <w:rFonts w:hint="eastAsia"/>
                <w:color w:val="auto"/>
                <w:sz w:val="24"/>
                <w:szCs w:val="28"/>
                <w:highlight w:val="none"/>
                <w:lang w:eastAsia="zh-CN"/>
              </w:rPr>
              <w:t>DA001、DA002</w:t>
            </w:r>
            <w:r>
              <w:rPr>
                <w:rFonts w:hint="eastAsia"/>
                <w:color w:val="auto"/>
                <w:sz w:val="24"/>
                <w:szCs w:val="28"/>
                <w:highlight w:val="none"/>
              </w:rPr>
              <w:t>高空排放，排放高度</w:t>
            </w:r>
            <w:r>
              <w:rPr>
                <w:rFonts w:hint="eastAsia"/>
                <w:color w:val="auto"/>
                <w:sz w:val="24"/>
                <w:szCs w:val="28"/>
                <w:highlight w:val="none"/>
                <w:lang w:val="en-US" w:eastAsia="zh-CN"/>
              </w:rPr>
              <w:t>均</w:t>
            </w:r>
            <w:r>
              <w:rPr>
                <w:rFonts w:hint="eastAsia"/>
                <w:color w:val="auto"/>
                <w:sz w:val="24"/>
                <w:szCs w:val="28"/>
                <w:highlight w:val="none"/>
              </w:rPr>
              <w:t>为</w:t>
            </w:r>
            <w:r>
              <w:rPr>
                <w:rFonts w:hint="eastAsia"/>
                <w:color w:val="auto"/>
                <w:sz w:val="24"/>
                <w:szCs w:val="28"/>
                <w:highlight w:val="none"/>
                <w:lang w:val="en-US" w:eastAsia="zh-CN"/>
              </w:rPr>
              <w:t>15</w:t>
            </w:r>
            <w:r>
              <w:rPr>
                <w:rFonts w:hint="eastAsia"/>
                <w:color w:val="auto"/>
                <w:sz w:val="24"/>
                <w:szCs w:val="28"/>
                <w:highlight w:val="none"/>
              </w:rPr>
              <w:t>m。故本项目与乐昌市人民政府办公室《关于印发&lt;乐昌市生态环境保护“十四五”规划的通知》（乐府办〔2022〕16号）相符。</w:t>
            </w:r>
          </w:p>
          <w:p w14:paraId="1C800B07">
            <w:pPr>
              <w:pStyle w:val="24"/>
              <w:ind w:firstLine="482"/>
              <w:rPr>
                <w:rFonts w:hint="eastAsia" w:eastAsia="宋体"/>
                <w:b/>
                <w:bCs/>
                <w:color w:val="auto"/>
                <w:sz w:val="24"/>
                <w:highlight w:val="none"/>
              </w:rPr>
            </w:pPr>
            <w:r>
              <w:rPr>
                <w:rFonts w:hint="eastAsia" w:eastAsia="宋体"/>
                <w:b/>
                <w:bCs/>
                <w:color w:val="auto"/>
                <w:sz w:val="24"/>
                <w:highlight w:val="none"/>
                <w:lang w:val="en-US" w:eastAsia="zh-CN"/>
              </w:rPr>
              <w:t>4、</w:t>
            </w:r>
            <w:r>
              <w:rPr>
                <w:rFonts w:hint="eastAsia" w:eastAsia="宋体"/>
                <w:b/>
                <w:bCs/>
                <w:color w:val="auto"/>
                <w:sz w:val="24"/>
                <w:highlight w:val="none"/>
              </w:rPr>
              <w:t>与《清洗剂挥发性有机化合物含量限值》（GB 38508-2020）的相符性分析</w:t>
            </w:r>
          </w:p>
          <w:p w14:paraId="28756D26">
            <w:pPr>
              <w:pStyle w:val="24"/>
              <w:ind w:firstLine="482"/>
              <w:rPr>
                <w:rFonts w:hint="eastAsia" w:eastAsia="宋体"/>
                <w:b w:val="0"/>
                <w:bCs w:val="0"/>
                <w:color w:val="auto"/>
                <w:sz w:val="24"/>
                <w:highlight w:val="none"/>
                <w:lang w:val="en-US" w:eastAsia="zh-CN"/>
              </w:rPr>
            </w:pPr>
            <w:r>
              <w:rPr>
                <w:rFonts w:hint="eastAsia" w:eastAsia="宋体"/>
                <w:b w:val="0"/>
                <w:bCs w:val="0"/>
                <w:color w:val="auto"/>
                <w:sz w:val="24"/>
                <w:highlight w:val="none"/>
                <w:lang w:val="en-US" w:eastAsia="zh-CN"/>
              </w:rPr>
              <w:t>本项目采用稀释剂作为喷枪清洗剂，</w:t>
            </w:r>
            <w:r>
              <w:rPr>
                <w:rFonts w:hint="eastAsia"/>
                <w:b w:val="0"/>
                <w:bCs w:val="0"/>
                <w:color w:val="auto"/>
                <w:sz w:val="24"/>
                <w:highlight w:val="none"/>
                <w:lang w:val="en-US" w:eastAsia="zh-CN"/>
              </w:rPr>
              <w:t>根据物料MSDS，</w:t>
            </w:r>
            <w:r>
              <w:rPr>
                <w:rFonts w:hint="eastAsia" w:eastAsia="宋体"/>
                <w:b w:val="0"/>
                <w:bCs w:val="0"/>
                <w:color w:val="auto"/>
                <w:sz w:val="24"/>
                <w:highlight w:val="none"/>
                <w:lang w:val="en-US" w:eastAsia="zh-CN"/>
              </w:rPr>
              <w:t>相对密度</w:t>
            </w:r>
            <w:r>
              <w:rPr>
                <w:rFonts w:hint="eastAsia"/>
                <w:b w:val="0"/>
                <w:bCs w:val="0"/>
                <w:color w:val="auto"/>
                <w:sz w:val="24"/>
                <w:highlight w:val="none"/>
                <w:lang w:val="en-US" w:eastAsia="zh-CN"/>
              </w:rPr>
              <w:t>为0.828</w:t>
            </w:r>
            <w:r>
              <w:rPr>
                <w:rFonts w:hint="eastAsia" w:eastAsia="宋体"/>
                <w:b w:val="0"/>
                <w:bCs w:val="0"/>
                <w:color w:val="auto"/>
                <w:sz w:val="24"/>
                <w:highlight w:val="none"/>
                <w:lang w:val="en-US" w:eastAsia="zh-CN"/>
              </w:rPr>
              <w:t>；按其有机物组分 100%挥发计算， VOC 含量</w:t>
            </w:r>
            <w:r>
              <w:rPr>
                <w:rFonts w:hint="eastAsia"/>
                <w:b w:val="0"/>
                <w:bCs w:val="0"/>
                <w:color w:val="auto"/>
                <w:sz w:val="24"/>
                <w:highlight w:val="none"/>
                <w:lang w:val="en-US" w:eastAsia="zh-CN"/>
              </w:rPr>
              <w:t>为865~875</w:t>
            </w:r>
            <w:r>
              <w:rPr>
                <w:rFonts w:hint="eastAsia" w:eastAsia="宋体"/>
                <w:b w:val="0"/>
                <w:bCs w:val="0"/>
                <w:color w:val="auto"/>
                <w:sz w:val="24"/>
                <w:highlight w:val="none"/>
                <w:lang w:val="en-US" w:eastAsia="zh-CN"/>
              </w:rPr>
              <w:t>g/L可以满足《清洗剂挥发性有机化合物含量限值》（GB38508-2020）中有机溶剂清洗剂 VOC 含量限值（≤ 900g/L）的要求。</w:t>
            </w:r>
          </w:p>
          <w:p w14:paraId="25D72C95">
            <w:pPr>
              <w:pStyle w:val="24"/>
              <w:numPr>
                <w:ilvl w:val="0"/>
                <w:numId w:val="7"/>
              </w:numPr>
              <w:ind w:firstLine="482"/>
              <w:rPr>
                <w:rFonts w:hint="eastAsia" w:eastAsia="宋体"/>
                <w:b/>
                <w:bCs/>
                <w:color w:val="auto"/>
                <w:sz w:val="24"/>
                <w:highlight w:val="none"/>
                <w:lang w:val="en-US" w:eastAsia="zh-CN"/>
              </w:rPr>
            </w:pPr>
            <w:r>
              <w:rPr>
                <w:rFonts w:hint="eastAsia" w:eastAsia="宋体"/>
                <w:b/>
                <w:bCs/>
                <w:color w:val="auto"/>
                <w:sz w:val="24"/>
                <w:highlight w:val="none"/>
                <w:lang w:val="en-US" w:eastAsia="zh-CN"/>
              </w:rPr>
              <w:t>与《广东省涉挥发性有机物（VOCs）重点行业治理指引》的通知（粤环办[2021]43 号中“八、表面涂装行业 VOCs 治理指引”，“六、橡胶和塑料制品业 VOCs 治理指引”相符性分析）</w:t>
            </w:r>
          </w:p>
          <w:p w14:paraId="6DFB6009">
            <w:pPr>
              <w:pStyle w:val="24"/>
              <w:numPr>
                <w:ilvl w:val="0"/>
                <w:numId w:val="0"/>
              </w:numPr>
              <w:jc w:val="center"/>
              <w:rPr>
                <w:rFonts w:hint="default" w:eastAsia="宋体"/>
                <w:b w:val="0"/>
                <w:bCs w:val="0"/>
                <w:color w:val="auto"/>
                <w:sz w:val="24"/>
                <w:highlight w:val="none"/>
                <w:lang w:val="en-US" w:eastAsia="zh-CN"/>
              </w:rPr>
            </w:pPr>
            <w:r>
              <w:rPr>
                <w:b/>
                <w:color w:val="auto"/>
                <w:spacing w:val="-26"/>
                <w:sz w:val="21"/>
                <w:highlight w:val="none"/>
              </w:rPr>
              <w:t xml:space="preserve">表 </w:t>
            </w:r>
            <w:r>
              <w:rPr>
                <w:rFonts w:ascii="Times New Roman" w:eastAsia="Times New Roman"/>
                <w:b/>
                <w:color w:val="auto"/>
                <w:sz w:val="21"/>
                <w:highlight w:val="none"/>
              </w:rPr>
              <w:t>1-4</w:t>
            </w:r>
            <w:r>
              <w:rPr>
                <w:rFonts w:ascii="Times New Roman" w:eastAsia="Times New Roman"/>
                <w:b/>
                <w:color w:val="auto"/>
                <w:spacing w:val="-14"/>
                <w:sz w:val="21"/>
                <w:highlight w:val="none"/>
              </w:rPr>
              <w:t xml:space="preserve"> </w:t>
            </w:r>
            <w:r>
              <w:rPr>
                <w:b/>
                <w:color w:val="auto"/>
                <w:sz w:val="21"/>
                <w:highlight w:val="none"/>
              </w:rPr>
              <w:t>与（粤环办</w:t>
            </w:r>
            <w:r>
              <w:rPr>
                <w:rFonts w:ascii="Times New Roman" w:eastAsia="Times New Roman"/>
                <w:b/>
                <w:color w:val="auto"/>
                <w:sz w:val="21"/>
                <w:highlight w:val="none"/>
              </w:rPr>
              <w:t>[2021]43</w:t>
            </w:r>
            <w:r>
              <w:rPr>
                <w:rFonts w:ascii="Times New Roman" w:eastAsia="Times New Roman"/>
                <w:b/>
                <w:color w:val="auto"/>
                <w:spacing w:val="-6"/>
                <w:sz w:val="21"/>
                <w:highlight w:val="none"/>
              </w:rPr>
              <w:t xml:space="preserve"> </w:t>
            </w:r>
            <w:r>
              <w:rPr>
                <w:b/>
                <w:color w:val="auto"/>
                <w:sz w:val="21"/>
                <w:highlight w:val="none"/>
              </w:rPr>
              <w:t>号）</w:t>
            </w:r>
            <w:r>
              <w:rPr>
                <w:b/>
                <w:color w:val="auto"/>
                <w:spacing w:val="-8"/>
                <w:sz w:val="21"/>
                <w:highlight w:val="none"/>
              </w:rPr>
              <w:t xml:space="preserve">表面涂装行业 </w:t>
            </w:r>
            <w:r>
              <w:rPr>
                <w:rFonts w:ascii="Times New Roman" w:eastAsia="Times New Roman"/>
                <w:b/>
                <w:color w:val="auto"/>
                <w:sz w:val="21"/>
                <w:highlight w:val="none"/>
              </w:rPr>
              <w:t>VOCs</w:t>
            </w:r>
            <w:r>
              <w:rPr>
                <w:rFonts w:ascii="Times New Roman" w:eastAsia="Times New Roman"/>
                <w:b/>
                <w:color w:val="auto"/>
                <w:spacing w:val="-4"/>
                <w:sz w:val="21"/>
                <w:highlight w:val="none"/>
              </w:rPr>
              <w:t xml:space="preserve"> </w:t>
            </w:r>
            <w:r>
              <w:rPr>
                <w:b/>
                <w:color w:val="auto"/>
                <w:spacing w:val="-2"/>
                <w:sz w:val="21"/>
                <w:highlight w:val="none"/>
              </w:rPr>
              <w:t>治理指引相符性分析</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626"/>
              <w:gridCol w:w="3164"/>
              <w:gridCol w:w="530"/>
              <w:gridCol w:w="2307"/>
              <w:gridCol w:w="717"/>
            </w:tblGrid>
            <w:tr w14:paraId="07F4B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tcMar>
                    <w:top w:w="0" w:type="dxa"/>
                    <w:left w:w="0" w:type="dxa"/>
                    <w:bottom w:w="0" w:type="dxa"/>
                    <w:right w:w="0" w:type="dxa"/>
                  </w:tcMar>
                  <w:vAlign w:val="center"/>
                </w:tcPr>
                <w:p w14:paraId="73C518B8">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控制要求</w:t>
                  </w:r>
                </w:p>
              </w:tc>
              <w:tc>
                <w:tcPr>
                  <w:tcW w:w="399" w:type="pct"/>
                  <w:tcMar>
                    <w:top w:w="0" w:type="dxa"/>
                    <w:left w:w="0" w:type="dxa"/>
                    <w:bottom w:w="0" w:type="dxa"/>
                    <w:right w:w="0" w:type="dxa"/>
                  </w:tcMar>
                  <w:vAlign w:val="center"/>
                </w:tcPr>
                <w:p w14:paraId="158E50E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环节</w:t>
                  </w:r>
                </w:p>
              </w:tc>
              <w:tc>
                <w:tcPr>
                  <w:tcW w:w="2017" w:type="pct"/>
                  <w:tcMar>
                    <w:top w:w="0" w:type="dxa"/>
                    <w:left w:w="0" w:type="dxa"/>
                    <w:bottom w:w="0" w:type="dxa"/>
                    <w:right w:w="0" w:type="dxa"/>
                  </w:tcMar>
                  <w:vAlign w:val="center"/>
                </w:tcPr>
                <w:p w14:paraId="23CF6AAD">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内容</w:t>
                  </w:r>
                </w:p>
              </w:tc>
              <w:tc>
                <w:tcPr>
                  <w:tcW w:w="338" w:type="pct"/>
                  <w:tcMar>
                    <w:top w:w="0" w:type="dxa"/>
                    <w:left w:w="0" w:type="dxa"/>
                    <w:bottom w:w="0" w:type="dxa"/>
                    <w:right w:w="0" w:type="dxa"/>
                  </w:tcMar>
                  <w:vAlign w:val="center"/>
                </w:tcPr>
                <w:p w14:paraId="598DF9BD">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实施要求</w:t>
                  </w:r>
                </w:p>
              </w:tc>
              <w:tc>
                <w:tcPr>
                  <w:tcW w:w="1471" w:type="pct"/>
                  <w:tcMar>
                    <w:top w:w="0" w:type="dxa"/>
                    <w:left w:w="0" w:type="dxa"/>
                    <w:bottom w:w="0" w:type="dxa"/>
                    <w:right w:w="0" w:type="dxa"/>
                  </w:tcMar>
                  <w:vAlign w:val="center"/>
                </w:tcPr>
                <w:p w14:paraId="4E4A4C5E">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相符性分析</w:t>
                  </w:r>
                </w:p>
              </w:tc>
              <w:tc>
                <w:tcPr>
                  <w:tcW w:w="455" w:type="pct"/>
                  <w:tcMar>
                    <w:top w:w="0" w:type="dxa"/>
                    <w:left w:w="0" w:type="dxa"/>
                    <w:bottom w:w="0" w:type="dxa"/>
                    <w:right w:w="0" w:type="dxa"/>
                  </w:tcMar>
                  <w:vAlign w:val="center"/>
                </w:tcPr>
                <w:p w14:paraId="5AE4CC29">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符合性</w:t>
                  </w:r>
                </w:p>
              </w:tc>
            </w:tr>
            <w:tr w14:paraId="6B22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000" w:type="pct"/>
                  <w:gridSpan w:val="6"/>
                  <w:tcMar>
                    <w:top w:w="0" w:type="dxa"/>
                    <w:left w:w="0" w:type="dxa"/>
                    <w:bottom w:w="0" w:type="dxa"/>
                    <w:right w:w="0" w:type="dxa"/>
                  </w:tcMar>
                  <w:vAlign w:val="center"/>
                </w:tcPr>
                <w:p w14:paraId="6EA389C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表面涂装行业VOCs 治理指引</w:t>
                  </w:r>
                </w:p>
              </w:tc>
            </w:tr>
            <w:tr w14:paraId="5EE40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restart"/>
                  <w:tcMar>
                    <w:top w:w="0" w:type="dxa"/>
                    <w:left w:w="0" w:type="dxa"/>
                    <w:bottom w:w="0" w:type="dxa"/>
                    <w:right w:w="0" w:type="dxa"/>
                  </w:tcMar>
                  <w:vAlign w:val="center"/>
                </w:tcPr>
                <w:p w14:paraId="1F81A8D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源头削减</w:t>
                  </w:r>
                </w:p>
              </w:tc>
              <w:tc>
                <w:tcPr>
                  <w:tcW w:w="399" w:type="pct"/>
                  <w:tcMar>
                    <w:top w:w="0" w:type="dxa"/>
                    <w:left w:w="0" w:type="dxa"/>
                    <w:bottom w:w="0" w:type="dxa"/>
                    <w:right w:w="0" w:type="dxa"/>
                  </w:tcMar>
                  <w:vAlign w:val="center"/>
                </w:tcPr>
                <w:p w14:paraId="3B78F6B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溶剂型涂料</w:t>
                  </w:r>
                </w:p>
              </w:tc>
              <w:tc>
                <w:tcPr>
                  <w:tcW w:w="2017" w:type="pct"/>
                  <w:tcMar>
                    <w:top w:w="0" w:type="dxa"/>
                    <w:left w:w="0" w:type="dxa"/>
                    <w:bottom w:w="0" w:type="dxa"/>
                    <w:right w:w="0" w:type="dxa"/>
                  </w:tcMar>
                  <w:vAlign w:val="center"/>
                </w:tcPr>
                <w:p w14:paraId="37590A8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摩托车(含电动摩托车)和自行车(含电动自行车)涂料、车辆用零部件涂料:</w:t>
                  </w:r>
                </w:p>
                <w:p w14:paraId="58E433C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外饰塑胶件用涂料:</w:t>
                  </w:r>
                </w:p>
                <w:p w14:paraId="10E991D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色漆VOCs含量≤700g/L;内饰件用涂料:色漆VOCs含量≤770g/L</w:t>
                  </w:r>
                </w:p>
              </w:tc>
              <w:tc>
                <w:tcPr>
                  <w:tcW w:w="338" w:type="pct"/>
                  <w:tcMar>
                    <w:top w:w="0" w:type="dxa"/>
                    <w:left w:w="0" w:type="dxa"/>
                    <w:bottom w:w="0" w:type="dxa"/>
                    <w:right w:w="0" w:type="dxa"/>
                  </w:tcMar>
                  <w:vAlign w:val="center"/>
                </w:tcPr>
                <w:p w14:paraId="64DAA89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1F98682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本项目产品包含内饰件和外饰件，喷漆过程中使用油性漆，根据VOCs 检测报告，施工状态下底漆的挥发性有机物含量为36</w:t>
                  </w:r>
                  <w:r>
                    <w:rPr>
                      <w:rFonts w:hint="eastAsia"/>
                      <w:b w:val="0"/>
                      <w:bCs w:val="0"/>
                      <w:color w:val="auto"/>
                      <w:sz w:val="21"/>
                      <w:szCs w:val="21"/>
                      <w:highlight w:val="none"/>
                      <w:lang w:val="en-US" w:eastAsia="zh-CN"/>
                    </w:rPr>
                    <w:t>3.3</w:t>
                  </w:r>
                  <w:r>
                    <w:rPr>
                      <w:rFonts w:hint="default"/>
                      <w:b w:val="0"/>
                      <w:bCs w:val="0"/>
                      <w:color w:val="auto"/>
                      <w:sz w:val="21"/>
                      <w:szCs w:val="21"/>
                      <w:highlight w:val="none"/>
                      <w:lang w:val="en-US" w:eastAsia="zh-CN"/>
                    </w:rPr>
                    <w:t>g/L，符合色漆VOCs 含量≤700g/L限制要求</w:t>
                  </w:r>
                </w:p>
              </w:tc>
              <w:tc>
                <w:tcPr>
                  <w:tcW w:w="455" w:type="pct"/>
                  <w:tcMar>
                    <w:top w:w="0" w:type="dxa"/>
                    <w:left w:w="0" w:type="dxa"/>
                    <w:bottom w:w="0" w:type="dxa"/>
                    <w:right w:w="0" w:type="dxa"/>
                  </w:tcMar>
                  <w:vAlign w:val="center"/>
                </w:tcPr>
                <w:p w14:paraId="4E83D6D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76588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4BF4328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7F555B8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水性涂料</w:t>
                  </w:r>
                </w:p>
              </w:tc>
              <w:tc>
                <w:tcPr>
                  <w:tcW w:w="2017" w:type="pct"/>
                  <w:tcMar>
                    <w:top w:w="0" w:type="dxa"/>
                    <w:left w:w="0" w:type="dxa"/>
                    <w:bottom w:w="0" w:type="dxa"/>
                    <w:right w:w="0" w:type="dxa"/>
                  </w:tcMar>
                  <w:vAlign w:val="center"/>
                </w:tcPr>
                <w:p w14:paraId="45CE777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摩托车(含电动摩托车)和自行车(含电动自行车)涂料、车辆用零部件涂料:外饰塑胶件用涂料:</w:t>
                  </w:r>
                </w:p>
                <w:p w14:paraId="3BF8D27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色漆VOCs含量≤530g/L;</w:t>
                  </w:r>
                </w:p>
                <w:p w14:paraId="57442A3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内饰件用涂料:</w:t>
                  </w:r>
                </w:p>
                <w:p w14:paraId="24F8DF2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底色漆VOCs含量≤530g/L;</w:t>
                  </w:r>
                </w:p>
              </w:tc>
              <w:tc>
                <w:tcPr>
                  <w:tcW w:w="338" w:type="pct"/>
                  <w:tcMar>
                    <w:top w:w="0" w:type="dxa"/>
                    <w:left w:w="0" w:type="dxa"/>
                    <w:bottom w:w="0" w:type="dxa"/>
                    <w:right w:w="0" w:type="dxa"/>
                  </w:tcMar>
                  <w:vAlign w:val="center"/>
                </w:tcPr>
                <w:p w14:paraId="723DEF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04EC0CF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本项目产品包含内饰件和外饰件，喷漆过程中使用水性漆，根据VOCs 检测报告，施工状态下底漆的挥发性有机物含量为19g/L，符合色漆VOCs 含量≤530g/L限制要求</w:t>
                  </w:r>
                </w:p>
              </w:tc>
              <w:tc>
                <w:tcPr>
                  <w:tcW w:w="455" w:type="pct"/>
                  <w:tcMar>
                    <w:top w:w="0" w:type="dxa"/>
                    <w:left w:w="0" w:type="dxa"/>
                    <w:bottom w:w="0" w:type="dxa"/>
                    <w:right w:w="0" w:type="dxa"/>
                  </w:tcMar>
                  <w:vAlign w:val="center"/>
                </w:tcPr>
                <w:p w14:paraId="13B3026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3687B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continue"/>
                  <w:tcMar>
                    <w:top w:w="0" w:type="dxa"/>
                    <w:left w:w="0" w:type="dxa"/>
                    <w:bottom w:w="0" w:type="dxa"/>
                    <w:right w:w="0" w:type="dxa"/>
                  </w:tcMar>
                  <w:vAlign w:val="center"/>
                </w:tcPr>
                <w:p w14:paraId="0864F0A3">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2BF36A1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清洗剂</w:t>
                  </w:r>
                </w:p>
              </w:tc>
              <w:tc>
                <w:tcPr>
                  <w:tcW w:w="2017" w:type="pct"/>
                  <w:tcMar>
                    <w:top w:w="0" w:type="dxa"/>
                    <w:left w:w="0" w:type="dxa"/>
                    <w:bottom w:w="0" w:type="dxa"/>
                    <w:right w:w="0" w:type="dxa"/>
                  </w:tcMar>
                  <w:vAlign w:val="center"/>
                </w:tcPr>
                <w:p w14:paraId="52191C1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有机溶剂清洗剂：VOCs≤900g/L</w:t>
                  </w:r>
                </w:p>
              </w:tc>
              <w:tc>
                <w:tcPr>
                  <w:tcW w:w="338" w:type="pct"/>
                  <w:tcMar>
                    <w:top w:w="0" w:type="dxa"/>
                    <w:left w:w="0" w:type="dxa"/>
                    <w:bottom w:w="0" w:type="dxa"/>
                    <w:right w:w="0" w:type="dxa"/>
                  </w:tcMar>
                  <w:vAlign w:val="center"/>
                </w:tcPr>
                <w:p w14:paraId="114A3F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127BE8A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项目使用稀释剂作为清洗剂，其</w:t>
                  </w:r>
                  <w:r>
                    <w:rPr>
                      <w:rFonts w:hint="default"/>
                      <w:b w:val="0"/>
                      <w:bCs w:val="0"/>
                      <w:color w:val="auto"/>
                      <w:sz w:val="21"/>
                      <w:szCs w:val="21"/>
                      <w:highlight w:val="none"/>
                    </w:rPr>
                    <w:t xml:space="preserve">VOC 含量为 </w:t>
                  </w:r>
                  <w:r>
                    <w:rPr>
                      <w:rFonts w:hint="default"/>
                      <w:b w:val="0"/>
                      <w:bCs w:val="0"/>
                      <w:color w:val="auto"/>
                      <w:sz w:val="21"/>
                      <w:szCs w:val="21"/>
                      <w:highlight w:val="none"/>
                      <w:lang w:val="en-US" w:eastAsia="zh-CN"/>
                    </w:rPr>
                    <w:t>828</w:t>
                  </w:r>
                  <w:r>
                    <w:rPr>
                      <w:rFonts w:hint="default"/>
                      <w:b w:val="0"/>
                      <w:bCs w:val="0"/>
                      <w:color w:val="auto"/>
                      <w:sz w:val="21"/>
                      <w:szCs w:val="21"/>
                      <w:highlight w:val="none"/>
                    </w:rPr>
                    <w:t>g/L</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满足要求</w:t>
                  </w:r>
                </w:p>
              </w:tc>
              <w:tc>
                <w:tcPr>
                  <w:tcW w:w="455" w:type="pct"/>
                  <w:tcMar>
                    <w:top w:w="0" w:type="dxa"/>
                    <w:left w:w="0" w:type="dxa"/>
                    <w:bottom w:w="0" w:type="dxa"/>
                    <w:right w:w="0" w:type="dxa"/>
                  </w:tcMar>
                  <w:vAlign w:val="center"/>
                </w:tcPr>
                <w:p w14:paraId="45A89A6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25AF5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restart"/>
                  <w:tcMar>
                    <w:top w:w="0" w:type="dxa"/>
                    <w:left w:w="0" w:type="dxa"/>
                    <w:bottom w:w="0" w:type="dxa"/>
                    <w:right w:w="0" w:type="dxa"/>
                  </w:tcMar>
                  <w:vAlign w:val="center"/>
                </w:tcPr>
                <w:p w14:paraId="289B94B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过程控制</w:t>
                  </w:r>
                </w:p>
              </w:tc>
              <w:tc>
                <w:tcPr>
                  <w:tcW w:w="399" w:type="pct"/>
                  <w:tcMar>
                    <w:top w:w="0" w:type="dxa"/>
                    <w:left w:w="0" w:type="dxa"/>
                    <w:bottom w:w="0" w:type="dxa"/>
                    <w:right w:w="0" w:type="dxa"/>
                  </w:tcMar>
                  <w:vAlign w:val="center"/>
                </w:tcPr>
                <w:p w14:paraId="2E907A5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VOCs物料储存</w:t>
                  </w:r>
                </w:p>
              </w:tc>
              <w:tc>
                <w:tcPr>
                  <w:tcW w:w="2017" w:type="pct"/>
                  <w:tcMar>
                    <w:top w:w="0" w:type="dxa"/>
                    <w:left w:w="0" w:type="dxa"/>
                    <w:bottom w:w="0" w:type="dxa"/>
                    <w:right w:w="0" w:type="dxa"/>
                  </w:tcMar>
                  <w:vAlign w:val="center"/>
                </w:tcPr>
                <w:p w14:paraId="7279F97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油漆、稀释剂、清洗剂等含VOCs 物料应储存于密闭的容器、包装袋、储罐、儲 库、料仓中。</w:t>
                  </w:r>
                </w:p>
              </w:tc>
              <w:tc>
                <w:tcPr>
                  <w:tcW w:w="338" w:type="pct"/>
                  <w:tcMar>
                    <w:top w:w="0" w:type="dxa"/>
                    <w:left w:w="0" w:type="dxa"/>
                    <w:bottom w:w="0" w:type="dxa"/>
                    <w:right w:w="0" w:type="dxa"/>
                  </w:tcMar>
                  <w:vAlign w:val="center"/>
                </w:tcPr>
                <w:p w14:paraId="49CA696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2495129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项目使用的油性漆、固化剂、稀释剂、清洗剂等用密闭包装保存，所有原辅材 料、包装容器均放置室内，符合要求。</w:t>
                  </w:r>
                </w:p>
              </w:tc>
              <w:tc>
                <w:tcPr>
                  <w:tcW w:w="455" w:type="pct"/>
                  <w:tcMar>
                    <w:top w:w="0" w:type="dxa"/>
                    <w:left w:w="0" w:type="dxa"/>
                    <w:bottom w:w="0" w:type="dxa"/>
                    <w:right w:w="0" w:type="dxa"/>
                  </w:tcMar>
                  <w:vAlign w:val="center"/>
                </w:tcPr>
                <w:p w14:paraId="700B37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F97E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318" w:type="pct"/>
                  <w:vMerge w:val="continue"/>
                  <w:tcMar>
                    <w:top w:w="0" w:type="dxa"/>
                    <w:left w:w="0" w:type="dxa"/>
                    <w:bottom w:w="0" w:type="dxa"/>
                    <w:right w:w="0" w:type="dxa"/>
                  </w:tcMar>
                  <w:vAlign w:val="center"/>
                </w:tcPr>
                <w:p w14:paraId="1481923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3816CDB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VOCs物料转移、输送</w:t>
                  </w:r>
                </w:p>
              </w:tc>
              <w:tc>
                <w:tcPr>
                  <w:tcW w:w="2017" w:type="pct"/>
                  <w:tcMar>
                    <w:top w:w="0" w:type="dxa"/>
                    <w:left w:w="0" w:type="dxa"/>
                    <w:bottom w:w="0" w:type="dxa"/>
                    <w:right w:w="0" w:type="dxa"/>
                  </w:tcMar>
                  <w:vAlign w:val="center"/>
                </w:tcPr>
                <w:p w14:paraId="6FF6D9C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油漆、稀释剂、清洗剂等盛装 VOCs 物料的容器存放于室内，或存放于设置有雨 棚、遮阳和防渗设施的专用场地。盛装 VPCs 物料的容器在非取用状态时应加盖、封口，保持密闭。</w:t>
                  </w:r>
                </w:p>
              </w:tc>
              <w:tc>
                <w:tcPr>
                  <w:tcW w:w="338" w:type="pct"/>
                  <w:tcMar>
                    <w:top w:w="0" w:type="dxa"/>
                    <w:left w:w="0" w:type="dxa"/>
                    <w:bottom w:w="0" w:type="dxa"/>
                    <w:right w:w="0" w:type="dxa"/>
                  </w:tcMar>
                  <w:vAlign w:val="center"/>
                </w:tcPr>
                <w:p w14:paraId="1FF7AB4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8DE5D05">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1A031AA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5FA6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restart"/>
                  <w:tcMar>
                    <w:top w:w="0" w:type="dxa"/>
                    <w:left w:w="0" w:type="dxa"/>
                    <w:bottom w:w="0" w:type="dxa"/>
                    <w:right w:w="0" w:type="dxa"/>
                  </w:tcMar>
                  <w:vAlign w:val="center"/>
                </w:tcPr>
                <w:p w14:paraId="301707D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末端治理</w:t>
                  </w:r>
                </w:p>
              </w:tc>
              <w:tc>
                <w:tcPr>
                  <w:tcW w:w="399" w:type="pct"/>
                  <w:tcMar>
                    <w:top w:w="0" w:type="dxa"/>
                    <w:left w:w="0" w:type="dxa"/>
                    <w:bottom w:w="0" w:type="dxa"/>
                    <w:right w:w="0" w:type="dxa"/>
                  </w:tcMar>
                  <w:vAlign w:val="center"/>
                </w:tcPr>
                <w:p w14:paraId="082F6CE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工艺过程</w:t>
                  </w:r>
                </w:p>
              </w:tc>
              <w:tc>
                <w:tcPr>
                  <w:tcW w:w="2017" w:type="pct"/>
                  <w:tcMar>
                    <w:top w:w="0" w:type="dxa"/>
                    <w:left w:w="0" w:type="dxa"/>
                    <w:bottom w:w="0" w:type="dxa"/>
                    <w:right w:w="0" w:type="dxa"/>
                  </w:tcMar>
                  <w:vAlign w:val="center"/>
                </w:tcPr>
                <w:p w14:paraId="4E62372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调配、电泳、电泳烘干、喷漆（低、中、面、清）、喷涂烘干、修补漆、漆烘干等使用VOCs 质量占比大于等于 10%物料的工艺过程</w:t>
                  </w:r>
                </w:p>
                <w:p w14:paraId="0C681C5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应采用密闭设备或在密闭空间内操作，废气应排至VOCs废气收集处理系统：无法密闭的，应采取局部气体收集措施，废气排至 VOCs 废气收集处理系统。</w:t>
                  </w:r>
                </w:p>
              </w:tc>
              <w:tc>
                <w:tcPr>
                  <w:tcW w:w="338" w:type="pct"/>
                  <w:tcMar>
                    <w:top w:w="0" w:type="dxa"/>
                    <w:left w:w="0" w:type="dxa"/>
                    <w:bottom w:w="0" w:type="dxa"/>
                    <w:right w:w="0" w:type="dxa"/>
                  </w:tcMar>
                  <w:vAlign w:val="center"/>
                </w:tcPr>
                <w:p w14:paraId="045D1BE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A62144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本项目喷漆</w:t>
                  </w:r>
                </w:p>
                <w:p w14:paraId="444897D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废气（包含调漆</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喷漆抽漆烘干</w:t>
                  </w:r>
                  <w:r>
                    <w:rPr>
                      <w:rFonts w:hint="default"/>
                      <w:b w:val="0"/>
                      <w:bCs w:val="0"/>
                      <w:color w:val="auto"/>
                      <w:sz w:val="21"/>
                      <w:szCs w:val="21"/>
                      <w:highlight w:val="none"/>
                    </w:rPr>
                    <w:t>）通过密闭负压抽风进行废气收集后经过</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w:t>
                  </w:r>
                  <w:r>
                    <w:rPr>
                      <w:rFonts w:hint="default"/>
                      <w:b w:val="0"/>
                      <w:bCs w:val="0"/>
                      <w:color w:val="auto"/>
                      <w:sz w:val="21"/>
                      <w:szCs w:val="21"/>
                      <w:highlight w:val="none"/>
                      <w:lang w:val="en-US" w:eastAsia="zh-CN"/>
                    </w:rPr>
                    <w:t>帘柜</w:t>
                  </w:r>
                  <w:r>
                    <w:rPr>
                      <w:rFonts w:hint="default"/>
                      <w:b w:val="0"/>
                      <w:bCs w:val="0"/>
                      <w:color w:val="auto"/>
                      <w:sz w:val="21"/>
                      <w:szCs w:val="21"/>
                      <w:highlight w:val="none"/>
                    </w:rPr>
                    <w:t>+干式过滤器+二级活性炭吸附装置”处理后通过 15m 排气筒 DA00</w:t>
                  </w:r>
                  <w:r>
                    <w:rPr>
                      <w:rFonts w:hint="default"/>
                      <w:b w:val="0"/>
                      <w:bCs w:val="0"/>
                      <w:color w:val="auto"/>
                      <w:sz w:val="21"/>
                      <w:szCs w:val="21"/>
                      <w:highlight w:val="none"/>
                      <w:lang w:val="en-US" w:eastAsia="zh-CN"/>
                    </w:rPr>
                    <w:t>1</w:t>
                  </w:r>
                  <w:r>
                    <w:rPr>
                      <w:rFonts w:hint="default"/>
                      <w:b w:val="0"/>
                      <w:bCs w:val="0"/>
                      <w:color w:val="auto"/>
                      <w:sz w:val="21"/>
                      <w:szCs w:val="21"/>
                      <w:highlight w:val="none"/>
                    </w:rPr>
                    <w:t xml:space="preserve"> 排放</w:t>
                  </w:r>
                </w:p>
                <w:p w14:paraId="55D24BE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符合</w:t>
                  </w:r>
                </w:p>
              </w:tc>
              <w:tc>
                <w:tcPr>
                  <w:tcW w:w="455" w:type="pct"/>
                  <w:tcMar>
                    <w:top w:w="0" w:type="dxa"/>
                    <w:left w:w="0" w:type="dxa"/>
                    <w:bottom w:w="0" w:type="dxa"/>
                    <w:right w:w="0" w:type="dxa"/>
                  </w:tcMar>
                  <w:vAlign w:val="center"/>
                </w:tcPr>
                <w:p w14:paraId="7A0E0DB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14:paraId="6890B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jc w:val="center"/>
              </w:trPr>
              <w:tc>
                <w:tcPr>
                  <w:tcW w:w="318" w:type="pct"/>
                  <w:vMerge w:val="continue"/>
                  <w:tcMar>
                    <w:top w:w="0" w:type="dxa"/>
                    <w:left w:w="0" w:type="dxa"/>
                    <w:bottom w:w="0" w:type="dxa"/>
                    <w:right w:w="0" w:type="dxa"/>
                  </w:tcMar>
                  <w:vAlign w:val="center"/>
                </w:tcPr>
                <w:p w14:paraId="6226BED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0AA2775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lang w:val="en-US" w:eastAsia="zh-CN"/>
                    </w:rPr>
                    <w:t>废气收集</w:t>
                  </w:r>
                </w:p>
              </w:tc>
              <w:tc>
                <w:tcPr>
                  <w:tcW w:w="2017" w:type="pct"/>
                  <w:tcMar>
                    <w:top w:w="0" w:type="dxa"/>
                    <w:left w:w="0" w:type="dxa"/>
                    <w:bottom w:w="0" w:type="dxa"/>
                    <w:right w:w="0" w:type="dxa"/>
                  </w:tcMar>
                  <w:vAlign w:val="center"/>
                </w:tcPr>
                <w:p w14:paraId="5229465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废气收集系统的输送管道应密闭。废气收集系统应在负压下运行，若处于正压状 态，应对管道组件的密封点进行泄漏检测，泄漏检测值不应超过 500umol/mol，亦不应有感官可察觉泄漏。</w:t>
                  </w:r>
                </w:p>
              </w:tc>
              <w:tc>
                <w:tcPr>
                  <w:tcW w:w="338" w:type="pct"/>
                  <w:tcMar>
                    <w:top w:w="0" w:type="dxa"/>
                    <w:left w:w="0" w:type="dxa"/>
                    <w:bottom w:w="0" w:type="dxa"/>
                    <w:right w:w="0" w:type="dxa"/>
                  </w:tcMar>
                  <w:vAlign w:val="center"/>
                </w:tcPr>
                <w:p w14:paraId="24A4E3E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E894FE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本项目的废气收集输送管道密闭输送，废气收集系统在负压下运行，符合相应要</w:t>
                  </w:r>
                </w:p>
                <w:p w14:paraId="3E238B2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求。</w:t>
                  </w:r>
                </w:p>
              </w:tc>
              <w:tc>
                <w:tcPr>
                  <w:tcW w:w="455" w:type="pct"/>
                  <w:tcMar>
                    <w:top w:w="0" w:type="dxa"/>
                    <w:left w:w="0" w:type="dxa"/>
                    <w:bottom w:w="0" w:type="dxa"/>
                    <w:right w:w="0" w:type="dxa"/>
                  </w:tcMar>
                  <w:vAlign w:val="center"/>
                </w:tcPr>
                <w:p w14:paraId="48FAE1B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51C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continue"/>
                  <w:tcMar>
                    <w:top w:w="0" w:type="dxa"/>
                    <w:left w:w="0" w:type="dxa"/>
                    <w:bottom w:w="0" w:type="dxa"/>
                    <w:right w:w="0" w:type="dxa"/>
                  </w:tcMar>
                  <w:vAlign w:val="center"/>
                </w:tcPr>
                <w:p w14:paraId="347053C9">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2B452293">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排放水平</w:t>
                  </w:r>
                </w:p>
              </w:tc>
              <w:tc>
                <w:tcPr>
                  <w:tcW w:w="2017" w:type="pct"/>
                  <w:tcMar>
                    <w:top w:w="0" w:type="dxa"/>
                    <w:left w:w="0" w:type="dxa"/>
                    <w:bottom w:w="0" w:type="dxa"/>
                    <w:right w:w="0" w:type="dxa"/>
                  </w:tcMar>
                  <w:vAlign w:val="center"/>
                </w:tcPr>
                <w:p w14:paraId="137A01D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采用外部集气罩的，距集气罩开口最远处的 VOCs 无组织排放位置，控制风速不低于 0.3m/s。</w:t>
                  </w:r>
                </w:p>
              </w:tc>
              <w:tc>
                <w:tcPr>
                  <w:tcW w:w="338" w:type="pct"/>
                  <w:tcMar>
                    <w:top w:w="0" w:type="dxa"/>
                    <w:left w:w="0" w:type="dxa"/>
                    <w:bottom w:w="0" w:type="dxa"/>
                    <w:right w:w="0" w:type="dxa"/>
                  </w:tcMar>
                  <w:vAlign w:val="center"/>
                </w:tcPr>
                <w:p w14:paraId="45D89B1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A33762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本项目喷漆室、烘干室均采用室内负压收集方式收集废</w:t>
                  </w:r>
                </w:p>
                <w:p w14:paraId="4014FD7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气。</w:t>
                  </w:r>
                </w:p>
              </w:tc>
              <w:tc>
                <w:tcPr>
                  <w:tcW w:w="455" w:type="pct"/>
                  <w:tcMar>
                    <w:top w:w="0" w:type="dxa"/>
                    <w:left w:w="0" w:type="dxa"/>
                    <w:bottom w:w="0" w:type="dxa"/>
                    <w:right w:w="0" w:type="dxa"/>
                  </w:tcMar>
                  <w:vAlign w:val="center"/>
                </w:tcPr>
                <w:p w14:paraId="5BF72B4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C35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76EBACDC">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2561AE4B">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696DDAD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废气收集系统应与生产工艺设备同步运行。废气收集系统发生故障或检修时，对应的生产工艺设备应停止运 行，待检修完毕后同步投入使用：生产工艺设备不能停止运行或不能及时停止运行的，应设置废气应急处理设施或采取其他代替措施。</w:t>
                  </w:r>
                </w:p>
              </w:tc>
              <w:tc>
                <w:tcPr>
                  <w:tcW w:w="338" w:type="pct"/>
                  <w:tcMar>
                    <w:top w:w="0" w:type="dxa"/>
                    <w:left w:w="0" w:type="dxa"/>
                    <w:bottom w:w="0" w:type="dxa"/>
                    <w:right w:w="0" w:type="dxa"/>
                  </w:tcMar>
                  <w:vAlign w:val="center"/>
                </w:tcPr>
                <w:p w14:paraId="034E07B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667AC56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本项目生产设备和环保设施“同启同停”。废气收集系统发生故障或检修时，对应的生产工艺设备停止运 行，待检修完毕后再生产。</w:t>
                  </w:r>
                </w:p>
              </w:tc>
              <w:tc>
                <w:tcPr>
                  <w:tcW w:w="455" w:type="pct"/>
                  <w:tcMar>
                    <w:top w:w="0" w:type="dxa"/>
                    <w:left w:w="0" w:type="dxa"/>
                    <w:bottom w:w="0" w:type="dxa"/>
                    <w:right w:w="0" w:type="dxa"/>
                  </w:tcMar>
                  <w:vAlign w:val="center"/>
                </w:tcPr>
                <w:p w14:paraId="4C8C148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DB34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0" w:hRule="atLeast"/>
                <w:jc w:val="center"/>
              </w:trPr>
              <w:tc>
                <w:tcPr>
                  <w:tcW w:w="318" w:type="pct"/>
                  <w:vMerge w:val="continue"/>
                  <w:tcMar>
                    <w:top w:w="0" w:type="dxa"/>
                    <w:left w:w="0" w:type="dxa"/>
                    <w:bottom w:w="0" w:type="dxa"/>
                    <w:right w:w="0" w:type="dxa"/>
                  </w:tcMar>
                  <w:vAlign w:val="center"/>
                </w:tcPr>
                <w:p w14:paraId="088D4C43">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3D97D9C">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06FA72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其他表面涂装行业 a）2002 年 1 月 1 日前的建设项目排放的工艺有机废气排放浓度执行《大气污染物排放限值》（DB4427- 2001）第一时段限值：2002年 1 月 1 日起的建设项目排放的有机废气排放浓度执行《大气污染物排放限值》</w:t>
                  </w:r>
                  <w:r>
                    <w:rPr>
                      <w:rFonts w:hint="default"/>
                      <w:b w:val="0"/>
                      <w:bCs w:val="0"/>
                      <w:color w:val="auto"/>
                      <w:sz w:val="21"/>
                      <w:szCs w:val="21"/>
                      <w:highlight w:val="none"/>
                      <w:lang w:eastAsia="zh-CN"/>
                    </w:rPr>
                    <w:t>（</w:t>
                  </w:r>
                  <w:r>
                    <w:rPr>
                      <w:rFonts w:hint="default"/>
                      <w:b w:val="0"/>
                      <w:bCs w:val="0"/>
                      <w:color w:val="auto"/>
                      <w:sz w:val="21"/>
                      <w:szCs w:val="21"/>
                      <w:highlight w:val="none"/>
                    </w:rPr>
                    <w:t>DB4427-2001）第二时段限值；车间或生产设施排气中 NMHC 初始排放速率≥ 3kg/h 时，建设VOCs 处理设施且处理效率≥80%。b）厂区内无组织排放监控点 NMHC 的小时平均浓度值不超过6mg/m3，任意一次浓度值不超过 20mg/m3。</w:t>
                  </w:r>
                </w:p>
              </w:tc>
              <w:tc>
                <w:tcPr>
                  <w:tcW w:w="338" w:type="pct"/>
                  <w:tcMar>
                    <w:top w:w="0" w:type="dxa"/>
                    <w:left w:w="0" w:type="dxa"/>
                    <w:bottom w:w="0" w:type="dxa"/>
                    <w:right w:w="0" w:type="dxa"/>
                  </w:tcMar>
                  <w:vAlign w:val="center"/>
                </w:tcPr>
                <w:p w14:paraId="61D6B04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EE4727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企业建成后，按照要求定期进行厂区的有组织和无组织废气检测：项目采用</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套“水帘柜+干式过滤器+二级活性炭吸附装置”分别处理喷漆（包含调 漆</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喷漆、抽漆</w:t>
                  </w:r>
                  <w:r>
                    <w:rPr>
                      <w:rFonts w:hint="default"/>
                      <w:b w:val="0"/>
                      <w:bCs w:val="0"/>
                      <w:color w:val="auto"/>
                      <w:sz w:val="21"/>
                      <w:szCs w:val="21"/>
                      <w:highlight w:val="none"/>
                    </w:rPr>
                    <w:t>、烘干废气</w:t>
                  </w:r>
                </w:p>
                <w:p w14:paraId="24C1FC5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，属于高效的治污设施，处理效率达到8</w:t>
                  </w:r>
                  <w:r>
                    <w:rPr>
                      <w:rFonts w:hint="default"/>
                      <w:b w:val="0"/>
                      <w:bCs w:val="0"/>
                      <w:color w:val="auto"/>
                      <w:sz w:val="21"/>
                      <w:szCs w:val="21"/>
                      <w:highlight w:val="none"/>
                      <w:lang w:val="en-US" w:eastAsia="zh-CN"/>
                    </w:rPr>
                    <w:t>0</w:t>
                  </w:r>
                  <w:r>
                    <w:rPr>
                      <w:rFonts w:hint="default"/>
                      <w:b w:val="0"/>
                      <w:bCs w:val="0"/>
                      <w:color w:val="auto"/>
                      <w:sz w:val="21"/>
                      <w:szCs w:val="21"/>
                      <w:highlight w:val="none"/>
                    </w:rPr>
                    <w:t>%。</w:t>
                  </w:r>
                </w:p>
              </w:tc>
              <w:tc>
                <w:tcPr>
                  <w:tcW w:w="455" w:type="pct"/>
                  <w:tcMar>
                    <w:top w:w="0" w:type="dxa"/>
                    <w:left w:w="0" w:type="dxa"/>
                    <w:bottom w:w="0" w:type="dxa"/>
                    <w:right w:w="0" w:type="dxa"/>
                  </w:tcMar>
                  <w:vAlign w:val="center"/>
                </w:tcPr>
                <w:p w14:paraId="6302419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B8E5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318" w:type="pct"/>
                  <w:vMerge w:val="continue"/>
                  <w:tcMar>
                    <w:top w:w="0" w:type="dxa"/>
                    <w:left w:w="0" w:type="dxa"/>
                    <w:bottom w:w="0" w:type="dxa"/>
                    <w:right w:w="0" w:type="dxa"/>
                  </w:tcMar>
                  <w:vAlign w:val="center"/>
                </w:tcPr>
                <w:p w14:paraId="43AC689E">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415E91B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治理设施设计与运行管理</w:t>
                  </w:r>
                </w:p>
              </w:tc>
              <w:tc>
                <w:tcPr>
                  <w:tcW w:w="2017" w:type="pct"/>
                  <w:tcMar>
                    <w:top w:w="0" w:type="dxa"/>
                    <w:left w:w="0" w:type="dxa"/>
                    <w:bottom w:w="0" w:type="dxa"/>
                    <w:right w:w="0" w:type="dxa"/>
                  </w:tcMar>
                  <w:vAlign w:val="center"/>
                </w:tcPr>
                <w:p w14:paraId="2F9867F6">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吸附床（含活性炭吸附法）：预处理设备应根据废气的成分、性质和影响吸附过程的物质性质及含量进行选择： b）吸附床层的吸附剂用量应根据废气处理量、污染物浓度和吸附剂的动态吸附量确定；c）吸附剂应及时更换或有效再生。</w:t>
                  </w:r>
                </w:p>
              </w:tc>
              <w:tc>
                <w:tcPr>
                  <w:tcW w:w="338" w:type="pct"/>
                  <w:tcMar>
                    <w:top w:w="0" w:type="dxa"/>
                    <w:left w:w="0" w:type="dxa"/>
                    <w:bottom w:w="0" w:type="dxa"/>
                    <w:right w:w="0" w:type="dxa"/>
                  </w:tcMar>
                  <w:vAlign w:val="center"/>
                </w:tcPr>
                <w:p w14:paraId="0A605ED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895D4D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w:t>
                  </w:r>
                  <w:r>
                    <w:rPr>
                      <w:rFonts w:hint="default"/>
                      <w:b w:val="0"/>
                      <w:bCs w:val="0"/>
                      <w:color w:val="auto"/>
                      <w:sz w:val="21"/>
                      <w:szCs w:val="21"/>
                      <w:highlight w:val="none"/>
                      <w:lang w:val="en-US" w:eastAsia="zh-CN"/>
                    </w:rPr>
                    <w:t>1#厂房</w:t>
                  </w:r>
                  <w:r>
                    <w:rPr>
                      <w:rFonts w:hint="default"/>
                      <w:b w:val="0"/>
                      <w:bCs w:val="0"/>
                      <w:color w:val="auto"/>
                      <w:sz w:val="21"/>
                      <w:szCs w:val="21"/>
                      <w:highlight w:val="none"/>
                    </w:rPr>
                    <w:t>的有机废气治理设施工艺为</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套“水帘柜+干式过滤器+二级活性炭吸附装置”，其中活性炭吸附床按照规范要求设计和装填，根据运行情况进行活性炭及时更</w:t>
                  </w:r>
                </w:p>
                <w:p w14:paraId="5286C29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换。</w:t>
                  </w:r>
                </w:p>
              </w:tc>
              <w:tc>
                <w:tcPr>
                  <w:tcW w:w="455" w:type="pct"/>
                  <w:tcMar>
                    <w:top w:w="0" w:type="dxa"/>
                    <w:left w:w="0" w:type="dxa"/>
                    <w:bottom w:w="0" w:type="dxa"/>
                    <w:right w:w="0" w:type="dxa"/>
                  </w:tcMar>
                  <w:vAlign w:val="center"/>
                </w:tcPr>
                <w:p w14:paraId="45B2D6F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DEC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0230725D">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5DA46605">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74A8ACB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治理设施应与生产工艺设备同步运行，VOCs 治理设施发生故障或检修时，对应的生产工艺设备应停止运行，待检修完毕后同步</w:t>
                  </w:r>
                  <w:r>
                    <w:rPr>
                      <w:rFonts w:hint="eastAsia"/>
                      <w:b w:val="0"/>
                      <w:bCs w:val="0"/>
                      <w:color w:val="auto"/>
                      <w:sz w:val="21"/>
                      <w:szCs w:val="21"/>
                      <w:highlight w:val="none"/>
                      <w:lang w:eastAsia="zh-CN"/>
                    </w:rPr>
                    <w:t>投入使用</w:t>
                  </w:r>
                  <w:r>
                    <w:rPr>
                      <w:rFonts w:hint="default"/>
                      <w:b w:val="0"/>
                      <w:bCs w:val="0"/>
                      <w:color w:val="auto"/>
                      <w:sz w:val="21"/>
                      <w:szCs w:val="21"/>
                      <w:highlight w:val="none"/>
                    </w:rPr>
                    <w:t>；生产工艺设备不能停止运行或不能及时停止运行的，应设置废气应急处理设施或采取其他替代措施。</w:t>
                  </w:r>
                </w:p>
              </w:tc>
              <w:tc>
                <w:tcPr>
                  <w:tcW w:w="338" w:type="pct"/>
                  <w:tcMar>
                    <w:top w:w="0" w:type="dxa"/>
                    <w:left w:w="0" w:type="dxa"/>
                    <w:bottom w:w="0" w:type="dxa"/>
                    <w:right w:w="0" w:type="dxa"/>
                  </w:tcMar>
                  <w:vAlign w:val="center"/>
                </w:tcPr>
                <w:p w14:paraId="56B3137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2C04FEA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本项目生产设备和环保设施“同启同停”，当出现治理设施故障时，企业立即停止生产并待检修</w:t>
                  </w:r>
                </w:p>
                <w:p w14:paraId="0E10865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完毕后同步投入使用。</w:t>
                  </w:r>
                </w:p>
              </w:tc>
              <w:tc>
                <w:tcPr>
                  <w:tcW w:w="455" w:type="pct"/>
                  <w:tcMar>
                    <w:top w:w="0" w:type="dxa"/>
                    <w:left w:w="0" w:type="dxa"/>
                    <w:bottom w:w="0" w:type="dxa"/>
                    <w:right w:w="0" w:type="dxa"/>
                  </w:tcMar>
                  <w:vAlign w:val="center"/>
                </w:tcPr>
                <w:p w14:paraId="7C9CA40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9CFF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1" w:hRule="atLeast"/>
                <w:jc w:val="center"/>
              </w:trPr>
              <w:tc>
                <w:tcPr>
                  <w:tcW w:w="318" w:type="pct"/>
                  <w:vMerge w:val="continue"/>
                  <w:tcMar>
                    <w:top w:w="0" w:type="dxa"/>
                    <w:left w:w="0" w:type="dxa"/>
                    <w:bottom w:w="0" w:type="dxa"/>
                    <w:right w:w="0" w:type="dxa"/>
                  </w:tcMar>
                  <w:vAlign w:val="center"/>
                </w:tcPr>
                <w:p w14:paraId="17687DB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539488FD">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5F3917E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污染治理设施编号可为电子工业排污单位内部编号，若排污单位无内部编号，则根据《排污单位编码规则》（HJ608）进行编号。有组织排放口编号应填写地方环境保护主管部门现有编号，若排污单位无现有编号，则由电子工业排污单位根据《排污单位编码规则》（HJ608）进行编号。</w:t>
                  </w:r>
                </w:p>
              </w:tc>
              <w:tc>
                <w:tcPr>
                  <w:tcW w:w="338" w:type="pct"/>
                  <w:tcMar>
                    <w:top w:w="0" w:type="dxa"/>
                    <w:left w:w="0" w:type="dxa"/>
                    <w:bottom w:w="0" w:type="dxa"/>
                    <w:right w:w="0" w:type="dxa"/>
                  </w:tcMar>
                  <w:vAlign w:val="center"/>
                </w:tcPr>
                <w:p w14:paraId="2BF02EF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22E7A7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企业建成后，按照排污许可证的要求对排放口合理编 号。</w:t>
                  </w:r>
                </w:p>
              </w:tc>
              <w:tc>
                <w:tcPr>
                  <w:tcW w:w="455" w:type="pct"/>
                  <w:tcMar>
                    <w:top w:w="0" w:type="dxa"/>
                    <w:left w:w="0" w:type="dxa"/>
                    <w:bottom w:w="0" w:type="dxa"/>
                    <w:right w:w="0" w:type="dxa"/>
                  </w:tcMar>
                  <w:vAlign w:val="center"/>
                </w:tcPr>
                <w:p w14:paraId="0641CF1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77B9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3A1DC473">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64E82938">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06E91F1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设置规范的处理前后采样位置，采样位置应避开对测试人员操作有危险的场所，优先选择在垂直管段，避开烟道弯头和断面急剧变化的部位，应设置在距弯头、阀 门、变径管下游方向不小于 6 倍直径，和距上述部件上游方向不小于 3 倍直径处。</w:t>
                  </w:r>
                </w:p>
              </w:tc>
              <w:tc>
                <w:tcPr>
                  <w:tcW w:w="338" w:type="pct"/>
                  <w:tcMar>
                    <w:top w:w="0" w:type="dxa"/>
                    <w:left w:w="0" w:type="dxa"/>
                    <w:bottom w:w="0" w:type="dxa"/>
                    <w:right w:w="0" w:type="dxa"/>
                  </w:tcMar>
                  <w:vAlign w:val="center"/>
                </w:tcPr>
                <w:p w14:paraId="07395FF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49D7B18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企业建成后，废气排放口按照相应规范设计和管理。</w:t>
                  </w:r>
                </w:p>
              </w:tc>
              <w:tc>
                <w:tcPr>
                  <w:tcW w:w="455" w:type="pct"/>
                  <w:tcMar>
                    <w:top w:w="0" w:type="dxa"/>
                    <w:left w:w="0" w:type="dxa"/>
                    <w:bottom w:w="0" w:type="dxa"/>
                    <w:right w:w="0" w:type="dxa"/>
                  </w:tcMar>
                  <w:vAlign w:val="center"/>
                </w:tcPr>
                <w:p w14:paraId="20245C8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7D6D1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continue"/>
                  <w:tcMar>
                    <w:top w:w="0" w:type="dxa"/>
                    <w:left w:w="0" w:type="dxa"/>
                    <w:bottom w:w="0" w:type="dxa"/>
                    <w:right w:w="0" w:type="dxa"/>
                  </w:tcMar>
                  <w:vAlign w:val="center"/>
                </w:tcPr>
                <w:p w14:paraId="185D1706">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204B0B1A">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2644437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废气排气筒应按照《广东省污染源排污口规范化设置导则》（粤环（2008）42 号）相关规定，设置与排污口相应的环境保护图形标志牌。</w:t>
                  </w:r>
                </w:p>
              </w:tc>
              <w:tc>
                <w:tcPr>
                  <w:tcW w:w="338" w:type="pct"/>
                  <w:tcMar>
                    <w:top w:w="0" w:type="dxa"/>
                    <w:left w:w="0" w:type="dxa"/>
                    <w:bottom w:w="0" w:type="dxa"/>
                    <w:right w:w="0" w:type="dxa"/>
                  </w:tcMar>
                  <w:vAlign w:val="center"/>
                </w:tcPr>
                <w:p w14:paraId="52F33E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1CA6BAE">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07759E5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87D4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restart"/>
                  <w:tcMar>
                    <w:top w:w="0" w:type="dxa"/>
                    <w:left w:w="0" w:type="dxa"/>
                    <w:bottom w:w="0" w:type="dxa"/>
                    <w:right w:w="0" w:type="dxa"/>
                  </w:tcMar>
                  <w:vAlign w:val="center"/>
                </w:tcPr>
                <w:p w14:paraId="7FD7040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环境管理</w:t>
                  </w:r>
                </w:p>
              </w:tc>
              <w:tc>
                <w:tcPr>
                  <w:tcW w:w="399" w:type="pct"/>
                  <w:vMerge w:val="restart"/>
                  <w:tcMar>
                    <w:top w:w="0" w:type="dxa"/>
                    <w:left w:w="0" w:type="dxa"/>
                    <w:bottom w:w="0" w:type="dxa"/>
                    <w:right w:w="0" w:type="dxa"/>
                  </w:tcMar>
                  <w:vAlign w:val="center"/>
                </w:tcPr>
                <w:p w14:paraId="1271F2C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管理台账</w:t>
                  </w:r>
                </w:p>
              </w:tc>
              <w:tc>
                <w:tcPr>
                  <w:tcW w:w="2017" w:type="pct"/>
                  <w:tcMar>
                    <w:top w:w="0" w:type="dxa"/>
                    <w:left w:w="0" w:type="dxa"/>
                    <w:bottom w:w="0" w:type="dxa"/>
                    <w:right w:w="0" w:type="dxa"/>
                  </w:tcMar>
                  <w:vAlign w:val="center"/>
                </w:tcPr>
                <w:p w14:paraId="7350F24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建立含 VOCs 原辅材料台 账，记录含 VOCs 原辅材料的名称及其 VOCs 含量、采量、使用量、库存量、含VOCs 原辅材料回收方式及回收量。</w:t>
                  </w:r>
                </w:p>
              </w:tc>
              <w:tc>
                <w:tcPr>
                  <w:tcW w:w="338" w:type="pct"/>
                  <w:tcMar>
                    <w:top w:w="0" w:type="dxa"/>
                    <w:left w:w="0" w:type="dxa"/>
                    <w:bottom w:w="0" w:type="dxa"/>
                    <w:right w:w="0" w:type="dxa"/>
                  </w:tcMar>
                  <w:vAlign w:val="center"/>
                </w:tcPr>
                <w:p w14:paraId="6CF61DF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27D84D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 后，按照排污许可证的要求完善原辅材料台 账、设备运行台账、废气设施运行台账、固废危废台账 等，按照规范安排人员每天进行记录。</w:t>
                  </w:r>
                </w:p>
              </w:tc>
              <w:tc>
                <w:tcPr>
                  <w:tcW w:w="455" w:type="pct"/>
                  <w:tcMar>
                    <w:top w:w="0" w:type="dxa"/>
                    <w:left w:w="0" w:type="dxa"/>
                    <w:bottom w:w="0" w:type="dxa"/>
                    <w:right w:w="0" w:type="dxa"/>
                  </w:tcMar>
                  <w:vAlign w:val="center"/>
                </w:tcPr>
                <w:p w14:paraId="0175594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E007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0A91D748">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75045623">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6CE0C5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建立废气收集处理设施台</w:t>
                  </w:r>
                </w:p>
                <w:p w14:paraId="65785C1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账，记录废气处理设施进出口的监测数据（废气量、浓度、温度、含氧量等）、废气收集与处理设施关键参 数、废气处理设施相关耗材</w:t>
                  </w:r>
                </w:p>
                <w:p w14:paraId="2B4B39B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（吸收剂、吸附剂、催化剂等</w:t>
                  </w:r>
                  <w:r>
                    <w:rPr>
                      <w:rFonts w:hint="default"/>
                      <w:b w:val="0"/>
                      <w:bCs w:val="0"/>
                      <w:color w:val="auto"/>
                      <w:sz w:val="21"/>
                      <w:szCs w:val="21"/>
                      <w:highlight w:val="none"/>
                      <w:lang w:eastAsia="zh-CN"/>
                    </w:rPr>
                    <w:t>）</w:t>
                  </w:r>
                  <w:r>
                    <w:rPr>
                      <w:rFonts w:hint="default"/>
                      <w:b w:val="0"/>
                      <w:bCs w:val="0"/>
                      <w:color w:val="auto"/>
                      <w:sz w:val="21"/>
                      <w:szCs w:val="21"/>
                      <w:highlight w:val="none"/>
                    </w:rPr>
                    <w:t>购买和处理记录。</w:t>
                  </w:r>
                </w:p>
              </w:tc>
              <w:tc>
                <w:tcPr>
                  <w:tcW w:w="338" w:type="pct"/>
                  <w:tcMar>
                    <w:top w:w="0" w:type="dxa"/>
                    <w:left w:w="0" w:type="dxa"/>
                    <w:bottom w:w="0" w:type="dxa"/>
                    <w:right w:w="0" w:type="dxa"/>
                  </w:tcMar>
                  <w:vAlign w:val="center"/>
                </w:tcPr>
                <w:p w14:paraId="4724538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61640833">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58551EE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838C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continue"/>
                  <w:tcMar>
                    <w:top w:w="0" w:type="dxa"/>
                    <w:left w:w="0" w:type="dxa"/>
                    <w:bottom w:w="0" w:type="dxa"/>
                    <w:right w:w="0" w:type="dxa"/>
                  </w:tcMar>
                  <w:vAlign w:val="center"/>
                </w:tcPr>
                <w:p w14:paraId="22A3EB04">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308173E">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E9DFA4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建立危废台账，整理危废处置合同、转移联单及危废处</w:t>
                  </w:r>
                </w:p>
                <w:p w14:paraId="20E9221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理方资质佐证材料。</w:t>
                  </w:r>
                </w:p>
              </w:tc>
              <w:tc>
                <w:tcPr>
                  <w:tcW w:w="338" w:type="pct"/>
                  <w:tcMar>
                    <w:top w:w="0" w:type="dxa"/>
                    <w:left w:w="0" w:type="dxa"/>
                    <w:bottom w:w="0" w:type="dxa"/>
                    <w:right w:w="0" w:type="dxa"/>
                  </w:tcMar>
                  <w:vAlign w:val="center"/>
                </w:tcPr>
                <w:p w14:paraId="44078E9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5D621A5E">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39A62D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B09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18" w:type="pct"/>
                  <w:vMerge w:val="continue"/>
                  <w:tcMar>
                    <w:top w:w="0" w:type="dxa"/>
                    <w:left w:w="0" w:type="dxa"/>
                    <w:bottom w:w="0" w:type="dxa"/>
                    <w:right w:w="0" w:type="dxa"/>
                  </w:tcMar>
                  <w:vAlign w:val="center"/>
                </w:tcPr>
                <w:p w14:paraId="5A405740">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41EAE9F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自行监测</w:t>
                  </w:r>
                </w:p>
              </w:tc>
              <w:tc>
                <w:tcPr>
                  <w:tcW w:w="2017" w:type="pct"/>
                  <w:tcMar>
                    <w:top w:w="0" w:type="dxa"/>
                    <w:left w:w="0" w:type="dxa"/>
                    <w:bottom w:w="0" w:type="dxa"/>
                    <w:right w:w="0" w:type="dxa"/>
                  </w:tcMar>
                  <w:vAlign w:val="center"/>
                </w:tcPr>
                <w:p w14:paraId="3B59929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水性涂料涂覆、水性涂料</w:t>
                  </w:r>
                </w:p>
                <w:p w14:paraId="008CE78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含胶）固化成膜设施废气重点排污单位主要排放口至少每季度监测一次挥发性有机物及特征污染物，一般排放口至少每半年监测一次挥发性有机物及特征污染物，非重点排污单位至少每年监测一次挥发性有机物及特征污染物。</w:t>
                  </w:r>
                </w:p>
              </w:tc>
              <w:tc>
                <w:tcPr>
                  <w:tcW w:w="338" w:type="pct"/>
                  <w:tcMar>
                    <w:top w:w="0" w:type="dxa"/>
                    <w:left w:w="0" w:type="dxa"/>
                    <w:bottom w:w="0" w:type="dxa"/>
                    <w:right w:w="0" w:type="dxa"/>
                  </w:tcMar>
                  <w:vAlign w:val="center"/>
                </w:tcPr>
                <w:p w14:paraId="79716D2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65F3491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 后，按照排污许可证的要求定期进行厂区的有组织和无组织废气检 测。</w:t>
                  </w:r>
                </w:p>
              </w:tc>
              <w:tc>
                <w:tcPr>
                  <w:tcW w:w="455" w:type="pct"/>
                  <w:tcMar>
                    <w:top w:w="0" w:type="dxa"/>
                    <w:left w:w="0" w:type="dxa"/>
                    <w:bottom w:w="0" w:type="dxa"/>
                    <w:right w:w="0" w:type="dxa"/>
                  </w:tcMar>
                  <w:vAlign w:val="center"/>
                </w:tcPr>
                <w:p w14:paraId="3D288BF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AB26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continue"/>
                  <w:tcMar>
                    <w:top w:w="0" w:type="dxa"/>
                    <w:left w:w="0" w:type="dxa"/>
                    <w:bottom w:w="0" w:type="dxa"/>
                    <w:right w:w="0" w:type="dxa"/>
                  </w:tcMar>
                  <w:vAlign w:val="center"/>
                </w:tcPr>
                <w:p w14:paraId="20130361">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54FF33A">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52D9B670">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厂界无组织废气至少每半年监测一次挥发性有机物。</w:t>
                  </w:r>
                </w:p>
              </w:tc>
              <w:tc>
                <w:tcPr>
                  <w:tcW w:w="338" w:type="pct"/>
                  <w:shd w:val="clear" w:color="auto" w:fill="auto"/>
                  <w:tcMar>
                    <w:top w:w="0" w:type="dxa"/>
                    <w:left w:w="0" w:type="dxa"/>
                    <w:bottom w:w="0" w:type="dxa"/>
                    <w:right w:w="0" w:type="dxa"/>
                  </w:tcMar>
                  <w:vAlign w:val="center"/>
                </w:tcPr>
                <w:p w14:paraId="7123C404">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vMerge w:val="continue"/>
                  <w:shd w:val="clear" w:color="auto" w:fill="auto"/>
                  <w:tcMar>
                    <w:top w:w="0" w:type="dxa"/>
                    <w:left w:w="0" w:type="dxa"/>
                    <w:bottom w:w="0" w:type="dxa"/>
                    <w:right w:w="0" w:type="dxa"/>
                  </w:tcMar>
                  <w:vAlign w:val="center"/>
                </w:tcPr>
                <w:p w14:paraId="79769315">
                  <w:pPr>
                    <w:spacing w:line="240" w:lineRule="auto"/>
                    <w:jc w:val="center"/>
                    <w:rPr>
                      <w:rFonts w:hint="default"/>
                      <w:b w:val="0"/>
                      <w:bCs w:val="0"/>
                      <w:color w:val="auto"/>
                      <w:sz w:val="21"/>
                      <w:szCs w:val="21"/>
                      <w:highlight w:val="none"/>
                      <w:lang w:val="zh-CN" w:eastAsia="zh-CN"/>
                    </w:rPr>
                  </w:pPr>
                </w:p>
              </w:tc>
              <w:tc>
                <w:tcPr>
                  <w:tcW w:w="455" w:type="pct"/>
                  <w:shd w:val="clear" w:color="auto" w:fill="auto"/>
                  <w:tcMar>
                    <w:top w:w="0" w:type="dxa"/>
                    <w:left w:w="0" w:type="dxa"/>
                    <w:bottom w:w="0" w:type="dxa"/>
                    <w:right w:w="0" w:type="dxa"/>
                  </w:tcMar>
                  <w:vAlign w:val="center"/>
                </w:tcPr>
                <w:p w14:paraId="034B937B">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4823F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continue"/>
                  <w:tcMar>
                    <w:top w:w="0" w:type="dxa"/>
                    <w:left w:w="0" w:type="dxa"/>
                    <w:bottom w:w="0" w:type="dxa"/>
                    <w:right w:w="0" w:type="dxa"/>
                  </w:tcMar>
                  <w:vAlign w:val="center"/>
                </w:tcPr>
                <w:p w14:paraId="3ED6A6A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60106C5F">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352DBD91">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涂装工段旁无组织废气至少每季度监测一次挥发性有机物</w:t>
                  </w:r>
                </w:p>
              </w:tc>
              <w:tc>
                <w:tcPr>
                  <w:tcW w:w="338" w:type="pct"/>
                  <w:shd w:val="clear" w:color="auto" w:fill="auto"/>
                  <w:tcMar>
                    <w:top w:w="0" w:type="dxa"/>
                    <w:left w:w="0" w:type="dxa"/>
                    <w:bottom w:w="0" w:type="dxa"/>
                    <w:right w:w="0" w:type="dxa"/>
                  </w:tcMar>
                  <w:vAlign w:val="center"/>
                </w:tcPr>
                <w:p w14:paraId="20A3F059">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5C53E8B">
                  <w:pPr>
                    <w:spacing w:line="240" w:lineRule="auto"/>
                    <w:jc w:val="center"/>
                    <w:rPr>
                      <w:rFonts w:hint="default"/>
                      <w:b w:val="0"/>
                      <w:bCs w:val="0"/>
                      <w:color w:val="auto"/>
                      <w:sz w:val="21"/>
                      <w:szCs w:val="21"/>
                      <w:highlight w:val="none"/>
                    </w:rPr>
                  </w:pPr>
                </w:p>
              </w:tc>
              <w:tc>
                <w:tcPr>
                  <w:tcW w:w="455" w:type="pct"/>
                  <w:shd w:val="clear" w:color="auto" w:fill="auto"/>
                  <w:tcMar>
                    <w:top w:w="0" w:type="dxa"/>
                    <w:left w:w="0" w:type="dxa"/>
                    <w:bottom w:w="0" w:type="dxa"/>
                    <w:right w:w="0" w:type="dxa"/>
                  </w:tcMar>
                  <w:vAlign w:val="center"/>
                </w:tcPr>
                <w:p w14:paraId="49BE171B">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3FD4D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318" w:type="pct"/>
                  <w:vMerge w:val="continue"/>
                  <w:tcMar>
                    <w:top w:w="0" w:type="dxa"/>
                    <w:left w:w="0" w:type="dxa"/>
                    <w:bottom w:w="0" w:type="dxa"/>
                    <w:right w:w="0" w:type="dxa"/>
                  </w:tcMar>
                  <w:vAlign w:val="center"/>
                </w:tcPr>
                <w:p w14:paraId="7E40DC7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1DF4B226">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2343C774">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工艺过</w:t>
                  </w:r>
                  <w:r>
                    <w:rPr>
                      <w:rFonts w:hint="eastAsia"/>
                      <w:b w:val="0"/>
                      <w:bCs w:val="0"/>
                      <w:color w:val="auto"/>
                      <w:sz w:val="21"/>
                      <w:szCs w:val="21"/>
                      <w:highlight w:val="none"/>
                      <w:lang w:eastAsia="zh-CN"/>
                    </w:rPr>
                    <w:t>程中</w:t>
                  </w:r>
                  <w:r>
                    <w:rPr>
                      <w:rFonts w:hint="default"/>
                      <w:b w:val="0"/>
                      <w:bCs w:val="0"/>
                      <w:color w:val="auto"/>
                      <w:sz w:val="21"/>
                      <w:szCs w:val="21"/>
                      <w:highlight w:val="none"/>
                    </w:rPr>
                    <w:t>产生的含VOCs 废料《渣、液）应按照相关要求进行储存、转移和输送。盛装过 VOCS 物料的废包装容器应加盖密闭。</w:t>
                  </w:r>
                </w:p>
              </w:tc>
              <w:tc>
                <w:tcPr>
                  <w:tcW w:w="338" w:type="pct"/>
                  <w:shd w:val="clear" w:color="auto" w:fill="auto"/>
                  <w:tcMar>
                    <w:top w:w="0" w:type="dxa"/>
                    <w:left w:w="0" w:type="dxa"/>
                    <w:bottom w:w="0" w:type="dxa"/>
                    <w:right w:w="0" w:type="dxa"/>
                  </w:tcMar>
                  <w:vAlign w:val="center"/>
                </w:tcPr>
                <w:p w14:paraId="634F9312">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shd w:val="clear" w:color="auto" w:fill="auto"/>
                  <w:tcMar>
                    <w:top w:w="0" w:type="dxa"/>
                    <w:left w:w="0" w:type="dxa"/>
                    <w:bottom w:w="0" w:type="dxa"/>
                    <w:right w:w="0" w:type="dxa"/>
                  </w:tcMar>
                  <w:vAlign w:val="center"/>
                </w:tcPr>
                <w:p w14:paraId="5A32FD4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企业建成后，完善危废台账，按照规范安排人员每天进行记录进出库，</w:t>
                  </w:r>
                  <w:r>
                    <w:rPr>
                      <w:rFonts w:hint="eastAsia"/>
                      <w:b w:val="0"/>
                      <w:bCs w:val="0"/>
                      <w:color w:val="auto"/>
                      <w:sz w:val="21"/>
                      <w:szCs w:val="21"/>
                      <w:highlight w:val="none"/>
                      <w:lang w:eastAsia="zh-CN"/>
                    </w:rPr>
                    <w:t>交由</w:t>
                  </w:r>
                  <w:r>
                    <w:rPr>
                      <w:rFonts w:hint="default"/>
                      <w:b w:val="0"/>
                      <w:bCs w:val="0"/>
                      <w:color w:val="auto"/>
                      <w:sz w:val="21"/>
                      <w:szCs w:val="21"/>
                      <w:highlight w:val="none"/>
                    </w:rPr>
                    <w:t>危废资质单位</w:t>
                  </w:r>
                </w:p>
                <w:p w14:paraId="3A2AA351">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处理</w:t>
                  </w:r>
                </w:p>
              </w:tc>
              <w:tc>
                <w:tcPr>
                  <w:tcW w:w="455" w:type="pct"/>
                  <w:shd w:val="clear" w:color="auto" w:fill="auto"/>
                  <w:tcMar>
                    <w:top w:w="0" w:type="dxa"/>
                    <w:left w:w="0" w:type="dxa"/>
                    <w:bottom w:w="0" w:type="dxa"/>
                    <w:right w:w="0" w:type="dxa"/>
                  </w:tcMar>
                  <w:vAlign w:val="center"/>
                </w:tcPr>
                <w:p w14:paraId="2433B649">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6B11F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717" w:type="pct"/>
                  <w:gridSpan w:val="2"/>
                  <w:tcMar>
                    <w:top w:w="0" w:type="dxa"/>
                    <w:left w:w="0" w:type="dxa"/>
                    <w:bottom w:w="0" w:type="dxa"/>
                    <w:right w:w="0" w:type="dxa"/>
                  </w:tcMar>
                  <w:vAlign w:val="center"/>
                </w:tcPr>
                <w:p w14:paraId="5F7056E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建设项目 VOCs 总量管理</w:t>
                  </w:r>
                </w:p>
              </w:tc>
              <w:tc>
                <w:tcPr>
                  <w:tcW w:w="2017" w:type="pct"/>
                  <w:shd w:val="clear" w:color="auto" w:fill="auto"/>
                  <w:tcMar>
                    <w:top w:w="0" w:type="dxa"/>
                    <w:left w:w="0" w:type="dxa"/>
                    <w:bottom w:w="0" w:type="dxa"/>
                    <w:right w:w="0" w:type="dxa"/>
                  </w:tcMar>
                  <w:vAlign w:val="center"/>
                </w:tcPr>
                <w:p w14:paraId="22C9F04C">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新、改、扩建项目应执行总量替代制度，明确VOCs 总量指标来源。</w:t>
                  </w:r>
                </w:p>
              </w:tc>
              <w:tc>
                <w:tcPr>
                  <w:tcW w:w="338" w:type="pct"/>
                  <w:shd w:val="clear" w:color="auto" w:fill="auto"/>
                  <w:tcMar>
                    <w:top w:w="0" w:type="dxa"/>
                    <w:left w:w="0" w:type="dxa"/>
                    <w:bottom w:w="0" w:type="dxa"/>
                    <w:right w:w="0" w:type="dxa"/>
                  </w:tcMar>
                  <w:vAlign w:val="center"/>
                </w:tcPr>
                <w:p w14:paraId="5BE6296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shd w:val="clear" w:color="auto" w:fill="auto"/>
                  <w:tcMar>
                    <w:top w:w="0" w:type="dxa"/>
                    <w:left w:w="0" w:type="dxa"/>
                    <w:bottom w:w="0" w:type="dxa"/>
                    <w:right w:w="0" w:type="dxa"/>
                  </w:tcMar>
                  <w:vAlign w:val="center"/>
                </w:tcPr>
                <w:p w14:paraId="6AC1CC8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项目执行总量替代制度，明确VOCs 总量指标来源</w:t>
                  </w:r>
                </w:p>
              </w:tc>
              <w:tc>
                <w:tcPr>
                  <w:tcW w:w="455" w:type="pct"/>
                  <w:shd w:val="clear" w:color="auto" w:fill="auto"/>
                  <w:tcMar>
                    <w:top w:w="0" w:type="dxa"/>
                    <w:left w:w="0" w:type="dxa"/>
                    <w:bottom w:w="0" w:type="dxa"/>
                    <w:right w:w="0" w:type="dxa"/>
                  </w:tcMar>
                  <w:vAlign w:val="center"/>
                </w:tcPr>
                <w:p w14:paraId="0B89FA9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bl>
          <w:p w14:paraId="17D34C2B">
            <w:pPr>
              <w:pStyle w:val="24"/>
              <w:numPr>
                <w:ilvl w:val="0"/>
                <w:numId w:val="0"/>
              </w:numPr>
              <w:jc w:val="center"/>
              <w:rPr>
                <w:rFonts w:hint="default" w:eastAsia="宋体"/>
                <w:b w:val="0"/>
                <w:bCs w:val="0"/>
                <w:color w:val="auto"/>
                <w:sz w:val="24"/>
                <w:highlight w:val="none"/>
                <w:lang w:val="en-US" w:eastAsia="zh-CN"/>
              </w:rPr>
            </w:pPr>
            <w:r>
              <w:rPr>
                <w:b/>
                <w:color w:val="auto"/>
                <w:spacing w:val="-2"/>
                <w:sz w:val="21"/>
                <w:highlight w:val="none"/>
              </w:rPr>
              <w:t>表</w:t>
            </w:r>
            <w:r>
              <w:rPr>
                <w:rFonts w:ascii="Times New Roman" w:eastAsia="Times New Roman"/>
                <w:b/>
                <w:color w:val="auto"/>
                <w:spacing w:val="-2"/>
                <w:sz w:val="21"/>
                <w:highlight w:val="none"/>
              </w:rPr>
              <w:t>1-5</w:t>
            </w:r>
            <w:r>
              <w:rPr>
                <w:b/>
                <w:color w:val="auto"/>
                <w:spacing w:val="-2"/>
                <w:sz w:val="21"/>
                <w:highlight w:val="none"/>
              </w:rPr>
              <w:t>与（粤环办</w:t>
            </w:r>
            <w:r>
              <w:rPr>
                <w:rFonts w:ascii="Times New Roman" w:eastAsia="Times New Roman"/>
                <w:b/>
                <w:color w:val="auto"/>
                <w:spacing w:val="-2"/>
                <w:sz w:val="21"/>
                <w:highlight w:val="none"/>
              </w:rPr>
              <w:t>[2021]43</w:t>
            </w:r>
            <w:r>
              <w:rPr>
                <w:b/>
                <w:color w:val="auto"/>
                <w:spacing w:val="-2"/>
                <w:sz w:val="21"/>
                <w:highlight w:val="none"/>
              </w:rPr>
              <w:t>号）橡胶和塑料制品业</w:t>
            </w:r>
            <w:r>
              <w:rPr>
                <w:rFonts w:ascii="Times New Roman" w:eastAsia="Times New Roman"/>
                <w:b/>
                <w:color w:val="auto"/>
                <w:spacing w:val="-2"/>
                <w:sz w:val="21"/>
                <w:highlight w:val="none"/>
              </w:rPr>
              <w:t>VOCs</w:t>
            </w:r>
            <w:r>
              <w:rPr>
                <w:b/>
                <w:color w:val="auto"/>
                <w:spacing w:val="-3"/>
                <w:sz w:val="21"/>
                <w:highlight w:val="none"/>
              </w:rPr>
              <w:t>治理指引相符性分析</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536"/>
              <w:gridCol w:w="3257"/>
              <w:gridCol w:w="532"/>
              <w:gridCol w:w="2307"/>
              <w:gridCol w:w="714"/>
            </w:tblGrid>
            <w:tr w14:paraId="0B20A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tcMar>
                    <w:top w:w="0" w:type="dxa"/>
                    <w:left w:w="0" w:type="dxa"/>
                    <w:bottom w:w="0" w:type="dxa"/>
                    <w:right w:w="0" w:type="dxa"/>
                  </w:tcMar>
                  <w:vAlign w:val="center"/>
                </w:tcPr>
                <w:p w14:paraId="3E870CD6">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控制要求</w:t>
                  </w:r>
                </w:p>
              </w:tc>
              <w:tc>
                <w:tcPr>
                  <w:tcW w:w="532" w:type="dxa"/>
                  <w:tcMar>
                    <w:top w:w="0" w:type="dxa"/>
                    <w:left w:w="0" w:type="dxa"/>
                    <w:bottom w:w="0" w:type="dxa"/>
                    <w:right w:w="0" w:type="dxa"/>
                  </w:tcMar>
                  <w:vAlign w:val="center"/>
                </w:tcPr>
                <w:p w14:paraId="2D54F7E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环节</w:t>
                  </w:r>
                </w:p>
              </w:tc>
              <w:tc>
                <w:tcPr>
                  <w:tcW w:w="3259" w:type="dxa"/>
                  <w:tcMar>
                    <w:top w:w="0" w:type="dxa"/>
                    <w:left w:w="0" w:type="dxa"/>
                    <w:bottom w:w="0" w:type="dxa"/>
                    <w:right w:w="0" w:type="dxa"/>
                  </w:tcMar>
                  <w:vAlign w:val="center"/>
                </w:tcPr>
                <w:p w14:paraId="2F9D1FB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内容</w:t>
                  </w:r>
                </w:p>
              </w:tc>
              <w:tc>
                <w:tcPr>
                  <w:tcW w:w="532" w:type="dxa"/>
                  <w:tcMar>
                    <w:top w:w="0" w:type="dxa"/>
                    <w:left w:w="0" w:type="dxa"/>
                    <w:bottom w:w="0" w:type="dxa"/>
                    <w:right w:w="0" w:type="dxa"/>
                  </w:tcMar>
                  <w:vAlign w:val="center"/>
                </w:tcPr>
                <w:p w14:paraId="055CADC3">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实施要求</w:t>
                  </w:r>
                </w:p>
              </w:tc>
              <w:tc>
                <w:tcPr>
                  <w:tcW w:w="2308" w:type="dxa"/>
                  <w:tcMar>
                    <w:top w:w="0" w:type="dxa"/>
                    <w:left w:w="0" w:type="dxa"/>
                    <w:bottom w:w="0" w:type="dxa"/>
                    <w:right w:w="0" w:type="dxa"/>
                  </w:tcMar>
                  <w:vAlign w:val="center"/>
                </w:tcPr>
                <w:p w14:paraId="60A8D3DB">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相符性分析</w:t>
                  </w:r>
                </w:p>
              </w:tc>
              <w:tc>
                <w:tcPr>
                  <w:tcW w:w="715" w:type="dxa"/>
                  <w:tcMar>
                    <w:top w:w="0" w:type="dxa"/>
                    <w:left w:w="0" w:type="dxa"/>
                    <w:bottom w:w="0" w:type="dxa"/>
                    <w:right w:w="0" w:type="dxa"/>
                  </w:tcMar>
                  <w:vAlign w:val="center"/>
                </w:tcPr>
                <w:p w14:paraId="6BC9895E">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符合性</w:t>
                  </w:r>
                </w:p>
              </w:tc>
            </w:tr>
            <w:tr w14:paraId="06BC0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6" w:type="dxa"/>
                  <w:gridSpan w:val="6"/>
                  <w:tcMar>
                    <w:top w:w="0" w:type="dxa"/>
                    <w:left w:w="0" w:type="dxa"/>
                    <w:bottom w:w="0" w:type="dxa"/>
                    <w:right w:w="0" w:type="dxa"/>
                  </w:tcMar>
                  <w:vAlign w:val="center"/>
                </w:tcPr>
                <w:p w14:paraId="2C8EEB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橡胶和塑料制品业VOCs 治理指引</w:t>
                  </w:r>
                </w:p>
              </w:tc>
            </w:tr>
            <w:tr w14:paraId="3FB4E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tcMar>
                    <w:top w:w="0" w:type="dxa"/>
                    <w:left w:w="0" w:type="dxa"/>
                    <w:bottom w:w="0" w:type="dxa"/>
                    <w:right w:w="0" w:type="dxa"/>
                  </w:tcMar>
                  <w:vAlign w:val="center"/>
                </w:tcPr>
                <w:p w14:paraId="23A220A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过程控制</w:t>
                  </w:r>
                </w:p>
              </w:tc>
              <w:tc>
                <w:tcPr>
                  <w:tcW w:w="532" w:type="dxa"/>
                  <w:vMerge w:val="restart"/>
                  <w:tcMar>
                    <w:top w:w="0" w:type="dxa"/>
                    <w:left w:w="0" w:type="dxa"/>
                    <w:bottom w:w="0" w:type="dxa"/>
                    <w:right w:w="0" w:type="dxa"/>
                  </w:tcMar>
                  <w:vAlign w:val="center"/>
                </w:tcPr>
                <w:p w14:paraId="1C69AE1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VOCs物料储存</w:t>
                  </w:r>
                </w:p>
              </w:tc>
              <w:tc>
                <w:tcPr>
                  <w:tcW w:w="3259" w:type="dxa"/>
                  <w:tcMar>
                    <w:top w:w="0" w:type="dxa"/>
                    <w:left w:w="0" w:type="dxa"/>
                    <w:bottom w:w="0" w:type="dxa"/>
                    <w:right w:w="0" w:type="dxa"/>
                  </w:tcMar>
                  <w:vAlign w:val="center"/>
                </w:tcPr>
                <w:p w14:paraId="5D5D2A0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VOCs 物料应储存于密闭的容器、包装袋、储罐、储库、料仓中。</w:t>
                  </w:r>
                </w:p>
              </w:tc>
              <w:tc>
                <w:tcPr>
                  <w:tcW w:w="532" w:type="dxa"/>
                  <w:tcMar>
                    <w:top w:w="0" w:type="dxa"/>
                    <w:left w:w="0" w:type="dxa"/>
                    <w:bottom w:w="0" w:type="dxa"/>
                    <w:right w:w="0" w:type="dxa"/>
                  </w:tcMar>
                  <w:vAlign w:val="center"/>
                </w:tcPr>
                <w:p w14:paraId="0DE6D2D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CEBCF0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5996E1F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50033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7BD9FC97">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76C80E9">
                  <w:pPr>
                    <w:spacing w:line="240" w:lineRule="auto"/>
                    <w:jc w:val="center"/>
                    <w:rPr>
                      <w:rFonts w:hint="default"/>
                      <w:b w:val="0"/>
                      <w:bCs w:val="0"/>
                      <w:color w:val="auto"/>
                      <w:sz w:val="21"/>
                      <w:szCs w:val="21"/>
                      <w:highlight w:val="none"/>
                      <w:lang w:val="en-US" w:eastAsia="zh-CN"/>
                    </w:rPr>
                  </w:pPr>
                </w:p>
              </w:tc>
              <w:tc>
                <w:tcPr>
                  <w:tcW w:w="3259" w:type="dxa"/>
                  <w:tcMar>
                    <w:top w:w="0" w:type="dxa"/>
                    <w:left w:w="0" w:type="dxa"/>
                    <w:bottom w:w="0" w:type="dxa"/>
                    <w:right w:w="0" w:type="dxa"/>
                  </w:tcMar>
                  <w:vAlign w:val="center"/>
                </w:tcPr>
                <w:p w14:paraId="11BE842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盛装VOCs 物料的容器是否存放于室内，或存放于设置有雨棚、遮阳和防渗设施的专用场地。盛装 VOCs 物料的容器在非取用状态时应加盖、封口，保持密闭</w:t>
                  </w:r>
                </w:p>
              </w:tc>
              <w:tc>
                <w:tcPr>
                  <w:tcW w:w="532" w:type="dxa"/>
                  <w:tcMar>
                    <w:top w:w="0" w:type="dxa"/>
                    <w:left w:w="0" w:type="dxa"/>
                    <w:bottom w:w="0" w:type="dxa"/>
                    <w:right w:w="0" w:type="dxa"/>
                  </w:tcMar>
                  <w:vAlign w:val="center"/>
                </w:tcPr>
                <w:p w14:paraId="7D20799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45C6ED6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45301CC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6A4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4629FE3">
                  <w:pPr>
                    <w:spacing w:line="240" w:lineRule="auto"/>
                    <w:jc w:val="center"/>
                    <w:rPr>
                      <w:rFonts w:hint="default"/>
                      <w:b w:val="0"/>
                      <w:bCs w:val="0"/>
                      <w:color w:val="auto"/>
                      <w:sz w:val="21"/>
                      <w:szCs w:val="21"/>
                      <w:highlight w:val="none"/>
                      <w:lang w:val="en-US" w:eastAsia="zh-CN"/>
                    </w:rPr>
                  </w:pPr>
                </w:p>
              </w:tc>
              <w:tc>
                <w:tcPr>
                  <w:tcW w:w="532" w:type="dxa"/>
                  <w:vMerge w:val="restart"/>
                  <w:tcMar>
                    <w:top w:w="0" w:type="dxa"/>
                    <w:left w:w="0" w:type="dxa"/>
                    <w:bottom w:w="0" w:type="dxa"/>
                    <w:right w:w="0" w:type="dxa"/>
                  </w:tcMar>
                  <w:vAlign w:val="center"/>
                </w:tcPr>
                <w:p w14:paraId="170D0743">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w:t>
                  </w:r>
                </w:p>
                <w:p w14:paraId="188BAD3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物 料转移和输送</w:t>
                  </w:r>
                </w:p>
              </w:tc>
              <w:tc>
                <w:tcPr>
                  <w:tcW w:w="3259" w:type="dxa"/>
                  <w:tcMar>
                    <w:top w:w="0" w:type="dxa"/>
                    <w:left w:w="0" w:type="dxa"/>
                    <w:bottom w:w="0" w:type="dxa"/>
                    <w:right w:w="0" w:type="dxa"/>
                  </w:tcMar>
                  <w:vAlign w:val="center"/>
                </w:tcPr>
                <w:p w14:paraId="1927F6B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液体VOCs 物料应采用管道密闭输送。采用非管道输送方式转移液态VOCs 物料 时，应采用密闭容器或罐 车。</w:t>
                  </w:r>
                </w:p>
              </w:tc>
              <w:tc>
                <w:tcPr>
                  <w:tcW w:w="532" w:type="dxa"/>
                  <w:tcMar>
                    <w:top w:w="0" w:type="dxa"/>
                    <w:left w:w="0" w:type="dxa"/>
                    <w:bottom w:w="0" w:type="dxa"/>
                    <w:right w:w="0" w:type="dxa"/>
                  </w:tcMar>
                  <w:vAlign w:val="center"/>
                </w:tcPr>
                <w:p w14:paraId="75228D8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E25DFB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15FFD03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4797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162CEADA">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5FC9BB9F">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92777E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粉状、粒状 VOCs 物料采用气力输送设备、管状带式输送机、螺旋输送机等密闭输送方式，或者采用密闭的包装袋、容器或罐车进行物料转移。</w:t>
                  </w:r>
                </w:p>
              </w:tc>
              <w:tc>
                <w:tcPr>
                  <w:tcW w:w="532" w:type="dxa"/>
                  <w:tcMar>
                    <w:top w:w="0" w:type="dxa"/>
                    <w:left w:w="0" w:type="dxa"/>
                    <w:bottom w:w="0" w:type="dxa"/>
                    <w:right w:w="0" w:type="dxa"/>
                  </w:tcMar>
                  <w:vAlign w:val="center"/>
                </w:tcPr>
                <w:p w14:paraId="334215F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7AA672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项目4#厂房使用的VOCs物料为不饱和聚酯树脂、固化剂、色浆、水性脱模剂使用密封包装桶储存在仓库内。</w:t>
                  </w:r>
                </w:p>
              </w:tc>
              <w:tc>
                <w:tcPr>
                  <w:tcW w:w="715" w:type="dxa"/>
                  <w:tcMar>
                    <w:top w:w="0" w:type="dxa"/>
                    <w:left w:w="0" w:type="dxa"/>
                    <w:bottom w:w="0" w:type="dxa"/>
                    <w:right w:w="0" w:type="dxa"/>
                  </w:tcMar>
                  <w:vAlign w:val="center"/>
                </w:tcPr>
                <w:p w14:paraId="7B732BDE">
                  <w:pPr>
                    <w:spacing w:line="240" w:lineRule="auto"/>
                    <w:jc w:val="center"/>
                    <w:rPr>
                      <w:rFonts w:hint="default"/>
                      <w:b w:val="0"/>
                      <w:bCs w:val="0"/>
                      <w:color w:val="auto"/>
                      <w:sz w:val="21"/>
                      <w:szCs w:val="21"/>
                      <w:highlight w:val="none"/>
                    </w:rPr>
                  </w:pPr>
                </w:p>
                <w:p w14:paraId="30DFCB72">
                  <w:pPr>
                    <w:spacing w:line="240" w:lineRule="auto"/>
                    <w:jc w:val="center"/>
                    <w:rPr>
                      <w:rFonts w:hint="default"/>
                      <w:b w:val="0"/>
                      <w:bCs w:val="0"/>
                      <w:color w:val="auto"/>
                      <w:sz w:val="21"/>
                      <w:szCs w:val="21"/>
                      <w:highlight w:val="none"/>
                    </w:rPr>
                  </w:pPr>
                </w:p>
                <w:p w14:paraId="5858BF6F">
                  <w:pPr>
                    <w:spacing w:line="240" w:lineRule="auto"/>
                    <w:jc w:val="center"/>
                    <w:rPr>
                      <w:rFonts w:hint="default"/>
                      <w:b w:val="0"/>
                      <w:bCs w:val="0"/>
                      <w:color w:val="auto"/>
                      <w:sz w:val="21"/>
                      <w:szCs w:val="21"/>
                      <w:highlight w:val="none"/>
                    </w:rPr>
                  </w:pPr>
                </w:p>
                <w:p w14:paraId="7B9EE95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9EC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0E989EA">
                  <w:pPr>
                    <w:spacing w:line="240" w:lineRule="auto"/>
                    <w:jc w:val="center"/>
                    <w:rPr>
                      <w:rFonts w:hint="default"/>
                      <w:b w:val="0"/>
                      <w:bCs w:val="0"/>
                      <w:color w:val="auto"/>
                      <w:sz w:val="21"/>
                      <w:szCs w:val="21"/>
                      <w:highlight w:val="none"/>
                    </w:rPr>
                  </w:pPr>
                </w:p>
              </w:tc>
              <w:tc>
                <w:tcPr>
                  <w:tcW w:w="532" w:type="dxa"/>
                  <w:vMerge w:val="restart"/>
                  <w:tcMar>
                    <w:top w:w="0" w:type="dxa"/>
                    <w:left w:w="0" w:type="dxa"/>
                    <w:bottom w:w="0" w:type="dxa"/>
                    <w:right w:w="0" w:type="dxa"/>
                  </w:tcMar>
                  <w:vAlign w:val="center"/>
                </w:tcPr>
                <w:p w14:paraId="78A4036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工艺过程</w:t>
                  </w:r>
                </w:p>
              </w:tc>
              <w:tc>
                <w:tcPr>
                  <w:tcW w:w="3259" w:type="dxa"/>
                  <w:tcMar>
                    <w:top w:w="0" w:type="dxa"/>
                    <w:left w:w="0" w:type="dxa"/>
                    <w:bottom w:w="0" w:type="dxa"/>
                    <w:right w:w="0" w:type="dxa"/>
                  </w:tcMar>
                  <w:vAlign w:val="center"/>
                </w:tcPr>
                <w:p w14:paraId="5E7779B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液态VOCs 物料采用密闭管道输送方式或采用高位槽（罐）、桶泵等给料方式密闭投加；无法密闭投加的，在密闭空间内操作，或进行局部气体收集，废气排至VOCs 废气收集处理系统。</w:t>
                  </w:r>
                </w:p>
              </w:tc>
              <w:tc>
                <w:tcPr>
                  <w:tcW w:w="532" w:type="dxa"/>
                  <w:tcMar>
                    <w:top w:w="0" w:type="dxa"/>
                    <w:left w:w="0" w:type="dxa"/>
                    <w:bottom w:w="0" w:type="dxa"/>
                    <w:right w:w="0" w:type="dxa"/>
                  </w:tcMar>
                  <w:vAlign w:val="center"/>
                </w:tcPr>
                <w:p w14:paraId="6AC29EC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631285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r>
                    <w:rPr>
                      <w:rFonts w:hint="default"/>
                      <w:b w:val="0"/>
                      <w:bCs w:val="0"/>
                      <w:color w:val="auto"/>
                      <w:sz w:val="21"/>
                      <w:szCs w:val="21"/>
                      <w:highlight w:val="none"/>
                      <w:lang w:val="en-US" w:eastAsia="zh-CN"/>
                    </w:rPr>
                    <w:t>使用密闭管道投料。</w:t>
                  </w:r>
                </w:p>
              </w:tc>
              <w:tc>
                <w:tcPr>
                  <w:tcW w:w="715" w:type="dxa"/>
                  <w:tcMar>
                    <w:top w:w="0" w:type="dxa"/>
                    <w:left w:w="0" w:type="dxa"/>
                    <w:bottom w:w="0" w:type="dxa"/>
                    <w:right w:w="0" w:type="dxa"/>
                  </w:tcMar>
                  <w:vAlign w:val="center"/>
                </w:tcPr>
                <w:p w14:paraId="7A06D73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符合</w:t>
                  </w:r>
                </w:p>
              </w:tc>
            </w:tr>
            <w:tr w14:paraId="11094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4" w:hRule="atLeast"/>
              </w:trPr>
              <w:tc>
                <w:tcPr>
                  <w:tcW w:w="500" w:type="dxa"/>
                  <w:vMerge w:val="continue"/>
                  <w:tcMar>
                    <w:top w:w="0" w:type="dxa"/>
                    <w:left w:w="0" w:type="dxa"/>
                    <w:bottom w:w="0" w:type="dxa"/>
                    <w:right w:w="0" w:type="dxa"/>
                  </w:tcMar>
                  <w:vAlign w:val="center"/>
                </w:tcPr>
                <w:p w14:paraId="3015C31D">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63811D75">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35367A7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粉状、粒状 VOCs 物料采用气力输送方式或采用密闭固体投料器等给料方式密闭投加；无法密闭投加的，在密闭空间内操作，或进行局部气体收集，废气排至除尘设施、VOCs 废气收集处理系统。</w:t>
                  </w:r>
                </w:p>
              </w:tc>
              <w:tc>
                <w:tcPr>
                  <w:tcW w:w="532" w:type="dxa"/>
                  <w:tcMar>
                    <w:top w:w="0" w:type="dxa"/>
                    <w:left w:w="0" w:type="dxa"/>
                    <w:bottom w:w="0" w:type="dxa"/>
                    <w:right w:w="0" w:type="dxa"/>
                  </w:tcMar>
                  <w:vAlign w:val="center"/>
                </w:tcPr>
                <w:p w14:paraId="633567E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50FA2A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项目不涉及粉状、粒状VOCs物料。</w:t>
                  </w:r>
                </w:p>
              </w:tc>
              <w:tc>
                <w:tcPr>
                  <w:tcW w:w="715" w:type="dxa"/>
                  <w:tcMar>
                    <w:top w:w="0" w:type="dxa"/>
                    <w:left w:w="0" w:type="dxa"/>
                    <w:bottom w:w="0" w:type="dxa"/>
                    <w:right w:w="0" w:type="dxa"/>
                  </w:tcMar>
                  <w:vAlign w:val="center"/>
                </w:tcPr>
                <w:p w14:paraId="2AD9241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6F03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229CD1DE">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027E9173">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C3308A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在混合/混炼、塑炼/塑化/熔化、加工成型（挤出、注 射、压制、压延、发泡、纺丝等）、硫化等作业中应采用密闭设备或在密闭空间中操作，废气应排至VOCs 废气收集处理系统；无法密闭的，应采取局部气体收集措施，废气应排至 VOCs 废气收集处理系统。</w:t>
                  </w:r>
                </w:p>
              </w:tc>
              <w:tc>
                <w:tcPr>
                  <w:tcW w:w="532" w:type="dxa"/>
                  <w:tcMar>
                    <w:top w:w="0" w:type="dxa"/>
                    <w:left w:w="0" w:type="dxa"/>
                    <w:bottom w:w="0" w:type="dxa"/>
                    <w:right w:w="0" w:type="dxa"/>
                  </w:tcMar>
                  <w:vAlign w:val="center"/>
                </w:tcPr>
                <w:p w14:paraId="74DDD87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2478FEB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废气采用集气罩收集，收集后通过“水帘柜+干式过滤器+二级活性炭吸附装置”处理后，通过 15m排气筒DA00</w:t>
                  </w:r>
                  <w:r>
                    <w:rPr>
                      <w:rFonts w:hint="default"/>
                      <w:b w:val="0"/>
                      <w:bCs w:val="0"/>
                      <w:color w:val="auto"/>
                      <w:sz w:val="21"/>
                      <w:szCs w:val="21"/>
                      <w:highlight w:val="none"/>
                      <w:lang w:val="en-US" w:eastAsia="zh-CN"/>
                    </w:rPr>
                    <w:t>2</w:t>
                  </w:r>
                  <w:r>
                    <w:rPr>
                      <w:rFonts w:hint="default"/>
                      <w:b w:val="0"/>
                      <w:bCs w:val="0"/>
                      <w:color w:val="auto"/>
                      <w:sz w:val="21"/>
                      <w:szCs w:val="21"/>
                      <w:highlight w:val="none"/>
                    </w:rPr>
                    <w:t>排放。</w:t>
                  </w:r>
                </w:p>
              </w:tc>
              <w:tc>
                <w:tcPr>
                  <w:tcW w:w="715" w:type="dxa"/>
                  <w:tcMar>
                    <w:top w:w="0" w:type="dxa"/>
                    <w:left w:w="0" w:type="dxa"/>
                    <w:bottom w:w="0" w:type="dxa"/>
                    <w:right w:w="0" w:type="dxa"/>
                  </w:tcMar>
                  <w:vAlign w:val="center"/>
                </w:tcPr>
                <w:p w14:paraId="172515A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E042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6" w:hRule="atLeast"/>
              </w:trPr>
              <w:tc>
                <w:tcPr>
                  <w:tcW w:w="500" w:type="dxa"/>
                  <w:vMerge w:val="continue"/>
                  <w:tcMar>
                    <w:top w:w="0" w:type="dxa"/>
                    <w:left w:w="0" w:type="dxa"/>
                    <w:bottom w:w="0" w:type="dxa"/>
                    <w:right w:w="0" w:type="dxa"/>
                  </w:tcMar>
                  <w:vAlign w:val="center"/>
                </w:tcPr>
                <w:p w14:paraId="7167736D">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736BE307">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34DC35C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浸胶、胶浆喷涂、涂胶、喷漆、印刷、清洗等工序使用 VOCs 质量占比大于等 10%的原辅材料时，其使用过程应采用密闭设备或在密闭空间内操作，废气应排至 VOCs 废气收集处理系统；无法密闭的，应采取局部气体收集措施，废气应排至</w:t>
                  </w:r>
                </w:p>
                <w:p w14:paraId="6BFC082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废气收集处理系统。</w:t>
                  </w:r>
                </w:p>
              </w:tc>
              <w:tc>
                <w:tcPr>
                  <w:tcW w:w="532" w:type="dxa"/>
                  <w:tcMar>
                    <w:top w:w="0" w:type="dxa"/>
                    <w:left w:w="0" w:type="dxa"/>
                    <w:bottom w:w="0" w:type="dxa"/>
                    <w:right w:w="0" w:type="dxa"/>
                  </w:tcMar>
                  <w:vAlign w:val="center"/>
                </w:tcPr>
                <w:p w14:paraId="5A7E7A6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428BCF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生产不涉及浸胶、胶浆喷涂、涂胶、喷漆、印刷、清洗等工序</w:t>
                  </w:r>
                </w:p>
              </w:tc>
              <w:tc>
                <w:tcPr>
                  <w:tcW w:w="715" w:type="dxa"/>
                  <w:tcMar>
                    <w:top w:w="0" w:type="dxa"/>
                    <w:left w:w="0" w:type="dxa"/>
                    <w:bottom w:w="0" w:type="dxa"/>
                    <w:right w:w="0" w:type="dxa"/>
                  </w:tcMar>
                  <w:vAlign w:val="center"/>
                </w:tcPr>
                <w:p w14:paraId="4139B0D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61EF6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tcMar>
                    <w:top w:w="0" w:type="dxa"/>
                    <w:left w:w="0" w:type="dxa"/>
                    <w:bottom w:w="0" w:type="dxa"/>
                    <w:right w:w="0" w:type="dxa"/>
                  </w:tcMar>
                  <w:vAlign w:val="center"/>
                </w:tcPr>
                <w:p w14:paraId="21A1964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末端治理</w:t>
                  </w:r>
                </w:p>
              </w:tc>
              <w:tc>
                <w:tcPr>
                  <w:tcW w:w="532" w:type="dxa"/>
                  <w:vMerge w:val="restart"/>
                  <w:tcMar>
                    <w:top w:w="0" w:type="dxa"/>
                    <w:left w:w="0" w:type="dxa"/>
                    <w:bottom w:w="0" w:type="dxa"/>
                    <w:right w:w="0" w:type="dxa"/>
                  </w:tcMar>
                  <w:vAlign w:val="center"/>
                </w:tcPr>
                <w:p w14:paraId="6E9288D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w:t>
                  </w:r>
                </w:p>
                <w:p w14:paraId="37E27B4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收集</w:t>
                  </w:r>
                </w:p>
              </w:tc>
              <w:tc>
                <w:tcPr>
                  <w:tcW w:w="3259" w:type="dxa"/>
                  <w:tcMar>
                    <w:top w:w="0" w:type="dxa"/>
                    <w:left w:w="0" w:type="dxa"/>
                    <w:bottom w:w="0" w:type="dxa"/>
                    <w:right w:w="0" w:type="dxa"/>
                  </w:tcMar>
                  <w:vAlign w:val="center"/>
                </w:tcPr>
                <w:p w14:paraId="04A1B5D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采用外部集气罩的，距集气罩开口面最远处的VOCs 无组织排放位置，控制风速不低于 0.3m/s。</w:t>
                  </w:r>
                </w:p>
              </w:tc>
              <w:tc>
                <w:tcPr>
                  <w:tcW w:w="532" w:type="dxa"/>
                  <w:tcMar>
                    <w:top w:w="0" w:type="dxa"/>
                    <w:left w:w="0" w:type="dxa"/>
                    <w:bottom w:w="0" w:type="dxa"/>
                    <w:right w:w="0" w:type="dxa"/>
                  </w:tcMar>
                  <w:vAlign w:val="center"/>
                </w:tcPr>
                <w:p w14:paraId="0E4F230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5AF8D8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工序产生的废气采用外部集气罩收集，距集气罩开口面最远处的 VOCs 无组织排放位 置，控制风速不低于0.3m/s。</w:t>
                  </w:r>
                </w:p>
              </w:tc>
              <w:tc>
                <w:tcPr>
                  <w:tcW w:w="715" w:type="dxa"/>
                  <w:tcMar>
                    <w:top w:w="0" w:type="dxa"/>
                    <w:left w:w="0" w:type="dxa"/>
                    <w:bottom w:w="0" w:type="dxa"/>
                    <w:right w:w="0" w:type="dxa"/>
                  </w:tcMar>
                  <w:vAlign w:val="center"/>
                </w:tcPr>
                <w:p w14:paraId="3AE5D72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483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trPr>
              <w:tc>
                <w:tcPr>
                  <w:tcW w:w="500" w:type="dxa"/>
                  <w:vMerge w:val="continue"/>
                  <w:tcMar>
                    <w:top w:w="0" w:type="dxa"/>
                    <w:left w:w="0" w:type="dxa"/>
                    <w:bottom w:w="0" w:type="dxa"/>
                    <w:right w:w="0" w:type="dxa"/>
                  </w:tcMar>
                  <w:vAlign w:val="center"/>
                </w:tcPr>
                <w:p w14:paraId="592D9E2B">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27E6F4B2">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5817B19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废气收集系统的输送管道应密闭。废气收集系统应在负压下运行，若处于正压状 态，应对管道组件的密封点进行泄漏检测，泄漏检测值不应超过500μmol/mol，亦不应有感官可察觉泄漏。</w:t>
                  </w:r>
                </w:p>
              </w:tc>
              <w:tc>
                <w:tcPr>
                  <w:tcW w:w="532" w:type="dxa"/>
                  <w:tcMar>
                    <w:top w:w="0" w:type="dxa"/>
                    <w:left w:w="0" w:type="dxa"/>
                    <w:bottom w:w="0" w:type="dxa"/>
                    <w:right w:w="0" w:type="dxa"/>
                  </w:tcMar>
                  <w:vAlign w:val="center"/>
                </w:tcPr>
                <w:p w14:paraId="6720B27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8F5A0A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项目废气收集系统的输送管道为密闭，废气收集系统在负压下运行，符合要求。</w:t>
                  </w:r>
                </w:p>
              </w:tc>
              <w:tc>
                <w:tcPr>
                  <w:tcW w:w="715" w:type="dxa"/>
                  <w:tcMar>
                    <w:top w:w="0" w:type="dxa"/>
                    <w:left w:w="0" w:type="dxa"/>
                    <w:bottom w:w="0" w:type="dxa"/>
                    <w:right w:w="0" w:type="dxa"/>
                  </w:tcMar>
                  <w:vAlign w:val="center"/>
                </w:tcPr>
                <w:p w14:paraId="650B223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64CC7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322B4A85">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492464B6">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4523751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塑料制品行业：a）有机废气排气筒排放浓度不高于广东省《大气污染物排放限值》（DB4427-2001）第Ⅱ时段排放限值，合成革和人造革制造企业排放浓度不高于《合成革与人造革工业污染物排放标准》（GB21902- 2008）排放限值，若国家和我省出台并实施适用于塑料制品制造业的大气污染物排放标准，则有机废气排气筒排放浓度不高于相应的排放限值；车间或生产设施排气中 NMHC 初始排放速率≥ 3kg/h 时，建设 VOCs 处理设施且处理效率≥80%；b）厂区内无组织排放监控点 NMHC 的小时平均浓度值不超过 6mg/m</w:t>
                  </w:r>
                  <w:r>
                    <w:rPr>
                      <w:rFonts w:hint="default"/>
                      <w:b w:val="0"/>
                      <w:bCs w:val="0"/>
                      <w:color w:val="auto"/>
                      <w:sz w:val="21"/>
                      <w:szCs w:val="21"/>
                      <w:highlight w:val="none"/>
                      <w:vertAlign w:val="superscript"/>
                    </w:rPr>
                    <w:t>3</w:t>
                  </w:r>
                  <w:r>
                    <w:rPr>
                      <w:rFonts w:hint="default"/>
                      <w:b w:val="0"/>
                      <w:bCs w:val="0"/>
                      <w:color w:val="auto"/>
                      <w:sz w:val="21"/>
                      <w:szCs w:val="21"/>
                      <w:highlight w:val="none"/>
                    </w:rPr>
                    <w:t>，任意一次浓度值不超过 20mg/m</w:t>
                  </w:r>
                  <w:r>
                    <w:rPr>
                      <w:rFonts w:hint="default"/>
                      <w:b w:val="0"/>
                      <w:bCs w:val="0"/>
                      <w:color w:val="auto"/>
                      <w:sz w:val="21"/>
                      <w:szCs w:val="21"/>
                      <w:highlight w:val="none"/>
                      <w:vertAlign w:val="superscript"/>
                    </w:rPr>
                    <w:t>3</w:t>
                  </w:r>
                  <w:r>
                    <w:rPr>
                      <w:rFonts w:hint="default"/>
                      <w:b w:val="0"/>
                      <w:bCs w:val="0"/>
                      <w:color w:val="auto"/>
                      <w:sz w:val="21"/>
                      <w:szCs w:val="21"/>
                      <w:highlight w:val="none"/>
                    </w:rPr>
                    <w:t>。</w:t>
                  </w:r>
                </w:p>
              </w:tc>
              <w:tc>
                <w:tcPr>
                  <w:tcW w:w="532" w:type="dxa"/>
                  <w:tcMar>
                    <w:top w:w="0" w:type="dxa"/>
                    <w:left w:w="0" w:type="dxa"/>
                    <w:bottom w:w="0" w:type="dxa"/>
                    <w:right w:w="0" w:type="dxa"/>
                  </w:tcMar>
                  <w:vAlign w:val="center"/>
                </w:tcPr>
                <w:p w14:paraId="0AE6F51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D6C437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工序产生的有机废气经过集气罩收集后通过“水帘柜+干式过滤器+二级活性炭吸附装置”处理后经过15mDA00</w:t>
                  </w:r>
                  <w:r>
                    <w:rPr>
                      <w:rFonts w:hint="default"/>
                      <w:b w:val="0"/>
                      <w:bCs w:val="0"/>
                      <w:color w:val="auto"/>
                      <w:sz w:val="21"/>
                      <w:szCs w:val="21"/>
                      <w:highlight w:val="none"/>
                      <w:lang w:val="en-US" w:eastAsia="zh-CN"/>
                    </w:rPr>
                    <w:t>2</w:t>
                  </w:r>
                  <w:r>
                    <w:rPr>
                      <w:rFonts w:hint="default"/>
                      <w:b w:val="0"/>
                      <w:bCs w:val="0"/>
                      <w:color w:val="auto"/>
                      <w:sz w:val="21"/>
                      <w:szCs w:val="21"/>
                      <w:highlight w:val="none"/>
                    </w:rPr>
                    <w:t>排气筒排 放，活性炭吸附装置处理效率为 8</w:t>
                  </w:r>
                  <w:r>
                    <w:rPr>
                      <w:rFonts w:hint="default"/>
                      <w:b w:val="0"/>
                      <w:bCs w:val="0"/>
                      <w:color w:val="auto"/>
                      <w:sz w:val="21"/>
                      <w:szCs w:val="21"/>
                      <w:highlight w:val="none"/>
                      <w:lang w:val="en-US" w:eastAsia="zh-CN"/>
                    </w:rPr>
                    <w:t>0</w:t>
                  </w:r>
                  <w:r>
                    <w:rPr>
                      <w:rFonts w:hint="default"/>
                      <w:b w:val="0"/>
                      <w:bCs w:val="0"/>
                      <w:color w:val="auto"/>
                      <w:sz w:val="21"/>
                      <w:szCs w:val="21"/>
                      <w:highlight w:val="none"/>
                    </w:rPr>
                    <w:t>%。有机废气浓度不高于《合成树脂工业污染物排放标准》(GB31572-2015)及 2024修改单表 5大气污染物特别排放限值，厂区内无组织排放监控点NMHC 的小时平均浓度值不超过6mg/m</w:t>
                  </w:r>
                  <w:r>
                    <w:rPr>
                      <w:rFonts w:hint="default"/>
                      <w:b w:val="0"/>
                      <w:bCs w:val="0"/>
                      <w:color w:val="auto"/>
                      <w:sz w:val="21"/>
                      <w:szCs w:val="21"/>
                      <w:highlight w:val="none"/>
                      <w:vertAlign w:val="superscript"/>
                    </w:rPr>
                    <w:t>3</w:t>
                  </w:r>
                  <w:r>
                    <w:rPr>
                      <w:rFonts w:hint="default"/>
                      <w:b w:val="0"/>
                      <w:bCs w:val="0"/>
                      <w:color w:val="auto"/>
                      <w:sz w:val="21"/>
                      <w:szCs w:val="21"/>
                      <w:highlight w:val="none"/>
                    </w:rPr>
                    <w:t>，任意一次浓度值不超过20mg/m</w:t>
                  </w:r>
                  <w:r>
                    <w:rPr>
                      <w:rFonts w:hint="default"/>
                      <w:b w:val="0"/>
                      <w:bCs w:val="0"/>
                      <w:color w:val="auto"/>
                      <w:sz w:val="21"/>
                      <w:szCs w:val="21"/>
                      <w:highlight w:val="none"/>
                      <w:vertAlign w:val="superscript"/>
                    </w:rPr>
                    <w:t>3</w:t>
                  </w:r>
                  <w:r>
                    <w:rPr>
                      <w:rFonts w:hint="default"/>
                      <w:b w:val="0"/>
                      <w:bCs w:val="0"/>
                      <w:color w:val="auto"/>
                      <w:sz w:val="21"/>
                      <w:szCs w:val="21"/>
                      <w:highlight w:val="none"/>
                    </w:rPr>
                    <w:t>。</w:t>
                  </w:r>
                </w:p>
              </w:tc>
              <w:tc>
                <w:tcPr>
                  <w:tcW w:w="715" w:type="dxa"/>
                  <w:tcMar>
                    <w:top w:w="0" w:type="dxa"/>
                    <w:left w:w="0" w:type="dxa"/>
                    <w:bottom w:w="0" w:type="dxa"/>
                    <w:right w:w="0" w:type="dxa"/>
                  </w:tcMar>
                  <w:vAlign w:val="center"/>
                </w:tcPr>
                <w:p w14:paraId="3602383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CA24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F4CDDE7">
                  <w:pPr>
                    <w:spacing w:line="240" w:lineRule="auto"/>
                    <w:jc w:val="center"/>
                    <w:rPr>
                      <w:rFonts w:hint="default"/>
                      <w:b w:val="0"/>
                      <w:bCs w:val="0"/>
                      <w:color w:val="auto"/>
                      <w:sz w:val="21"/>
                      <w:szCs w:val="21"/>
                      <w:highlight w:val="none"/>
                      <w:lang w:val="en-US" w:eastAsia="zh-CN"/>
                    </w:rPr>
                  </w:pPr>
                </w:p>
              </w:tc>
              <w:tc>
                <w:tcPr>
                  <w:tcW w:w="532" w:type="dxa"/>
                  <w:vMerge w:val="restart"/>
                  <w:tcMar>
                    <w:top w:w="0" w:type="dxa"/>
                    <w:left w:w="0" w:type="dxa"/>
                    <w:bottom w:w="0" w:type="dxa"/>
                    <w:right w:w="0" w:type="dxa"/>
                  </w:tcMar>
                  <w:vAlign w:val="center"/>
                </w:tcPr>
                <w:p w14:paraId="5D1E3D7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治理设施设计与运行管理</w:t>
                  </w:r>
                </w:p>
              </w:tc>
              <w:tc>
                <w:tcPr>
                  <w:tcW w:w="3259" w:type="dxa"/>
                  <w:tcMar>
                    <w:top w:w="0" w:type="dxa"/>
                    <w:left w:w="0" w:type="dxa"/>
                    <w:bottom w:w="0" w:type="dxa"/>
                    <w:right w:w="0" w:type="dxa"/>
                  </w:tcMar>
                  <w:vAlign w:val="center"/>
                </w:tcPr>
                <w:p w14:paraId="3B23358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吸附床（含活性炭吸附法）：预处理设备应根据废气的成分、性质和影响吸附过程的物质性质及含量进行选择： b）吸附床层的吸附剂用量应根据废气处理量、污染物浓度和吸附剂的动态吸附量确定；c）吸附剂应及时更换或有效再生。</w:t>
                  </w:r>
                </w:p>
              </w:tc>
              <w:tc>
                <w:tcPr>
                  <w:tcW w:w="532" w:type="dxa"/>
                  <w:tcMar>
                    <w:top w:w="0" w:type="dxa"/>
                    <w:left w:w="0" w:type="dxa"/>
                    <w:bottom w:w="0" w:type="dxa"/>
                    <w:right w:w="0" w:type="dxa"/>
                  </w:tcMar>
                  <w:vAlign w:val="center"/>
                </w:tcPr>
                <w:p w14:paraId="091FB93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087589B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本项目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的有机废气治理设施工艺为</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套“水帘柜+干式过滤器+二级活性炭吸附装置”，其中活性炭吸附床按照规范要求设计和装填，根据运行情况进行活性炭及时更换。</w:t>
                  </w:r>
                </w:p>
              </w:tc>
              <w:tc>
                <w:tcPr>
                  <w:tcW w:w="715" w:type="dxa"/>
                  <w:tcMar>
                    <w:top w:w="0" w:type="dxa"/>
                    <w:left w:w="0" w:type="dxa"/>
                    <w:bottom w:w="0" w:type="dxa"/>
                    <w:right w:w="0" w:type="dxa"/>
                  </w:tcMar>
                  <w:vAlign w:val="center"/>
                </w:tcPr>
                <w:p w14:paraId="204092C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8A39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2A3102D5">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B41E8FC">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1F16C7C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治理设施应与生产工艺设备同步运行，VOCs 治理设施发生故障或检修时，对应的生产工艺设备应停止运行，待检修完毕后同步</w:t>
                  </w:r>
                  <w:r>
                    <w:rPr>
                      <w:rFonts w:hint="eastAsia"/>
                      <w:b w:val="0"/>
                      <w:bCs w:val="0"/>
                      <w:color w:val="auto"/>
                      <w:sz w:val="21"/>
                      <w:szCs w:val="21"/>
                      <w:highlight w:val="none"/>
                      <w:lang w:eastAsia="zh-CN"/>
                    </w:rPr>
                    <w:t>投入使用</w:t>
                  </w:r>
                  <w:r>
                    <w:rPr>
                      <w:rFonts w:hint="default"/>
                      <w:b w:val="0"/>
                      <w:bCs w:val="0"/>
                      <w:color w:val="auto"/>
                      <w:sz w:val="21"/>
                      <w:szCs w:val="21"/>
                      <w:highlight w:val="none"/>
                    </w:rPr>
                    <w:t>；生产工艺设备不能停止运行或不能及时停止运行的，应设置废气应急处理设施或采取其他替代措施。</w:t>
                  </w:r>
                </w:p>
              </w:tc>
              <w:tc>
                <w:tcPr>
                  <w:tcW w:w="532" w:type="dxa"/>
                  <w:tcMar>
                    <w:top w:w="0" w:type="dxa"/>
                    <w:left w:w="0" w:type="dxa"/>
                    <w:bottom w:w="0" w:type="dxa"/>
                    <w:right w:w="0" w:type="dxa"/>
                  </w:tcMar>
                  <w:vAlign w:val="center"/>
                </w:tcPr>
                <w:p w14:paraId="66F0328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AD4344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本项目生产设备和环保设施“同启同停”，当出现治理设施故障时，企业立即停止生产并待检修</w:t>
                  </w:r>
                </w:p>
                <w:p w14:paraId="4A5D3D4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完毕后同步投入使用。</w:t>
                  </w:r>
                </w:p>
              </w:tc>
              <w:tc>
                <w:tcPr>
                  <w:tcW w:w="715" w:type="dxa"/>
                  <w:tcMar>
                    <w:top w:w="0" w:type="dxa"/>
                    <w:left w:w="0" w:type="dxa"/>
                    <w:bottom w:w="0" w:type="dxa"/>
                    <w:right w:w="0" w:type="dxa"/>
                  </w:tcMar>
                  <w:vAlign w:val="center"/>
                </w:tcPr>
                <w:p w14:paraId="4D9F642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6CD1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6393ED66">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B44DD17">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4447E9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建立废气收集处理设施台</w:t>
                  </w:r>
                </w:p>
                <w:p w14:paraId="3B48B382">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账，记录废气处理设施进出口的监测数据（废气量、浓度、温度、含氧量等）、废气收集与处理设施关键参数、废气处理设施相关耗材（吸收剂、吸附剂、催化剂等）购买和处理记录。</w:t>
                  </w:r>
                </w:p>
              </w:tc>
              <w:tc>
                <w:tcPr>
                  <w:tcW w:w="532" w:type="dxa"/>
                  <w:tcMar>
                    <w:top w:w="0" w:type="dxa"/>
                    <w:left w:w="0" w:type="dxa"/>
                    <w:bottom w:w="0" w:type="dxa"/>
                    <w:right w:w="0" w:type="dxa"/>
                  </w:tcMar>
                  <w:vAlign w:val="center"/>
                </w:tcPr>
                <w:p w14:paraId="3C6CE08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025771E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项目建成后建立废气收集处理设施台账，记录废气处理设施进出口的监测数据（废气量、浓度、温 度、含氧量等）、废气收集与处理设施关键参数、废气处理设施相关耗材（吸收剂、吸附 剂、催化剂等）购买和处理记录。</w:t>
                  </w:r>
                </w:p>
              </w:tc>
              <w:tc>
                <w:tcPr>
                  <w:tcW w:w="715" w:type="dxa"/>
                  <w:tcMar>
                    <w:top w:w="0" w:type="dxa"/>
                    <w:left w:w="0" w:type="dxa"/>
                    <w:bottom w:w="0" w:type="dxa"/>
                    <w:right w:w="0" w:type="dxa"/>
                  </w:tcMar>
                  <w:vAlign w:val="center"/>
                </w:tcPr>
                <w:p w14:paraId="0B95680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3624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6A14BC23">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2C5A7CFA">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1AAF110B">
                  <w:pPr>
                    <w:spacing w:line="240" w:lineRule="auto"/>
                    <w:jc w:val="center"/>
                    <w:rPr>
                      <w:rFonts w:hint="eastAsia" w:eastAsia="宋体"/>
                      <w:b w:val="0"/>
                      <w:bCs w:val="0"/>
                      <w:color w:val="auto"/>
                      <w:sz w:val="21"/>
                      <w:szCs w:val="21"/>
                      <w:highlight w:val="none"/>
                      <w:lang w:eastAsia="zh-CN"/>
                    </w:rPr>
                  </w:pPr>
                  <w:r>
                    <w:rPr>
                      <w:rFonts w:hint="default"/>
                      <w:b w:val="0"/>
                      <w:bCs w:val="0"/>
                      <w:color w:val="auto"/>
                      <w:sz w:val="21"/>
                      <w:szCs w:val="21"/>
                      <w:highlight w:val="none"/>
                    </w:rPr>
                    <w:t>建立危废台账，整理危废处置合同、转移联单及危废处理方资质佐证材料</w:t>
                  </w:r>
                  <w:r>
                    <w:rPr>
                      <w:rFonts w:hint="eastAsia"/>
                      <w:b w:val="0"/>
                      <w:bCs w:val="0"/>
                      <w:color w:val="auto"/>
                      <w:sz w:val="21"/>
                      <w:szCs w:val="21"/>
                      <w:highlight w:val="none"/>
                      <w:lang w:eastAsia="zh-CN"/>
                    </w:rPr>
                    <w:t>。</w:t>
                  </w:r>
                </w:p>
              </w:tc>
              <w:tc>
                <w:tcPr>
                  <w:tcW w:w="532" w:type="dxa"/>
                  <w:tcMar>
                    <w:top w:w="0" w:type="dxa"/>
                    <w:left w:w="0" w:type="dxa"/>
                    <w:bottom w:w="0" w:type="dxa"/>
                    <w:right w:w="0" w:type="dxa"/>
                  </w:tcMar>
                  <w:vAlign w:val="center"/>
                </w:tcPr>
                <w:p w14:paraId="0BB400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2308" w:type="dxa"/>
                  <w:tcMar>
                    <w:top w:w="0" w:type="dxa"/>
                    <w:left w:w="0" w:type="dxa"/>
                    <w:bottom w:w="0" w:type="dxa"/>
                    <w:right w:w="0" w:type="dxa"/>
                  </w:tcMar>
                  <w:vAlign w:val="center"/>
                </w:tcPr>
                <w:p w14:paraId="6376030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项目建成后建立危废台账，整理危废处置合 同、转移联单及危废处理方资质佐证材料。</w:t>
                  </w:r>
                </w:p>
              </w:tc>
              <w:tc>
                <w:tcPr>
                  <w:tcW w:w="715" w:type="dxa"/>
                  <w:tcMar>
                    <w:top w:w="0" w:type="dxa"/>
                    <w:left w:w="0" w:type="dxa"/>
                    <w:bottom w:w="0" w:type="dxa"/>
                    <w:right w:w="0" w:type="dxa"/>
                  </w:tcMar>
                  <w:vAlign w:val="center"/>
                </w:tcPr>
                <w:p w14:paraId="7C68F67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38A77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0EF00CB2">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5011ED58">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48F689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台账保存期限不少于 3 年</w:t>
                  </w:r>
                </w:p>
              </w:tc>
              <w:tc>
                <w:tcPr>
                  <w:tcW w:w="532" w:type="dxa"/>
                  <w:tcMar>
                    <w:top w:w="0" w:type="dxa"/>
                    <w:left w:w="0" w:type="dxa"/>
                    <w:bottom w:w="0" w:type="dxa"/>
                    <w:right w:w="0" w:type="dxa"/>
                  </w:tcMar>
                  <w:vAlign w:val="center"/>
                </w:tcPr>
                <w:p w14:paraId="7B61028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2308" w:type="dxa"/>
                  <w:tcMar>
                    <w:top w:w="0" w:type="dxa"/>
                    <w:left w:w="0" w:type="dxa"/>
                    <w:bottom w:w="0" w:type="dxa"/>
                    <w:right w:w="0" w:type="dxa"/>
                  </w:tcMar>
                  <w:vAlign w:val="center"/>
                </w:tcPr>
                <w:p w14:paraId="0CEF67B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项目建成后台账保存期限不少于 3年。</w:t>
                  </w:r>
                </w:p>
              </w:tc>
              <w:tc>
                <w:tcPr>
                  <w:tcW w:w="715" w:type="dxa"/>
                  <w:tcMar>
                    <w:top w:w="0" w:type="dxa"/>
                    <w:left w:w="0" w:type="dxa"/>
                    <w:bottom w:w="0" w:type="dxa"/>
                    <w:right w:w="0" w:type="dxa"/>
                  </w:tcMar>
                  <w:vAlign w:val="center"/>
                </w:tcPr>
                <w:p w14:paraId="5C9F263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484F2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5A0453BE">
                  <w:pPr>
                    <w:spacing w:line="240" w:lineRule="auto"/>
                    <w:jc w:val="center"/>
                    <w:rPr>
                      <w:rFonts w:hint="default"/>
                      <w:b w:val="0"/>
                      <w:bCs w:val="0"/>
                      <w:color w:val="auto"/>
                      <w:sz w:val="21"/>
                      <w:szCs w:val="21"/>
                      <w:highlight w:val="none"/>
                      <w:lang w:val="en-US" w:eastAsia="zh-CN"/>
                    </w:rPr>
                  </w:pPr>
                </w:p>
              </w:tc>
              <w:tc>
                <w:tcPr>
                  <w:tcW w:w="532" w:type="dxa"/>
                  <w:tcMar>
                    <w:top w:w="0" w:type="dxa"/>
                    <w:left w:w="0" w:type="dxa"/>
                    <w:bottom w:w="0" w:type="dxa"/>
                    <w:right w:w="0" w:type="dxa"/>
                  </w:tcMar>
                  <w:vAlign w:val="center"/>
                </w:tcPr>
                <w:p w14:paraId="03D8B7A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自行监测</w:t>
                  </w:r>
                </w:p>
              </w:tc>
              <w:tc>
                <w:tcPr>
                  <w:tcW w:w="3259" w:type="dxa"/>
                  <w:tcMar>
                    <w:top w:w="0" w:type="dxa"/>
                    <w:left w:w="0" w:type="dxa"/>
                    <w:bottom w:w="0" w:type="dxa"/>
                    <w:right w:w="0" w:type="dxa"/>
                  </w:tcMar>
                  <w:vAlign w:val="center"/>
                </w:tcPr>
                <w:p w14:paraId="55A6D1D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塑料制品行业重点排污单位：a） 塑料人造革与合成革制造每季度一次；b） 塑料板、管、型材制造、塑料丝、绳及编织品制造、泡沫塑料制造、塑料包装箱及容器制造（注塑成型、滚塑成型）、日用塑料制品制造、人造草坪制造、塑料零件及其他塑料制品每半年一次； c） 喷涂工序每季度一次；d） 厂界每半年一次</w:t>
                  </w:r>
                </w:p>
              </w:tc>
              <w:tc>
                <w:tcPr>
                  <w:tcW w:w="532" w:type="dxa"/>
                  <w:tcMar>
                    <w:top w:w="0" w:type="dxa"/>
                    <w:left w:w="0" w:type="dxa"/>
                    <w:bottom w:w="0" w:type="dxa"/>
                    <w:right w:w="0" w:type="dxa"/>
                  </w:tcMar>
                  <w:vAlign w:val="center"/>
                </w:tcPr>
                <w:p w14:paraId="09A2A40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241C256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项目厂界每半年进行一次自行监测。</w:t>
                  </w:r>
                </w:p>
              </w:tc>
              <w:tc>
                <w:tcPr>
                  <w:tcW w:w="715" w:type="dxa"/>
                  <w:tcMar>
                    <w:top w:w="0" w:type="dxa"/>
                    <w:left w:w="0" w:type="dxa"/>
                    <w:bottom w:w="0" w:type="dxa"/>
                    <w:right w:w="0" w:type="dxa"/>
                  </w:tcMar>
                  <w:vAlign w:val="center"/>
                </w:tcPr>
                <w:p w14:paraId="51A1A86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9960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32AB4B20">
                  <w:pPr>
                    <w:spacing w:line="240" w:lineRule="auto"/>
                    <w:jc w:val="center"/>
                    <w:rPr>
                      <w:rFonts w:hint="default"/>
                      <w:b w:val="0"/>
                      <w:bCs w:val="0"/>
                      <w:color w:val="auto"/>
                      <w:sz w:val="21"/>
                      <w:szCs w:val="21"/>
                      <w:highlight w:val="none"/>
                      <w:lang w:val="en-US" w:eastAsia="zh-CN"/>
                    </w:rPr>
                  </w:pPr>
                </w:p>
              </w:tc>
              <w:tc>
                <w:tcPr>
                  <w:tcW w:w="532" w:type="dxa"/>
                  <w:tcMar>
                    <w:top w:w="0" w:type="dxa"/>
                    <w:left w:w="0" w:type="dxa"/>
                    <w:bottom w:w="0" w:type="dxa"/>
                    <w:right w:w="0" w:type="dxa"/>
                  </w:tcMar>
                  <w:vAlign w:val="center"/>
                </w:tcPr>
                <w:p w14:paraId="33D7093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危废管理</w:t>
                  </w:r>
                </w:p>
              </w:tc>
              <w:tc>
                <w:tcPr>
                  <w:tcW w:w="3259" w:type="dxa"/>
                  <w:tcMar>
                    <w:top w:w="0" w:type="dxa"/>
                    <w:left w:w="0" w:type="dxa"/>
                    <w:bottom w:w="0" w:type="dxa"/>
                    <w:right w:w="0" w:type="dxa"/>
                  </w:tcMar>
                  <w:vAlign w:val="center"/>
                </w:tcPr>
                <w:p w14:paraId="3B560E3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工艺过程产生的含VOCs 废料（渣、液）应按照相关要求进行储存、转移和输送。盛装过 VOCs 物料的废包装容器应加盖密闭。</w:t>
                  </w:r>
                </w:p>
              </w:tc>
              <w:tc>
                <w:tcPr>
                  <w:tcW w:w="532" w:type="dxa"/>
                  <w:tcMar>
                    <w:top w:w="0" w:type="dxa"/>
                    <w:left w:w="0" w:type="dxa"/>
                    <w:bottom w:w="0" w:type="dxa"/>
                    <w:right w:w="0" w:type="dxa"/>
                  </w:tcMar>
                  <w:vAlign w:val="center"/>
                </w:tcPr>
                <w:p w14:paraId="15EE5E8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17D3259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工序产生的有机废气处理设施产生的废活性炭暂存危废间，定期交有相关危废资质的单位处理；盛装过VOCs物料的废包装容器加盖</w:t>
                  </w:r>
                  <w:r>
                    <w:rPr>
                      <w:rFonts w:hint="default"/>
                      <w:b w:val="0"/>
                      <w:bCs w:val="0"/>
                      <w:color w:val="auto"/>
                      <w:sz w:val="21"/>
                      <w:szCs w:val="21"/>
                      <w:highlight w:val="none"/>
                      <w:lang w:val="en-US" w:eastAsia="zh-CN"/>
                    </w:rPr>
                    <w:t>密闭</w:t>
                  </w:r>
                  <w:r>
                    <w:rPr>
                      <w:rFonts w:hint="eastAsia"/>
                      <w:b w:val="0"/>
                      <w:bCs w:val="0"/>
                      <w:color w:val="auto"/>
                      <w:sz w:val="21"/>
                      <w:szCs w:val="21"/>
                      <w:highlight w:val="none"/>
                      <w:lang w:val="en-US" w:eastAsia="zh-CN"/>
                    </w:rPr>
                    <w:t>。</w:t>
                  </w:r>
                </w:p>
              </w:tc>
              <w:tc>
                <w:tcPr>
                  <w:tcW w:w="715" w:type="dxa"/>
                  <w:tcMar>
                    <w:top w:w="0" w:type="dxa"/>
                    <w:left w:w="0" w:type="dxa"/>
                    <w:bottom w:w="0" w:type="dxa"/>
                    <w:right w:w="0" w:type="dxa"/>
                  </w:tcMar>
                  <w:vAlign w:val="center"/>
                </w:tcPr>
                <w:p w14:paraId="11AE2E7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bl>
          <w:p w14:paraId="11E303EB">
            <w:pPr>
              <w:pStyle w:val="20"/>
              <w:numPr>
                <w:ilvl w:val="3"/>
                <w:numId w:val="0"/>
              </w:numPr>
              <w:ind w:firstLine="480" w:firstLineChars="200"/>
              <w:rPr>
                <w:color w:val="auto"/>
                <w:highlight w:val="none"/>
              </w:rPr>
            </w:pPr>
            <w:r>
              <w:rPr>
                <w:rFonts w:hint="eastAsia"/>
                <w:color w:val="auto"/>
                <w:highlight w:val="none"/>
              </w:rPr>
              <w:t>七、</w:t>
            </w:r>
            <w:r>
              <w:rPr>
                <w:color w:val="auto"/>
                <w:highlight w:val="none"/>
              </w:rPr>
              <w:t>《环境保护部关于印发&lt;重点行业挥发性有机物综合治理方案&gt;的通知》（环大气〔2019〕53号）</w:t>
            </w:r>
          </w:p>
          <w:p w14:paraId="21478AA4">
            <w:pPr>
              <w:pStyle w:val="26"/>
              <w:ind w:firstLine="480"/>
              <w:rPr>
                <w:color w:val="auto"/>
                <w:highlight w:val="none"/>
              </w:rPr>
            </w:pPr>
            <w:r>
              <w:rPr>
                <w:color w:val="auto"/>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61FA4A47">
            <w:pPr>
              <w:pStyle w:val="26"/>
              <w:ind w:firstLine="480"/>
              <w:rPr>
                <w:rFonts w:hint="default"/>
                <w:color w:val="auto"/>
                <w:highlight w:val="none"/>
                <w:lang w:val="en-US" w:eastAsia="zh-CN"/>
              </w:rPr>
            </w:pPr>
            <w:r>
              <w:rPr>
                <w:color w:val="auto"/>
                <w:highlight w:val="none"/>
              </w:rPr>
              <w:t>本项目</w:t>
            </w:r>
            <w:r>
              <w:rPr>
                <w:rFonts w:hint="eastAsia"/>
                <w:color w:val="auto"/>
                <w:highlight w:val="none"/>
                <w:lang w:val="en-US" w:eastAsia="zh-CN"/>
              </w:rPr>
              <w:t>不属于重点行业，涉及</w:t>
            </w:r>
            <w:r>
              <w:rPr>
                <w:rFonts w:hint="eastAsia"/>
                <w:color w:val="auto"/>
                <w:highlight w:val="none"/>
              </w:rPr>
              <w:t>VOCs原料</w:t>
            </w:r>
            <w:r>
              <w:rPr>
                <w:rFonts w:hint="eastAsia"/>
                <w:color w:val="auto"/>
                <w:highlight w:val="none"/>
                <w:lang w:val="en-US" w:eastAsia="zh-CN"/>
              </w:rPr>
              <w:t>采用密闭容器储存</w:t>
            </w:r>
            <w:r>
              <w:rPr>
                <w:rFonts w:hint="eastAsia"/>
                <w:color w:val="auto"/>
                <w:highlight w:val="none"/>
              </w:rPr>
              <w:t>，可从源头有效控制VOCs排放，</w:t>
            </w:r>
            <w:r>
              <w:rPr>
                <w:rFonts w:hint="eastAsia"/>
                <w:color w:val="auto"/>
                <w:sz w:val="24"/>
                <w:szCs w:val="28"/>
                <w:highlight w:val="none"/>
                <w:lang w:val="en-US" w:eastAsia="zh-CN"/>
              </w:rPr>
              <w:t>有机废气</w:t>
            </w:r>
            <w:r>
              <w:rPr>
                <w:rFonts w:hint="eastAsia"/>
                <w:color w:val="auto"/>
                <w:sz w:val="24"/>
                <w:szCs w:val="28"/>
                <w:highlight w:val="none"/>
              </w:rPr>
              <w:t>经</w:t>
            </w:r>
            <w:r>
              <w:rPr>
                <w:rFonts w:hint="eastAsia"/>
                <w:color w:val="auto"/>
                <w:sz w:val="24"/>
                <w:szCs w:val="28"/>
                <w:highlight w:val="none"/>
                <w:lang w:val="en-US" w:eastAsia="zh-CN"/>
              </w:rPr>
              <w:t>收集后分别通过2套“水帘柜喷淋+干式过滤器+二级活性炭吸附装置”处理达标后，由</w:t>
            </w:r>
            <w:r>
              <w:rPr>
                <w:rFonts w:hint="eastAsia"/>
                <w:color w:val="auto"/>
                <w:sz w:val="24"/>
                <w:szCs w:val="28"/>
                <w:highlight w:val="none"/>
              </w:rPr>
              <w:t>排气筒</w:t>
            </w:r>
            <w:r>
              <w:rPr>
                <w:rFonts w:hint="eastAsia"/>
                <w:color w:val="auto"/>
                <w:sz w:val="24"/>
                <w:szCs w:val="28"/>
                <w:highlight w:val="none"/>
                <w:lang w:eastAsia="zh-CN"/>
              </w:rPr>
              <w:t>DA001、DA002</w:t>
            </w:r>
            <w:r>
              <w:rPr>
                <w:rFonts w:hint="eastAsia"/>
                <w:color w:val="auto"/>
                <w:sz w:val="24"/>
                <w:szCs w:val="28"/>
                <w:highlight w:val="none"/>
              </w:rPr>
              <w:t>高空排放，排放高度</w:t>
            </w:r>
            <w:r>
              <w:rPr>
                <w:rFonts w:hint="eastAsia"/>
                <w:color w:val="auto"/>
                <w:sz w:val="24"/>
                <w:szCs w:val="28"/>
                <w:highlight w:val="none"/>
                <w:lang w:val="en-US" w:eastAsia="zh-CN"/>
              </w:rPr>
              <w:t>均</w:t>
            </w:r>
            <w:r>
              <w:rPr>
                <w:rFonts w:hint="eastAsia"/>
                <w:color w:val="auto"/>
                <w:sz w:val="24"/>
                <w:szCs w:val="28"/>
                <w:highlight w:val="none"/>
              </w:rPr>
              <w:t>为</w:t>
            </w:r>
            <w:r>
              <w:rPr>
                <w:rFonts w:hint="eastAsia"/>
                <w:color w:val="auto"/>
                <w:sz w:val="24"/>
                <w:szCs w:val="28"/>
                <w:highlight w:val="none"/>
                <w:lang w:val="en-US" w:eastAsia="zh-CN"/>
              </w:rPr>
              <w:t>15</w:t>
            </w:r>
            <w:r>
              <w:rPr>
                <w:rFonts w:hint="eastAsia"/>
                <w:color w:val="auto"/>
                <w:sz w:val="24"/>
                <w:szCs w:val="28"/>
                <w:highlight w:val="none"/>
              </w:rPr>
              <w:t>m。</w:t>
            </w:r>
            <w:r>
              <w:rPr>
                <w:rFonts w:hint="eastAsia"/>
                <w:color w:val="auto"/>
                <w:highlight w:val="none"/>
              </w:rPr>
              <w:t>综上，本项目与环境保护部《关于印发&lt;重点行业挥发性有机物综合治理方案&gt;的通知》（环大气〔2019〕53号）相符。</w:t>
            </w:r>
          </w:p>
        </w:tc>
      </w:tr>
    </w:tbl>
    <w:p w14:paraId="461C96F5">
      <w:pPr>
        <w:pStyle w:val="18"/>
        <w:numPr>
          <w:ilvl w:val="0"/>
          <w:numId w:val="0"/>
        </w:num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2" w:name="_Toc25936"/>
      <w:bookmarkStart w:id="13" w:name="_Toc7930"/>
      <w:r>
        <w:rPr>
          <w:rFonts w:hint="default" w:ascii="Times New Roman" w:hAnsi="Times New Roman" w:cs="Times New Roman"/>
          <w:color w:val="auto"/>
          <w:highlight w:val="none"/>
        </w:rPr>
        <w:t>二、建设项目工程分析</w:t>
      </w:r>
      <w:bookmarkEnd w:id="12"/>
      <w:bookmarkEnd w:id="13"/>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8074"/>
      </w:tblGrid>
      <w:tr w14:paraId="30C1E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3AD321E1">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14" w:name="_Toc23802"/>
            <w:bookmarkStart w:id="15" w:name="_Toc12660"/>
            <w:bookmarkStart w:id="16" w:name="_Toc28930"/>
            <w:bookmarkStart w:id="17" w:name="_Toc28166"/>
            <w:bookmarkStart w:id="18" w:name="_Toc1786"/>
            <w:r>
              <w:rPr>
                <w:rFonts w:hint="default" w:ascii="Times New Roman" w:hAnsi="Times New Roman" w:cs="Times New Roman"/>
                <w:color w:val="auto"/>
                <w:highlight w:val="none"/>
              </w:rPr>
              <w:t>建设内容</w:t>
            </w:r>
            <w:bookmarkEnd w:id="14"/>
            <w:bookmarkEnd w:id="15"/>
            <w:bookmarkEnd w:id="16"/>
            <w:bookmarkEnd w:id="17"/>
            <w:bookmarkEnd w:id="18"/>
          </w:p>
        </w:tc>
        <w:tc>
          <w:tcPr>
            <w:tcW w:w="4733" w:type="pct"/>
          </w:tcPr>
          <w:p w14:paraId="7FF7D2FC">
            <w:pPr>
              <w:keepNext/>
              <w:keepLines/>
              <w:tabs>
                <w:tab w:val="left" w:pos="0"/>
              </w:tabs>
              <w:ind w:left="-2"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2D336412">
            <w:pPr>
              <w:widowControl/>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广东欣汇复合材料有限公司</w:t>
            </w:r>
            <w:r>
              <w:rPr>
                <w:rFonts w:hint="default" w:ascii="Times New Roman" w:hAnsi="Times New Roman" w:cs="Times New Roman"/>
                <w:color w:val="auto"/>
                <w:highlight w:val="none"/>
              </w:rPr>
              <w:t>（以下简称“建设单位”）拟于</w:t>
            </w: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cs="Times New Roman"/>
                <w:color w:val="auto"/>
                <w:kern w:val="0"/>
                <w:highlight w:val="none"/>
              </w:rPr>
              <w:t>，投资</w:t>
            </w:r>
            <w:r>
              <w:rPr>
                <w:rFonts w:hint="default" w:ascii="Times New Roman" w:hAnsi="Times New Roman" w:cs="Times New Roman"/>
                <w:color w:val="auto"/>
                <w:highlight w:val="none"/>
              </w:rPr>
              <w:t>建设“</w:t>
            </w:r>
            <w:r>
              <w:rPr>
                <w:rFonts w:hint="default" w:ascii="Times New Roman" w:hAnsi="Times New Roman" w:eastAsia="宋体" w:cs="Times New Roman"/>
                <w:color w:val="auto"/>
                <w:kern w:val="0"/>
                <w:sz w:val="24"/>
                <w:szCs w:val="24"/>
                <w:highlight w:val="none"/>
                <w:lang w:val="en-US" w:eastAsia="zh-CN"/>
              </w:rPr>
              <w:t>广东欣汇复合材料有限公司玻璃纤维复合新材料建设项目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以下简称“本项目”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03C7FFF1">
            <w:pPr>
              <w:widowControl/>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kern w:val="24"/>
                <w:highlight w:val="none"/>
                <w:lang w:val="en-US" w:eastAsia="zh-CN"/>
              </w:rPr>
              <w:t>29024.94</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，总建筑面积</w:t>
            </w:r>
            <w:r>
              <w:rPr>
                <w:rFonts w:hint="eastAsia" w:cs="Times New Roman"/>
                <w:color w:val="auto"/>
                <w:kern w:val="24"/>
                <w:highlight w:val="none"/>
                <w:lang w:val="en-US" w:eastAsia="zh-CN"/>
              </w:rPr>
              <w:t>16549.8</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。项目总投资1</w:t>
            </w:r>
            <w:r>
              <w:rPr>
                <w:rFonts w:hint="default" w:ascii="Times New Roman" w:hAnsi="Times New Roman" w:cs="Times New Roman"/>
                <w:color w:val="auto"/>
                <w:highlight w:val="none"/>
                <w:lang w:val="en-US" w:eastAsia="zh-CN"/>
              </w:rPr>
              <w:t>0000</w:t>
            </w:r>
            <w:r>
              <w:rPr>
                <w:rFonts w:hint="default" w:ascii="Times New Roman" w:hAnsi="Times New Roman" w:cs="Times New Roman"/>
                <w:color w:val="auto"/>
                <w:highlight w:val="none"/>
              </w:rPr>
              <w:t>万元，其中环保投资</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0万元。项目拟</w:t>
            </w:r>
            <w:r>
              <w:rPr>
                <w:rFonts w:hint="default" w:ascii="Times New Roman" w:hAnsi="Times New Roman" w:cs="Times New Roman"/>
                <w:color w:val="auto"/>
                <w:highlight w:val="none"/>
                <w:lang w:val="en-US" w:eastAsia="zh-CN"/>
              </w:rPr>
              <w:t>新建</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~4#车间，</w:t>
            </w:r>
            <w:r>
              <w:rPr>
                <w:rFonts w:hint="eastAsia" w:cs="Times New Roman"/>
                <w:color w:val="auto"/>
                <w:highlight w:val="none"/>
                <w:lang w:val="en-US" w:eastAsia="zh-CN"/>
              </w:rPr>
              <w:t>设置碳纤维制品生产线、</w:t>
            </w:r>
            <w:r>
              <w:rPr>
                <w:rFonts w:hint="default" w:ascii="Times New Roman" w:hAnsi="Times New Roman" w:cs="Times New Roman"/>
                <w:color w:val="auto"/>
                <w:highlight w:val="none"/>
                <w:lang w:val="en-US" w:eastAsia="zh-CN"/>
              </w:rPr>
              <w:t>玻璃纤维增强塑料制品生产线、</w:t>
            </w:r>
            <w:r>
              <w:rPr>
                <w:rFonts w:hint="eastAsia" w:cs="Times New Roman"/>
                <w:color w:val="auto"/>
                <w:highlight w:val="none"/>
                <w:lang w:val="en-US" w:eastAsia="zh-CN"/>
              </w:rPr>
              <w:t>塑料配件生产线、玻纤布生产线、</w:t>
            </w:r>
            <w:r>
              <w:rPr>
                <w:rFonts w:hint="default" w:ascii="Times New Roman" w:hAnsi="Times New Roman" w:cs="Times New Roman"/>
                <w:color w:val="auto"/>
                <w:highlight w:val="none"/>
                <w:lang w:val="en-US" w:eastAsia="zh-CN"/>
              </w:rPr>
              <w:t>生活用品</w:t>
            </w:r>
            <w:r>
              <w:rPr>
                <w:rFonts w:hint="eastAsia" w:cs="Times New Roman"/>
                <w:color w:val="auto"/>
                <w:highlight w:val="none"/>
                <w:lang w:val="en-US" w:eastAsia="zh-CN"/>
              </w:rPr>
              <w:t>组装</w:t>
            </w:r>
            <w:r>
              <w:rPr>
                <w:rFonts w:hint="default" w:ascii="Times New Roman" w:hAnsi="Times New Roman" w:cs="Times New Roman"/>
                <w:color w:val="auto"/>
                <w:highlight w:val="none"/>
                <w:lang w:val="en-US" w:eastAsia="zh-CN"/>
              </w:rPr>
              <w:t>线</w:t>
            </w:r>
            <w:r>
              <w:rPr>
                <w:rFonts w:hint="default" w:ascii="Times New Roman" w:hAnsi="Times New Roman" w:cs="Times New Roman"/>
                <w:color w:val="auto"/>
                <w:highlight w:val="none"/>
              </w:rPr>
              <w:t>，主要工艺为</w:t>
            </w:r>
            <w:r>
              <w:rPr>
                <w:rFonts w:hint="eastAsia" w:cs="Times New Roman"/>
                <w:color w:val="auto"/>
                <w:highlight w:val="none"/>
                <w:lang w:val="en-US" w:eastAsia="zh-CN"/>
              </w:rPr>
              <w:t>裁布、热压、卷制、切断、喷漆、固化，以及调胶、</w:t>
            </w:r>
            <w:r>
              <w:rPr>
                <w:rFonts w:hint="default" w:ascii="Times New Roman" w:hAnsi="Times New Roman" w:cs="Times New Roman"/>
                <w:color w:val="auto"/>
                <w:highlight w:val="none"/>
                <w:lang w:val="en-US" w:eastAsia="zh-CN"/>
              </w:rPr>
              <w:t>备料、浸酯、</w:t>
            </w:r>
            <w:r>
              <w:rPr>
                <w:rFonts w:hint="eastAsia" w:cs="Times New Roman"/>
                <w:color w:val="auto"/>
                <w:highlight w:val="none"/>
                <w:lang w:val="en-US" w:eastAsia="zh-CN"/>
              </w:rPr>
              <w:t>定型</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冷却、</w:t>
            </w:r>
            <w:r>
              <w:rPr>
                <w:rFonts w:hint="default" w:ascii="Times New Roman" w:hAnsi="Times New Roman" w:cs="Times New Roman"/>
                <w:color w:val="auto"/>
                <w:highlight w:val="none"/>
                <w:lang w:val="en-US" w:eastAsia="zh-CN"/>
              </w:rPr>
              <w:t>切割、织布、成品组装</w:t>
            </w:r>
            <w:r>
              <w:rPr>
                <w:rFonts w:hint="eastAsia" w:cs="Times New Roman"/>
                <w:color w:val="auto"/>
                <w:highlight w:val="none"/>
                <w:lang w:val="en-US" w:eastAsia="zh-CN"/>
              </w:rPr>
              <w:t>等工序</w:t>
            </w:r>
            <w:r>
              <w:rPr>
                <w:rFonts w:hint="default" w:ascii="Times New Roman" w:hAnsi="Times New Roman" w:cs="Times New Roman"/>
                <w:color w:val="auto"/>
                <w:highlight w:val="none"/>
              </w:rPr>
              <w:t>，</w:t>
            </w:r>
            <w:r>
              <w:rPr>
                <w:rFonts w:hint="eastAsia" w:cs="Times New Roman"/>
                <w:color w:val="auto"/>
                <w:highlight w:val="none"/>
                <w:lang w:val="en-US" w:eastAsia="zh-CN"/>
              </w:rPr>
              <w:t>项目建成后年产碳纤维制品98吨、</w:t>
            </w:r>
            <w:r>
              <w:rPr>
                <w:rFonts w:hint="default" w:ascii="Times New Roman" w:hAnsi="Times New Roman" w:cs="Times New Roman"/>
                <w:color w:val="auto"/>
                <w:highlight w:val="none"/>
                <w:lang w:val="en-US" w:eastAsia="zh-CN"/>
              </w:rPr>
              <w:t>玻璃纤维增强塑料制品</w:t>
            </w:r>
            <w:r>
              <w:rPr>
                <w:rFonts w:hint="eastAsia" w:cs="Times New Roman"/>
                <w:color w:val="auto"/>
                <w:highlight w:val="none"/>
                <w:lang w:val="en-US" w:eastAsia="zh-CN"/>
              </w:rPr>
              <w:t>2520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420吨、生活用品1225吨、塑料配件5.25吨</w:t>
            </w:r>
            <w:r>
              <w:rPr>
                <w:rFonts w:hint="default" w:ascii="Times New Roman" w:hAnsi="Times New Roman" w:cs="Times New Roman"/>
                <w:color w:val="auto"/>
                <w:highlight w:val="none"/>
              </w:rPr>
              <w:t>。</w:t>
            </w:r>
          </w:p>
          <w:p w14:paraId="22EA4014">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广东省建设项目环境保护管理条例》等有关规定，建设过程中或者建成投产后可能对环境产生影响的新建、扩建、改建、迁建、技术改造项目及区域开发建设项</w:t>
            </w:r>
            <w:r>
              <w:rPr>
                <w:rFonts w:hint="default" w:ascii="Times New Roman" w:hAnsi="Times New Roman" w:cs="Times New Roman"/>
                <w:color w:val="auto"/>
                <w:sz w:val="21"/>
                <w:szCs w:val="21"/>
                <w:highlight w:val="none"/>
              </w:rPr>
              <w:t>目，必须执行环境影响评价制度。对照《国民经济行业分类》（GB/T 4754</w:t>
            </w:r>
            <w:r>
              <w:rPr>
                <w:rFonts w:hint="default" w:ascii="Times New Roman" w:hAnsi="Times New Roman" w:cs="Times New Roman"/>
                <w:color w:val="auto"/>
                <w:highlight w:val="none"/>
              </w:rPr>
              <w:t>-2017，按第1号修改单修订）</w:t>
            </w:r>
            <w:r>
              <w:rPr>
                <w:rFonts w:hint="default" w:ascii="Times New Roman" w:hAnsi="Times New Roman" w:cs="Times New Roman"/>
                <w:color w:val="auto"/>
                <w:szCs w:val="24"/>
                <w:highlight w:val="none"/>
              </w:rPr>
              <w:t>，本项目属于</w:t>
            </w:r>
            <w:r>
              <w:rPr>
                <w:rFonts w:hint="default" w:ascii="Times New Roman" w:hAnsi="Times New Roman" w:cs="Times New Roman"/>
                <w:color w:val="auto"/>
                <w:sz w:val="24"/>
                <w:szCs w:val="24"/>
                <w:highlight w:val="none"/>
              </w:rPr>
              <w:t>C3062玻璃纤维增强塑料制品制造</w:t>
            </w:r>
            <w:r>
              <w:rPr>
                <w:rFonts w:hint="eastAsia"/>
                <w:color w:val="auto"/>
                <w:highlight w:val="none"/>
                <w:lang w:eastAsia="zh-CN"/>
              </w:rPr>
              <w:t>、</w:t>
            </w:r>
            <w:r>
              <w:rPr>
                <w:rFonts w:hint="eastAsia"/>
                <w:color w:val="auto"/>
                <w:highlight w:val="none"/>
                <w:lang w:val="en-US" w:eastAsia="zh-CN"/>
              </w:rPr>
              <w:t>C</w:t>
            </w:r>
            <w:r>
              <w:rPr>
                <w:rFonts w:hint="eastAsia"/>
                <w:color w:val="auto"/>
                <w:highlight w:val="none"/>
              </w:rPr>
              <w:t>3091石墨及碳素制品制造</w:t>
            </w:r>
            <w:r>
              <w:rPr>
                <w:rFonts w:hint="default" w:ascii="Times New Roman" w:hAnsi="Times New Roman" w:cs="Times New Roman"/>
                <w:color w:val="auto"/>
                <w:szCs w:val="24"/>
                <w:highlight w:val="none"/>
              </w:rPr>
              <w:t>；对照国家环保部《建设项目环境影响评价分类管理名录》（2021年版），该项目属于“</w:t>
            </w:r>
            <w:r>
              <w:rPr>
                <w:rFonts w:hint="default" w:ascii="Times New Roman" w:hAnsi="Times New Roman" w:cs="Times New Roman"/>
                <w:color w:val="auto"/>
                <w:sz w:val="24"/>
                <w:szCs w:val="24"/>
                <w:highlight w:val="none"/>
              </w:rPr>
              <w:t>二十七－非金属矿物制品业30－58、玻璃纤维和玻璃纤维增强塑料制品制造306</w:t>
            </w:r>
            <w:r>
              <w:rPr>
                <w:rFonts w:hint="eastAsia" w:cs="Times New Roman"/>
                <w:color w:val="auto"/>
                <w:sz w:val="24"/>
                <w:szCs w:val="24"/>
                <w:highlight w:val="none"/>
                <w:lang w:eastAsia="zh-CN"/>
              </w:rPr>
              <w:t>，</w:t>
            </w:r>
            <w:r>
              <w:rPr>
                <w:rFonts w:hint="eastAsia" w:cs="Times New Roman"/>
                <w:color w:val="auto"/>
                <w:kern w:val="2"/>
                <w:sz w:val="24"/>
                <w:szCs w:val="24"/>
                <w:highlight w:val="none"/>
                <w:lang w:val="en-US" w:eastAsia="zh-CN" w:bidi="ar-SA"/>
              </w:rPr>
              <w:t>60、石墨及其他非金属矿物制品制造309</w:t>
            </w:r>
            <w:r>
              <w:rPr>
                <w:rFonts w:hint="default" w:ascii="Times New Roman" w:hAnsi="Times New Roman" w:cs="Times New Roman"/>
                <w:color w:val="auto"/>
                <w:szCs w:val="24"/>
                <w:highlight w:val="none"/>
              </w:rPr>
              <w:t>”，按要求需要编制环境影响报告表。</w:t>
            </w:r>
          </w:p>
          <w:p w14:paraId="60CA59E3">
            <w:pPr>
              <w:pStyle w:val="25"/>
              <w:ind w:firstLine="480" w:firstLineChars="200"/>
              <w:jc w:val="both"/>
              <w:rPr>
                <w:rFonts w:hint="eastAsia" w:cs="Times New Roman"/>
                <w:color w:val="auto"/>
                <w:szCs w:val="24"/>
                <w:highlight w:val="none"/>
                <w:lang w:eastAsia="zh-CN"/>
              </w:rPr>
            </w:pPr>
            <w:r>
              <w:rPr>
                <w:rFonts w:hint="default" w:ascii="Times New Roman" w:hAnsi="Times New Roman" w:cs="Times New Roman"/>
                <w:color w:val="auto"/>
                <w:szCs w:val="24"/>
                <w:highlight w:val="none"/>
              </w:rPr>
              <w:t>建设单位</w:t>
            </w:r>
            <w:r>
              <w:rPr>
                <w:rFonts w:hint="eastAsia" w:cs="Times New Roman"/>
                <w:color w:val="auto"/>
                <w:szCs w:val="24"/>
                <w:highlight w:val="none"/>
                <w:lang w:val="en-US" w:eastAsia="zh-CN"/>
              </w:rPr>
              <w:t>于2024年8月31日取得《关于对广东欣汇复合材料有限公司玻璃纤维复合新材料建设项目环境影响报告表的审查意见》（韶环乐审(2024)26号）批复</w:t>
            </w:r>
            <w:r>
              <w:rPr>
                <w:rFonts w:hint="default" w:ascii="Times New Roman" w:hAnsi="Times New Roman" w:cs="Times New Roman"/>
                <w:color w:val="auto"/>
                <w:szCs w:val="24"/>
                <w:highlight w:val="none"/>
              </w:rPr>
              <w:t>后开工建设，</w:t>
            </w:r>
            <w:r>
              <w:rPr>
                <w:rFonts w:hint="eastAsia" w:cs="Times New Roman"/>
                <w:color w:val="auto"/>
                <w:szCs w:val="24"/>
                <w:highlight w:val="none"/>
                <w:lang w:val="en-US" w:eastAsia="zh-CN"/>
              </w:rPr>
              <w:t>尚未进行投产，</w:t>
            </w:r>
            <w:r>
              <w:rPr>
                <w:rFonts w:hint="default" w:ascii="Times New Roman" w:hAnsi="Times New Roman" w:cs="Times New Roman"/>
                <w:color w:val="auto"/>
                <w:szCs w:val="24"/>
                <w:highlight w:val="none"/>
              </w:rPr>
              <w:t>在建设过程中受市场影响等因素对产品方案进行调整，由</w:t>
            </w:r>
            <w:r>
              <w:rPr>
                <w:rFonts w:hint="default" w:ascii="Times New Roman" w:hAnsi="Times New Roman" w:cs="Times New Roman"/>
                <w:color w:val="auto"/>
                <w:highlight w:val="none"/>
              </w:rPr>
              <w:t>年</w:t>
            </w:r>
            <w:r>
              <w:rPr>
                <w:rFonts w:hint="eastAsia" w:cs="Times New Roman"/>
                <w:color w:val="auto"/>
                <w:highlight w:val="none"/>
                <w:lang w:val="en-US" w:eastAsia="zh-CN"/>
              </w:rPr>
              <w:t>产</w:t>
            </w:r>
            <w:r>
              <w:rPr>
                <w:rFonts w:hint="default" w:ascii="Times New Roman" w:hAnsi="Times New Roman" w:cs="Times New Roman"/>
                <w:color w:val="auto"/>
                <w:highlight w:val="none"/>
                <w:lang w:val="en-US" w:eastAsia="zh-CN"/>
              </w:rPr>
              <w:t>玻璃纤维增强塑料制品</w:t>
            </w:r>
            <w:r>
              <w:rPr>
                <w:rFonts w:hint="eastAsia"/>
                <w:color w:val="auto"/>
                <w:highlight w:val="none"/>
                <w:lang w:val="en-US" w:eastAsia="zh-CN"/>
              </w:rPr>
              <w:t>720</w:t>
            </w:r>
            <w:r>
              <w:rPr>
                <w:rFonts w:hint="eastAsia" w:cs="Times New Roman"/>
                <w:color w:val="auto"/>
                <w:highlight w:val="none"/>
                <w:lang w:val="en-US" w:eastAsia="zh-CN"/>
              </w:rPr>
              <w:t>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1200吨、生活用品3500吨、塑料配件15吨</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减少原有</w:t>
            </w:r>
            <w:r>
              <w:rPr>
                <w:rFonts w:hint="eastAsia" w:cs="Times New Roman"/>
                <w:color w:val="auto"/>
                <w:highlight w:val="none"/>
                <w:lang w:val="en-US" w:eastAsia="zh-CN"/>
              </w:rPr>
              <w:t>产品</w:t>
            </w:r>
            <w:r>
              <w:rPr>
                <w:rFonts w:hint="eastAsia" w:ascii="Times New Roman" w:hAnsi="Times New Roman" w:cs="Times New Roman"/>
                <w:color w:val="auto"/>
                <w:highlight w:val="none"/>
                <w:lang w:val="en-US" w:eastAsia="zh-CN"/>
              </w:rPr>
              <w:t>产量</w:t>
            </w:r>
            <w:r>
              <w:rPr>
                <w:rFonts w:hint="eastAsia" w:ascii="Times New Roman" w:hAnsi="Times New Roman" w:cs="Times New Roman"/>
                <w:color w:val="auto"/>
                <w:highlight w:val="none"/>
                <w:lang w:eastAsia="zh-CN"/>
              </w:rPr>
              <w:t>，</w:t>
            </w:r>
            <w:r>
              <w:rPr>
                <w:rFonts w:hint="eastAsia" w:cs="Times New Roman"/>
                <w:color w:val="auto"/>
                <w:highlight w:val="none"/>
                <w:lang w:val="en-US" w:eastAsia="zh-CN"/>
              </w:rPr>
              <w:t>同时</w:t>
            </w:r>
            <w:r>
              <w:rPr>
                <w:rFonts w:hint="eastAsia" w:cs="Times New Roman"/>
                <w:color w:val="auto"/>
                <w:szCs w:val="24"/>
                <w:highlight w:val="none"/>
                <w:lang w:val="en-US" w:eastAsia="zh-CN"/>
              </w:rPr>
              <w:t>新增碳纤维制品生产工艺和产品98吨。</w:t>
            </w:r>
            <w:r>
              <w:rPr>
                <w:rFonts w:hint="default" w:ascii="Times New Roman" w:hAnsi="Times New Roman" w:cs="Times New Roman"/>
                <w:color w:val="auto"/>
                <w:szCs w:val="24"/>
                <w:highlight w:val="none"/>
              </w:rPr>
              <w:t>对照《关于印发《污染影响类建设项目重大变动清单（试行）》的通知》（环办环评函〔2020〕688号），项目</w:t>
            </w:r>
            <w:r>
              <w:rPr>
                <w:rFonts w:hint="eastAsia" w:cs="Times New Roman"/>
                <w:color w:val="auto"/>
                <w:szCs w:val="24"/>
                <w:highlight w:val="none"/>
                <w:lang w:val="en-US" w:eastAsia="zh-CN"/>
              </w:rPr>
              <w:t>生产工艺、规模</w:t>
            </w:r>
            <w:r>
              <w:rPr>
                <w:rFonts w:hint="default" w:ascii="Times New Roman" w:hAnsi="Times New Roman" w:cs="Times New Roman"/>
                <w:color w:val="auto"/>
                <w:szCs w:val="24"/>
                <w:highlight w:val="none"/>
              </w:rPr>
              <w:t>发生了重大变动</w:t>
            </w:r>
            <w:r>
              <w:rPr>
                <w:rFonts w:hint="eastAsia" w:cs="Times New Roman"/>
                <w:color w:val="auto"/>
                <w:szCs w:val="24"/>
                <w:highlight w:val="none"/>
                <w:lang w:eastAsia="zh-CN"/>
              </w:rPr>
              <w:t>。</w:t>
            </w:r>
          </w:p>
          <w:p w14:paraId="365D96D3">
            <w:pPr>
              <w:pStyle w:val="25"/>
              <w:pageBreakBefore w:val="0"/>
              <w:wordWrap w:val="0"/>
              <w:overflowPunct/>
              <w:bidi w:val="0"/>
              <w:ind w:firstLine="480" w:firstLineChars="200"/>
              <w:jc w:val="both"/>
              <w:rPr>
                <w:rFonts w:hint="eastAsia" w:cs="Times New Roman"/>
                <w:bCs/>
                <w:color w:val="auto"/>
                <w:sz w:val="24"/>
                <w:highlight w:val="none"/>
                <w:lang w:val="en-US" w:eastAsia="zh-CN"/>
              </w:rPr>
            </w:pPr>
            <w:r>
              <w:rPr>
                <w:rFonts w:hint="eastAsia" w:cs="Times New Roman"/>
                <w:bCs/>
                <w:color w:val="auto"/>
                <w:sz w:val="24"/>
                <w:highlight w:val="none"/>
                <w:lang w:val="en-US" w:eastAsia="zh-CN"/>
              </w:rPr>
              <w:t>截至2026年1月，建设单位已完成基础厂房建设</w:t>
            </w:r>
            <w:r>
              <w:rPr>
                <w:rFonts w:hint="eastAsia"/>
                <w:color w:val="auto"/>
                <w:sz w:val="24"/>
                <w:szCs w:val="24"/>
                <w:highlight w:val="none"/>
                <w:lang w:val="en-US" w:eastAsia="zh-CN"/>
              </w:rPr>
              <w:t>，</w:t>
            </w:r>
            <w:r>
              <w:rPr>
                <w:rFonts w:hint="default" w:ascii="Times New Roman" w:hAnsi="Times New Roman" w:cs="Times New Roman"/>
                <w:color w:val="auto"/>
                <w:highlight w:val="none"/>
              </w:rPr>
              <w:t>广东欣汇复合材料有限公司玻璃纤维复合新材料建设项目</w:t>
            </w:r>
            <w:r>
              <w:rPr>
                <w:rFonts w:hint="eastAsia" w:cs="Times New Roman"/>
                <w:bCs/>
                <w:color w:val="auto"/>
                <w:sz w:val="24"/>
                <w:highlight w:val="none"/>
                <w:lang w:val="en-US" w:eastAsia="zh-CN"/>
              </w:rPr>
              <w:t>在建设过程中发生的变动如下：</w:t>
            </w:r>
          </w:p>
          <w:p w14:paraId="64D312B6">
            <w:pPr>
              <w:pStyle w:val="16"/>
              <w:pageBreakBefore w:val="0"/>
              <w:wordWrap w:val="0"/>
              <w:overflowPunct/>
              <w:bidi w:val="0"/>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SEQ 表 \* ARABIC \s 1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 xml:space="preserve"> </w:t>
            </w:r>
            <w:r>
              <w:rPr>
                <w:rFonts w:hint="eastAsia" w:cs="Times New Roman"/>
                <w:b/>
                <w:bCs/>
                <w:color w:val="auto"/>
                <w:highlight w:val="none"/>
                <w:lang w:val="en-US" w:eastAsia="zh-CN"/>
              </w:rPr>
              <w:t>项目建设内容变动情况</w:t>
            </w:r>
            <w:r>
              <w:rPr>
                <w:rFonts w:hint="default" w:ascii="Times New Roman" w:hAnsi="Times New Roman" w:cs="Times New Roman"/>
                <w:b/>
                <w:bCs/>
                <w:color w:val="auto"/>
                <w:highlight w:val="none"/>
              </w:rPr>
              <w:t>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119"/>
              <w:gridCol w:w="1900"/>
              <w:gridCol w:w="1772"/>
              <w:gridCol w:w="836"/>
              <w:gridCol w:w="837"/>
            </w:tblGrid>
            <w:tr w14:paraId="18317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27" w:type="dxa"/>
                  <w:vAlign w:val="center"/>
                </w:tcPr>
                <w:p w14:paraId="0DC86ED0">
                  <w:pPr>
                    <w:spacing w:line="240" w:lineRule="auto"/>
                    <w:jc w:val="center"/>
                    <w:rPr>
                      <w:rFonts w:hint="eastAsia"/>
                      <w:b/>
                      <w:bCs/>
                      <w:color w:val="auto"/>
                      <w:sz w:val="21"/>
                      <w:szCs w:val="21"/>
                      <w:highlight w:val="none"/>
                      <w:lang w:val="en-US" w:eastAsia="zh-CN"/>
                    </w:rPr>
                  </w:pPr>
                  <w:r>
                    <w:rPr>
                      <w:rFonts w:hint="eastAsia"/>
                      <w:b/>
                      <w:bCs/>
                      <w:color w:val="auto"/>
                      <w:sz w:val="21"/>
                      <w:szCs w:val="21"/>
                      <w:highlight w:val="none"/>
                      <w:lang w:val="en-US" w:eastAsia="zh-CN"/>
                    </w:rPr>
                    <w:t>序号</w:t>
                  </w:r>
                </w:p>
              </w:tc>
              <w:tc>
                <w:tcPr>
                  <w:tcW w:w="2119" w:type="dxa"/>
                  <w:vAlign w:val="center"/>
                </w:tcPr>
                <w:p w14:paraId="30F1A53E">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文件内容</w:t>
                  </w:r>
                </w:p>
              </w:tc>
              <w:tc>
                <w:tcPr>
                  <w:tcW w:w="1900" w:type="dxa"/>
                  <w:vAlign w:val="center"/>
                </w:tcPr>
                <w:p w14:paraId="78B33DF1">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原环评项目建设内容</w:t>
                  </w:r>
                </w:p>
              </w:tc>
              <w:tc>
                <w:tcPr>
                  <w:tcW w:w="1772" w:type="dxa"/>
                  <w:vAlign w:val="center"/>
                </w:tcPr>
                <w:p w14:paraId="05E2B895">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实际建设情况</w:t>
                  </w:r>
                </w:p>
              </w:tc>
              <w:tc>
                <w:tcPr>
                  <w:tcW w:w="836" w:type="dxa"/>
                  <w:vAlign w:val="center"/>
                </w:tcPr>
                <w:p w14:paraId="3D231D79">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变动情况</w:t>
                  </w:r>
                </w:p>
              </w:tc>
              <w:tc>
                <w:tcPr>
                  <w:tcW w:w="837" w:type="dxa"/>
                  <w:vAlign w:val="center"/>
                </w:tcPr>
                <w:p w14:paraId="649C2F71">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是否属于重大变动</w:t>
                  </w:r>
                </w:p>
              </w:tc>
            </w:tr>
            <w:tr w14:paraId="1BDC5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5296E5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w:t>
                  </w:r>
                </w:p>
              </w:tc>
              <w:tc>
                <w:tcPr>
                  <w:tcW w:w="2119" w:type="dxa"/>
                  <w:vAlign w:val="center"/>
                </w:tcPr>
                <w:p w14:paraId="746D77B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建设项目开发、使用功能发生变化的</w:t>
                  </w:r>
                </w:p>
              </w:tc>
              <w:tc>
                <w:tcPr>
                  <w:tcW w:w="1900" w:type="dxa"/>
                  <w:vAlign w:val="center"/>
                </w:tcPr>
                <w:p w14:paraId="5F1A7087">
                  <w:pPr>
                    <w:spacing w:line="240" w:lineRule="auto"/>
                    <w:jc w:val="center"/>
                    <w:rPr>
                      <w:rFonts w:hint="eastAsia"/>
                      <w:b w:val="0"/>
                      <w:bCs w:val="0"/>
                      <w:color w:val="auto"/>
                      <w:sz w:val="21"/>
                      <w:szCs w:val="21"/>
                      <w:highlight w:val="none"/>
                      <w:lang w:val="en-US" w:eastAsia="zh-CN"/>
                    </w:rPr>
                  </w:pPr>
                  <w:r>
                    <w:rPr>
                      <w:rFonts w:hint="default"/>
                      <w:b w:val="0"/>
                      <w:bCs w:val="0"/>
                      <w:color w:val="auto"/>
                      <w:sz w:val="21"/>
                      <w:szCs w:val="21"/>
                      <w:highlight w:val="none"/>
                    </w:rPr>
                    <w:t>项目属于“二十七－非金属矿物制品业30－58、玻璃纤维和玻璃纤维增强塑料制品制造306”</w:t>
                  </w:r>
                </w:p>
              </w:tc>
              <w:tc>
                <w:tcPr>
                  <w:tcW w:w="1772" w:type="dxa"/>
                  <w:vAlign w:val="center"/>
                </w:tcPr>
                <w:p w14:paraId="3F8A2778">
                  <w:pPr>
                    <w:spacing w:line="240" w:lineRule="auto"/>
                    <w:jc w:val="center"/>
                    <w:rPr>
                      <w:rFonts w:hint="eastAsia"/>
                      <w:b w:val="0"/>
                      <w:bCs w:val="0"/>
                      <w:color w:val="auto"/>
                      <w:sz w:val="21"/>
                      <w:szCs w:val="21"/>
                      <w:highlight w:val="none"/>
                      <w:lang w:val="en-US" w:eastAsia="zh-CN"/>
                    </w:rPr>
                  </w:pPr>
                  <w:r>
                    <w:rPr>
                      <w:rFonts w:hint="default"/>
                      <w:b w:val="0"/>
                      <w:bCs w:val="0"/>
                      <w:color w:val="auto"/>
                      <w:sz w:val="21"/>
                      <w:szCs w:val="21"/>
                      <w:highlight w:val="none"/>
                    </w:rPr>
                    <w:t>项目属于“二十七－非金属矿物制品业30－58、玻璃纤维和玻璃纤维增强塑料制品制造306，60、石墨及其他非金属矿物制品制造309”</w:t>
                  </w:r>
                </w:p>
              </w:tc>
              <w:tc>
                <w:tcPr>
                  <w:tcW w:w="836" w:type="dxa"/>
                  <w:vAlign w:val="center"/>
                </w:tcPr>
                <w:p w14:paraId="731BF09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6096FF0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2C8B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7691BAF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2</w:t>
                  </w:r>
                </w:p>
              </w:tc>
              <w:tc>
                <w:tcPr>
                  <w:tcW w:w="2119" w:type="dxa"/>
                  <w:vAlign w:val="center"/>
                </w:tcPr>
                <w:p w14:paraId="5759494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生产、处置或储存能力增大30%及以上的</w:t>
                  </w:r>
                </w:p>
              </w:tc>
              <w:tc>
                <w:tcPr>
                  <w:tcW w:w="1900" w:type="dxa"/>
                  <w:vAlign w:val="center"/>
                </w:tcPr>
                <w:p w14:paraId="34376BD7">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产品方案为年产玻璃纤维增强塑料制品年产7200吨、玻纤布年产1200吨、生活用品年产3500吨、塑料配件年产15吨，生产车间位于1#~2#厂房</w:t>
                  </w:r>
                </w:p>
              </w:tc>
              <w:tc>
                <w:tcPr>
                  <w:tcW w:w="1772" w:type="dxa"/>
                  <w:vAlign w:val="center"/>
                </w:tcPr>
                <w:p w14:paraId="106F74A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产品方案变更为年产碳纤维制品98吨，生产车间位于1#厂房；年产玻璃纤维增强塑料制品2520吨、玻纤布420吨、生活用品1225吨、塑料配件5.25吨，生产车间位于4#厂房</w:t>
                  </w:r>
                </w:p>
              </w:tc>
              <w:tc>
                <w:tcPr>
                  <w:tcW w:w="836" w:type="dxa"/>
                  <w:vAlign w:val="center"/>
                </w:tcPr>
                <w:p w14:paraId="68A256E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5231327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31B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100ACCB7">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w:t>
                  </w:r>
                </w:p>
              </w:tc>
              <w:tc>
                <w:tcPr>
                  <w:tcW w:w="2119" w:type="dxa"/>
                  <w:vAlign w:val="center"/>
                </w:tcPr>
                <w:p w14:paraId="79FA929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生产、处置或储存能力增大，导致废水第一类污染物排放量增加的</w:t>
                  </w:r>
                </w:p>
              </w:tc>
              <w:tc>
                <w:tcPr>
                  <w:tcW w:w="1900" w:type="dxa"/>
                  <w:vAlign w:val="center"/>
                </w:tcPr>
                <w:p w14:paraId="17C0EE6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废水不涉及第一类污染物排放</w:t>
                  </w:r>
                </w:p>
              </w:tc>
              <w:tc>
                <w:tcPr>
                  <w:tcW w:w="1772" w:type="dxa"/>
                  <w:vAlign w:val="center"/>
                </w:tcPr>
                <w:p w14:paraId="7F4DFA62">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废水不涉及第一类污染物排放</w:t>
                  </w:r>
                </w:p>
              </w:tc>
              <w:tc>
                <w:tcPr>
                  <w:tcW w:w="836" w:type="dxa"/>
                  <w:vAlign w:val="center"/>
                </w:tcPr>
                <w:p w14:paraId="1E9D391E">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无变动</w:t>
                  </w:r>
                </w:p>
              </w:tc>
              <w:tc>
                <w:tcPr>
                  <w:tcW w:w="837" w:type="dxa"/>
                  <w:vAlign w:val="center"/>
                </w:tcPr>
                <w:p w14:paraId="3D06262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58CC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604B1ED">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4</w:t>
                  </w:r>
                </w:p>
              </w:tc>
              <w:tc>
                <w:tcPr>
                  <w:tcW w:w="2119" w:type="dxa"/>
                  <w:vAlign w:val="center"/>
                </w:tcPr>
                <w:p w14:paraId="47C22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900" w:type="dxa"/>
                  <w:vAlign w:val="center"/>
                </w:tcPr>
                <w:p w14:paraId="0FB65AE3">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本项目所在区域属于达标区，</w:t>
                  </w:r>
                  <w:r>
                    <w:rPr>
                      <w:rFonts w:hint="default"/>
                      <w:b w:val="0"/>
                      <w:bCs w:val="0"/>
                      <w:color w:val="auto"/>
                      <w:sz w:val="21"/>
                      <w:szCs w:val="21"/>
                      <w:highlight w:val="none"/>
                    </w:rPr>
                    <w:t>项目</w:t>
                  </w:r>
                  <w:r>
                    <w:rPr>
                      <w:rFonts w:hint="default"/>
                      <w:b w:val="0"/>
                      <w:bCs w:val="0"/>
                      <w:color w:val="auto"/>
                      <w:sz w:val="21"/>
                      <w:szCs w:val="21"/>
                      <w:highlight w:val="none"/>
                      <w:lang w:val="en-US" w:eastAsia="zh-CN"/>
                    </w:rPr>
                    <w:t>无</w:t>
                  </w:r>
                  <w:r>
                    <w:rPr>
                      <w:rFonts w:hint="default"/>
                      <w:b w:val="0"/>
                      <w:bCs w:val="0"/>
                      <w:color w:val="auto"/>
                      <w:sz w:val="21"/>
                      <w:szCs w:val="21"/>
                      <w:highlight w:val="none"/>
                    </w:rPr>
                    <w:t>生产废水排放量，生活污水排放量为</w:t>
                  </w:r>
                  <w:r>
                    <w:rPr>
                      <w:rFonts w:hint="eastAsia"/>
                      <w:b w:val="0"/>
                      <w:bCs w:val="0"/>
                      <w:color w:val="auto"/>
                      <w:sz w:val="21"/>
                      <w:szCs w:val="21"/>
                      <w:highlight w:val="none"/>
                      <w:lang w:val="en-US" w:eastAsia="zh-CN"/>
                    </w:rPr>
                    <w:t>1197</w:t>
                  </w:r>
                  <w:r>
                    <w:rPr>
                      <w:rFonts w:hint="default"/>
                      <w:b w:val="0"/>
                      <w:bCs w:val="0"/>
                      <w:color w:val="auto"/>
                      <w:sz w:val="21"/>
                      <w:szCs w:val="21"/>
                      <w:highlight w:val="none"/>
                    </w:rPr>
                    <w:t>t/a，</w:t>
                  </w:r>
                  <w:r>
                    <w:rPr>
                      <w:rFonts w:hint="eastAsia"/>
                      <w:b w:val="0"/>
                      <w:bCs w:val="0"/>
                      <w:color w:val="auto"/>
                      <w:sz w:val="21"/>
                      <w:szCs w:val="21"/>
                      <w:highlight w:val="none"/>
                      <w:lang w:val="en-US" w:eastAsia="zh-CN"/>
                    </w:rPr>
                    <w:t>经三级化粪池、隔油隔渣池</w:t>
                  </w:r>
                  <w:r>
                    <w:rPr>
                      <w:rFonts w:hint="default"/>
                      <w:b w:val="0"/>
                      <w:bCs w:val="0"/>
                      <w:color w:val="auto"/>
                      <w:sz w:val="21"/>
                      <w:szCs w:val="21"/>
                      <w:highlight w:val="none"/>
                    </w:rPr>
                    <w:t>预处理后</w:t>
                  </w:r>
                  <w:r>
                    <w:rPr>
                      <w:rFonts w:hint="eastAsia"/>
                      <w:b w:val="0"/>
                      <w:bCs w:val="0"/>
                      <w:color w:val="auto"/>
                      <w:sz w:val="21"/>
                      <w:szCs w:val="21"/>
                      <w:highlight w:val="none"/>
                      <w:lang w:eastAsia="zh-CN"/>
                    </w:rPr>
                    <w:t>，</w:t>
                  </w:r>
                  <w:r>
                    <w:rPr>
                      <w:rFonts w:hint="default"/>
                      <w:b w:val="0"/>
                      <w:bCs w:val="0"/>
                      <w:color w:val="auto"/>
                      <w:sz w:val="21"/>
                      <w:szCs w:val="21"/>
                      <w:highlight w:val="none"/>
                    </w:rPr>
                    <w:t>排入园区污水处理厂进行处理，</w:t>
                  </w:r>
                  <w:r>
                    <w:rPr>
                      <w:rFonts w:hint="eastAsia"/>
                      <w:b w:val="0"/>
                      <w:bCs w:val="0"/>
                      <w:color w:val="auto"/>
                      <w:sz w:val="21"/>
                      <w:szCs w:val="21"/>
                      <w:highlight w:val="none"/>
                      <w:lang w:val="en-US" w:eastAsia="zh-CN"/>
                    </w:rPr>
                    <w:t>对应</w:t>
                  </w:r>
                  <w:r>
                    <w:rPr>
                      <w:rFonts w:hint="default"/>
                      <w:b w:val="0"/>
                      <w:bCs w:val="0"/>
                      <w:color w:val="auto"/>
                      <w:sz w:val="21"/>
                      <w:szCs w:val="21"/>
                      <w:highlight w:val="none"/>
                    </w:rPr>
                    <w:t>CODcr</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0.283</w:t>
                  </w:r>
                  <w:r>
                    <w:rPr>
                      <w:rFonts w:hint="default"/>
                      <w:b w:val="0"/>
                      <w:bCs w:val="0"/>
                      <w:color w:val="auto"/>
                      <w:sz w:val="21"/>
                      <w:szCs w:val="21"/>
                      <w:highlight w:val="none"/>
                      <w:lang w:val="en-US" w:eastAsia="zh-CN"/>
                    </w:rPr>
                    <w:t>t/a）</w:t>
                  </w:r>
                  <w:r>
                    <w:rPr>
                      <w:rFonts w:hint="default"/>
                      <w:b w:val="0"/>
                      <w:bCs w:val="0"/>
                      <w:color w:val="auto"/>
                      <w:sz w:val="21"/>
                      <w:szCs w:val="21"/>
                      <w:highlight w:val="none"/>
                    </w:rPr>
                    <w:t>、NH</w:t>
                  </w:r>
                  <w:r>
                    <w:rPr>
                      <w:rFonts w:hint="default"/>
                      <w:b w:val="0"/>
                      <w:bCs w:val="0"/>
                      <w:color w:val="auto"/>
                      <w:sz w:val="21"/>
                      <w:szCs w:val="21"/>
                      <w:highlight w:val="none"/>
                      <w:vertAlign w:val="subscript"/>
                      <w:lang w:val="en-US" w:eastAsia="zh-CN"/>
                    </w:rPr>
                    <w:t>3</w:t>
                  </w:r>
                  <w:r>
                    <w:rPr>
                      <w:rFonts w:hint="default"/>
                      <w:b w:val="0"/>
                      <w:bCs w:val="0"/>
                      <w:color w:val="auto"/>
                      <w:sz w:val="21"/>
                      <w:szCs w:val="21"/>
                      <w:highlight w:val="none"/>
                      <w:lang w:val="en-US" w:eastAsia="zh-CN"/>
                    </w:rPr>
                    <w:t>-</w:t>
                  </w:r>
                  <w:r>
                    <w:rPr>
                      <w:rFonts w:hint="default"/>
                      <w:b w:val="0"/>
                      <w:bCs w:val="0"/>
                      <w:color w:val="auto"/>
                      <w:sz w:val="21"/>
                      <w:szCs w:val="21"/>
                      <w:highlight w:val="none"/>
                    </w:rPr>
                    <w:t>N</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0.0272</w:t>
                  </w:r>
                  <w:r>
                    <w:rPr>
                      <w:rFonts w:hint="default"/>
                      <w:b w:val="0"/>
                      <w:bCs w:val="0"/>
                      <w:color w:val="auto"/>
                      <w:sz w:val="21"/>
                      <w:szCs w:val="21"/>
                      <w:highlight w:val="none"/>
                      <w:lang w:val="en-US" w:eastAsia="zh-CN"/>
                    </w:rPr>
                    <w:t>t/a）</w:t>
                  </w:r>
                  <w:r>
                    <w:rPr>
                      <w:rFonts w:hint="default"/>
                      <w:b w:val="0"/>
                      <w:bCs w:val="0"/>
                      <w:color w:val="auto"/>
                      <w:sz w:val="21"/>
                      <w:szCs w:val="21"/>
                      <w:highlight w:val="none"/>
                    </w:rPr>
                    <w:t>纳入园区污水处理厂的总量控制指标，不需再增加新的总量分配指标</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VOCs</w:t>
                  </w:r>
                  <w:r>
                    <w:rPr>
                      <w:rFonts w:hint="default"/>
                      <w:b w:val="0"/>
                      <w:bCs w:val="0"/>
                      <w:color w:val="auto"/>
                      <w:sz w:val="21"/>
                      <w:szCs w:val="21"/>
                      <w:highlight w:val="none"/>
                    </w:rPr>
                    <w:t>总排放量为</w:t>
                  </w:r>
                  <w:r>
                    <w:rPr>
                      <w:rFonts w:hint="eastAsia"/>
                      <w:b w:val="0"/>
                      <w:bCs w:val="0"/>
                      <w:color w:val="auto"/>
                      <w:sz w:val="21"/>
                      <w:szCs w:val="21"/>
                      <w:highlight w:val="none"/>
                      <w:lang w:val="en-US" w:eastAsia="zh-CN"/>
                    </w:rPr>
                    <w:t>2.891</w:t>
                  </w:r>
                  <w:r>
                    <w:rPr>
                      <w:rFonts w:hint="default"/>
                      <w:b w:val="0"/>
                      <w:bCs w:val="0"/>
                      <w:color w:val="auto"/>
                      <w:sz w:val="21"/>
                      <w:szCs w:val="21"/>
                      <w:highlight w:val="none"/>
                    </w:rPr>
                    <w:t>t/a</w:t>
                  </w:r>
                  <w:r>
                    <w:rPr>
                      <w:rFonts w:hint="default"/>
                      <w:b w:val="0"/>
                      <w:bCs w:val="0"/>
                      <w:color w:val="auto"/>
                      <w:sz w:val="21"/>
                      <w:szCs w:val="21"/>
                      <w:highlight w:val="none"/>
                      <w:lang w:eastAsia="zh-CN"/>
                    </w:rPr>
                    <w:t>（</w:t>
                  </w:r>
                  <w:r>
                    <w:rPr>
                      <w:rFonts w:hint="default"/>
                      <w:b w:val="0"/>
                      <w:bCs w:val="0"/>
                      <w:color w:val="auto"/>
                      <w:sz w:val="21"/>
                      <w:szCs w:val="21"/>
                      <w:highlight w:val="none"/>
                    </w:rPr>
                    <w:t>其中</w:t>
                  </w:r>
                  <w:r>
                    <w:rPr>
                      <w:rFonts w:hint="eastAsia"/>
                      <w:b w:val="0"/>
                      <w:bCs w:val="0"/>
                      <w:color w:val="auto"/>
                      <w:sz w:val="21"/>
                      <w:szCs w:val="21"/>
                      <w:highlight w:val="none"/>
                      <w:lang w:val="en-US" w:eastAsia="zh-CN"/>
                    </w:rPr>
                    <w:t>VOCs</w:t>
                  </w:r>
                  <w:r>
                    <w:rPr>
                      <w:rFonts w:hint="default"/>
                      <w:b w:val="0"/>
                      <w:bCs w:val="0"/>
                      <w:color w:val="auto"/>
                      <w:sz w:val="21"/>
                      <w:szCs w:val="21"/>
                      <w:highlight w:val="none"/>
                    </w:rPr>
                    <w:t>有组织排放</w:t>
                  </w:r>
                  <w:r>
                    <w:rPr>
                      <w:rFonts w:hint="eastAsia"/>
                      <w:b w:val="0"/>
                      <w:bCs w:val="0"/>
                      <w:color w:val="auto"/>
                      <w:sz w:val="21"/>
                      <w:szCs w:val="21"/>
                      <w:highlight w:val="none"/>
                      <w:lang w:val="en-US" w:eastAsia="zh-CN"/>
                    </w:rPr>
                    <w:t>量</w:t>
                  </w:r>
                  <w:r>
                    <w:rPr>
                      <w:rFonts w:hint="default"/>
                      <w:b w:val="0"/>
                      <w:bCs w:val="0"/>
                      <w:color w:val="auto"/>
                      <w:sz w:val="21"/>
                      <w:szCs w:val="21"/>
                      <w:highlight w:val="none"/>
                    </w:rPr>
                    <w:t>：</w:t>
                  </w:r>
                  <w:r>
                    <w:rPr>
                      <w:rFonts w:hint="eastAsia"/>
                      <w:b w:val="0"/>
                      <w:bCs w:val="0"/>
                      <w:color w:val="auto"/>
                      <w:sz w:val="21"/>
                      <w:szCs w:val="21"/>
                      <w:highlight w:val="none"/>
                      <w:lang w:val="en-US" w:eastAsia="zh-CN"/>
                    </w:rPr>
                    <w:t>0.812</w:t>
                  </w:r>
                  <w:r>
                    <w:rPr>
                      <w:rFonts w:hint="default"/>
                      <w:b w:val="0"/>
                      <w:bCs w:val="0"/>
                      <w:color w:val="auto"/>
                      <w:sz w:val="21"/>
                      <w:szCs w:val="21"/>
                      <w:highlight w:val="none"/>
                    </w:rPr>
                    <w:t>t/a，</w:t>
                  </w:r>
                  <w:r>
                    <w:rPr>
                      <w:rFonts w:hint="eastAsia"/>
                      <w:b w:val="0"/>
                      <w:bCs w:val="0"/>
                      <w:color w:val="auto"/>
                      <w:sz w:val="21"/>
                      <w:szCs w:val="21"/>
                      <w:highlight w:val="none"/>
                      <w:lang w:val="en-US" w:eastAsia="zh-CN"/>
                    </w:rPr>
                    <w:t>VOCs</w:t>
                  </w:r>
                  <w:r>
                    <w:rPr>
                      <w:rFonts w:hint="default"/>
                      <w:b w:val="0"/>
                      <w:bCs w:val="0"/>
                      <w:color w:val="auto"/>
                      <w:sz w:val="21"/>
                      <w:szCs w:val="21"/>
                      <w:highlight w:val="none"/>
                    </w:rPr>
                    <w:t>无组织排放</w:t>
                  </w:r>
                  <w:r>
                    <w:rPr>
                      <w:rFonts w:hint="eastAsia"/>
                      <w:b w:val="0"/>
                      <w:bCs w:val="0"/>
                      <w:color w:val="auto"/>
                      <w:sz w:val="21"/>
                      <w:szCs w:val="21"/>
                      <w:highlight w:val="none"/>
                      <w:lang w:val="en-US" w:eastAsia="zh-CN"/>
                    </w:rPr>
                    <w:t>量</w:t>
                  </w:r>
                  <w:r>
                    <w:rPr>
                      <w:rFonts w:hint="default"/>
                      <w:b w:val="0"/>
                      <w:bCs w:val="0"/>
                      <w:color w:val="auto"/>
                      <w:sz w:val="21"/>
                      <w:szCs w:val="21"/>
                      <w:highlight w:val="none"/>
                    </w:rPr>
                    <w:t>：</w:t>
                  </w:r>
                  <w:r>
                    <w:rPr>
                      <w:rFonts w:hint="eastAsia"/>
                      <w:b w:val="0"/>
                      <w:bCs w:val="0"/>
                      <w:color w:val="auto"/>
                      <w:sz w:val="21"/>
                      <w:szCs w:val="21"/>
                      <w:highlight w:val="none"/>
                      <w:lang w:val="en-US" w:eastAsia="zh-CN"/>
                    </w:rPr>
                    <w:t>2.078</w:t>
                  </w:r>
                  <w:r>
                    <w:rPr>
                      <w:rFonts w:hint="default"/>
                      <w:b w:val="0"/>
                      <w:bCs w:val="0"/>
                      <w:color w:val="auto"/>
                      <w:sz w:val="21"/>
                      <w:szCs w:val="21"/>
                      <w:highlight w:val="none"/>
                    </w:rPr>
                    <w:t>t/a</w:t>
                  </w:r>
                  <w:r>
                    <w:rPr>
                      <w:rFonts w:hint="default"/>
                      <w:b w:val="0"/>
                      <w:bCs w:val="0"/>
                      <w:color w:val="auto"/>
                      <w:sz w:val="21"/>
                      <w:szCs w:val="21"/>
                      <w:highlight w:val="none"/>
                      <w:lang w:eastAsia="zh-CN"/>
                    </w:rPr>
                    <w:t>）</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应</w:t>
                  </w:r>
                  <w:r>
                    <w:rPr>
                      <w:rFonts w:hint="eastAsia"/>
                      <w:b w:val="0"/>
                      <w:bCs w:val="0"/>
                      <w:color w:val="auto"/>
                      <w:sz w:val="21"/>
                      <w:szCs w:val="21"/>
                      <w:highlight w:val="none"/>
                      <w:lang w:eastAsia="zh-CN"/>
                    </w:rPr>
                    <w:t>向韶关市生态环境局乐昌分局申请分配。</w:t>
                  </w:r>
                </w:p>
              </w:tc>
              <w:tc>
                <w:tcPr>
                  <w:tcW w:w="1772" w:type="dxa"/>
                  <w:vAlign w:val="center"/>
                </w:tcPr>
                <w:p w14:paraId="5AD89849">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本项目所在区域属于达标区，</w:t>
                  </w:r>
                  <w:r>
                    <w:rPr>
                      <w:rFonts w:hint="default"/>
                      <w:b w:val="0"/>
                      <w:bCs w:val="0"/>
                      <w:color w:val="auto"/>
                      <w:sz w:val="21"/>
                      <w:szCs w:val="21"/>
                      <w:highlight w:val="none"/>
                    </w:rPr>
                    <w:t>项目</w:t>
                  </w:r>
                  <w:r>
                    <w:rPr>
                      <w:rFonts w:hint="default"/>
                      <w:b w:val="0"/>
                      <w:bCs w:val="0"/>
                      <w:color w:val="auto"/>
                      <w:sz w:val="21"/>
                      <w:szCs w:val="21"/>
                      <w:highlight w:val="none"/>
                      <w:lang w:val="en-US" w:eastAsia="zh-CN"/>
                    </w:rPr>
                    <w:t>无</w:t>
                  </w:r>
                  <w:r>
                    <w:rPr>
                      <w:rFonts w:hint="default"/>
                      <w:b w:val="0"/>
                      <w:bCs w:val="0"/>
                      <w:color w:val="auto"/>
                      <w:sz w:val="21"/>
                      <w:szCs w:val="21"/>
                      <w:highlight w:val="none"/>
                    </w:rPr>
                    <w:t>生产废水排放量，生活污水排放量为</w:t>
                  </w:r>
                  <w:r>
                    <w:rPr>
                      <w:rFonts w:hint="eastAsia"/>
                      <w:b w:val="0"/>
                      <w:bCs w:val="0"/>
                      <w:color w:val="auto"/>
                      <w:sz w:val="21"/>
                      <w:szCs w:val="21"/>
                      <w:highlight w:val="none"/>
                      <w:lang w:val="en-US" w:eastAsia="zh-CN"/>
                    </w:rPr>
                    <w:t>1197</w:t>
                  </w:r>
                  <w:r>
                    <w:rPr>
                      <w:rFonts w:hint="default"/>
                      <w:b w:val="0"/>
                      <w:bCs w:val="0"/>
                      <w:color w:val="auto"/>
                      <w:sz w:val="21"/>
                      <w:szCs w:val="21"/>
                      <w:highlight w:val="none"/>
                    </w:rPr>
                    <w:t>t/a，</w:t>
                  </w:r>
                  <w:r>
                    <w:rPr>
                      <w:rFonts w:hint="eastAsia"/>
                      <w:b w:val="0"/>
                      <w:bCs w:val="0"/>
                      <w:color w:val="auto"/>
                      <w:sz w:val="21"/>
                      <w:szCs w:val="21"/>
                      <w:highlight w:val="none"/>
                      <w:lang w:val="en-US" w:eastAsia="zh-CN"/>
                    </w:rPr>
                    <w:t>经三级化粪池、隔油隔渣池</w:t>
                  </w:r>
                  <w:r>
                    <w:rPr>
                      <w:rFonts w:hint="default"/>
                      <w:b w:val="0"/>
                      <w:bCs w:val="0"/>
                      <w:color w:val="auto"/>
                      <w:sz w:val="21"/>
                      <w:szCs w:val="21"/>
                      <w:highlight w:val="none"/>
                    </w:rPr>
                    <w:t>预处理后</w:t>
                  </w:r>
                  <w:r>
                    <w:rPr>
                      <w:rFonts w:hint="eastAsia"/>
                      <w:b w:val="0"/>
                      <w:bCs w:val="0"/>
                      <w:color w:val="auto"/>
                      <w:sz w:val="21"/>
                      <w:szCs w:val="21"/>
                      <w:highlight w:val="none"/>
                      <w:lang w:eastAsia="zh-CN"/>
                    </w:rPr>
                    <w:t>，</w:t>
                  </w:r>
                  <w:r>
                    <w:rPr>
                      <w:rFonts w:hint="default"/>
                      <w:b w:val="0"/>
                      <w:bCs w:val="0"/>
                      <w:color w:val="auto"/>
                      <w:sz w:val="21"/>
                      <w:szCs w:val="21"/>
                      <w:highlight w:val="none"/>
                    </w:rPr>
                    <w:t>排入园区污水处理厂进行处理，</w:t>
                  </w:r>
                  <w:r>
                    <w:rPr>
                      <w:rFonts w:hint="eastAsia"/>
                      <w:b w:val="0"/>
                      <w:bCs w:val="0"/>
                      <w:color w:val="auto"/>
                      <w:sz w:val="21"/>
                      <w:szCs w:val="21"/>
                      <w:highlight w:val="none"/>
                      <w:lang w:val="en-US" w:eastAsia="zh-CN"/>
                    </w:rPr>
                    <w:t>对应</w:t>
                  </w:r>
                  <w:r>
                    <w:rPr>
                      <w:rFonts w:hint="default"/>
                      <w:b w:val="0"/>
                      <w:bCs w:val="0"/>
                      <w:color w:val="auto"/>
                      <w:sz w:val="21"/>
                      <w:szCs w:val="21"/>
                      <w:highlight w:val="none"/>
                    </w:rPr>
                    <w:t>CODcr</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0.239</w:t>
                  </w:r>
                  <w:r>
                    <w:rPr>
                      <w:rFonts w:hint="default"/>
                      <w:b w:val="0"/>
                      <w:bCs w:val="0"/>
                      <w:color w:val="auto"/>
                      <w:sz w:val="21"/>
                      <w:szCs w:val="21"/>
                      <w:highlight w:val="none"/>
                      <w:lang w:val="en-US" w:eastAsia="zh-CN"/>
                    </w:rPr>
                    <w:t>t/a）</w:t>
                  </w:r>
                  <w:r>
                    <w:rPr>
                      <w:rFonts w:hint="default"/>
                      <w:b w:val="0"/>
                      <w:bCs w:val="0"/>
                      <w:color w:val="auto"/>
                      <w:sz w:val="21"/>
                      <w:szCs w:val="21"/>
                      <w:highlight w:val="none"/>
                    </w:rPr>
                    <w:t>、NH</w:t>
                  </w:r>
                  <w:r>
                    <w:rPr>
                      <w:rFonts w:hint="default"/>
                      <w:b w:val="0"/>
                      <w:bCs w:val="0"/>
                      <w:color w:val="auto"/>
                      <w:sz w:val="21"/>
                      <w:szCs w:val="21"/>
                      <w:highlight w:val="none"/>
                      <w:vertAlign w:val="subscript"/>
                      <w:lang w:val="en-US" w:eastAsia="zh-CN"/>
                    </w:rPr>
                    <w:t>3</w:t>
                  </w:r>
                  <w:r>
                    <w:rPr>
                      <w:rFonts w:hint="default"/>
                      <w:b w:val="0"/>
                      <w:bCs w:val="0"/>
                      <w:color w:val="auto"/>
                      <w:sz w:val="21"/>
                      <w:szCs w:val="21"/>
                      <w:highlight w:val="none"/>
                      <w:lang w:val="en-US" w:eastAsia="zh-CN"/>
                    </w:rPr>
                    <w:t>-</w:t>
                  </w:r>
                  <w:r>
                    <w:rPr>
                      <w:rFonts w:hint="default"/>
                      <w:b w:val="0"/>
                      <w:bCs w:val="0"/>
                      <w:color w:val="auto"/>
                      <w:sz w:val="21"/>
                      <w:szCs w:val="21"/>
                      <w:highlight w:val="none"/>
                    </w:rPr>
                    <w:t>N</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0.023</w:t>
                  </w:r>
                  <w:r>
                    <w:rPr>
                      <w:rFonts w:hint="default"/>
                      <w:b w:val="0"/>
                      <w:bCs w:val="0"/>
                      <w:color w:val="auto"/>
                      <w:sz w:val="21"/>
                      <w:szCs w:val="21"/>
                      <w:highlight w:val="none"/>
                      <w:lang w:val="en-US" w:eastAsia="zh-CN"/>
                    </w:rPr>
                    <w:t>t/a）</w:t>
                  </w:r>
                  <w:r>
                    <w:rPr>
                      <w:rFonts w:hint="default"/>
                      <w:b w:val="0"/>
                      <w:bCs w:val="0"/>
                      <w:color w:val="auto"/>
                      <w:sz w:val="21"/>
                      <w:szCs w:val="21"/>
                      <w:highlight w:val="none"/>
                    </w:rPr>
                    <w:t>纳入园区污水处理厂的总量控制指标，不需再增加新的总量分配指标</w:t>
                  </w:r>
                  <w:r>
                    <w:rPr>
                      <w:rFonts w:hint="eastAsia"/>
                      <w:b w:val="0"/>
                      <w:bCs w:val="0"/>
                      <w:color w:val="auto"/>
                      <w:sz w:val="21"/>
                      <w:szCs w:val="21"/>
                      <w:highlight w:val="none"/>
                      <w:lang w:eastAsia="zh-CN"/>
                    </w:rPr>
                    <w:t>；</w:t>
                  </w:r>
                  <w:r>
                    <w:rPr>
                      <w:rFonts w:hint="eastAsia"/>
                      <w:b w:val="0"/>
                      <w:bCs w:val="0"/>
                      <w:color w:val="auto"/>
                      <w:sz w:val="21"/>
                      <w:szCs w:val="21"/>
                      <w:highlight w:val="none"/>
                    </w:rPr>
                    <w:t>建成后有机废气总排放量为2.891t/a（其中有组织排放：0.73</w:t>
                  </w:r>
                  <w:r>
                    <w:rPr>
                      <w:rFonts w:hint="eastAsia"/>
                      <w:b w:val="0"/>
                      <w:bCs w:val="0"/>
                      <w:color w:val="auto"/>
                      <w:sz w:val="21"/>
                      <w:szCs w:val="21"/>
                      <w:highlight w:val="none"/>
                      <w:lang w:val="en-US" w:eastAsia="zh-CN"/>
                    </w:rPr>
                    <w:t>851</w:t>
                  </w:r>
                  <w:r>
                    <w:rPr>
                      <w:rFonts w:hint="eastAsia"/>
                      <w:b w:val="0"/>
                      <w:bCs w:val="0"/>
                      <w:color w:val="auto"/>
                      <w:sz w:val="21"/>
                      <w:szCs w:val="21"/>
                      <w:highlight w:val="none"/>
                    </w:rPr>
                    <w:t>t/a，无组织排放：2.15</w:t>
                  </w:r>
                  <w:r>
                    <w:rPr>
                      <w:rFonts w:hint="eastAsia"/>
                      <w:b w:val="0"/>
                      <w:bCs w:val="0"/>
                      <w:color w:val="auto"/>
                      <w:sz w:val="21"/>
                      <w:szCs w:val="21"/>
                      <w:highlight w:val="none"/>
                      <w:lang w:val="en-US" w:eastAsia="zh-CN"/>
                    </w:rPr>
                    <w:t>29</w:t>
                  </w:r>
                  <w:r>
                    <w:rPr>
                      <w:rFonts w:hint="eastAsia"/>
                      <w:b w:val="0"/>
                      <w:bCs w:val="0"/>
                      <w:color w:val="auto"/>
                      <w:sz w:val="21"/>
                      <w:szCs w:val="21"/>
                      <w:highlight w:val="none"/>
                    </w:rPr>
                    <w:t>t/a）。</w:t>
                  </w:r>
                  <w:r>
                    <w:rPr>
                      <w:rFonts w:hint="eastAsia"/>
                      <w:b w:val="0"/>
                      <w:bCs w:val="0"/>
                      <w:color w:val="auto"/>
                      <w:sz w:val="21"/>
                      <w:szCs w:val="21"/>
                      <w:highlight w:val="none"/>
                      <w:lang w:val="en-US" w:eastAsia="zh-CN"/>
                    </w:rPr>
                    <w:t>未新增VOCs总量排放，不需再增加新的总量分配指标</w:t>
                  </w:r>
                </w:p>
              </w:tc>
              <w:tc>
                <w:tcPr>
                  <w:tcW w:w="836" w:type="dxa"/>
                  <w:vAlign w:val="center"/>
                </w:tcPr>
                <w:p w14:paraId="26BA7179">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1AA9A68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43B0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25CBFE3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5</w:t>
                  </w:r>
                </w:p>
              </w:tc>
              <w:tc>
                <w:tcPr>
                  <w:tcW w:w="2119" w:type="dxa"/>
                  <w:vAlign w:val="center"/>
                </w:tcPr>
                <w:p w14:paraId="6C90E2AE">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重新选址；在原厂址附近调整（包括总平面布置变化）导致环境防护距离范围变化且新增敏感点的</w:t>
                  </w:r>
                </w:p>
              </w:tc>
              <w:tc>
                <w:tcPr>
                  <w:tcW w:w="1900" w:type="dxa"/>
                  <w:vAlign w:val="center"/>
                </w:tcPr>
                <w:p w14:paraId="3655D1E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原项目建设地点为广东省韶关市乐昌产业转移工业园建设路1号（广东乐昌经济开发区）</w:t>
                  </w:r>
                </w:p>
              </w:tc>
              <w:tc>
                <w:tcPr>
                  <w:tcW w:w="1772" w:type="dxa"/>
                  <w:vAlign w:val="center"/>
                </w:tcPr>
                <w:p w14:paraId="2146D83B">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项目建设地点为广东省韶关市乐昌产业转移工业园建设路1号（广东乐昌经济开发区）</w:t>
                  </w:r>
                </w:p>
              </w:tc>
              <w:tc>
                <w:tcPr>
                  <w:tcW w:w="836" w:type="dxa"/>
                  <w:vAlign w:val="center"/>
                </w:tcPr>
                <w:p w14:paraId="076FD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69451FD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5EF0C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180D4BE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6</w:t>
                  </w:r>
                </w:p>
              </w:tc>
              <w:tc>
                <w:tcPr>
                  <w:tcW w:w="2119" w:type="dxa"/>
                  <w:vAlign w:val="center"/>
                </w:tcPr>
                <w:p w14:paraId="55DA4495">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新增产品品种或生产工艺（含主要生产装置、设备及配套设施）、主要原辅材料、燃料变化，导致以下情形之一：</w:t>
                  </w:r>
                </w:p>
                <w:p w14:paraId="4E74F03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（1）新增排放污染物种类的（毒性、挥发性降低的除外）；</w:t>
                  </w:r>
                </w:p>
                <w:p w14:paraId="051F2139">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（2）位于环境质量不达标区的建设项目相应污染物排放量增加的；</w:t>
                  </w:r>
                </w:p>
                <w:p w14:paraId="1DA4D88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（3）废水第一类污染物排放量增加的；</w:t>
                  </w:r>
                </w:p>
                <w:p w14:paraId="35473AD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（4）其他污染物排放量增加10%及以上的</w:t>
                  </w:r>
                </w:p>
              </w:tc>
              <w:tc>
                <w:tcPr>
                  <w:tcW w:w="1900" w:type="dxa"/>
                  <w:vAlign w:val="center"/>
                </w:tcPr>
                <w:p w14:paraId="7B8BBBC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年产玻璃纤维增强塑料制品年产7200吨、玻纤布年产1200吨、生活用品年产3500吨、塑料配件年产15吨；主要生产工序为调胶、备料、浸酯、定型、冷却、切割、织布、成品组装等工序；主要原辅材料为玻璃纤维纱、塑料配件、色浆、不饱和聚酯树脂、固化剂等</w:t>
                  </w:r>
                </w:p>
              </w:tc>
              <w:tc>
                <w:tcPr>
                  <w:tcW w:w="1772" w:type="dxa"/>
                  <w:vAlign w:val="center"/>
                </w:tcPr>
                <w:p w14:paraId="7C1AD09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由年产玻璃纤维增强塑料制品7200吨、玻纤布1200吨、生活用品3500吨、塑料配件15吨，减少原有产品产量，同时新增碳纤维制品生产工艺和产品98吨；主要生产工序为调胶、备料、浸酯、定型、冷却、切割、织布、成品组装等工序；主要原辅材料为玻璃纤维纱、塑料配件、色浆、不饱和聚酯树脂、固化剂、碳纤维预浸料、水性漆等种类变更，VOCs排放量不变，新增颗粒物、苯系物排放</w:t>
                  </w:r>
                </w:p>
              </w:tc>
              <w:tc>
                <w:tcPr>
                  <w:tcW w:w="836" w:type="dxa"/>
                  <w:vAlign w:val="center"/>
                </w:tcPr>
                <w:p w14:paraId="5ADF3359">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有变化</w:t>
                  </w:r>
                </w:p>
              </w:tc>
              <w:tc>
                <w:tcPr>
                  <w:tcW w:w="837" w:type="dxa"/>
                  <w:vAlign w:val="center"/>
                </w:tcPr>
                <w:p w14:paraId="5BBFAE1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215B9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2EB8E3A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7</w:t>
                  </w:r>
                </w:p>
              </w:tc>
              <w:tc>
                <w:tcPr>
                  <w:tcW w:w="2119" w:type="dxa"/>
                  <w:vAlign w:val="center"/>
                </w:tcPr>
                <w:p w14:paraId="533CEF9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物料运输、装卸、贮存方式变化，导致大气污染物无组织排放量增加10%及以上的</w:t>
                  </w:r>
                </w:p>
              </w:tc>
              <w:tc>
                <w:tcPr>
                  <w:tcW w:w="1900" w:type="dxa"/>
                  <w:vAlign w:val="center"/>
                </w:tcPr>
                <w:p w14:paraId="57D4448B">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1772" w:type="dxa"/>
                  <w:vAlign w:val="center"/>
                </w:tcPr>
                <w:p w14:paraId="6DD771F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vAlign w:val="center"/>
                </w:tcPr>
                <w:p w14:paraId="480A9BF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79CC4FD2">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6583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74D42DE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8</w:t>
                  </w:r>
                </w:p>
              </w:tc>
              <w:tc>
                <w:tcPr>
                  <w:tcW w:w="2119" w:type="dxa"/>
                  <w:vAlign w:val="center"/>
                </w:tcPr>
                <w:p w14:paraId="0231E56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废气、废水污染防治措施变化，导致第6条中所列情形之一（废气无组织排放改为有组织排放、污染防治措施强化或改进的除外）或大气污染物无组织排放量增加10%及以上的</w:t>
                  </w:r>
                </w:p>
              </w:tc>
              <w:tc>
                <w:tcPr>
                  <w:tcW w:w="1900" w:type="dxa"/>
                  <w:vAlign w:val="center"/>
                </w:tcPr>
                <w:p w14:paraId="73144015">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1、原项目</w:t>
                  </w:r>
                  <w:r>
                    <w:rPr>
                      <w:rFonts w:hint="default"/>
                      <w:b w:val="0"/>
                      <w:bCs w:val="0"/>
                      <w:color w:val="auto"/>
                      <w:sz w:val="21"/>
                      <w:szCs w:val="21"/>
                      <w:highlight w:val="none"/>
                      <w:lang w:val="en-US" w:eastAsia="zh-CN"/>
                    </w:rPr>
                    <w:t>拟将定型、注塑等废气产生工序设置在密闭空间内，废气经集气罩收集后送至“水喷淋+干式过滤器+二级活性炭吸附装置”处理后由1条15m高排气筒</w:t>
                  </w:r>
                  <w:r>
                    <w:rPr>
                      <w:rFonts w:hint="eastAsia"/>
                      <w:b w:val="0"/>
                      <w:bCs w:val="0"/>
                      <w:color w:val="auto"/>
                      <w:sz w:val="21"/>
                      <w:szCs w:val="21"/>
                      <w:highlight w:val="none"/>
                      <w:lang w:val="en-US" w:eastAsia="zh-CN"/>
                    </w:rPr>
                    <w:t>DA001</w:t>
                  </w:r>
                  <w:r>
                    <w:rPr>
                      <w:rFonts w:hint="default"/>
                      <w:b w:val="0"/>
                      <w:bCs w:val="0"/>
                      <w:color w:val="auto"/>
                      <w:sz w:val="21"/>
                      <w:szCs w:val="21"/>
                      <w:highlight w:val="none"/>
                      <w:lang w:val="en-US" w:eastAsia="zh-CN"/>
                    </w:rPr>
                    <w:t>排放</w:t>
                  </w:r>
                  <w:r>
                    <w:rPr>
                      <w:rFonts w:hint="eastAsia"/>
                      <w:b w:val="0"/>
                      <w:bCs w:val="0"/>
                      <w:color w:val="auto"/>
                      <w:sz w:val="21"/>
                      <w:szCs w:val="21"/>
                      <w:highlight w:val="none"/>
                      <w:lang w:val="en-US" w:eastAsia="zh-CN"/>
                    </w:rPr>
                    <w:t>；</w:t>
                  </w:r>
                </w:p>
                <w:p w14:paraId="395C13C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2、原项目无组织废气通过</w:t>
                  </w:r>
                  <w:r>
                    <w:rPr>
                      <w:rFonts w:hint="default"/>
                      <w:b w:val="0"/>
                      <w:bCs w:val="0"/>
                      <w:color w:val="auto"/>
                      <w:sz w:val="21"/>
                      <w:szCs w:val="21"/>
                      <w:highlight w:val="none"/>
                      <w:lang w:val="en-US" w:eastAsia="zh-CN"/>
                    </w:rPr>
                    <w:t>设置在密闭车间内，并加强车间管理，减少无组织排放</w:t>
                  </w:r>
                </w:p>
              </w:tc>
              <w:tc>
                <w:tcPr>
                  <w:tcW w:w="1772" w:type="dxa"/>
                  <w:vAlign w:val="center"/>
                </w:tcPr>
                <w:p w14:paraId="29A9914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1、新增1套有机废气治理措施“水帘柜喷淋+干式过滤器+二级活性炭吸附装置”，有机废气收集处理达标后通过15m高排气筒DA001高空排放；</w:t>
                  </w:r>
                </w:p>
                <w:p w14:paraId="511DDDBC">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2、原项目有机废气治理措施保留“水帘柜喷淋+干式过滤器+二级活性炭吸附装置”；废气经过收集处理达标后通过15m高排气筒排放，排气筒编号改为DA002</w:t>
                  </w:r>
                </w:p>
                <w:p w14:paraId="3E4F389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3、新增颗粒物、苯系物无组织排放</w:t>
                  </w:r>
                </w:p>
              </w:tc>
              <w:tc>
                <w:tcPr>
                  <w:tcW w:w="836" w:type="dxa"/>
                  <w:vAlign w:val="center"/>
                </w:tcPr>
                <w:p w14:paraId="0D4F148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有变化</w:t>
                  </w:r>
                </w:p>
              </w:tc>
              <w:tc>
                <w:tcPr>
                  <w:tcW w:w="837" w:type="dxa"/>
                  <w:vAlign w:val="center"/>
                </w:tcPr>
                <w:p w14:paraId="2D5FE3CD">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0677D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8F5428F">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9</w:t>
                  </w:r>
                </w:p>
              </w:tc>
              <w:tc>
                <w:tcPr>
                  <w:tcW w:w="2119" w:type="dxa"/>
                  <w:vAlign w:val="center"/>
                </w:tcPr>
                <w:p w14:paraId="39163A0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新增废水直接排放口；废水由间接排放改为直接排放；废水直接排放口位置变化，导致不利环境影响加重的</w:t>
                  </w:r>
                </w:p>
              </w:tc>
              <w:tc>
                <w:tcPr>
                  <w:tcW w:w="1900" w:type="dxa"/>
                  <w:vAlign w:val="center"/>
                </w:tcPr>
                <w:p w14:paraId="3E989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原项目无生产废水产生，生活污水经三级化粪池、隔油隔渣池预处理后，排入园区污水处理厂进行处理</w:t>
                  </w:r>
                </w:p>
              </w:tc>
              <w:tc>
                <w:tcPr>
                  <w:tcW w:w="1772" w:type="dxa"/>
                  <w:vAlign w:val="center"/>
                </w:tcPr>
                <w:p w14:paraId="48196BD8">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项目无生产废水产生，生活污水经三级化粪池、隔油隔渣池预处理后，排入园区污水处理厂进行处理</w:t>
                  </w:r>
                </w:p>
              </w:tc>
              <w:tc>
                <w:tcPr>
                  <w:tcW w:w="836" w:type="dxa"/>
                  <w:vAlign w:val="center"/>
                </w:tcPr>
                <w:p w14:paraId="0C90C84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7C27BDB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A950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413A2CB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10</w:t>
                  </w:r>
                </w:p>
              </w:tc>
              <w:tc>
                <w:tcPr>
                  <w:tcW w:w="2119" w:type="dxa"/>
                  <w:vAlign w:val="center"/>
                </w:tcPr>
                <w:p w14:paraId="31AA460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新增废气主要排放口（废气无组织排放改为有组织排放的除外）；主要排放口排气筒高度降低10%及以上的</w:t>
                  </w:r>
                </w:p>
              </w:tc>
              <w:tc>
                <w:tcPr>
                  <w:tcW w:w="1900" w:type="dxa"/>
                  <w:vAlign w:val="center"/>
                </w:tcPr>
                <w:p w14:paraId="45BC4C0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原项目不涉及废气主要排放口</w:t>
                  </w:r>
                </w:p>
              </w:tc>
              <w:tc>
                <w:tcPr>
                  <w:tcW w:w="1772" w:type="dxa"/>
                  <w:vAlign w:val="center"/>
                </w:tcPr>
                <w:p w14:paraId="662AA45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本项目不涉及废气主要排放口</w:t>
                  </w:r>
                </w:p>
              </w:tc>
              <w:tc>
                <w:tcPr>
                  <w:tcW w:w="836" w:type="dxa"/>
                  <w:vAlign w:val="center"/>
                </w:tcPr>
                <w:p w14:paraId="660CA1B0">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04067EF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285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45F327A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11</w:t>
                  </w:r>
                </w:p>
              </w:tc>
              <w:tc>
                <w:tcPr>
                  <w:tcW w:w="2119" w:type="dxa"/>
                  <w:vAlign w:val="center"/>
                </w:tcPr>
                <w:p w14:paraId="126C838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噪声、土壤或地下水污染防治措施变化，导致不利环境影响加重的</w:t>
                  </w:r>
                </w:p>
              </w:tc>
              <w:tc>
                <w:tcPr>
                  <w:tcW w:w="1900" w:type="dxa"/>
                  <w:vAlign w:val="center"/>
                </w:tcPr>
                <w:p w14:paraId="1236303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原项目对生产设备采取减振、隔声、吸声、消声等治理措施；厂区地面已全部硬化，危废间、物料仓库地面硬化，并刷环氧树脂漆防渗层、设置围堰，正常情况下可有效阻止地下水污染途径</w:t>
                  </w:r>
                </w:p>
              </w:tc>
              <w:tc>
                <w:tcPr>
                  <w:tcW w:w="1772" w:type="dxa"/>
                  <w:vAlign w:val="center"/>
                </w:tcPr>
                <w:p w14:paraId="22BC3E0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项目对生产设备采取减振、隔声、吸声、消声等治理措施；厂区地面已全部硬化，危废间、物料仓库地面硬化，并刷环氧树脂漆防渗层、设置围堰，正常情况下可有效阻止地下水污染途径</w:t>
                  </w:r>
                </w:p>
              </w:tc>
              <w:tc>
                <w:tcPr>
                  <w:tcW w:w="836" w:type="dxa"/>
                  <w:vAlign w:val="center"/>
                </w:tcPr>
                <w:p w14:paraId="4968FEA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4AE12BB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91B5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0B7E88E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12</w:t>
                  </w:r>
                </w:p>
              </w:tc>
              <w:tc>
                <w:tcPr>
                  <w:tcW w:w="2119" w:type="dxa"/>
                  <w:vAlign w:val="center"/>
                </w:tcPr>
                <w:p w14:paraId="0BD0CCD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1900" w:type="dxa"/>
                  <w:vAlign w:val="center"/>
                </w:tcPr>
                <w:p w14:paraId="4C38AAE7">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执行《一般工业固体废物贮存和填埋污染控制标准》（GB18599-2020）控制要求；危险废物贮存过程执行《危险废物贮存污染控制标准》（GB18597-2023）和《危险废物收集贮存运输技术规范》（HJ 2025-2012）。</w:t>
                  </w:r>
                </w:p>
              </w:tc>
              <w:tc>
                <w:tcPr>
                  <w:tcW w:w="1772" w:type="dxa"/>
                  <w:vAlign w:val="center"/>
                </w:tcPr>
                <w:p w14:paraId="334E465C">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vAlign w:val="center"/>
                </w:tcPr>
                <w:p w14:paraId="4134432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54F515A8">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178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BB2B68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13</w:t>
                  </w:r>
                </w:p>
              </w:tc>
              <w:tc>
                <w:tcPr>
                  <w:tcW w:w="2119" w:type="dxa"/>
                  <w:vAlign w:val="center"/>
                </w:tcPr>
                <w:p w14:paraId="776356B2">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事故废水暂存能力或拦截设施变化，导致环境风险防范能力弱化或降低的</w:t>
                  </w:r>
                </w:p>
              </w:tc>
              <w:tc>
                <w:tcPr>
                  <w:tcW w:w="1900" w:type="dxa"/>
                  <w:vAlign w:val="center"/>
                </w:tcPr>
                <w:p w14:paraId="2488F82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原项目无生产废水产生，生活污水经三级化粪池、隔油隔渣池预处理后，排入园区污水处理厂进行处理</w:t>
                  </w:r>
                </w:p>
              </w:tc>
              <w:tc>
                <w:tcPr>
                  <w:tcW w:w="1772" w:type="dxa"/>
                  <w:vAlign w:val="center"/>
                </w:tcPr>
                <w:p w14:paraId="31DFF72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项目无生产废水产生，生活污水经三级化粪池、隔油隔渣池预处理后，排入园区污水处理厂进行处理</w:t>
                  </w:r>
                </w:p>
              </w:tc>
              <w:tc>
                <w:tcPr>
                  <w:tcW w:w="836" w:type="dxa"/>
                  <w:vAlign w:val="center"/>
                </w:tcPr>
                <w:p w14:paraId="5F663C8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6572509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bl>
          <w:p w14:paraId="07A45395">
            <w:pPr>
              <w:pStyle w:val="25"/>
              <w:ind w:firstLine="480" w:firstLineChars="200"/>
              <w:jc w:val="both"/>
              <w:rPr>
                <w:rFonts w:hint="eastAsia" w:cs="Times New Roman"/>
                <w:color w:val="auto"/>
                <w:szCs w:val="24"/>
                <w:highlight w:val="none"/>
                <w:lang w:eastAsia="zh-CN"/>
              </w:rPr>
            </w:pPr>
          </w:p>
          <w:p w14:paraId="7BB54471">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影响评价法》第二十四条：“建设项目的环境影响评价文件经批准后，建设项目的性质、规模、地点、采用的生产工艺或者防治污染、防止生态破坏的措施发生重大变动的，建设单位应当重新报批建设项目的环境影响评价文件。”，为此，</w:t>
            </w:r>
            <w:r>
              <w:rPr>
                <w:rFonts w:hint="eastAsia" w:cs="Times New Roman"/>
                <w:color w:val="auto"/>
                <w:szCs w:val="24"/>
                <w:highlight w:val="none"/>
                <w:lang w:val="en-US" w:eastAsia="zh-CN"/>
              </w:rPr>
              <w:t>建设单位根</w:t>
            </w:r>
            <w:r>
              <w:rPr>
                <w:rFonts w:hint="default" w:ascii="Times New Roman" w:hAnsi="Times New Roman" w:cs="Times New Roman"/>
                <w:color w:val="auto"/>
                <w:szCs w:val="24"/>
                <w:highlight w:val="none"/>
              </w:rPr>
              <w:t>据相关管理部门的建议，重新报批环境影响评价文件。</w:t>
            </w:r>
          </w:p>
          <w:p w14:paraId="1E84C9C5">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本次重新报批环评主要</w:t>
            </w:r>
            <w:r>
              <w:rPr>
                <w:rFonts w:hint="eastAsia" w:cs="Times New Roman"/>
                <w:color w:val="auto"/>
                <w:szCs w:val="24"/>
                <w:highlight w:val="none"/>
                <w:lang w:val="en-US" w:eastAsia="zh-CN"/>
              </w:rPr>
              <w:t>产品方案</w:t>
            </w:r>
            <w:r>
              <w:rPr>
                <w:rFonts w:hint="default" w:ascii="Times New Roman" w:hAnsi="Times New Roman" w:cs="Times New Roman"/>
                <w:color w:val="auto"/>
                <w:szCs w:val="24"/>
                <w:highlight w:val="none"/>
              </w:rPr>
              <w:t>为</w:t>
            </w:r>
            <w:r>
              <w:rPr>
                <w:rFonts w:hint="eastAsia" w:cs="Times New Roman"/>
                <w:color w:val="auto"/>
                <w:highlight w:val="none"/>
                <w:lang w:val="en-US" w:eastAsia="zh-CN"/>
              </w:rPr>
              <w:t>年产碳纤维制品98吨、</w:t>
            </w:r>
            <w:r>
              <w:rPr>
                <w:rFonts w:hint="default" w:ascii="Times New Roman" w:hAnsi="Times New Roman" w:cs="Times New Roman"/>
                <w:color w:val="auto"/>
                <w:highlight w:val="none"/>
                <w:lang w:val="en-US" w:eastAsia="zh-CN"/>
              </w:rPr>
              <w:t>玻璃纤维增强塑料制品</w:t>
            </w:r>
            <w:r>
              <w:rPr>
                <w:rFonts w:hint="eastAsia" w:cs="Times New Roman"/>
                <w:color w:val="auto"/>
                <w:highlight w:val="none"/>
                <w:lang w:val="en-US" w:eastAsia="zh-CN"/>
              </w:rPr>
              <w:t>2520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420吨、生活用品1225吨、塑料配件5.25吨</w:t>
            </w:r>
            <w:r>
              <w:rPr>
                <w:rFonts w:hint="eastAsia"/>
                <w:color w:val="auto"/>
                <w:highlight w:val="none"/>
                <w:lang w:eastAsia="zh-CN"/>
              </w:rPr>
              <w:t>。</w:t>
            </w:r>
          </w:p>
          <w:p w14:paraId="182EE018">
            <w:pPr>
              <w:pStyle w:val="25"/>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rPr>
              <w:t>为此，评价单位在建设单位大力支持下，立即开展了详细的现场调查、资料收集工作，在对本项目的环境现状和可能造成的环境影响进行分析后，依照《建设项目环境影响报告表编制技术指南（污染影响类）（试行）》的要求编制了本项目环境影响报告表。</w:t>
            </w:r>
          </w:p>
          <w:p w14:paraId="0A9A6D8C">
            <w:pPr>
              <w:pStyle w:val="10"/>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5E79F571">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48DF1F8">
            <w:p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cs="Times New Roman"/>
                <w:color w:val="auto"/>
                <w:highlight w:val="none"/>
              </w:rPr>
              <w:t>，建</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1</w:t>
            </w:r>
            <w:r>
              <w:rPr>
                <w:rFonts w:hint="default" w:ascii="Times New Roman" w:hAnsi="Times New Roman" w:cs="Times New Roman"/>
                <w:color w:val="auto"/>
                <w:highlight w:val="none"/>
              </w:rPr>
              <w:t>栋单层</w:t>
            </w:r>
            <w:r>
              <w:rPr>
                <w:rFonts w:hint="default" w:ascii="Times New Roman" w:hAnsi="Times New Roman" w:cs="Times New Roman"/>
                <w:color w:val="auto"/>
                <w:highlight w:val="none"/>
                <w:lang w:val="en-US" w:eastAsia="zh-CN"/>
              </w:rPr>
              <w:t>车间</w:t>
            </w:r>
            <w:r>
              <w:rPr>
                <w:rFonts w:hint="eastAsia" w:cs="Times New Roman"/>
                <w:color w:val="auto"/>
                <w:highlight w:val="none"/>
                <w:lang w:val="en-US" w:eastAsia="zh-CN"/>
              </w:rPr>
              <w:t>、3栋双层车间</w:t>
            </w:r>
            <w:r>
              <w:rPr>
                <w:rFonts w:hint="default" w:ascii="Times New Roman" w:hAnsi="Times New Roman" w:cs="Times New Roman"/>
                <w:color w:val="auto"/>
                <w:highlight w:val="none"/>
              </w:rPr>
              <w:t>及1栋</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层</w:t>
            </w:r>
            <w:r>
              <w:rPr>
                <w:rFonts w:hint="default" w:ascii="Times New Roman" w:hAnsi="Times New Roman" w:cs="Times New Roman"/>
                <w:color w:val="auto"/>
                <w:highlight w:val="none"/>
                <w:lang w:val="en-US" w:eastAsia="zh-CN"/>
              </w:rPr>
              <w:t>综合</w:t>
            </w:r>
            <w:r>
              <w:rPr>
                <w:rFonts w:hint="default" w:ascii="Times New Roman" w:hAnsi="Times New Roman" w:cs="Times New Roman"/>
                <w:color w:val="auto"/>
                <w:highlight w:val="none"/>
              </w:rPr>
              <w:t>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办公用途，二期建设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，本项目总占地面积</w:t>
            </w:r>
            <w:r>
              <w:rPr>
                <w:rFonts w:hint="default" w:ascii="Times New Roman" w:hAnsi="Times New Roman" w:cs="Times New Roman"/>
                <w:color w:val="auto"/>
                <w:kern w:val="24"/>
                <w:highlight w:val="none"/>
                <w:lang w:val="en-US" w:eastAsia="zh-CN"/>
              </w:rPr>
              <w:t>29024.94</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总</w:t>
            </w:r>
            <w:r>
              <w:rPr>
                <w:rFonts w:hint="default" w:ascii="Times New Roman" w:hAnsi="Times New Roman" w:cs="Times New Roman"/>
                <w:color w:val="auto"/>
                <w:highlight w:val="none"/>
              </w:rPr>
              <w:t>建筑物占地面积为</w:t>
            </w:r>
            <w:r>
              <w:rPr>
                <w:rFonts w:hint="eastAsia" w:cs="Times New Roman"/>
                <w:color w:val="auto"/>
                <w:highlight w:val="none"/>
                <w:lang w:val="en-US" w:eastAsia="zh-CN"/>
              </w:rPr>
              <w:t>16549.8</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主要</w:t>
            </w:r>
            <w:r>
              <w:rPr>
                <w:rFonts w:hint="default" w:ascii="Times New Roman" w:hAnsi="Times New Roman" w:cs="Times New Roman"/>
                <w:bCs/>
                <w:color w:val="auto"/>
                <w:kern w:val="0"/>
                <w:szCs w:val="28"/>
                <w:highlight w:val="none"/>
              </w:rPr>
              <w:t>建筑物情况</w:t>
            </w:r>
            <w:r>
              <w:rPr>
                <w:rFonts w:hint="default" w:ascii="Times New Roman" w:hAnsi="Times New Roman" w:cs="Times New Roman"/>
                <w:color w:val="auto"/>
                <w:highlight w:val="none"/>
              </w:rPr>
              <w:t>见表2-</w:t>
            </w:r>
            <w:r>
              <w:rPr>
                <w:rFonts w:hint="eastAsia"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厂区</w:t>
            </w:r>
            <w:r>
              <w:rPr>
                <w:rFonts w:hint="eastAsia" w:cs="Times New Roman"/>
                <w:color w:val="auto"/>
                <w:highlight w:val="none"/>
                <w:lang w:val="en-US" w:eastAsia="zh-CN"/>
              </w:rPr>
              <w:t>平</w:t>
            </w:r>
            <w:r>
              <w:rPr>
                <w:rFonts w:hint="default" w:ascii="Times New Roman" w:hAnsi="Times New Roman" w:cs="Times New Roman"/>
                <w:color w:val="auto"/>
                <w:highlight w:val="none"/>
              </w:rPr>
              <w:t>面布置图见附图</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车间</w:t>
            </w:r>
            <w:r>
              <w:rPr>
                <w:rFonts w:hint="default" w:ascii="Times New Roman" w:hAnsi="Times New Roman" w:cs="Times New Roman"/>
                <w:color w:val="auto"/>
                <w:highlight w:val="none"/>
              </w:rPr>
              <w:t>平面布置图见附图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w:t>
            </w:r>
            <w:r>
              <w:rPr>
                <w:rFonts w:hint="eastAsia" w:cs="Times New Roman"/>
                <w:color w:val="auto"/>
                <w:highlight w:val="none"/>
                <w:lang w:val="en-US" w:eastAsia="zh-CN"/>
              </w:rPr>
              <w:t>3</w:t>
            </w:r>
            <w:r>
              <w:rPr>
                <w:rFonts w:hint="default" w:ascii="Times New Roman" w:hAnsi="Times New Roman" w:cs="Times New Roman"/>
                <w:color w:val="auto"/>
                <w:highlight w:val="none"/>
                <w:lang w:val="zh-CN"/>
              </w:rPr>
              <w:t>。</w:t>
            </w:r>
          </w:p>
          <w:p w14:paraId="2373ABAD">
            <w:pPr>
              <w:pStyle w:val="16"/>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SEQ 表 \* ARABIC \s 1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 xml:space="preserve"> 主要建筑物一览表</w:t>
            </w:r>
          </w:p>
          <w:tbl>
            <w:tblPr>
              <w:tblStyle w:val="46"/>
              <w:tblW w:w="786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3"/>
              <w:gridCol w:w="1446"/>
              <w:gridCol w:w="615"/>
              <w:gridCol w:w="855"/>
              <w:gridCol w:w="1095"/>
              <w:gridCol w:w="1050"/>
              <w:gridCol w:w="2274"/>
            </w:tblGrid>
            <w:tr w14:paraId="46789B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FB74218">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序号</w:t>
                  </w:r>
                </w:p>
              </w:tc>
              <w:tc>
                <w:tcPr>
                  <w:tcW w:w="1446" w:type="dxa"/>
                  <w:vAlign w:val="center"/>
                </w:tcPr>
                <w:p w14:paraId="2EAF5989">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建（构）筑物</w:t>
                  </w:r>
                </w:p>
              </w:tc>
              <w:tc>
                <w:tcPr>
                  <w:tcW w:w="615" w:type="dxa"/>
                  <w:tcBorders>
                    <w:right w:val="single" w:color="auto" w:sz="4" w:space="0"/>
                  </w:tcBorders>
                  <w:vAlign w:val="center"/>
                </w:tcPr>
                <w:p w14:paraId="7CD170BD">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层数</w:t>
                  </w:r>
                </w:p>
              </w:tc>
              <w:tc>
                <w:tcPr>
                  <w:tcW w:w="855" w:type="dxa"/>
                  <w:tcBorders>
                    <w:left w:val="single" w:color="auto" w:sz="4" w:space="0"/>
                  </w:tcBorders>
                  <w:vAlign w:val="center"/>
                </w:tcPr>
                <w:p w14:paraId="62A32648">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层高</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1095" w:type="dxa"/>
                  <w:tcBorders>
                    <w:right w:val="single" w:color="auto" w:sz="4" w:space="0"/>
                  </w:tcBorders>
                  <w:vAlign w:val="center"/>
                </w:tcPr>
                <w:p w14:paraId="209BCBD2">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占地面积</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vertAlign w:val="superscript"/>
                    </w:rPr>
                    <w:t>2</w:t>
                  </w:r>
                  <w:r>
                    <w:rPr>
                      <w:rFonts w:hint="default" w:ascii="Times New Roman" w:hAnsi="Times New Roman" w:cs="Times New Roman"/>
                      <w:b/>
                      <w:bCs/>
                      <w:color w:val="auto"/>
                      <w:sz w:val="21"/>
                      <w:szCs w:val="21"/>
                      <w:highlight w:val="none"/>
                      <w:lang w:eastAsia="zh-CN"/>
                    </w:rPr>
                    <w:t>）</w:t>
                  </w:r>
                </w:p>
              </w:tc>
              <w:tc>
                <w:tcPr>
                  <w:tcW w:w="1050" w:type="dxa"/>
                  <w:tcBorders>
                    <w:right w:val="single" w:color="auto" w:sz="4" w:space="0"/>
                  </w:tcBorders>
                  <w:vAlign w:val="center"/>
                </w:tcPr>
                <w:p w14:paraId="23F949D7">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建筑面积</w:t>
                  </w:r>
                </w:p>
                <w:p w14:paraId="453417CD">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vertAlign w:val="superscript"/>
                    </w:rPr>
                    <w:t>2</w:t>
                  </w:r>
                  <w:r>
                    <w:rPr>
                      <w:rFonts w:hint="default" w:ascii="Times New Roman" w:hAnsi="Times New Roman" w:cs="Times New Roman"/>
                      <w:b/>
                      <w:bCs/>
                      <w:color w:val="auto"/>
                      <w:sz w:val="21"/>
                      <w:szCs w:val="21"/>
                      <w:highlight w:val="none"/>
                      <w:lang w:eastAsia="zh-CN"/>
                    </w:rPr>
                    <w:t>）</w:t>
                  </w:r>
                </w:p>
              </w:tc>
              <w:tc>
                <w:tcPr>
                  <w:tcW w:w="2274" w:type="dxa"/>
                  <w:tcBorders>
                    <w:right w:val="single" w:color="auto" w:sz="4" w:space="0"/>
                  </w:tcBorders>
                  <w:vAlign w:val="center"/>
                </w:tcPr>
                <w:p w14:paraId="0DEBBE70">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46504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65D48DEF">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446" w:type="dxa"/>
                  <w:vAlign w:val="center"/>
                </w:tcPr>
                <w:p w14:paraId="1F3EE523">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车间</w:t>
                  </w:r>
                </w:p>
              </w:tc>
              <w:tc>
                <w:tcPr>
                  <w:tcW w:w="615" w:type="dxa"/>
                  <w:tcBorders>
                    <w:right w:val="single" w:color="auto" w:sz="4" w:space="0"/>
                  </w:tcBorders>
                  <w:vAlign w:val="center"/>
                </w:tcPr>
                <w:p w14:paraId="4C518B4B">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27913F6E">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13.45</w:t>
                  </w:r>
                </w:p>
              </w:tc>
              <w:tc>
                <w:tcPr>
                  <w:tcW w:w="1095" w:type="dxa"/>
                  <w:tcBorders>
                    <w:right w:val="single" w:color="auto" w:sz="4" w:space="0"/>
                  </w:tcBorders>
                  <w:vAlign w:val="center"/>
                </w:tcPr>
                <w:p w14:paraId="6F43B3CB">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3027.2</w:t>
                  </w:r>
                </w:p>
              </w:tc>
              <w:tc>
                <w:tcPr>
                  <w:tcW w:w="1050" w:type="dxa"/>
                  <w:tcBorders>
                    <w:right w:val="single" w:color="auto" w:sz="4" w:space="0"/>
                  </w:tcBorders>
                  <w:vAlign w:val="center"/>
                </w:tcPr>
                <w:p w14:paraId="6459EAF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3425.29</w:t>
                  </w:r>
                </w:p>
              </w:tc>
              <w:tc>
                <w:tcPr>
                  <w:tcW w:w="2274" w:type="dxa"/>
                  <w:tcBorders>
                    <w:right w:val="single" w:color="auto" w:sz="4" w:space="0"/>
                  </w:tcBorders>
                  <w:vAlign w:val="center"/>
                </w:tcPr>
                <w:p w14:paraId="475EE643">
                  <w:pPr>
                    <w:pStyle w:val="60"/>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1B4529F6">
                  <w:pPr>
                    <w:pStyle w:val="60"/>
                    <w:rPr>
                      <w:rFonts w:hint="default" w:ascii="Times New Roman" w:hAnsi="Times New Roman" w:cs="Times New Roman"/>
                      <w:color w:val="auto"/>
                      <w:sz w:val="21"/>
                      <w:szCs w:val="21"/>
                      <w:highlight w:val="none"/>
                      <w:lang w:val="en-US" w:eastAsia="zh-CN"/>
                    </w:rPr>
                  </w:pPr>
                  <w:r>
                    <w:rPr>
                      <w:rFonts w:hint="eastAsia" w:cs="Times New Roman"/>
                      <w:color w:val="auto"/>
                      <w:kern w:val="0"/>
                      <w:position w:val="-10"/>
                      <w:sz w:val="21"/>
                      <w:szCs w:val="21"/>
                      <w:highlight w:val="none"/>
                      <w:lang w:val="en-US" w:eastAsia="zh-CN" w:bidi="ar-SA"/>
                    </w:rPr>
                    <w:t>（包括第二层398.09</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2</w:t>
                  </w:r>
                  <w:r>
                    <w:rPr>
                      <w:rFonts w:hint="eastAsia" w:cs="Times New Roman"/>
                      <w:color w:val="auto"/>
                      <w:kern w:val="0"/>
                      <w:position w:val="-10"/>
                      <w:sz w:val="21"/>
                      <w:szCs w:val="21"/>
                      <w:highlight w:val="none"/>
                      <w:lang w:val="en-US" w:eastAsia="zh-CN" w:bidi="ar-SA"/>
                    </w:rPr>
                    <w:t>）</w:t>
                  </w:r>
                </w:p>
              </w:tc>
            </w:tr>
            <w:tr w14:paraId="2C344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5ECAB5E">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446" w:type="dxa"/>
                  <w:vAlign w:val="center"/>
                </w:tcPr>
                <w:p w14:paraId="3318B275">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2#车间</w:t>
                  </w:r>
                </w:p>
              </w:tc>
              <w:tc>
                <w:tcPr>
                  <w:tcW w:w="615" w:type="dxa"/>
                  <w:tcBorders>
                    <w:right w:val="single" w:color="auto" w:sz="4" w:space="0"/>
                  </w:tcBorders>
                  <w:vAlign w:val="center"/>
                </w:tcPr>
                <w:p w14:paraId="1B0EE14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1层</w:t>
                  </w:r>
                </w:p>
              </w:tc>
              <w:tc>
                <w:tcPr>
                  <w:tcW w:w="855" w:type="dxa"/>
                  <w:tcBorders>
                    <w:left w:val="single" w:color="auto" w:sz="4" w:space="0"/>
                  </w:tcBorders>
                  <w:vAlign w:val="center"/>
                </w:tcPr>
                <w:p w14:paraId="378EEFE4">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vAlign w:val="center"/>
                </w:tcPr>
                <w:p w14:paraId="5EAFE1F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2064</w:t>
                  </w:r>
                </w:p>
              </w:tc>
              <w:tc>
                <w:tcPr>
                  <w:tcW w:w="1050" w:type="dxa"/>
                  <w:tcBorders>
                    <w:right w:val="single" w:color="auto" w:sz="4" w:space="0"/>
                  </w:tcBorders>
                  <w:vAlign w:val="center"/>
                </w:tcPr>
                <w:p w14:paraId="7E6BF5F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2064</w:t>
                  </w:r>
                </w:p>
              </w:tc>
              <w:tc>
                <w:tcPr>
                  <w:tcW w:w="2274" w:type="dxa"/>
                  <w:tcBorders>
                    <w:right w:val="single" w:color="auto" w:sz="4" w:space="0"/>
                  </w:tcBorders>
                  <w:vAlign w:val="center"/>
                </w:tcPr>
                <w:p w14:paraId="25F1D8E9">
                  <w:pPr>
                    <w:snapToGrid w:val="0"/>
                    <w:spacing w:line="240" w:lineRule="auto"/>
                    <w:jc w:val="center"/>
                    <w:rPr>
                      <w:rFonts w:hint="default" w:ascii="Times New Roman" w:hAnsi="Times New Roman" w:cs="Times New Roman"/>
                      <w:color w:val="auto"/>
                      <w:sz w:val="21"/>
                      <w:szCs w:val="21"/>
                      <w:highlight w:val="none"/>
                    </w:rPr>
                  </w:pPr>
                  <w:r>
                    <w:rPr>
                      <w:rFonts w:hint="default"/>
                      <w:color w:val="auto"/>
                      <w:sz w:val="21"/>
                      <w:szCs w:val="21"/>
                      <w:highlight w:val="none"/>
                      <w:lang w:val="en-US" w:eastAsia="zh-CN"/>
                    </w:rPr>
                    <w:t>一期建设</w:t>
                  </w:r>
                </w:p>
              </w:tc>
            </w:tr>
            <w:tr w14:paraId="19F04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4D00DF7A">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446" w:type="dxa"/>
                  <w:vAlign w:val="center"/>
                </w:tcPr>
                <w:p w14:paraId="2920707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车间</w:t>
                  </w:r>
                </w:p>
              </w:tc>
              <w:tc>
                <w:tcPr>
                  <w:tcW w:w="615" w:type="dxa"/>
                  <w:tcBorders>
                    <w:right w:val="single" w:color="auto" w:sz="4" w:space="0"/>
                  </w:tcBorders>
                  <w:vAlign w:val="center"/>
                </w:tcPr>
                <w:p w14:paraId="3D43C27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512F109A">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shd w:val="clear" w:color="auto" w:fill="auto"/>
                  <w:vAlign w:val="center"/>
                </w:tcPr>
                <w:p w14:paraId="71E1F19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5764.4</w:t>
                  </w:r>
                </w:p>
              </w:tc>
              <w:tc>
                <w:tcPr>
                  <w:tcW w:w="1050" w:type="dxa"/>
                  <w:tcBorders>
                    <w:right w:val="single" w:color="auto" w:sz="4" w:space="0"/>
                  </w:tcBorders>
                  <w:shd w:val="clear" w:color="auto" w:fill="auto"/>
                  <w:vAlign w:val="center"/>
                </w:tcPr>
                <w:p w14:paraId="20B2585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6307.69</w:t>
                  </w:r>
                </w:p>
              </w:tc>
              <w:tc>
                <w:tcPr>
                  <w:tcW w:w="2274" w:type="dxa"/>
                  <w:tcBorders>
                    <w:right w:val="single" w:color="auto" w:sz="4" w:space="0"/>
                  </w:tcBorders>
                  <w:shd w:val="clear" w:color="auto" w:fill="auto"/>
                  <w:vAlign w:val="center"/>
                </w:tcPr>
                <w:p w14:paraId="083454BB">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0328B4C9">
                  <w:pP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position w:val="-10"/>
                      <w:sz w:val="21"/>
                      <w:szCs w:val="21"/>
                      <w:highlight w:val="none"/>
                      <w:lang w:val="en-US" w:eastAsia="zh-CN" w:bidi="ar-SA"/>
                    </w:rPr>
                    <w:t>（包括第二层543.29m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3D14E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39BCA8B7">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446" w:type="dxa"/>
                  <w:vAlign w:val="center"/>
                </w:tcPr>
                <w:p w14:paraId="6EA22237">
                  <w:pPr>
                    <w:pStyle w:val="6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车间</w:t>
                  </w:r>
                </w:p>
              </w:tc>
              <w:tc>
                <w:tcPr>
                  <w:tcW w:w="615" w:type="dxa"/>
                  <w:tcBorders>
                    <w:right w:val="single" w:color="auto" w:sz="4" w:space="0"/>
                  </w:tcBorders>
                  <w:vAlign w:val="center"/>
                </w:tcPr>
                <w:p w14:paraId="4072488D">
                  <w:pPr>
                    <w:pStyle w:val="6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62A9E55F">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shd w:val="clear" w:color="auto" w:fill="auto"/>
                  <w:vAlign w:val="center"/>
                </w:tcPr>
                <w:p w14:paraId="291C923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5043.2</w:t>
                  </w:r>
                </w:p>
              </w:tc>
              <w:tc>
                <w:tcPr>
                  <w:tcW w:w="1050" w:type="dxa"/>
                  <w:tcBorders>
                    <w:right w:val="single" w:color="auto" w:sz="4" w:space="0"/>
                  </w:tcBorders>
                  <w:shd w:val="clear" w:color="auto" w:fill="auto"/>
                  <w:vAlign w:val="center"/>
                </w:tcPr>
                <w:p w14:paraId="34CD656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5441.29</w:t>
                  </w:r>
                </w:p>
              </w:tc>
              <w:tc>
                <w:tcPr>
                  <w:tcW w:w="2274" w:type="dxa"/>
                  <w:tcBorders>
                    <w:right w:val="single" w:color="auto" w:sz="4" w:space="0"/>
                  </w:tcBorders>
                  <w:shd w:val="clear" w:color="auto" w:fill="auto"/>
                  <w:vAlign w:val="center"/>
                </w:tcPr>
                <w:p w14:paraId="328D4AAA">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25669E6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position w:val="-10"/>
                      <w:sz w:val="21"/>
                      <w:szCs w:val="21"/>
                      <w:highlight w:val="none"/>
                      <w:lang w:val="en-US" w:eastAsia="zh-CN" w:bidi="ar-SA"/>
                    </w:rPr>
                    <w:t>（包括第二层398.09m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7DEA0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4AC1618">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446" w:type="dxa"/>
                  <w:vAlign w:val="center"/>
                </w:tcPr>
                <w:p w14:paraId="27B67BF1">
                  <w:pPr>
                    <w:pStyle w:val="6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综合楼</w:t>
                  </w:r>
                </w:p>
              </w:tc>
              <w:tc>
                <w:tcPr>
                  <w:tcW w:w="615" w:type="dxa"/>
                  <w:tcBorders>
                    <w:right w:val="single" w:color="auto" w:sz="4" w:space="0"/>
                  </w:tcBorders>
                  <w:vAlign w:val="center"/>
                </w:tcPr>
                <w:p w14:paraId="5B9C03ED">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60FA3033">
                  <w:pPr>
                    <w:pStyle w:val="6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13.20</w:t>
                  </w:r>
                </w:p>
              </w:tc>
              <w:tc>
                <w:tcPr>
                  <w:tcW w:w="1095" w:type="dxa"/>
                  <w:tcBorders>
                    <w:right w:val="single" w:color="auto" w:sz="4" w:space="0"/>
                  </w:tcBorders>
                  <w:vAlign w:val="center"/>
                </w:tcPr>
                <w:p w14:paraId="28C3721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eastAsia" w:cs="Times New Roman"/>
                      <w:color w:val="auto"/>
                      <w:sz w:val="21"/>
                      <w:szCs w:val="21"/>
                      <w:highlight w:val="none"/>
                      <w:lang w:val="en-US" w:eastAsia="zh-CN"/>
                    </w:rPr>
                    <w:t>51</w:t>
                  </w:r>
                </w:p>
              </w:tc>
              <w:tc>
                <w:tcPr>
                  <w:tcW w:w="1050" w:type="dxa"/>
                  <w:tcBorders>
                    <w:right w:val="single" w:color="auto" w:sz="4" w:space="0"/>
                  </w:tcBorders>
                  <w:vAlign w:val="center"/>
                </w:tcPr>
                <w:p w14:paraId="103F71F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1802.39</w:t>
                  </w:r>
                </w:p>
              </w:tc>
              <w:tc>
                <w:tcPr>
                  <w:tcW w:w="2274" w:type="dxa"/>
                  <w:tcBorders>
                    <w:right w:val="single" w:color="auto" w:sz="4" w:space="0"/>
                  </w:tcBorders>
                  <w:vAlign w:val="center"/>
                </w:tcPr>
                <w:p w14:paraId="4D84EB88">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eastAsia" w:cs="Times New Roman"/>
                      <w:color w:val="auto"/>
                      <w:kern w:val="0"/>
                      <w:position w:val="-10"/>
                      <w:sz w:val="21"/>
                      <w:szCs w:val="21"/>
                      <w:highlight w:val="none"/>
                      <w:lang w:val="en-US" w:eastAsia="zh-CN" w:bidi="ar-SA"/>
                    </w:rPr>
                    <w:t>二</w:t>
                  </w:r>
                  <w:r>
                    <w:rPr>
                      <w:rFonts w:hint="default" w:ascii="Times New Roman" w:hAnsi="Times New Roman" w:cs="Times New Roman"/>
                      <w:color w:val="auto"/>
                      <w:kern w:val="0"/>
                      <w:position w:val="-10"/>
                      <w:sz w:val="21"/>
                      <w:szCs w:val="21"/>
                      <w:highlight w:val="none"/>
                      <w:lang w:val="en-US" w:eastAsia="zh-CN" w:bidi="ar-SA"/>
                    </w:rPr>
                    <w:t>期</w:t>
                  </w:r>
                  <w:r>
                    <w:rPr>
                      <w:rFonts w:hint="default" w:ascii="Times New Roman" w:hAnsi="Times New Roman" w:eastAsia="宋体" w:cs="Times New Roman"/>
                      <w:color w:val="auto"/>
                      <w:kern w:val="0"/>
                      <w:position w:val="-10"/>
                      <w:sz w:val="21"/>
                      <w:szCs w:val="21"/>
                      <w:highlight w:val="none"/>
                      <w:lang w:val="en-US" w:eastAsia="zh-CN" w:bidi="ar-SA"/>
                    </w:rPr>
                    <w:t>建设</w:t>
                  </w:r>
                </w:p>
                <w:p w14:paraId="24063BE2">
                  <w:pPr>
                    <w:spacing w:line="240" w:lineRule="auto"/>
                    <w:jc w:val="center"/>
                    <w:rPr>
                      <w:rFonts w:hint="default"/>
                      <w:color w:val="auto"/>
                      <w:sz w:val="21"/>
                      <w:szCs w:val="21"/>
                      <w:highlight w:val="none"/>
                    </w:rPr>
                  </w:pPr>
                  <w:r>
                    <w:rPr>
                      <w:rFonts w:hint="eastAsia" w:cs="Times New Roman"/>
                      <w:color w:val="auto"/>
                      <w:kern w:val="0"/>
                      <w:position w:val="-10"/>
                      <w:sz w:val="21"/>
                      <w:szCs w:val="21"/>
                      <w:highlight w:val="none"/>
                      <w:lang w:val="en-US" w:eastAsia="zh-CN" w:bidi="ar-SA"/>
                    </w:rPr>
                    <w:t>（包括第二层492.8m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vertAlign w:val="baseline"/>
                      <w:lang w:val="en-US" w:eastAsia="zh-CN" w:bidi="ar-SA"/>
                    </w:rPr>
                    <w:t>，</w:t>
                  </w:r>
                  <w:r>
                    <w:rPr>
                      <w:rFonts w:hint="eastAsia" w:cs="Times New Roman"/>
                      <w:color w:val="auto"/>
                      <w:kern w:val="0"/>
                      <w:position w:val="-10"/>
                      <w:sz w:val="21"/>
                      <w:szCs w:val="21"/>
                      <w:highlight w:val="none"/>
                      <w:lang w:val="en-US" w:eastAsia="zh-CN" w:bidi="ar-SA"/>
                    </w:rPr>
                    <w:t>第三层608m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430F5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79" w:type="dxa"/>
                  <w:gridSpan w:val="2"/>
                  <w:vAlign w:val="center"/>
                </w:tcPr>
                <w:p w14:paraId="78525907">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615" w:type="dxa"/>
                  <w:tcBorders>
                    <w:right w:val="single" w:color="auto" w:sz="4" w:space="0"/>
                  </w:tcBorders>
                  <w:vAlign w:val="center"/>
                </w:tcPr>
                <w:p w14:paraId="13B8B52D">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55" w:type="dxa"/>
                  <w:tcBorders>
                    <w:left w:val="single" w:color="auto" w:sz="4" w:space="0"/>
                  </w:tcBorders>
                  <w:vAlign w:val="center"/>
                </w:tcPr>
                <w:p w14:paraId="559936A1">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095" w:type="dxa"/>
                  <w:tcBorders>
                    <w:right w:val="single" w:color="auto" w:sz="4" w:space="0"/>
                  </w:tcBorders>
                  <w:vAlign w:val="center"/>
                </w:tcPr>
                <w:p w14:paraId="50156E2D">
                  <w:pPr>
                    <w:pStyle w:val="6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16549.8</w:t>
                  </w:r>
                </w:p>
              </w:tc>
              <w:tc>
                <w:tcPr>
                  <w:tcW w:w="1050" w:type="dxa"/>
                  <w:tcBorders>
                    <w:right w:val="single" w:color="auto" w:sz="4" w:space="0"/>
                  </w:tcBorders>
                  <w:vAlign w:val="center"/>
                </w:tcPr>
                <w:p w14:paraId="004A2EB3">
                  <w:pPr>
                    <w:pStyle w:val="6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19040.66</w:t>
                  </w:r>
                </w:p>
              </w:tc>
              <w:tc>
                <w:tcPr>
                  <w:tcW w:w="2274" w:type="dxa"/>
                  <w:tcBorders>
                    <w:right w:val="single" w:color="auto" w:sz="4" w:space="0"/>
                  </w:tcBorders>
                  <w:vAlign w:val="center"/>
                </w:tcPr>
                <w:p w14:paraId="1AC4A6AE">
                  <w:pPr>
                    <w:pStyle w:val="6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4475F246">
            <w:pPr>
              <w:spacing w:line="240" w:lineRule="auto"/>
              <w:jc w:val="center"/>
              <w:rPr>
                <w:rFonts w:hint="default" w:ascii="Times New Roman" w:hAnsi="Times New Roman" w:cs="Times New Roman"/>
                <w:b/>
                <w:bCs/>
                <w:color w:val="auto"/>
                <w:sz w:val="21"/>
                <w:szCs w:val="21"/>
                <w:highlight w:val="none"/>
              </w:rPr>
            </w:pPr>
          </w:p>
          <w:p w14:paraId="2E0C6C57">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3</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工程组成一览表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1508"/>
              <w:gridCol w:w="5215"/>
            </w:tblGrid>
            <w:tr w14:paraId="639ED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4A1583D1">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项目类别</w:t>
                  </w:r>
                </w:p>
              </w:tc>
              <w:tc>
                <w:tcPr>
                  <w:tcW w:w="961" w:type="pct"/>
                  <w:vAlign w:val="center"/>
                </w:tcPr>
                <w:p w14:paraId="23E53FC2">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建设内容</w:t>
                  </w:r>
                </w:p>
              </w:tc>
              <w:tc>
                <w:tcPr>
                  <w:tcW w:w="3322" w:type="pct"/>
                  <w:vAlign w:val="center"/>
                </w:tcPr>
                <w:p w14:paraId="09674772">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位置、用途、占地面积</w:t>
                  </w:r>
                </w:p>
              </w:tc>
            </w:tr>
            <w:tr w14:paraId="437D9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63895278">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961" w:type="pct"/>
                  <w:vAlign w:val="center"/>
                </w:tcPr>
                <w:p w14:paraId="1002B810">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1#车间</w:t>
                  </w:r>
                </w:p>
              </w:tc>
              <w:tc>
                <w:tcPr>
                  <w:tcW w:w="3322" w:type="pct"/>
                  <w:vAlign w:val="center"/>
                </w:tcPr>
                <w:p w14:paraId="4AF050A6">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双</w:t>
                  </w:r>
                  <w:r>
                    <w:rPr>
                      <w:rFonts w:hint="default" w:ascii="Times New Roman" w:hAnsi="Times New Roman" w:cs="Times New Roman"/>
                      <w:color w:val="auto"/>
                      <w:sz w:val="21"/>
                      <w:szCs w:val="21"/>
                      <w:highlight w:val="none"/>
                      <w:lang w:eastAsia="zh-CN"/>
                    </w:rPr>
                    <w:t>层全钢结构，占地面积</w:t>
                  </w:r>
                  <w:r>
                    <w:rPr>
                      <w:rFonts w:hint="eastAsia" w:cs="Times New Roman"/>
                      <w:color w:val="auto"/>
                      <w:sz w:val="21"/>
                      <w:szCs w:val="21"/>
                      <w:highlight w:val="none"/>
                      <w:lang w:val="en-US" w:eastAsia="zh-CN"/>
                    </w:rPr>
                    <w:t>3027.2</w:t>
                  </w:r>
                  <w:r>
                    <w:rPr>
                      <w:rFonts w:hint="default" w:ascii="Times New Roman" w:hAnsi="Times New Roman" w:cs="Times New Roman"/>
                      <w:color w:val="auto"/>
                      <w:sz w:val="21"/>
                      <w:szCs w:val="21"/>
                      <w:highlight w:val="none"/>
                      <w:lang w:val="en-US" w:eastAsia="zh-CN"/>
                    </w:rPr>
                    <w:t>平方米，设有</w:t>
                  </w:r>
                  <w:r>
                    <w:rPr>
                      <w:rFonts w:hint="eastAsia" w:cs="Times New Roman"/>
                      <w:color w:val="auto"/>
                      <w:sz w:val="21"/>
                      <w:szCs w:val="21"/>
                      <w:highlight w:val="none"/>
                      <w:lang w:val="en-US" w:eastAsia="zh-CN"/>
                    </w:rPr>
                    <w:t>碳纤维制品生产线、喷漆房（含抽漆）</w:t>
                  </w:r>
                </w:p>
              </w:tc>
            </w:tr>
            <w:tr w14:paraId="6BAEC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pct"/>
                  <w:vMerge w:val="continue"/>
                  <w:vAlign w:val="center"/>
                </w:tcPr>
                <w:p w14:paraId="4B256A9F">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77B5B64D">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2#车间</w:t>
                  </w:r>
                </w:p>
              </w:tc>
              <w:tc>
                <w:tcPr>
                  <w:tcW w:w="3322" w:type="pct"/>
                  <w:vAlign w:val="center"/>
                </w:tcPr>
                <w:p w14:paraId="21283048">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单层全钢结构，占地面积</w:t>
                  </w:r>
                  <w:r>
                    <w:rPr>
                      <w:rFonts w:hint="default" w:ascii="Times New Roman" w:hAnsi="Times New Roman" w:cs="Times New Roman"/>
                      <w:color w:val="auto"/>
                      <w:sz w:val="21"/>
                      <w:szCs w:val="21"/>
                      <w:highlight w:val="none"/>
                      <w:lang w:val="en-US" w:eastAsia="zh-CN"/>
                    </w:rPr>
                    <w:t>2064平方米，设有玻纤布生产线及组装线。</w:t>
                  </w:r>
                </w:p>
              </w:tc>
            </w:tr>
            <w:tr w14:paraId="5C937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156F9435">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0DDB8772">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车间</w:t>
                  </w:r>
                </w:p>
              </w:tc>
              <w:tc>
                <w:tcPr>
                  <w:tcW w:w="3322" w:type="pct"/>
                  <w:vAlign w:val="center"/>
                </w:tcPr>
                <w:p w14:paraId="1117A387">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占地面积651平方米，</w:t>
                  </w:r>
                  <w:r>
                    <w:rPr>
                      <w:rFonts w:hint="default" w:ascii="Times New Roman" w:hAnsi="Times New Roman" w:cs="Times New Roman"/>
                      <w:color w:val="auto"/>
                      <w:sz w:val="21"/>
                      <w:szCs w:val="21"/>
                      <w:highlight w:val="none"/>
                      <w:lang w:val="en-US" w:eastAsia="zh-CN"/>
                    </w:rPr>
                    <w:t>本次暂不规划生产内容</w:t>
                  </w:r>
                </w:p>
              </w:tc>
            </w:tr>
            <w:tr w14:paraId="391B2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25139976">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44A941C8">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车间</w:t>
                  </w:r>
                </w:p>
              </w:tc>
              <w:tc>
                <w:tcPr>
                  <w:tcW w:w="3322" w:type="pct"/>
                  <w:vAlign w:val="center"/>
                </w:tcPr>
                <w:p w14:paraId="7D161F98">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双</w:t>
                  </w:r>
                  <w:r>
                    <w:rPr>
                      <w:rFonts w:hint="default" w:ascii="Times New Roman" w:hAnsi="Times New Roman" w:cs="Times New Roman"/>
                      <w:color w:val="auto"/>
                      <w:sz w:val="21"/>
                      <w:szCs w:val="21"/>
                      <w:highlight w:val="none"/>
                      <w:lang w:eastAsia="zh-CN"/>
                    </w:rPr>
                    <w:t>层全钢结构，</w:t>
                  </w:r>
                  <w:r>
                    <w:rPr>
                      <w:rFonts w:hint="eastAsia" w:cs="Times New Roman"/>
                      <w:color w:val="auto"/>
                      <w:sz w:val="21"/>
                      <w:szCs w:val="21"/>
                      <w:highlight w:val="none"/>
                      <w:lang w:val="en-US" w:eastAsia="zh-CN"/>
                    </w:rPr>
                    <w:t>占地面积5764.4平方米,</w:t>
                  </w:r>
                  <w:r>
                    <w:rPr>
                      <w:rFonts w:hint="default" w:ascii="Times New Roman" w:hAnsi="Times New Roman" w:cs="Times New Roman"/>
                      <w:color w:val="auto"/>
                      <w:sz w:val="21"/>
                      <w:szCs w:val="21"/>
                      <w:highlight w:val="none"/>
                      <w:lang w:val="en-US" w:eastAsia="zh-CN"/>
                    </w:rPr>
                    <w:t>设有玻璃纤维增强塑料制品生产线</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注塑配件生产线</w:t>
                  </w:r>
                  <w:r>
                    <w:rPr>
                      <w:rFonts w:hint="eastAsia" w:cs="Times New Roman"/>
                      <w:color w:val="auto"/>
                      <w:sz w:val="21"/>
                      <w:szCs w:val="21"/>
                      <w:highlight w:val="none"/>
                      <w:lang w:val="en-US" w:eastAsia="zh-CN"/>
                    </w:rPr>
                    <w:t>、调胶间</w:t>
                  </w:r>
                </w:p>
              </w:tc>
            </w:tr>
            <w:tr w14:paraId="30C5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7C19B824">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961" w:type="pct"/>
                  <w:vAlign w:val="center"/>
                </w:tcPr>
                <w:p w14:paraId="05DDF716">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综合</w:t>
                  </w:r>
                  <w:r>
                    <w:rPr>
                      <w:rFonts w:hint="default" w:ascii="Times New Roman" w:hAnsi="Times New Roman" w:cs="Times New Roman"/>
                      <w:color w:val="auto"/>
                      <w:sz w:val="21"/>
                      <w:szCs w:val="21"/>
                      <w:highlight w:val="none"/>
                    </w:rPr>
                    <w:t>楼</w:t>
                  </w:r>
                </w:p>
              </w:tc>
              <w:tc>
                <w:tcPr>
                  <w:tcW w:w="3322" w:type="pct"/>
                  <w:vAlign w:val="center"/>
                </w:tcPr>
                <w:p w14:paraId="648F852D">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占地面积651平方米，</w:t>
                  </w:r>
                  <w:r>
                    <w:rPr>
                      <w:rFonts w:hint="default" w:ascii="Times New Roman" w:hAnsi="Times New Roman" w:cs="Times New Roman"/>
                      <w:color w:val="auto"/>
                      <w:sz w:val="21"/>
                      <w:szCs w:val="21"/>
                      <w:highlight w:val="none"/>
                      <w:lang w:val="en-US" w:eastAsia="zh-CN"/>
                    </w:rPr>
                    <w:t>建筑</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为1802.39</w:t>
                  </w:r>
                  <w:r>
                    <w:rPr>
                      <w:rFonts w:hint="default" w:ascii="Times New Roman" w:hAnsi="Times New Roman" w:cs="Times New Roman"/>
                      <w:color w:val="auto"/>
                      <w:sz w:val="21"/>
                      <w:szCs w:val="21"/>
                      <w:highlight w:val="none"/>
                    </w:rPr>
                    <w:t>平方米</w:t>
                  </w:r>
                  <w:r>
                    <w:rPr>
                      <w:rFonts w:hint="default" w:ascii="Times New Roman" w:hAnsi="Times New Roman" w:cs="Times New Roman"/>
                      <w:color w:val="auto"/>
                      <w:sz w:val="21"/>
                      <w:szCs w:val="21"/>
                      <w:highlight w:val="none"/>
                      <w:lang w:eastAsia="zh-CN"/>
                    </w:rPr>
                    <w:t>，用于</w:t>
                  </w:r>
                  <w:r>
                    <w:rPr>
                      <w:rFonts w:hint="default" w:ascii="Times New Roman" w:hAnsi="Times New Roman" w:cs="Times New Roman"/>
                      <w:color w:val="auto"/>
                      <w:sz w:val="21"/>
                      <w:szCs w:val="21"/>
                      <w:highlight w:val="none"/>
                      <w:lang w:val="en-US" w:eastAsia="zh-CN"/>
                    </w:rPr>
                    <w:t>办公用途，</w:t>
                  </w:r>
                  <w:r>
                    <w:rPr>
                      <w:rFonts w:hint="default" w:ascii="Times New Roman" w:hAnsi="Times New Roman" w:cs="Times New Roman"/>
                      <w:color w:val="auto"/>
                      <w:sz w:val="21"/>
                      <w:szCs w:val="21"/>
                      <w:highlight w:val="none"/>
                      <w:lang w:eastAsia="zh-CN"/>
                    </w:rPr>
                    <w:t>内部</w:t>
                  </w:r>
                  <w:r>
                    <w:rPr>
                      <w:rFonts w:hint="default" w:ascii="Times New Roman" w:hAnsi="Times New Roman" w:cs="Times New Roman"/>
                      <w:color w:val="auto"/>
                      <w:sz w:val="21"/>
                      <w:szCs w:val="21"/>
                      <w:highlight w:val="none"/>
                    </w:rPr>
                    <w:t>不设食堂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宿舍</w:t>
                  </w:r>
                </w:p>
              </w:tc>
            </w:tr>
            <w:tr w14:paraId="61717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56C38DE3">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961" w:type="pct"/>
                  <w:vAlign w:val="center"/>
                </w:tcPr>
                <w:p w14:paraId="70C38E47">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原</w:t>
                  </w:r>
                  <w:r>
                    <w:rPr>
                      <w:rFonts w:hint="default" w:ascii="Times New Roman" w:hAnsi="Times New Roman" w:cs="Times New Roman"/>
                      <w:color w:val="auto"/>
                      <w:sz w:val="21"/>
                      <w:szCs w:val="21"/>
                      <w:highlight w:val="none"/>
                    </w:rPr>
                    <w:t>料仓库</w:t>
                  </w:r>
                </w:p>
              </w:tc>
              <w:tc>
                <w:tcPr>
                  <w:tcW w:w="3322" w:type="pct"/>
                  <w:vAlign w:val="center"/>
                </w:tcPr>
                <w:p w14:paraId="6B9E9605">
                  <w:pPr>
                    <w:adjustRightInd w:val="0"/>
                    <w:spacing w:line="240" w:lineRule="auto"/>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位于</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车间</w:t>
                  </w:r>
                  <w:r>
                    <w:rPr>
                      <w:rFonts w:hint="default" w:ascii="Times New Roman" w:hAnsi="Times New Roman" w:cs="Times New Roman"/>
                      <w:color w:val="auto"/>
                      <w:sz w:val="21"/>
                      <w:szCs w:val="21"/>
                      <w:highlight w:val="none"/>
                    </w:rPr>
                    <w:t>，占地面积</w:t>
                  </w:r>
                  <w:r>
                    <w:rPr>
                      <w:rFonts w:hint="eastAsia" w:cs="Times New Roman"/>
                      <w:color w:val="auto"/>
                      <w:sz w:val="21"/>
                      <w:szCs w:val="21"/>
                      <w:highlight w:val="none"/>
                      <w:lang w:val="en-US" w:eastAsia="zh-CN"/>
                    </w:rPr>
                    <w:t>约350</w:t>
                  </w:r>
                  <w:r>
                    <w:rPr>
                      <w:rFonts w:hint="default" w:ascii="Times New Roman" w:hAnsi="Times New Roman" w:cs="Times New Roman"/>
                      <w:color w:val="auto"/>
                      <w:sz w:val="21"/>
                      <w:szCs w:val="21"/>
                      <w:highlight w:val="none"/>
                    </w:rPr>
                    <w:t>平方米。用于储存加工物料、产品</w:t>
                  </w:r>
                </w:p>
              </w:tc>
            </w:tr>
            <w:tr w14:paraId="46C77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0F2CF79C">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961" w:type="pct"/>
                  <w:vAlign w:val="center"/>
                </w:tcPr>
                <w:p w14:paraId="10CED604">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供水系统</w:t>
                  </w:r>
                </w:p>
              </w:tc>
              <w:tc>
                <w:tcPr>
                  <w:tcW w:w="3322" w:type="pct"/>
                  <w:vAlign w:val="center"/>
                </w:tcPr>
                <w:p w14:paraId="0355C03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由当地自来水管网供给</w:t>
                  </w:r>
                </w:p>
              </w:tc>
            </w:tr>
            <w:tr w14:paraId="13EEF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732AF4A7">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147655BC">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排水系统</w:t>
                  </w:r>
                </w:p>
              </w:tc>
              <w:tc>
                <w:tcPr>
                  <w:tcW w:w="3322" w:type="pct"/>
                  <w:vAlign w:val="center"/>
                </w:tcPr>
                <w:p w14:paraId="35A6EC3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雨水：雨水经厂区雨水管网收集后，排入</w:t>
                  </w:r>
                  <w:r>
                    <w:rPr>
                      <w:rFonts w:hint="eastAsia"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雨水管网；</w:t>
                  </w:r>
                </w:p>
                <w:p w14:paraId="4865425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生活污水：本项目生活污水，经三级化粪池预处理后，排入园区污水处理厂进一步处理，达标后排放至武江</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生产废水：本项目无生产废水外排</w:t>
                  </w:r>
                </w:p>
              </w:tc>
            </w:tr>
            <w:tr w14:paraId="5B3F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70C8E28A">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751C21E7">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供电系统</w:t>
                  </w:r>
                </w:p>
              </w:tc>
              <w:tc>
                <w:tcPr>
                  <w:tcW w:w="3322" w:type="pct"/>
                  <w:vAlign w:val="center"/>
                </w:tcPr>
                <w:p w14:paraId="51485C6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由市政电网供给，不设备用发电机</w:t>
                  </w:r>
                </w:p>
              </w:tc>
            </w:tr>
            <w:tr w14:paraId="5E027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16AA53CD">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961" w:type="pct"/>
                  <w:vAlign w:val="center"/>
                </w:tcPr>
                <w:p w14:paraId="46C9B242">
                  <w:pPr>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废气</w:t>
                  </w:r>
                  <w:r>
                    <w:rPr>
                      <w:rFonts w:hint="default" w:ascii="Times New Roman" w:hAnsi="Times New Roman" w:cs="Times New Roman"/>
                      <w:color w:val="auto"/>
                      <w:sz w:val="21"/>
                      <w:szCs w:val="21"/>
                      <w:highlight w:val="none"/>
                      <w:lang w:eastAsia="zh-CN"/>
                    </w:rPr>
                    <w:t>处理设施</w:t>
                  </w:r>
                </w:p>
              </w:tc>
              <w:tc>
                <w:tcPr>
                  <w:tcW w:w="3322" w:type="pct"/>
                  <w:vAlign w:val="center"/>
                </w:tcPr>
                <w:p w14:paraId="5938D45F">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1#厂房、4#厂房各设1套废气处理系统（共2套），有机</w:t>
                  </w:r>
                  <w:r>
                    <w:rPr>
                      <w:rFonts w:hint="default" w:ascii="Times New Roman" w:hAnsi="Times New Roman" w:eastAsia="宋体" w:cs="Times New Roman"/>
                      <w:color w:val="auto"/>
                      <w:sz w:val="21"/>
                      <w:szCs w:val="21"/>
                      <w:highlight w:val="none"/>
                      <w:lang w:val="en-US" w:eastAsia="zh-CN"/>
                    </w:rPr>
                    <w:t>废气经集气罩收集后</w:t>
                  </w:r>
                  <w:r>
                    <w:rPr>
                      <w:rFonts w:hint="eastAsia" w:cs="Times New Roman"/>
                      <w:color w:val="auto"/>
                      <w:sz w:val="21"/>
                      <w:szCs w:val="21"/>
                      <w:highlight w:val="none"/>
                      <w:lang w:val="en-US" w:eastAsia="zh-CN"/>
                    </w:rPr>
                    <w:t>分别</w:t>
                  </w:r>
                  <w:r>
                    <w:rPr>
                      <w:rFonts w:hint="default" w:ascii="Times New Roman" w:hAnsi="Times New Roman" w:eastAsia="宋体" w:cs="Times New Roman"/>
                      <w:color w:val="auto"/>
                      <w:sz w:val="21"/>
                      <w:szCs w:val="21"/>
                      <w:highlight w:val="none"/>
                      <w:lang w:val="en-US" w:eastAsia="zh-CN"/>
                    </w:rPr>
                    <w:t>送至</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干式过滤器+二级活性炭吸附装置”处理，达标后</w:t>
                  </w:r>
                  <w:r>
                    <w:rPr>
                      <w:rFonts w:hint="eastAsia" w:cs="Times New Roman"/>
                      <w:color w:val="auto"/>
                      <w:sz w:val="21"/>
                      <w:szCs w:val="21"/>
                      <w:highlight w:val="none"/>
                      <w:lang w:val="en-US" w:eastAsia="zh-CN"/>
                    </w:rPr>
                    <w:t>分别</w:t>
                  </w:r>
                  <w:r>
                    <w:rPr>
                      <w:rFonts w:hint="default" w:ascii="Times New Roman" w:hAnsi="Times New Roman" w:cs="Times New Roman"/>
                      <w:color w:val="auto"/>
                      <w:sz w:val="21"/>
                      <w:szCs w:val="21"/>
                      <w:highlight w:val="none"/>
                      <w:lang w:val="en-US" w:eastAsia="zh-CN"/>
                    </w:rPr>
                    <w:t>通过</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根</w:t>
                  </w:r>
                  <w:r>
                    <w:rPr>
                      <w:rFonts w:hint="default" w:ascii="Times New Roman" w:hAnsi="Times New Roman" w:cs="Times New Roman"/>
                      <w:color w:val="auto"/>
                      <w:sz w:val="21"/>
                      <w:szCs w:val="21"/>
                      <w:highlight w:val="none"/>
                    </w:rPr>
                    <w:t>15m排气筒</w:t>
                  </w:r>
                  <w:r>
                    <w:rPr>
                      <w:rFonts w:hint="eastAsia" w:cs="Times New Roman"/>
                      <w:color w:val="auto"/>
                      <w:sz w:val="21"/>
                      <w:szCs w:val="21"/>
                      <w:highlight w:val="none"/>
                      <w:lang w:eastAsia="zh-CN"/>
                    </w:rPr>
                    <w:t>DA001、DA002</w:t>
                  </w:r>
                  <w:r>
                    <w:rPr>
                      <w:rFonts w:hint="default" w:ascii="Times New Roman" w:hAnsi="Times New Roman" w:cs="Times New Roman"/>
                      <w:color w:val="auto"/>
                      <w:sz w:val="21"/>
                      <w:szCs w:val="21"/>
                      <w:highlight w:val="none"/>
                    </w:rPr>
                    <w:t>高空排放</w:t>
                  </w:r>
                </w:p>
              </w:tc>
            </w:tr>
            <w:tr w14:paraId="6F97E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4AD66CD3">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5BEF3B8C">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废水处理设施</w:t>
                  </w:r>
                </w:p>
              </w:tc>
              <w:tc>
                <w:tcPr>
                  <w:tcW w:w="3322" w:type="pct"/>
                  <w:vAlign w:val="center"/>
                </w:tcPr>
                <w:p w14:paraId="23AA6D49">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生活污水采取“三级化粪池”预处理后，</w:t>
                  </w:r>
                  <w:r>
                    <w:rPr>
                      <w:rFonts w:hint="default" w:ascii="Times New Roman" w:hAnsi="Times New Roman" w:cs="Times New Roman"/>
                      <w:color w:val="auto"/>
                      <w:sz w:val="21"/>
                      <w:szCs w:val="21"/>
                      <w:highlight w:val="none"/>
                      <w:lang w:eastAsia="zh-CN"/>
                    </w:rPr>
                    <w:t>一同</w:t>
                  </w:r>
                  <w:r>
                    <w:rPr>
                      <w:rFonts w:hint="default" w:ascii="Times New Roman" w:hAnsi="Times New Roman" w:cs="Times New Roman"/>
                      <w:color w:val="auto"/>
                      <w:sz w:val="21"/>
                      <w:szCs w:val="21"/>
                      <w:highlight w:val="none"/>
                    </w:rPr>
                    <w:t>排入园区污水处理厂进一步处理，达标后排放至武江</w:t>
                  </w:r>
                </w:p>
              </w:tc>
            </w:tr>
            <w:tr w14:paraId="6AC72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34AE93A2">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32334D63">
                  <w:pPr>
                    <w:adjustRightInd w:val="0"/>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噪声防治措施</w:t>
                  </w:r>
                </w:p>
              </w:tc>
              <w:tc>
                <w:tcPr>
                  <w:tcW w:w="3322" w:type="pct"/>
                  <w:vAlign w:val="center"/>
                </w:tcPr>
                <w:p w14:paraId="5D9EB428">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减振、隔声</w:t>
                  </w:r>
                </w:p>
              </w:tc>
            </w:tr>
            <w:tr w14:paraId="21357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52462AFA">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5DEDB070">
                  <w:pPr>
                    <w:adjustRightIn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固废</w:t>
                  </w:r>
                  <w:r>
                    <w:rPr>
                      <w:rFonts w:hint="default" w:ascii="Times New Roman" w:hAnsi="Times New Roman" w:cs="Times New Roman"/>
                      <w:color w:val="auto"/>
                      <w:sz w:val="21"/>
                      <w:szCs w:val="21"/>
                      <w:highlight w:val="none"/>
                      <w:lang w:eastAsia="zh-CN"/>
                    </w:rPr>
                    <w:t>污染防治措施</w:t>
                  </w:r>
                </w:p>
              </w:tc>
              <w:tc>
                <w:tcPr>
                  <w:tcW w:w="3322" w:type="pct"/>
                  <w:vAlign w:val="center"/>
                </w:tcPr>
                <w:p w14:paraId="6E450ECE">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危险废物暂存间建筑面积</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#车间，用于危险废物存放；</w:t>
                  </w:r>
                </w:p>
                <w:p w14:paraId="7EBB464B">
                  <w:pPr>
                    <w:adjustRightInd w:val="0"/>
                    <w:spacing w:line="240" w:lineRule="auto"/>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一般固体废物暂存间占地面积20m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2#车间</w:t>
                  </w:r>
                  <w:r>
                    <w:rPr>
                      <w:rFonts w:hint="default" w:ascii="Times New Roman" w:hAnsi="Times New Roman" w:cs="Times New Roman"/>
                      <w:color w:val="auto"/>
                      <w:sz w:val="21"/>
                      <w:szCs w:val="21"/>
                      <w:highlight w:val="none"/>
                    </w:rPr>
                    <w:t>，用于一般固废暂存</w:t>
                  </w:r>
                </w:p>
              </w:tc>
            </w:tr>
          </w:tbl>
          <w:p w14:paraId="1467CAC7">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47A92511">
            <w:pPr>
              <w:tabs>
                <w:tab w:val="left" w:pos="6960"/>
              </w:tabs>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DCBCC0E">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4</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产品产量一览表</w:t>
            </w:r>
          </w:p>
          <w:tbl>
            <w:tblPr>
              <w:tblStyle w:val="46"/>
              <w:tblW w:w="5011" w:type="pct"/>
              <w:jc w:val="center"/>
              <w:tblLayout w:type="fixed"/>
              <w:tblCellMar>
                <w:top w:w="0" w:type="dxa"/>
                <w:left w:w="57" w:type="dxa"/>
                <w:bottom w:w="0" w:type="dxa"/>
                <w:right w:w="57" w:type="dxa"/>
              </w:tblCellMar>
            </w:tblPr>
            <w:tblGrid>
              <w:gridCol w:w="546"/>
              <w:gridCol w:w="2233"/>
              <w:gridCol w:w="1599"/>
              <w:gridCol w:w="3497"/>
            </w:tblGrid>
            <w:tr w14:paraId="33E241F1">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18DF860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418" w:type="pct"/>
                  <w:tcBorders>
                    <w:top w:val="single" w:color="auto" w:sz="6" w:space="0"/>
                    <w:left w:val="nil"/>
                    <w:bottom w:val="single" w:color="auto" w:sz="6" w:space="0"/>
                    <w:right w:val="single" w:color="auto" w:sz="6" w:space="0"/>
                  </w:tcBorders>
                  <w:vAlign w:val="center"/>
                </w:tcPr>
                <w:p w14:paraId="6D3DA239">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015" w:type="pct"/>
                  <w:tcBorders>
                    <w:top w:val="single" w:color="auto" w:sz="6" w:space="0"/>
                    <w:left w:val="nil"/>
                    <w:bottom w:val="single" w:color="auto" w:sz="6" w:space="0"/>
                    <w:right w:val="single" w:color="auto" w:sz="4" w:space="0"/>
                  </w:tcBorders>
                  <w:vAlign w:val="center"/>
                </w:tcPr>
                <w:p w14:paraId="1D4454D1">
                  <w:pPr>
                    <w:spacing w:line="240" w:lineRule="auto"/>
                    <w:jc w:val="center"/>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设计</w:t>
                  </w:r>
                  <w:r>
                    <w:rPr>
                      <w:rFonts w:hint="default" w:ascii="Times New Roman" w:hAnsi="Times New Roman" w:cs="Times New Roman"/>
                      <w:b/>
                      <w:color w:val="auto"/>
                      <w:sz w:val="21"/>
                      <w:szCs w:val="21"/>
                      <w:highlight w:val="none"/>
                    </w:rPr>
                    <w:t>年</w:t>
                  </w:r>
                  <w:r>
                    <w:rPr>
                      <w:rFonts w:hint="default" w:ascii="Times New Roman" w:hAnsi="Times New Roman" w:cs="Times New Roman"/>
                      <w:b/>
                      <w:color w:val="auto"/>
                      <w:sz w:val="21"/>
                      <w:szCs w:val="21"/>
                      <w:highlight w:val="none"/>
                      <w:lang w:val="en-US" w:eastAsia="zh-CN"/>
                    </w:rPr>
                    <w:t>产</w:t>
                  </w:r>
                  <w:r>
                    <w:rPr>
                      <w:rFonts w:hint="default" w:ascii="Times New Roman" w:hAnsi="Times New Roman" w:cs="Times New Roman"/>
                      <w:b/>
                      <w:color w:val="auto"/>
                      <w:sz w:val="21"/>
                      <w:szCs w:val="21"/>
                      <w:highlight w:val="none"/>
                    </w:rPr>
                    <w:t>量t/a</w:t>
                  </w:r>
                </w:p>
              </w:tc>
              <w:tc>
                <w:tcPr>
                  <w:tcW w:w="2218" w:type="pct"/>
                  <w:tcBorders>
                    <w:top w:val="single" w:color="auto" w:sz="6" w:space="0"/>
                    <w:left w:val="nil"/>
                    <w:bottom w:val="single" w:color="auto" w:sz="6" w:space="0"/>
                    <w:right w:val="single" w:color="auto" w:sz="4" w:space="0"/>
                  </w:tcBorders>
                  <w:vAlign w:val="center"/>
                </w:tcPr>
                <w:p w14:paraId="65C78F6D">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备注</w:t>
                  </w:r>
                </w:p>
              </w:tc>
            </w:tr>
            <w:tr w14:paraId="4A54E546">
              <w:tblPrEx>
                <w:tblCellMar>
                  <w:top w:w="0" w:type="dxa"/>
                  <w:left w:w="57" w:type="dxa"/>
                  <w:bottom w:w="0" w:type="dxa"/>
                  <w:right w:w="57" w:type="dxa"/>
                </w:tblCellMar>
              </w:tblPrEx>
              <w:trPr>
                <w:cantSplit/>
                <w:trHeight w:val="90"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45C935FF">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418" w:type="pct"/>
                  <w:tcBorders>
                    <w:top w:val="single" w:color="auto" w:sz="6" w:space="0"/>
                    <w:left w:val="nil"/>
                    <w:bottom w:val="single" w:color="auto" w:sz="6" w:space="0"/>
                    <w:right w:val="single" w:color="auto" w:sz="6" w:space="0"/>
                  </w:tcBorders>
                  <w:shd w:val="clear" w:color="auto" w:fill="auto"/>
                  <w:vAlign w:val="center"/>
                </w:tcPr>
                <w:p w14:paraId="22F6255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碳纤维制品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7D0A8046">
                  <w:pPr>
                    <w:tabs>
                      <w:tab w:val="left" w:pos="1305"/>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98</w:t>
                  </w:r>
                </w:p>
              </w:tc>
              <w:tc>
                <w:tcPr>
                  <w:tcW w:w="2218" w:type="pct"/>
                  <w:tcBorders>
                    <w:top w:val="single" w:color="auto" w:sz="6" w:space="0"/>
                    <w:left w:val="nil"/>
                    <w:bottom w:val="single" w:color="auto" w:sz="6" w:space="0"/>
                    <w:right w:val="single" w:color="auto" w:sz="4" w:space="0"/>
                  </w:tcBorders>
                  <w:shd w:val="clear" w:color="auto" w:fill="auto"/>
                  <w:vAlign w:val="center"/>
                </w:tcPr>
                <w:p w14:paraId="56F0B756">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包括碳纤维管48吨，碳纤维冲压件50吨</w:t>
                  </w:r>
                </w:p>
              </w:tc>
            </w:tr>
            <w:tr w14:paraId="4ED46966">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3FBFD24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418" w:type="pct"/>
                  <w:tcBorders>
                    <w:top w:val="single" w:color="auto" w:sz="6" w:space="0"/>
                    <w:left w:val="nil"/>
                    <w:bottom w:val="single" w:color="auto" w:sz="6" w:space="0"/>
                    <w:right w:val="single" w:color="auto" w:sz="6" w:space="0"/>
                  </w:tcBorders>
                  <w:shd w:val="clear" w:color="auto" w:fill="auto"/>
                  <w:vAlign w:val="center"/>
                </w:tcPr>
                <w:p w14:paraId="4D3618F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rPr>
                    <w:t>玻璃纤维增强塑料制品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1440C2AA">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2520</w:t>
                  </w:r>
                </w:p>
              </w:tc>
              <w:tc>
                <w:tcPr>
                  <w:tcW w:w="2218" w:type="pct"/>
                  <w:tcBorders>
                    <w:top w:val="single" w:color="auto" w:sz="6" w:space="0"/>
                    <w:left w:val="nil"/>
                    <w:bottom w:val="single" w:color="auto" w:sz="6" w:space="0"/>
                    <w:right w:val="single" w:color="auto" w:sz="4" w:space="0"/>
                  </w:tcBorders>
                  <w:shd w:val="clear" w:color="auto" w:fill="auto"/>
                  <w:vAlign w:val="center"/>
                </w:tcPr>
                <w:p w14:paraId="25A689BB">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30%产量转入生活用品生产原料使用</w:t>
                  </w:r>
                </w:p>
              </w:tc>
            </w:tr>
            <w:tr w14:paraId="16333648">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2BB3E98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418" w:type="pct"/>
                  <w:tcBorders>
                    <w:top w:val="single" w:color="auto" w:sz="6" w:space="0"/>
                    <w:left w:val="nil"/>
                    <w:bottom w:val="single" w:color="auto" w:sz="6" w:space="0"/>
                    <w:right w:val="single" w:color="auto" w:sz="6" w:space="0"/>
                  </w:tcBorders>
                  <w:shd w:val="clear" w:color="auto" w:fill="auto"/>
                  <w:vAlign w:val="center"/>
                </w:tcPr>
                <w:p w14:paraId="5CCBC41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玻纤布</w:t>
                  </w:r>
                </w:p>
              </w:tc>
              <w:tc>
                <w:tcPr>
                  <w:tcW w:w="1015" w:type="pct"/>
                  <w:tcBorders>
                    <w:top w:val="single" w:color="auto" w:sz="6" w:space="0"/>
                    <w:left w:val="nil"/>
                    <w:bottom w:val="single" w:color="auto" w:sz="6" w:space="0"/>
                    <w:right w:val="single" w:color="auto" w:sz="4" w:space="0"/>
                  </w:tcBorders>
                  <w:shd w:val="clear" w:color="auto" w:fill="auto"/>
                  <w:vAlign w:val="center"/>
                </w:tcPr>
                <w:p w14:paraId="533C6CA4">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420</w:t>
                  </w:r>
                </w:p>
              </w:tc>
              <w:tc>
                <w:tcPr>
                  <w:tcW w:w="2218" w:type="pct"/>
                  <w:tcBorders>
                    <w:top w:val="single" w:color="auto" w:sz="6" w:space="0"/>
                    <w:left w:val="nil"/>
                    <w:bottom w:val="single" w:color="auto" w:sz="6" w:space="0"/>
                    <w:right w:val="single" w:color="auto" w:sz="4" w:space="0"/>
                  </w:tcBorders>
                  <w:shd w:val="clear" w:color="auto" w:fill="auto"/>
                  <w:vAlign w:val="center"/>
                </w:tcPr>
                <w:p w14:paraId="768DCD5B">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w:t>
                  </w:r>
                </w:p>
              </w:tc>
            </w:tr>
            <w:tr w14:paraId="44C7B49C">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2C8F265E">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418" w:type="pct"/>
                  <w:tcBorders>
                    <w:top w:val="single" w:color="auto" w:sz="6" w:space="0"/>
                    <w:left w:val="nil"/>
                    <w:bottom w:val="single" w:color="auto" w:sz="6" w:space="0"/>
                    <w:right w:val="single" w:color="auto" w:sz="6" w:space="0"/>
                  </w:tcBorders>
                  <w:shd w:val="clear" w:color="auto" w:fill="auto"/>
                  <w:vAlign w:val="center"/>
                </w:tcPr>
                <w:p w14:paraId="004D737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生活用品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0B04AA83">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1225</w:t>
                  </w:r>
                </w:p>
              </w:tc>
              <w:tc>
                <w:tcPr>
                  <w:tcW w:w="2218" w:type="pct"/>
                  <w:tcBorders>
                    <w:top w:val="single" w:color="auto" w:sz="6" w:space="0"/>
                    <w:left w:val="nil"/>
                    <w:bottom w:val="single" w:color="auto" w:sz="6" w:space="0"/>
                    <w:right w:val="single" w:color="auto" w:sz="4" w:space="0"/>
                  </w:tcBorders>
                  <w:shd w:val="clear" w:color="auto" w:fill="auto"/>
                  <w:vAlign w:val="center"/>
                </w:tcPr>
                <w:p w14:paraId="4B6DA503">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伞、帐篷、折叠桌椅、晾衣架等</w:t>
                  </w:r>
                  <w:r>
                    <w:rPr>
                      <w:rFonts w:hint="eastAsia" w:cs="Times New Roman"/>
                      <w:color w:val="auto"/>
                      <w:kern w:val="0"/>
                      <w:sz w:val="21"/>
                      <w:szCs w:val="21"/>
                      <w:highlight w:val="none"/>
                      <w:lang w:val="en-US" w:eastAsia="zh-CN"/>
                    </w:rPr>
                    <w:t>（仅组装）</w:t>
                  </w:r>
                </w:p>
              </w:tc>
            </w:tr>
            <w:tr w14:paraId="10872D43">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72DFA60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418" w:type="pct"/>
                  <w:tcBorders>
                    <w:top w:val="single" w:color="auto" w:sz="6" w:space="0"/>
                    <w:left w:val="nil"/>
                    <w:bottom w:val="single" w:color="auto" w:sz="6" w:space="0"/>
                    <w:right w:val="single" w:color="auto" w:sz="6" w:space="0"/>
                  </w:tcBorders>
                  <w:shd w:val="clear" w:color="auto" w:fill="auto"/>
                  <w:vAlign w:val="center"/>
                </w:tcPr>
                <w:p w14:paraId="5BD5026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塑料配件</w:t>
                  </w:r>
                </w:p>
              </w:tc>
              <w:tc>
                <w:tcPr>
                  <w:tcW w:w="1015" w:type="pct"/>
                  <w:tcBorders>
                    <w:top w:val="single" w:color="auto" w:sz="6" w:space="0"/>
                    <w:left w:val="nil"/>
                    <w:bottom w:val="single" w:color="auto" w:sz="6" w:space="0"/>
                    <w:right w:val="single" w:color="auto" w:sz="4" w:space="0"/>
                  </w:tcBorders>
                  <w:shd w:val="clear" w:color="auto" w:fill="auto"/>
                  <w:vAlign w:val="center"/>
                </w:tcPr>
                <w:p w14:paraId="73529229">
                  <w:pPr>
                    <w:tabs>
                      <w:tab w:val="left" w:pos="1305"/>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5.25</w:t>
                  </w:r>
                </w:p>
              </w:tc>
              <w:tc>
                <w:tcPr>
                  <w:tcW w:w="2218" w:type="pct"/>
                  <w:tcBorders>
                    <w:top w:val="single" w:color="auto" w:sz="6" w:space="0"/>
                    <w:left w:val="nil"/>
                    <w:bottom w:val="single" w:color="auto" w:sz="6" w:space="0"/>
                    <w:right w:val="single" w:color="auto" w:sz="4" w:space="0"/>
                  </w:tcBorders>
                  <w:shd w:val="clear" w:color="auto" w:fill="auto"/>
                  <w:vAlign w:val="center"/>
                </w:tcPr>
                <w:p w14:paraId="6F962541">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50%产量转入生活用品生产原料使用</w:t>
                  </w:r>
                </w:p>
              </w:tc>
            </w:tr>
            <w:tr w14:paraId="440AB1F6">
              <w:tblPrEx>
                <w:tblCellMar>
                  <w:top w:w="0" w:type="dxa"/>
                  <w:left w:w="57" w:type="dxa"/>
                  <w:bottom w:w="0" w:type="dxa"/>
                  <w:right w:w="57" w:type="dxa"/>
                </w:tblCellMar>
              </w:tblPrEx>
              <w:trPr>
                <w:cantSplit/>
                <w:trHeight w:val="397" w:hRule="atLeast"/>
                <w:jc w:val="center"/>
              </w:trPr>
              <w:tc>
                <w:tcPr>
                  <w:tcW w:w="5000" w:type="pct"/>
                  <w:gridSpan w:val="4"/>
                  <w:tcBorders>
                    <w:top w:val="single" w:color="auto" w:sz="6" w:space="0"/>
                    <w:left w:val="single" w:color="auto" w:sz="6" w:space="0"/>
                    <w:bottom w:val="single" w:color="auto" w:sz="6" w:space="0"/>
                    <w:right w:val="single" w:color="auto" w:sz="4" w:space="0"/>
                  </w:tcBorders>
                  <w:vAlign w:val="center"/>
                </w:tcPr>
                <w:p w14:paraId="45D92EF3">
                  <w:pPr>
                    <w:tabs>
                      <w:tab w:val="left" w:pos="1305"/>
                    </w:tabs>
                    <w:spacing w:line="240" w:lineRule="auto"/>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注：项目</w:t>
                  </w:r>
                  <w:r>
                    <w:rPr>
                      <w:rFonts w:hint="default" w:ascii="Times New Roman" w:hAnsi="Times New Roman" w:cs="Times New Roman"/>
                      <w:color w:val="auto"/>
                      <w:kern w:val="0"/>
                      <w:sz w:val="21"/>
                      <w:szCs w:val="21"/>
                      <w:highlight w:val="none"/>
                    </w:rPr>
                    <w:t>玻璃纤维增强塑料制品</w:t>
                  </w:r>
                  <w:r>
                    <w:rPr>
                      <w:rFonts w:hint="eastAsia" w:cs="Times New Roman"/>
                      <w:color w:val="auto"/>
                      <w:kern w:val="0"/>
                      <w:sz w:val="21"/>
                      <w:szCs w:val="21"/>
                      <w:highlight w:val="none"/>
                      <w:lang w:eastAsia="zh-CN"/>
                    </w:rPr>
                    <w:t>主要用于农业大棚、帐篷、蚊帐、雨伞、球袋、箱包、健身器材、箭杆球杆、旗杆、广告展示架等方面。</w:t>
                  </w:r>
                  <w:r>
                    <w:rPr>
                      <w:rFonts w:hint="eastAsia" w:cs="Times New Roman"/>
                      <w:color w:val="auto"/>
                      <w:kern w:val="0"/>
                      <w:sz w:val="21"/>
                      <w:szCs w:val="21"/>
                      <w:highlight w:val="none"/>
                      <w:lang w:val="en-US" w:eastAsia="zh-CN"/>
                    </w:rPr>
                    <w:t>碳纤维制品主要用于汽车、摩托车零部件，无人机支架等。</w:t>
                  </w:r>
                </w:p>
              </w:tc>
            </w:tr>
          </w:tbl>
          <w:p w14:paraId="516F6298">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60517414">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（1）原辅材料用量</w:t>
            </w:r>
          </w:p>
          <w:p w14:paraId="3FB37423">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主要</w:t>
            </w:r>
            <w:r>
              <w:rPr>
                <w:rFonts w:hint="default" w:ascii="Times New Roman" w:hAnsi="Times New Roman" w:cs="Times New Roman"/>
                <w:color w:val="auto"/>
                <w:highlight w:val="none"/>
              </w:rPr>
              <w:t>原辅材料种类及年用量见下表。</w:t>
            </w:r>
          </w:p>
          <w:p w14:paraId="09E19F38">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5</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val="en-US" w:eastAsia="zh-CN"/>
              </w:rPr>
              <w:t>主要</w:t>
            </w:r>
            <w:r>
              <w:rPr>
                <w:rFonts w:hint="default" w:ascii="Times New Roman" w:hAnsi="Times New Roman" w:cs="Times New Roman"/>
                <w:b/>
                <w:bCs/>
                <w:color w:val="auto"/>
                <w:sz w:val="21"/>
                <w:szCs w:val="21"/>
                <w:highlight w:val="none"/>
              </w:rPr>
              <w:t>原辅材料一览表</w:t>
            </w:r>
          </w:p>
          <w:tbl>
            <w:tblPr>
              <w:tblStyle w:val="46"/>
              <w:tblW w:w="7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0"/>
              <w:gridCol w:w="628"/>
              <w:gridCol w:w="46"/>
              <w:gridCol w:w="1277"/>
              <w:gridCol w:w="937"/>
              <w:gridCol w:w="780"/>
              <w:gridCol w:w="616"/>
              <w:gridCol w:w="1110"/>
              <w:gridCol w:w="1020"/>
              <w:gridCol w:w="944"/>
            </w:tblGrid>
            <w:tr w14:paraId="694F5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vAlign w:val="center"/>
                </w:tcPr>
                <w:p w14:paraId="165AE6D9">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951" w:type="dxa"/>
                  <w:gridSpan w:val="3"/>
                  <w:tcBorders>
                    <w:top w:val="single" w:color="000000" w:sz="2" w:space="0"/>
                  </w:tcBorders>
                  <w:vAlign w:val="center"/>
                </w:tcPr>
                <w:p w14:paraId="3995019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937" w:type="dxa"/>
                  <w:tcBorders>
                    <w:top w:val="single" w:color="000000" w:sz="2" w:space="0"/>
                  </w:tcBorders>
                  <w:vAlign w:val="center"/>
                </w:tcPr>
                <w:p w14:paraId="1ED032D1">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年用量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val="0"/>
                      <w:color w:val="auto"/>
                      <w:sz w:val="21"/>
                      <w:szCs w:val="21"/>
                      <w:highlight w:val="none"/>
                    </w:rPr>
                    <w:t>t/a</w:t>
                  </w:r>
                  <w:r>
                    <w:rPr>
                      <w:rFonts w:hint="default" w:ascii="Times New Roman" w:hAnsi="Times New Roman" w:cs="Times New Roman"/>
                      <w:b/>
                      <w:bCs w:val="0"/>
                      <w:color w:val="auto"/>
                      <w:sz w:val="21"/>
                      <w:szCs w:val="21"/>
                      <w:highlight w:val="none"/>
                      <w:lang w:eastAsia="zh-CN"/>
                    </w:rPr>
                    <w:t>）</w:t>
                  </w:r>
                </w:p>
              </w:tc>
              <w:tc>
                <w:tcPr>
                  <w:tcW w:w="780" w:type="dxa"/>
                  <w:tcBorders>
                    <w:top w:val="single" w:color="000000" w:sz="2" w:space="0"/>
                  </w:tcBorders>
                  <w:vAlign w:val="center"/>
                </w:tcPr>
                <w:p w14:paraId="7461E14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最大贮存量</w:t>
                  </w:r>
                </w:p>
              </w:tc>
              <w:tc>
                <w:tcPr>
                  <w:tcW w:w="616" w:type="dxa"/>
                  <w:tcBorders>
                    <w:top w:val="single" w:color="000000" w:sz="2" w:space="0"/>
                  </w:tcBorders>
                  <w:vAlign w:val="center"/>
                </w:tcPr>
                <w:p w14:paraId="0AF0B947">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形态</w:t>
                  </w:r>
                </w:p>
              </w:tc>
              <w:tc>
                <w:tcPr>
                  <w:tcW w:w="1110" w:type="dxa"/>
                  <w:tcBorders>
                    <w:top w:val="single" w:color="000000" w:sz="2" w:space="0"/>
                  </w:tcBorders>
                  <w:vAlign w:val="center"/>
                </w:tcPr>
                <w:p w14:paraId="32F7EC8B">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型号/规格</w:t>
                  </w:r>
                </w:p>
              </w:tc>
              <w:tc>
                <w:tcPr>
                  <w:tcW w:w="1020" w:type="dxa"/>
                  <w:tcBorders>
                    <w:top w:val="single" w:color="000000" w:sz="2" w:space="0"/>
                  </w:tcBorders>
                  <w:vAlign w:val="center"/>
                </w:tcPr>
                <w:p w14:paraId="4D7230C8">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使用环节</w:t>
                  </w:r>
                </w:p>
              </w:tc>
              <w:tc>
                <w:tcPr>
                  <w:tcW w:w="944" w:type="dxa"/>
                  <w:tcBorders>
                    <w:top w:val="single" w:color="000000" w:sz="2" w:space="0"/>
                  </w:tcBorders>
                  <w:vAlign w:val="center"/>
                </w:tcPr>
                <w:p w14:paraId="5E4F6461">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贮存位置</w:t>
                  </w:r>
                </w:p>
              </w:tc>
            </w:tr>
            <w:tr w14:paraId="0498C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shd w:val="clear" w:color="auto" w:fill="auto"/>
                  <w:vAlign w:val="center"/>
                </w:tcPr>
                <w:p w14:paraId="50144DBC">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1</w:t>
                  </w:r>
                </w:p>
              </w:tc>
              <w:tc>
                <w:tcPr>
                  <w:tcW w:w="1951" w:type="dxa"/>
                  <w:gridSpan w:val="3"/>
                  <w:tcBorders>
                    <w:top w:val="single" w:color="000000" w:sz="2" w:space="0"/>
                  </w:tcBorders>
                  <w:vAlign w:val="center"/>
                </w:tcPr>
                <w:p w14:paraId="2906FC7B">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碳纤维预浸料</w:t>
                  </w:r>
                </w:p>
              </w:tc>
              <w:tc>
                <w:tcPr>
                  <w:tcW w:w="937" w:type="dxa"/>
                  <w:tcBorders>
                    <w:top w:val="single" w:color="000000" w:sz="2" w:space="0"/>
                  </w:tcBorders>
                  <w:vAlign w:val="center"/>
                </w:tcPr>
                <w:p w14:paraId="16405D95">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94.08</w:t>
                  </w:r>
                </w:p>
              </w:tc>
              <w:tc>
                <w:tcPr>
                  <w:tcW w:w="780" w:type="dxa"/>
                  <w:tcBorders>
                    <w:top w:val="single" w:color="000000" w:sz="2" w:space="0"/>
                  </w:tcBorders>
                  <w:vAlign w:val="center"/>
                </w:tcPr>
                <w:p w14:paraId="4FA703C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w:t>
                  </w:r>
                  <w:r>
                    <w:rPr>
                      <w:rFonts w:hint="eastAsia" w:cs="Times New Roman"/>
                      <w:b w:val="0"/>
                      <w:bCs w:val="0"/>
                      <w:color w:val="auto"/>
                      <w:sz w:val="21"/>
                      <w:szCs w:val="21"/>
                      <w:highlight w:val="none"/>
                      <w:lang w:val="en-US" w:eastAsia="zh-CN"/>
                    </w:rPr>
                    <w:t>t</w:t>
                  </w:r>
                </w:p>
              </w:tc>
              <w:tc>
                <w:tcPr>
                  <w:tcW w:w="616" w:type="dxa"/>
                  <w:tcBorders>
                    <w:top w:val="single" w:color="000000" w:sz="2" w:space="0"/>
                  </w:tcBorders>
                  <w:vAlign w:val="center"/>
                </w:tcPr>
                <w:p w14:paraId="0E0E3C6E">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固态</w:t>
                  </w:r>
                </w:p>
              </w:tc>
              <w:tc>
                <w:tcPr>
                  <w:tcW w:w="1110" w:type="dxa"/>
                  <w:tcBorders>
                    <w:top w:val="single" w:color="000000" w:sz="2" w:space="0"/>
                  </w:tcBorders>
                  <w:vAlign w:val="center"/>
                </w:tcPr>
                <w:p w14:paraId="37AAB800">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环氧树脂含量38%</w:t>
                  </w:r>
                </w:p>
              </w:tc>
              <w:tc>
                <w:tcPr>
                  <w:tcW w:w="1020" w:type="dxa"/>
                  <w:vMerge w:val="restart"/>
                  <w:tcBorders>
                    <w:top w:val="single" w:color="000000" w:sz="2" w:space="0"/>
                  </w:tcBorders>
                  <w:vAlign w:val="center"/>
                </w:tcPr>
                <w:p w14:paraId="3174443F">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碳纤维制品</w:t>
                  </w:r>
                </w:p>
              </w:tc>
              <w:tc>
                <w:tcPr>
                  <w:tcW w:w="944" w:type="dxa"/>
                  <w:tcBorders>
                    <w:top w:val="single" w:color="000000" w:sz="2" w:space="0"/>
                  </w:tcBorders>
                  <w:vAlign w:val="center"/>
                </w:tcPr>
                <w:p w14:paraId="75E4E222">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冷库</w:t>
                  </w:r>
                </w:p>
              </w:tc>
            </w:tr>
            <w:tr w14:paraId="455BB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shd w:val="clear" w:color="auto" w:fill="auto"/>
                  <w:vAlign w:val="center"/>
                </w:tcPr>
                <w:p w14:paraId="5F72BDFB">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w:t>
                  </w:r>
                </w:p>
              </w:tc>
              <w:tc>
                <w:tcPr>
                  <w:tcW w:w="1951" w:type="dxa"/>
                  <w:gridSpan w:val="3"/>
                  <w:tcBorders>
                    <w:top w:val="single" w:color="000000" w:sz="2" w:space="0"/>
                  </w:tcBorders>
                  <w:vAlign w:val="center"/>
                </w:tcPr>
                <w:p w14:paraId="51FB29DB">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水性</w:t>
                  </w:r>
                  <w:r>
                    <w:rPr>
                      <w:rFonts w:hint="default" w:ascii="Times New Roman" w:hAnsi="Times New Roman" w:cs="Times New Roman"/>
                      <w:color w:val="auto"/>
                      <w:sz w:val="21"/>
                      <w:szCs w:val="21"/>
                      <w:highlight w:val="none"/>
                      <w:lang w:val="en-US" w:eastAsia="zh-CN"/>
                    </w:rPr>
                    <w:t>漆</w:t>
                  </w:r>
                </w:p>
              </w:tc>
              <w:tc>
                <w:tcPr>
                  <w:tcW w:w="937" w:type="dxa"/>
                  <w:tcBorders>
                    <w:top w:val="single" w:color="000000" w:sz="2" w:space="0"/>
                  </w:tcBorders>
                  <w:vAlign w:val="center"/>
                </w:tcPr>
                <w:p w14:paraId="1254A446">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13.500</w:t>
                  </w:r>
                </w:p>
              </w:tc>
              <w:tc>
                <w:tcPr>
                  <w:tcW w:w="780" w:type="dxa"/>
                  <w:tcBorders>
                    <w:top w:val="single" w:color="000000" w:sz="2" w:space="0"/>
                  </w:tcBorders>
                  <w:vAlign w:val="center"/>
                </w:tcPr>
                <w:p w14:paraId="01A4B4A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r>
                    <w:rPr>
                      <w:rFonts w:hint="default" w:ascii="Times New Roman" w:hAnsi="Times New Roman" w:cs="Times New Roman"/>
                      <w:b w:val="0"/>
                      <w:bCs w:val="0"/>
                      <w:color w:val="auto"/>
                      <w:sz w:val="21"/>
                      <w:szCs w:val="21"/>
                      <w:highlight w:val="none"/>
                      <w:lang w:val="en-US" w:eastAsia="zh-CN"/>
                    </w:rPr>
                    <w:t>t</w:t>
                  </w:r>
                </w:p>
              </w:tc>
              <w:tc>
                <w:tcPr>
                  <w:tcW w:w="616" w:type="dxa"/>
                  <w:tcBorders>
                    <w:top w:val="single" w:color="000000" w:sz="2" w:space="0"/>
                  </w:tcBorders>
                  <w:vAlign w:val="center"/>
                </w:tcPr>
                <w:p w14:paraId="7681316D">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624F0C6A">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0A78F9DF">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8780B39">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原料仓库</w:t>
                  </w:r>
                </w:p>
              </w:tc>
            </w:tr>
            <w:tr w14:paraId="3E6AF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restart"/>
                  <w:tcBorders>
                    <w:top w:val="single" w:color="000000" w:sz="2" w:space="0"/>
                  </w:tcBorders>
                  <w:shd w:val="clear" w:color="auto" w:fill="auto"/>
                  <w:vAlign w:val="center"/>
                </w:tcPr>
                <w:p w14:paraId="3FC26DEF">
                  <w:pPr>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w:t>
                  </w:r>
                </w:p>
              </w:tc>
              <w:tc>
                <w:tcPr>
                  <w:tcW w:w="628" w:type="dxa"/>
                  <w:vMerge w:val="restart"/>
                  <w:tcBorders>
                    <w:top w:val="single" w:color="000000" w:sz="2" w:space="0"/>
                  </w:tcBorders>
                  <w:vAlign w:val="center"/>
                </w:tcPr>
                <w:p w14:paraId="114A9B2E">
                  <w:pPr>
                    <w:spacing w:line="36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油性漆</w:t>
                  </w:r>
                </w:p>
              </w:tc>
              <w:tc>
                <w:tcPr>
                  <w:tcW w:w="1323" w:type="dxa"/>
                  <w:gridSpan w:val="2"/>
                  <w:tcBorders>
                    <w:top w:val="single" w:color="000000" w:sz="2" w:space="0"/>
                  </w:tcBorders>
                  <w:vAlign w:val="center"/>
                </w:tcPr>
                <w:p w14:paraId="258FA834">
                  <w:pPr>
                    <w:spacing w:line="36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PU漆</w:t>
                  </w:r>
                </w:p>
              </w:tc>
              <w:tc>
                <w:tcPr>
                  <w:tcW w:w="937" w:type="dxa"/>
                  <w:tcBorders>
                    <w:top w:val="single" w:color="000000" w:sz="2" w:space="0"/>
                  </w:tcBorders>
                  <w:vAlign w:val="center"/>
                </w:tcPr>
                <w:p w14:paraId="354F6A28">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0.913</w:t>
                  </w:r>
                </w:p>
              </w:tc>
              <w:tc>
                <w:tcPr>
                  <w:tcW w:w="780" w:type="dxa"/>
                  <w:tcBorders>
                    <w:top w:val="single" w:color="000000" w:sz="2" w:space="0"/>
                  </w:tcBorders>
                  <w:vAlign w:val="center"/>
                </w:tcPr>
                <w:p w14:paraId="392EC37B">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0.5t</w:t>
                  </w:r>
                </w:p>
              </w:tc>
              <w:tc>
                <w:tcPr>
                  <w:tcW w:w="616" w:type="dxa"/>
                  <w:tcBorders>
                    <w:top w:val="single" w:color="000000" w:sz="2" w:space="0"/>
                  </w:tcBorders>
                  <w:vAlign w:val="center"/>
                </w:tcPr>
                <w:p w14:paraId="600B7442">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1B90FDB8">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15A7329D">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9EF56BC">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45EA3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continue"/>
                  <w:shd w:val="clear" w:color="auto" w:fill="auto"/>
                  <w:vAlign w:val="center"/>
                </w:tcPr>
                <w:p w14:paraId="211D74BE">
                  <w:pPr>
                    <w:spacing w:line="240" w:lineRule="auto"/>
                    <w:jc w:val="center"/>
                    <w:rPr>
                      <w:rFonts w:hint="eastAsia" w:cs="Times New Roman"/>
                      <w:bCs/>
                      <w:color w:val="auto"/>
                      <w:sz w:val="21"/>
                      <w:szCs w:val="21"/>
                      <w:highlight w:val="none"/>
                      <w:lang w:val="en-US" w:eastAsia="zh-CN"/>
                    </w:rPr>
                  </w:pPr>
                </w:p>
              </w:tc>
              <w:tc>
                <w:tcPr>
                  <w:tcW w:w="628" w:type="dxa"/>
                  <w:vMerge w:val="continue"/>
                  <w:vAlign w:val="center"/>
                </w:tcPr>
                <w:p w14:paraId="23F2F122">
                  <w:pPr>
                    <w:spacing w:line="360" w:lineRule="auto"/>
                    <w:jc w:val="center"/>
                    <w:rPr>
                      <w:rFonts w:hint="eastAsia" w:cs="Times New Roman"/>
                      <w:color w:val="auto"/>
                      <w:sz w:val="21"/>
                      <w:szCs w:val="21"/>
                      <w:highlight w:val="none"/>
                      <w:lang w:val="en-US" w:eastAsia="zh-CN"/>
                    </w:rPr>
                  </w:pPr>
                </w:p>
              </w:tc>
              <w:tc>
                <w:tcPr>
                  <w:tcW w:w="1323" w:type="dxa"/>
                  <w:gridSpan w:val="2"/>
                  <w:tcBorders>
                    <w:top w:val="single" w:color="000000" w:sz="2" w:space="0"/>
                  </w:tcBorders>
                  <w:vAlign w:val="center"/>
                </w:tcPr>
                <w:p w14:paraId="66CE345B">
                  <w:pPr>
                    <w:spacing w:line="36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稀释剂</w:t>
                  </w:r>
                </w:p>
              </w:tc>
              <w:tc>
                <w:tcPr>
                  <w:tcW w:w="937" w:type="dxa"/>
                  <w:tcBorders>
                    <w:top w:val="single" w:color="000000" w:sz="2" w:space="0"/>
                  </w:tcBorders>
                  <w:vAlign w:val="center"/>
                </w:tcPr>
                <w:p w14:paraId="23728ED5">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w:t>
                  </w:r>
                </w:p>
              </w:tc>
              <w:tc>
                <w:tcPr>
                  <w:tcW w:w="780" w:type="dxa"/>
                  <w:tcBorders>
                    <w:top w:val="single" w:color="000000" w:sz="2" w:space="0"/>
                  </w:tcBorders>
                  <w:vAlign w:val="center"/>
                </w:tcPr>
                <w:p w14:paraId="281B19A8">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0.05</w:t>
                  </w:r>
                </w:p>
              </w:tc>
              <w:tc>
                <w:tcPr>
                  <w:tcW w:w="616" w:type="dxa"/>
                  <w:tcBorders>
                    <w:top w:val="single" w:color="000000" w:sz="2" w:space="0"/>
                  </w:tcBorders>
                  <w:vAlign w:val="center"/>
                </w:tcPr>
                <w:p w14:paraId="65FD2231">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0AE69EB4">
                  <w:pPr>
                    <w:spacing w:line="240" w:lineRule="auto"/>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52C09D42">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354ECCF4">
                  <w:pPr>
                    <w:spacing w:line="240" w:lineRule="auto"/>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625D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continue"/>
                  <w:shd w:val="clear" w:color="auto" w:fill="auto"/>
                  <w:vAlign w:val="center"/>
                </w:tcPr>
                <w:p w14:paraId="7AC70174">
                  <w:pPr>
                    <w:spacing w:line="240" w:lineRule="auto"/>
                    <w:jc w:val="center"/>
                    <w:rPr>
                      <w:rFonts w:hint="eastAsia" w:ascii="Times New Roman" w:hAnsi="Times New Roman" w:eastAsia="宋体" w:cs="Times New Roman"/>
                      <w:bCs/>
                      <w:color w:val="auto"/>
                      <w:sz w:val="21"/>
                      <w:szCs w:val="21"/>
                      <w:highlight w:val="none"/>
                      <w:lang w:val="en-US" w:eastAsia="zh-CN"/>
                    </w:rPr>
                  </w:pPr>
                </w:p>
              </w:tc>
              <w:tc>
                <w:tcPr>
                  <w:tcW w:w="628" w:type="dxa"/>
                  <w:vMerge w:val="continue"/>
                  <w:vAlign w:val="center"/>
                </w:tcPr>
                <w:p w14:paraId="74619C10">
                  <w:pPr>
                    <w:spacing w:line="360" w:lineRule="auto"/>
                    <w:jc w:val="center"/>
                    <w:rPr>
                      <w:rFonts w:hint="default" w:ascii="Times New Roman" w:hAnsi="Times New Roman" w:cs="Times New Roman"/>
                      <w:color w:val="auto"/>
                      <w:sz w:val="21"/>
                      <w:szCs w:val="21"/>
                      <w:highlight w:val="none"/>
                      <w:lang w:val="en-US" w:eastAsia="zh-CN"/>
                    </w:rPr>
                  </w:pPr>
                </w:p>
              </w:tc>
              <w:tc>
                <w:tcPr>
                  <w:tcW w:w="1323" w:type="dxa"/>
                  <w:gridSpan w:val="2"/>
                  <w:vAlign w:val="center"/>
                </w:tcPr>
                <w:p w14:paraId="1B5B0307">
                  <w:pPr>
                    <w:spacing w:line="36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固化剂</w:t>
                  </w:r>
                </w:p>
              </w:tc>
              <w:tc>
                <w:tcPr>
                  <w:tcW w:w="937" w:type="dxa"/>
                  <w:tcBorders>
                    <w:top w:val="single" w:color="000000" w:sz="2" w:space="0"/>
                  </w:tcBorders>
                  <w:vAlign w:val="center"/>
                </w:tcPr>
                <w:p w14:paraId="2BEDD843">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0.183</w:t>
                  </w:r>
                </w:p>
              </w:tc>
              <w:tc>
                <w:tcPr>
                  <w:tcW w:w="780" w:type="dxa"/>
                  <w:tcBorders>
                    <w:top w:val="single" w:color="000000" w:sz="2" w:space="0"/>
                  </w:tcBorders>
                  <w:vAlign w:val="center"/>
                </w:tcPr>
                <w:p w14:paraId="2959F327">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w:t>
                  </w:r>
                </w:p>
              </w:tc>
              <w:tc>
                <w:tcPr>
                  <w:tcW w:w="616" w:type="dxa"/>
                  <w:tcBorders>
                    <w:top w:val="single" w:color="000000" w:sz="2" w:space="0"/>
                  </w:tcBorders>
                  <w:vAlign w:val="center"/>
                </w:tcPr>
                <w:p w14:paraId="7A1AB7C1">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5C794CED">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5F61C27B">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44D31813">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0B3E5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0" w:type="dxa"/>
                  <w:tcBorders>
                    <w:top w:val="single" w:color="000000" w:sz="2" w:space="0"/>
                  </w:tcBorders>
                  <w:shd w:val="clear" w:color="auto" w:fill="auto"/>
                  <w:vAlign w:val="center"/>
                </w:tcPr>
                <w:p w14:paraId="08F602A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w:t>
                  </w:r>
                </w:p>
              </w:tc>
              <w:tc>
                <w:tcPr>
                  <w:tcW w:w="1951" w:type="dxa"/>
                  <w:gridSpan w:val="3"/>
                  <w:tcBorders>
                    <w:top w:val="single" w:color="000000" w:sz="2" w:space="0"/>
                  </w:tcBorders>
                  <w:vAlign w:val="center"/>
                </w:tcPr>
                <w:p w14:paraId="67F78EE4">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BOPP</w:t>
                  </w:r>
                  <w:r>
                    <w:rPr>
                      <w:rFonts w:hint="default" w:ascii="Times New Roman" w:hAnsi="Times New Roman" w:cs="Times New Roman"/>
                      <w:color w:val="auto"/>
                      <w:sz w:val="21"/>
                      <w:szCs w:val="21"/>
                      <w:highlight w:val="none"/>
                      <w:lang w:val="en-US" w:eastAsia="zh-CN"/>
                    </w:rPr>
                    <w:t>膜</w:t>
                  </w:r>
                </w:p>
              </w:tc>
              <w:tc>
                <w:tcPr>
                  <w:tcW w:w="937" w:type="dxa"/>
                  <w:tcBorders>
                    <w:top w:val="single" w:color="000000" w:sz="2" w:space="0"/>
                  </w:tcBorders>
                  <w:vAlign w:val="center"/>
                </w:tcPr>
                <w:p w14:paraId="0A1B7E73">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28.</w:t>
                  </w:r>
                  <w:r>
                    <w:rPr>
                      <w:rFonts w:hint="default" w:ascii="Times New Roman" w:hAnsi="Times New Roman" w:cs="Times New Roman"/>
                      <w:b w:val="0"/>
                      <w:bCs w:val="0"/>
                      <w:color w:val="auto"/>
                      <w:sz w:val="21"/>
                      <w:szCs w:val="21"/>
                      <w:highlight w:val="none"/>
                      <w:lang w:val="en-US" w:eastAsia="zh-CN"/>
                    </w:rPr>
                    <w:t>5</w:t>
                  </w:r>
                </w:p>
              </w:tc>
              <w:tc>
                <w:tcPr>
                  <w:tcW w:w="780" w:type="dxa"/>
                  <w:tcBorders>
                    <w:top w:val="single" w:color="000000" w:sz="2" w:space="0"/>
                  </w:tcBorders>
                  <w:vAlign w:val="center"/>
                </w:tcPr>
                <w:p w14:paraId="6FD22B14">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616" w:type="dxa"/>
                  <w:tcBorders>
                    <w:top w:val="single" w:color="000000" w:sz="2" w:space="0"/>
                  </w:tcBorders>
                  <w:vAlign w:val="center"/>
                </w:tcPr>
                <w:p w14:paraId="7150364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固态</w:t>
                  </w:r>
                </w:p>
              </w:tc>
              <w:tc>
                <w:tcPr>
                  <w:tcW w:w="1110" w:type="dxa"/>
                  <w:tcBorders>
                    <w:top w:val="single" w:color="000000" w:sz="2" w:space="0"/>
                  </w:tcBorders>
                  <w:vAlign w:val="center"/>
                </w:tcPr>
                <w:p w14:paraId="0E3662EC">
                  <w:pPr>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w:t>
                  </w:r>
                </w:p>
              </w:tc>
              <w:tc>
                <w:tcPr>
                  <w:tcW w:w="1020" w:type="dxa"/>
                  <w:vMerge w:val="continue"/>
                  <w:vAlign w:val="center"/>
                </w:tcPr>
                <w:p w14:paraId="2806FFFC">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B79BFC6">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原料仓库</w:t>
                  </w:r>
                </w:p>
              </w:tc>
            </w:tr>
            <w:tr w14:paraId="7DCC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0E64E95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5</w:t>
                  </w:r>
                </w:p>
              </w:tc>
              <w:tc>
                <w:tcPr>
                  <w:tcW w:w="1951" w:type="dxa"/>
                  <w:gridSpan w:val="3"/>
                  <w:vAlign w:val="center"/>
                </w:tcPr>
                <w:p w14:paraId="4D26DD69">
                  <w:pPr>
                    <w:widowControl/>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玻璃纤维纱</w:t>
                  </w:r>
                </w:p>
              </w:tc>
              <w:tc>
                <w:tcPr>
                  <w:tcW w:w="937" w:type="dxa"/>
                  <w:vAlign w:val="center"/>
                </w:tcPr>
                <w:p w14:paraId="7A26119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1520</w:t>
                  </w:r>
                </w:p>
              </w:tc>
              <w:tc>
                <w:tcPr>
                  <w:tcW w:w="780" w:type="dxa"/>
                  <w:vAlign w:val="center"/>
                </w:tcPr>
                <w:p w14:paraId="4386B3E0">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360</w:t>
                  </w:r>
                  <w:r>
                    <w:rPr>
                      <w:rFonts w:hint="default" w:ascii="Times New Roman" w:hAnsi="Times New Roman" w:cs="Times New Roman"/>
                      <w:bCs/>
                      <w:color w:val="auto"/>
                      <w:sz w:val="21"/>
                      <w:szCs w:val="21"/>
                      <w:highlight w:val="none"/>
                    </w:rPr>
                    <w:t>t</w:t>
                  </w:r>
                </w:p>
              </w:tc>
              <w:tc>
                <w:tcPr>
                  <w:tcW w:w="616" w:type="dxa"/>
                  <w:vAlign w:val="center"/>
                </w:tcPr>
                <w:p w14:paraId="0061BD5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固态</w:t>
                  </w:r>
                </w:p>
              </w:tc>
              <w:tc>
                <w:tcPr>
                  <w:tcW w:w="1110" w:type="dxa"/>
                  <w:vAlign w:val="center"/>
                </w:tcPr>
                <w:p w14:paraId="6636B28B">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25kg/包</w:t>
                  </w:r>
                </w:p>
              </w:tc>
              <w:tc>
                <w:tcPr>
                  <w:tcW w:w="1020" w:type="dxa"/>
                  <w:vMerge w:val="restart"/>
                  <w:vAlign w:val="center"/>
                </w:tcPr>
                <w:p w14:paraId="67850A75">
                  <w:pPr>
                    <w:spacing w:line="240" w:lineRule="auto"/>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玻璃纤维增强塑料制品生产线</w:t>
                  </w:r>
                </w:p>
              </w:tc>
              <w:tc>
                <w:tcPr>
                  <w:tcW w:w="944" w:type="dxa"/>
                  <w:vMerge w:val="restart"/>
                  <w:vAlign w:val="center"/>
                </w:tcPr>
                <w:p w14:paraId="1312D438">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原料仓库</w:t>
                  </w:r>
                </w:p>
              </w:tc>
            </w:tr>
            <w:tr w14:paraId="7444F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34BAA10C">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6</w:t>
                  </w:r>
                </w:p>
              </w:tc>
              <w:tc>
                <w:tcPr>
                  <w:tcW w:w="1951" w:type="dxa"/>
                  <w:gridSpan w:val="3"/>
                  <w:vAlign w:val="center"/>
                </w:tcPr>
                <w:p w14:paraId="4278A508">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937" w:type="dxa"/>
                  <w:shd w:val="clear" w:color="auto" w:fill="auto"/>
                  <w:vAlign w:val="center"/>
                </w:tcPr>
                <w:p w14:paraId="3851D88C">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763.35</w:t>
                  </w:r>
                </w:p>
              </w:tc>
              <w:tc>
                <w:tcPr>
                  <w:tcW w:w="780" w:type="dxa"/>
                  <w:shd w:val="clear" w:color="auto" w:fill="auto"/>
                  <w:vAlign w:val="center"/>
                </w:tcPr>
                <w:p w14:paraId="0132258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lang w:val="en-US" w:eastAsia="zh-CN"/>
                    </w:rPr>
                    <w:t>6</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t</w:t>
                  </w:r>
                </w:p>
              </w:tc>
              <w:tc>
                <w:tcPr>
                  <w:tcW w:w="616" w:type="dxa"/>
                  <w:vAlign w:val="center"/>
                </w:tcPr>
                <w:p w14:paraId="2AE5CD2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液</w:t>
                  </w:r>
                  <w:r>
                    <w:rPr>
                      <w:rFonts w:hint="default" w:ascii="Times New Roman" w:hAnsi="Times New Roman" w:cs="Times New Roman"/>
                      <w:color w:val="auto"/>
                      <w:sz w:val="21"/>
                      <w:szCs w:val="21"/>
                      <w:highlight w:val="none"/>
                    </w:rPr>
                    <w:t>态</w:t>
                  </w:r>
                </w:p>
              </w:tc>
              <w:tc>
                <w:tcPr>
                  <w:tcW w:w="1110" w:type="dxa"/>
                  <w:vAlign w:val="center"/>
                </w:tcPr>
                <w:p w14:paraId="1A8E4541">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1100kg/桶</w:t>
                  </w:r>
                </w:p>
              </w:tc>
              <w:tc>
                <w:tcPr>
                  <w:tcW w:w="1020" w:type="dxa"/>
                  <w:vMerge w:val="continue"/>
                  <w:vAlign w:val="center"/>
                </w:tcPr>
                <w:p w14:paraId="4ABF740A">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1AA6EA9C">
                  <w:pPr>
                    <w:spacing w:line="240" w:lineRule="auto"/>
                    <w:jc w:val="center"/>
                    <w:rPr>
                      <w:rFonts w:hint="default" w:ascii="Times New Roman" w:hAnsi="Times New Roman" w:eastAsia="宋体" w:cs="Times New Roman"/>
                      <w:color w:val="auto"/>
                      <w:sz w:val="21"/>
                      <w:szCs w:val="21"/>
                      <w:highlight w:val="none"/>
                      <w:lang w:val="en-US" w:eastAsia="zh-CN"/>
                    </w:rPr>
                  </w:pPr>
                </w:p>
              </w:tc>
            </w:tr>
            <w:tr w14:paraId="4F565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47254D3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7</w:t>
                  </w:r>
                </w:p>
              </w:tc>
              <w:tc>
                <w:tcPr>
                  <w:tcW w:w="1951" w:type="dxa"/>
                  <w:gridSpan w:val="3"/>
                  <w:vAlign w:val="center"/>
                </w:tcPr>
                <w:p w14:paraId="3E3D831F">
                  <w:pPr>
                    <w:widowControl/>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固化剂</w:t>
                  </w:r>
                </w:p>
              </w:tc>
              <w:tc>
                <w:tcPr>
                  <w:tcW w:w="937" w:type="dxa"/>
                  <w:shd w:val="clear" w:color="auto" w:fill="auto"/>
                  <w:vAlign w:val="center"/>
                </w:tcPr>
                <w:p w14:paraId="3D25FD5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w:t>
                  </w:r>
                </w:p>
              </w:tc>
              <w:tc>
                <w:tcPr>
                  <w:tcW w:w="780" w:type="dxa"/>
                  <w:shd w:val="clear" w:color="auto" w:fill="auto"/>
                  <w:vAlign w:val="center"/>
                </w:tcPr>
                <w:p w14:paraId="3928A9D5">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w:t>
                  </w:r>
                </w:p>
              </w:tc>
              <w:tc>
                <w:tcPr>
                  <w:tcW w:w="616" w:type="dxa"/>
                  <w:vAlign w:val="center"/>
                </w:tcPr>
                <w:p w14:paraId="2DAAFEA2">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480769B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5E448241">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192C3A9E">
                  <w:pPr>
                    <w:spacing w:line="240" w:lineRule="auto"/>
                    <w:jc w:val="center"/>
                    <w:rPr>
                      <w:rFonts w:hint="default" w:ascii="Times New Roman" w:hAnsi="Times New Roman" w:cs="Times New Roman"/>
                      <w:color w:val="auto"/>
                      <w:sz w:val="21"/>
                      <w:szCs w:val="21"/>
                      <w:highlight w:val="none"/>
                    </w:rPr>
                  </w:pPr>
                </w:p>
              </w:tc>
            </w:tr>
            <w:tr w14:paraId="0AA9C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405587F1">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8</w:t>
                  </w:r>
                </w:p>
              </w:tc>
              <w:tc>
                <w:tcPr>
                  <w:tcW w:w="1951" w:type="dxa"/>
                  <w:gridSpan w:val="3"/>
                  <w:vAlign w:val="center"/>
                </w:tcPr>
                <w:p w14:paraId="734B292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色浆</w:t>
                  </w:r>
                </w:p>
              </w:tc>
              <w:tc>
                <w:tcPr>
                  <w:tcW w:w="937" w:type="dxa"/>
                  <w:shd w:val="clear" w:color="auto" w:fill="auto"/>
                  <w:vAlign w:val="center"/>
                </w:tcPr>
                <w:p w14:paraId="4EE9B76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780" w:type="dxa"/>
                  <w:shd w:val="clear" w:color="auto" w:fill="auto"/>
                  <w:vAlign w:val="center"/>
                </w:tcPr>
                <w:p w14:paraId="79AF332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w:t>
                  </w:r>
                </w:p>
              </w:tc>
              <w:tc>
                <w:tcPr>
                  <w:tcW w:w="616" w:type="dxa"/>
                  <w:vAlign w:val="center"/>
                </w:tcPr>
                <w:p w14:paraId="74F5E07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2BAEA52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732BBDE8">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513BB34C">
                  <w:pPr>
                    <w:spacing w:line="240" w:lineRule="auto"/>
                    <w:jc w:val="center"/>
                    <w:rPr>
                      <w:rFonts w:hint="default" w:ascii="Times New Roman" w:hAnsi="Times New Roman" w:cs="Times New Roman"/>
                      <w:color w:val="auto"/>
                      <w:sz w:val="21"/>
                      <w:szCs w:val="21"/>
                      <w:highlight w:val="none"/>
                    </w:rPr>
                  </w:pPr>
                </w:p>
              </w:tc>
            </w:tr>
            <w:tr w14:paraId="5A5B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266A2C44">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9</w:t>
                  </w:r>
                </w:p>
              </w:tc>
              <w:tc>
                <w:tcPr>
                  <w:tcW w:w="1951" w:type="dxa"/>
                  <w:gridSpan w:val="3"/>
                  <w:vAlign w:val="center"/>
                </w:tcPr>
                <w:p w14:paraId="469D222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碳酸钙</w:t>
                  </w:r>
                </w:p>
              </w:tc>
              <w:tc>
                <w:tcPr>
                  <w:tcW w:w="937" w:type="dxa"/>
                  <w:shd w:val="clear" w:color="auto" w:fill="auto"/>
                  <w:vAlign w:val="center"/>
                </w:tcPr>
                <w:p w14:paraId="171BF93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227.5</w:t>
                  </w:r>
                </w:p>
              </w:tc>
              <w:tc>
                <w:tcPr>
                  <w:tcW w:w="780" w:type="dxa"/>
                  <w:shd w:val="clear" w:color="auto" w:fill="auto"/>
                  <w:vAlign w:val="center"/>
                </w:tcPr>
                <w:p w14:paraId="1AF737C9">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4t</w:t>
                  </w:r>
                </w:p>
              </w:tc>
              <w:tc>
                <w:tcPr>
                  <w:tcW w:w="616" w:type="dxa"/>
                  <w:vAlign w:val="center"/>
                </w:tcPr>
                <w:p w14:paraId="4410A19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粉末</w:t>
                  </w:r>
                </w:p>
              </w:tc>
              <w:tc>
                <w:tcPr>
                  <w:tcW w:w="1110" w:type="dxa"/>
                  <w:vAlign w:val="center"/>
                </w:tcPr>
                <w:p w14:paraId="1E5DA4E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25kg/袋</w:t>
                  </w:r>
                </w:p>
              </w:tc>
              <w:tc>
                <w:tcPr>
                  <w:tcW w:w="1020" w:type="dxa"/>
                  <w:vMerge w:val="continue"/>
                  <w:vAlign w:val="center"/>
                </w:tcPr>
                <w:p w14:paraId="62BA9E22">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42BFB638">
                  <w:pPr>
                    <w:spacing w:line="240" w:lineRule="auto"/>
                    <w:jc w:val="center"/>
                    <w:rPr>
                      <w:rFonts w:hint="default" w:ascii="Times New Roman" w:hAnsi="Times New Roman" w:cs="Times New Roman"/>
                      <w:color w:val="auto"/>
                      <w:sz w:val="21"/>
                      <w:szCs w:val="21"/>
                      <w:highlight w:val="none"/>
                    </w:rPr>
                  </w:pPr>
                </w:p>
              </w:tc>
            </w:tr>
            <w:tr w14:paraId="254F9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6B240FC5">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10</w:t>
                  </w:r>
                </w:p>
              </w:tc>
              <w:tc>
                <w:tcPr>
                  <w:tcW w:w="1951" w:type="dxa"/>
                  <w:gridSpan w:val="3"/>
                  <w:vAlign w:val="center"/>
                </w:tcPr>
                <w:p w14:paraId="34D81857">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水性脱模剂</w:t>
                  </w:r>
                </w:p>
              </w:tc>
              <w:tc>
                <w:tcPr>
                  <w:tcW w:w="937" w:type="dxa"/>
                  <w:shd w:val="clear" w:color="auto" w:fill="auto"/>
                  <w:vAlign w:val="center"/>
                </w:tcPr>
                <w:p w14:paraId="160C0F1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780" w:type="dxa"/>
                  <w:shd w:val="clear" w:color="auto" w:fill="auto"/>
                  <w:vAlign w:val="center"/>
                </w:tcPr>
                <w:p w14:paraId="32B2E80B">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t</w:t>
                  </w:r>
                </w:p>
              </w:tc>
              <w:tc>
                <w:tcPr>
                  <w:tcW w:w="616" w:type="dxa"/>
                  <w:vAlign w:val="center"/>
                </w:tcPr>
                <w:p w14:paraId="3C10FBC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70DD43E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2B67F447">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7E4CBFAB">
                  <w:pPr>
                    <w:spacing w:line="240" w:lineRule="auto"/>
                    <w:jc w:val="center"/>
                    <w:rPr>
                      <w:rFonts w:hint="default" w:ascii="Times New Roman" w:hAnsi="Times New Roman" w:cs="Times New Roman"/>
                      <w:color w:val="auto"/>
                      <w:sz w:val="21"/>
                      <w:szCs w:val="21"/>
                      <w:highlight w:val="none"/>
                    </w:rPr>
                  </w:pPr>
                </w:p>
              </w:tc>
            </w:tr>
            <w:tr w14:paraId="00AA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5E6B8CF5">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1</w:t>
                  </w:r>
                </w:p>
              </w:tc>
              <w:tc>
                <w:tcPr>
                  <w:tcW w:w="1951" w:type="dxa"/>
                  <w:gridSpan w:val="3"/>
                  <w:vAlign w:val="center"/>
                </w:tcPr>
                <w:p w14:paraId="2787CBC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机</w:t>
                  </w:r>
                  <w:r>
                    <w:rPr>
                      <w:rFonts w:hint="default" w:ascii="Times New Roman" w:hAnsi="Times New Roman" w:cs="Times New Roman"/>
                      <w:color w:val="auto"/>
                      <w:sz w:val="21"/>
                      <w:szCs w:val="21"/>
                      <w:highlight w:val="none"/>
                    </w:rPr>
                    <w:t>油</w:t>
                  </w:r>
                </w:p>
              </w:tc>
              <w:tc>
                <w:tcPr>
                  <w:tcW w:w="937" w:type="dxa"/>
                  <w:vAlign w:val="center"/>
                </w:tcPr>
                <w:p w14:paraId="2BB69AF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0.14</w:t>
                  </w:r>
                </w:p>
              </w:tc>
              <w:tc>
                <w:tcPr>
                  <w:tcW w:w="780" w:type="dxa"/>
                  <w:vAlign w:val="center"/>
                </w:tcPr>
                <w:p w14:paraId="586E687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0.4t</w:t>
                  </w:r>
                </w:p>
              </w:tc>
              <w:tc>
                <w:tcPr>
                  <w:tcW w:w="616" w:type="dxa"/>
                  <w:vAlign w:val="center"/>
                </w:tcPr>
                <w:p w14:paraId="3A40C0C2">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0BDDA67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200kg/桶</w:t>
                  </w:r>
                </w:p>
              </w:tc>
              <w:tc>
                <w:tcPr>
                  <w:tcW w:w="1020" w:type="dxa"/>
                  <w:vMerge w:val="continue"/>
                  <w:vAlign w:val="center"/>
                </w:tcPr>
                <w:p w14:paraId="22927F00">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7D0C62B8">
                  <w:pPr>
                    <w:spacing w:line="240" w:lineRule="auto"/>
                    <w:jc w:val="center"/>
                    <w:rPr>
                      <w:rFonts w:hint="default" w:ascii="Times New Roman" w:hAnsi="Times New Roman" w:cs="Times New Roman"/>
                      <w:color w:val="auto"/>
                      <w:sz w:val="21"/>
                      <w:szCs w:val="21"/>
                      <w:highlight w:val="none"/>
                    </w:rPr>
                  </w:pPr>
                </w:p>
              </w:tc>
            </w:tr>
            <w:tr w14:paraId="53574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359D4E04">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12</w:t>
                  </w:r>
                </w:p>
              </w:tc>
              <w:tc>
                <w:tcPr>
                  <w:tcW w:w="1951" w:type="dxa"/>
                  <w:gridSpan w:val="3"/>
                  <w:vAlign w:val="center"/>
                </w:tcPr>
                <w:p w14:paraId="1AB4E0D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玻璃纤维纱</w:t>
                  </w:r>
                </w:p>
              </w:tc>
              <w:tc>
                <w:tcPr>
                  <w:tcW w:w="937" w:type="dxa"/>
                  <w:vAlign w:val="center"/>
                </w:tcPr>
                <w:p w14:paraId="0EB3DD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420</w:t>
                  </w:r>
                </w:p>
              </w:tc>
              <w:tc>
                <w:tcPr>
                  <w:tcW w:w="780" w:type="dxa"/>
                  <w:vAlign w:val="center"/>
                </w:tcPr>
                <w:p w14:paraId="72E1119B">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100</w:t>
                  </w:r>
                  <w:r>
                    <w:rPr>
                      <w:rFonts w:hint="default" w:ascii="Times New Roman" w:hAnsi="Times New Roman" w:cs="Times New Roman"/>
                      <w:bCs/>
                      <w:color w:val="auto"/>
                      <w:sz w:val="21"/>
                      <w:szCs w:val="21"/>
                      <w:highlight w:val="none"/>
                    </w:rPr>
                    <w:t>t</w:t>
                  </w:r>
                </w:p>
              </w:tc>
              <w:tc>
                <w:tcPr>
                  <w:tcW w:w="616" w:type="dxa"/>
                  <w:vAlign w:val="center"/>
                </w:tcPr>
                <w:p w14:paraId="2CE2C88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27E5D77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成卷堆放</w:t>
                  </w:r>
                </w:p>
              </w:tc>
              <w:tc>
                <w:tcPr>
                  <w:tcW w:w="1020" w:type="dxa"/>
                  <w:vAlign w:val="center"/>
                </w:tcPr>
                <w:p w14:paraId="3CDE95B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玻纤布生产线</w:t>
                  </w:r>
                </w:p>
              </w:tc>
              <w:tc>
                <w:tcPr>
                  <w:tcW w:w="944" w:type="dxa"/>
                  <w:vMerge w:val="continue"/>
                  <w:vAlign w:val="center"/>
                </w:tcPr>
                <w:p w14:paraId="4B6687DC">
                  <w:pPr>
                    <w:spacing w:line="240" w:lineRule="auto"/>
                    <w:jc w:val="center"/>
                    <w:rPr>
                      <w:rFonts w:hint="default" w:ascii="Times New Roman" w:hAnsi="Times New Roman" w:cs="Times New Roman"/>
                      <w:color w:val="auto"/>
                      <w:sz w:val="21"/>
                      <w:szCs w:val="21"/>
                      <w:highlight w:val="none"/>
                    </w:rPr>
                  </w:pPr>
                </w:p>
              </w:tc>
            </w:tr>
            <w:tr w14:paraId="6A753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12FD4BB6">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3</w:t>
                  </w:r>
                </w:p>
              </w:tc>
              <w:tc>
                <w:tcPr>
                  <w:tcW w:w="1951" w:type="dxa"/>
                  <w:gridSpan w:val="3"/>
                  <w:vAlign w:val="center"/>
                </w:tcPr>
                <w:p w14:paraId="0981F218">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w:t>
                  </w:r>
                  <w:r>
                    <w:rPr>
                      <w:rFonts w:hint="default" w:ascii="Times New Roman" w:hAnsi="Times New Roman"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lang w:val="en-US" w:eastAsia="zh-CN"/>
                    </w:rPr>
                    <w:t>+GF</w:t>
                  </w:r>
                </w:p>
                <w:p w14:paraId="2ABDE31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聚酰胺纤维</w:t>
                  </w:r>
                  <w:r>
                    <w:rPr>
                      <w:rFonts w:hint="default" w:ascii="Times New Roman" w:hAnsi="Times New Roman" w:eastAsia="宋体" w:cs="Times New Roman"/>
                      <w:color w:val="auto"/>
                      <w:sz w:val="21"/>
                      <w:szCs w:val="21"/>
                      <w:highlight w:val="none"/>
                      <w:lang w:val="en-US" w:eastAsia="zh-CN"/>
                    </w:rPr>
                    <w:t>+玻璃纤维）</w:t>
                  </w:r>
                </w:p>
              </w:tc>
              <w:tc>
                <w:tcPr>
                  <w:tcW w:w="937" w:type="dxa"/>
                  <w:vAlign w:val="center"/>
                </w:tcPr>
                <w:p w14:paraId="427F459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5.25</w:t>
                  </w:r>
                </w:p>
              </w:tc>
              <w:tc>
                <w:tcPr>
                  <w:tcW w:w="780" w:type="dxa"/>
                  <w:vAlign w:val="center"/>
                </w:tcPr>
                <w:p w14:paraId="399E63B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1.5t</w:t>
                  </w:r>
                </w:p>
              </w:tc>
              <w:tc>
                <w:tcPr>
                  <w:tcW w:w="616" w:type="dxa"/>
                  <w:vAlign w:val="center"/>
                </w:tcPr>
                <w:p w14:paraId="1E5F946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1DF56A94">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25kg/袋</w:t>
                  </w:r>
                </w:p>
              </w:tc>
              <w:tc>
                <w:tcPr>
                  <w:tcW w:w="1020" w:type="dxa"/>
                  <w:vAlign w:val="center"/>
                </w:tcPr>
                <w:p w14:paraId="02AC5D13">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塑料配件生产线</w:t>
                  </w:r>
                </w:p>
              </w:tc>
              <w:tc>
                <w:tcPr>
                  <w:tcW w:w="944" w:type="dxa"/>
                  <w:vMerge w:val="continue"/>
                  <w:vAlign w:val="center"/>
                </w:tcPr>
                <w:p w14:paraId="6F2C20A1">
                  <w:pPr>
                    <w:spacing w:line="240" w:lineRule="auto"/>
                    <w:jc w:val="center"/>
                    <w:rPr>
                      <w:rFonts w:hint="default" w:ascii="Times New Roman" w:hAnsi="Times New Roman" w:cs="Times New Roman"/>
                      <w:color w:val="auto"/>
                      <w:sz w:val="21"/>
                      <w:szCs w:val="21"/>
                      <w:highlight w:val="none"/>
                    </w:rPr>
                  </w:pPr>
                </w:p>
              </w:tc>
            </w:tr>
            <w:tr w14:paraId="04248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510" w:type="dxa"/>
                  <w:vMerge w:val="restart"/>
                  <w:shd w:val="clear" w:color="auto" w:fill="auto"/>
                  <w:vAlign w:val="center"/>
                </w:tcPr>
                <w:p w14:paraId="22992537">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4</w:t>
                  </w:r>
                </w:p>
              </w:tc>
              <w:tc>
                <w:tcPr>
                  <w:tcW w:w="674" w:type="dxa"/>
                  <w:gridSpan w:val="2"/>
                  <w:vMerge w:val="restart"/>
                  <w:vAlign w:val="center"/>
                </w:tcPr>
                <w:p w14:paraId="6F9C518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塑料配件</w:t>
                  </w:r>
                </w:p>
              </w:tc>
              <w:tc>
                <w:tcPr>
                  <w:tcW w:w="1277" w:type="dxa"/>
                  <w:vAlign w:val="center"/>
                </w:tcPr>
                <w:p w14:paraId="2C31991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本项目生产</w:t>
                  </w:r>
                </w:p>
              </w:tc>
              <w:tc>
                <w:tcPr>
                  <w:tcW w:w="937" w:type="dxa"/>
                  <w:vAlign w:val="center"/>
                </w:tcPr>
                <w:p w14:paraId="37BD4C1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2.625</w:t>
                  </w:r>
                </w:p>
              </w:tc>
              <w:tc>
                <w:tcPr>
                  <w:tcW w:w="780" w:type="dxa"/>
                  <w:vMerge w:val="restart"/>
                  <w:vAlign w:val="center"/>
                </w:tcPr>
                <w:p w14:paraId="51BBC47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15t</w:t>
                  </w:r>
                </w:p>
              </w:tc>
              <w:tc>
                <w:tcPr>
                  <w:tcW w:w="616" w:type="dxa"/>
                  <w:vMerge w:val="restart"/>
                  <w:vAlign w:val="center"/>
                </w:tcPr>
                <w:p w14:paraId="035547B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Merge w:val="restart"/>
                  <w:vAlign w:val="center"/>
                </w:tcPr>
                <w:p w14:paraId="2B2ED8B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restart"/>
                  <w:vAlign w:val="center"/>
                </w:tcPr>
                <w:p w14:paraId="4EF9E33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生活用品生产线</w:t>
                  </w:r>
                </w:p>
              </w:tc>
              <w:tc>
                <w:tcPr>
                  <w:tcW w:w="944" w:type="dxa"/>
                  <w:vMerge w:val="restart"/>
                  <w:vAlign w:val="center"/>
                </w:tcPr>
                <w:p w14:paraId="046C09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5E2F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510" w:type="dxa"/>
                  <w:vMerge w:val="continue"/>
                  <w:shd w:val="clear" w:color="auto" w:fill="auto"/>
                  <w:vAlign w:val="center"/>
                </w:tcPr>
                <w:p w14:paraId="655F560D">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p>
              </w:tc>
              <w:tc>
                <w:tcPr>
                  <w:tcW w:w="674" w:type="dxa"/>
                  <w:gridSpan w:val="2"/>
                  <w:vMerge w:val="continue"/>
                  <w:vAlign w:val="center"/>
                </w:tcPr>
                <w:p w14:paraId="7F34BAED">
                  <w:pPr>
                    <w:spacing w:line="240" w:lineRule="auto"/>
                    <w:jc w:val="center"/>
                    <w:rPr>
                      <w:rFonts w:hint="default" w:ascii="Times New Roman" w:hAnsi="Times New Roman" w:cs="Times New Roman"/>
                      <w:color w:val="auto"/>
                      <w:sz w:val="21"/>
                      <w:szCs w:val="21"/>
                      <w:highlight w:val="none"/>
                      <w:lang w:val="en-US" w:eastAsia="zh-CN"/>
                    </w:rPr>
                  </w:pPr>
                </w:p>
              </w:tc>
              <w:tc>
                <w:tcPr>
                  <w:tcW w:w="1277" w:type="dxa"/>
                  <w:vAlign w:val="center"/>
                </w:tcPr>
                <w:p w14:paraId="77C34BF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定制外购</w:t>
                  </w:r>
                </w:p>
              </w:tc>
              <w:tc>
                <w:tcPr>
                  <w:tcW w:w="937" w:type="dxa"/>
                  <w:vAlign w:val="center"/>
                </w:tcPr>
                <w:p w14:paraId="36733B6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140.875</w:t>
                  </w:r>
                </w:p>
              </w:tc>
              <w:tc>
                <w:tcPr>
                  <w:tcW w:w="780" w:type="dxa"/>
                  <w:vMerge w:val="continue"/>
                  <w:vAlign w:val="center"/>
                </w:tcPr>
                <w:p w14:paraId="78DE431B">
                  <w:pPr>
                    <w:spacing w:line="240" w:lineRule="auto"/>
                    <w:jc w:val="center"/>
                    <w:rPr>
                      <w:rFonts w:hint="default" w:ascii="Times New Roman" w:hAnsi="Times New Roman" w:cs="Times New Roman"/>
                      <w:color w:val="auto"/>
                      <w:sz w:val="21"/>
                      <w:szCs w:val="21"/>
                      <w:highlight w:val="none"/>
                      <w:lang w:val="en-US" w:eastAsia="zh-CN"/>
                    </w:rPr>
                  </w:pPr>
                </w:p>
              </w:tc>
              <w:tc>
                <w:tcPr>
                  <w:tcW w:w="616" w:type="dxa"/>
                  <w:vMerge w:val="continue"/>
                  <w:vAlign w:val="center"/>
                </w:tcPr>
                <w:p w14:paraId="08214668">
                  <w:pPr>
                    <w:spacing w:line="240" w:lineRule="auto"/>
                    <w:jc w:val="center"/>
                    <w:rPr>
                      <w:rFonts w:hint="default" w:ascii="Times New Roman" w:hAnsi="Times New Roman" w:cs="Times New Roman"/>
                      <w:color w:val="auto"/>
                      <w:sz w:val="21"/>
                      <w:szCs w:val="21"/>
                      <w:highlight w:val="none"/>
                      <w:lang w:val="en-US" w:eastAsia="zh-CN"/>
                    </w:rPr>
                  </w:pPr>
                </w:p>
              </w:tc>
              <w:tc>
                <w:tcPr>
                  <w:tcW w:w="1110" w:type="dxa"/>
                  <w:vMerge w:val="continue"/>
                  <w:vAlign w:val="center"/>
                </w:tcPr>
                <w:p w14:paraId="76134E83">
                  <w:pPr>
                    <w:spacing w:line="240" w:lineRule="auto"/>
                    <w:jc w:val="center"/>
                    <w:rPr>
                      <w:rFonts w:hint="default" w:ascii="Times New Roman" w:hAnsi="Times New Roman" w:cs="Times New Roman"/>
                      <w:color w:val="auto"/>
                      <w:sz w:val="21"/>
                      <w:szCs w:val="21"/>
                      <w:highlight w:val="none"/>
                      <w:lang w:val="en-US" w:eastAsia="zh-CN"/>
                    </w:rPr>
                  </w:pPr>
                </w:p>
              </w:tc>
              <w:tc>
                <w:tcPr>
                  <w:tcW w:w="1020" w:type="dxa"/>
                  <w:vMerge w:val="continue"/>
                  <w:vAlign w:val="center"/>
                </w:tcPr>
                <w:p w14:paraId="03D34302">
                  <w:pPr>
                    <w:spacing w:line="240" w:lineRule="auto"/>
                    <w:jc w:val="center"/>
                    <w:rPr>
                      <w:rFonts w:hint="default" w:ascii="Times New Roman" w:hAnsi="Times New Roman" w:cs="Times New Roman"/>
                      <w:color w:val="auto"/>
                      <w:sz w:val="21"/>
                      <w:szCs w:val="21"/>
                      <w:highlight w:val="none"/>
                      <w:lang w:val="en-US" w:eastAsia="zh-CN"/>
                    </w:rPr>
                  </w:pPr>
                </w:p>
              </w:tc>
              <w:tc>
                <w:tcPr>
                  <w:tcW w:w="944" w:type="dxa"/>
                  <w:vMerge w:val="continue"/>
                  <w:vAlign w:val="center"/>
                </w:tcPr>
                <w:p w14:paraId="4A4D7419">
                  <w:pPr>
                    <w:spacing w:line="240" w:lineRule="auto"/>
                    <w:jc w:val="center"/>
                    <w:rPr>
                      <w:rFonts w:hint="default" w:ascii="Times New Roman" w:hAnsi="Times New Roman" w:cs="Times New Roman"/>
                      <w:color w:val="auto"/>
                      <w:sz w:val="21"/>
                      <w:szCs w:val="21"/>
                      <w:highlight w:val="none"/>
                      <w:lang w:val="en-US" w:eastAsia="zh-CN"/>
                    </w:rPr>
                  </w:pPr>
                </w:p>
              </w:tc>
            </w:tr>
            <w:tr w14:paraId="46C8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171F4AEC">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5</w:t>
                  </w:r>
                </w:p>
              </w:tc>
              <w:tc>
                <w:tcPr>
                  <w:tcW w:w="1951" w:type="dxa"/>
                  <w:gridSpan w:val="3"/>
                  <w:vAlign w:val="center"/>
                </w:tcPr>
                <w:p w14:paraId="2C99FE9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布匹（定制外购）</w:t>
                  </w:r>
                </w:p>
              </w:tc>
              <w:tc>
                <w:tcPr>
                  <w:tcW w:w="937" w:type="dxa"/>
                  <w:vAlign w:val="center"/>
                </w:tcPr>
                <w:p w14:paraId="3C167D0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122.5</w:t>
                  </w:r>
                </w:p>
              </w:tc>
              <w:tc>
                <w:tcPr>
                  <w:tcW w:w="780" w:type="dxa"/>
                  <w:vAlign w:val="center"/>
                </w:tcPr>
                <w:p w14:paraId="0AF9E0A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10t</w:t>
                  </w:r>
                </w:p>
              </w:tc>
              <w:tc>
                <w:tcPr>
                  <w:tcW w:w="616" w:type="dxa"/>
                  <w:vAlign w:val="center"/>
                </w:tcPr>
                <w:p w14:paraId="49ABB563">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0240B51B">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3798CF31">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30C694E1">
                  <w:pPr>
                    <w:spacing w:line="240" w:lineRule="auto"/>
                    <w:jc w:val="center"/>
                    <w:rPr>
                      <w:rFonts w:hint="default" w:ascii="Times New Roman" w:hAnsi="Times New Roman" w:cs="Times New Roman"/>
                      <w:color w:val="auto"/>
                      <w:sz w:val="21"/>
                      <w:szCs w:val="21"/>
                      <w:highlight w:val="none"/>
                    </w:rPr>
                  </w:pPr>
                </w:p>
              </w:tc>
            </w:tr>
            <w:tr w14:paraId="24E95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75466353">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6</w:t>
                  </w:r>
                </w:p>
              </w:tc>
              <w:tc>
                <w:tcPr>
                  <w:tcW w:w="1951" w:type="dxa"/>
                  <w:gridSpan w:val="3"/>
                  <w:vAlign w:val="center"/>
                </w:tcPr>
                <w:p w14:paraId="1BFB98D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金属配件</w:t>
                  </w:r>
                </w:p>
                <w:p w14:paraId="7334FB6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（定制外购）</w:t>
                  </w:r>
                </w:p>
              </w:tc>
              <w:tc>
                <w:tcPr>
                  <w:tcW w:w="937" w:type="dxa"/>
                  <w:vAlign w:val="center"/>
                </w:tcPr>
                <w:p w14:paraId="266E73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203</w:t>
                  </w:r>
                </w:p>
              </w:tc>
              <w:tc>
                <w:tcPr>
                  <w:tcW w:w="780" w:type="dxa"/>
                  <w:vAlign w:val="center"/>
                </w:tcPr>
                <w:p w14:paraId="4661B094">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20t</w:t>
                  </w:r>
                </w:p>
              </w:tc>
              <w:tc>
                <w:tcPr>
                  <w:tcW w:w="616" w:type="dxa"/>
                  <w:vAlign w:val="center"/>
                </w:tcPr>
                <w:p w14:paraId="372E8C9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44336CB1">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3C471501">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64ACD4F9">
                  <w:pPr>
                    <w:spacing w:line="240" w:lineRule="auto"/>
                    <w:jc w:val="center"/>
                    <w:rPr>
                      <w:rFonts w:hint="default" w:ascii="Times New Roman" w:hAnsi="Times New Roman" w:cs="Times New Roman"/>
                      <w:color w:val="auto"/>
                      <w:sz w:val="21"/>
                      <w:szCs w:val="21"/>
                      <w:highlight w:val="none"/>
                    </w:rPr>
                  </w:pPr>
                </w:p>
              </w:tc>
            </w:tr>
            <w:tr w14:paraId="0EE25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6" w:hRule="atLeast"/>
                <w:jc w:val="center"/>
              </w:trPr>
              <w:tc>
                <w:tcPr>
                  <w:tcW w:w="510" w:type="dxa"/>
                  <w:vAlign w:val="center"/>
                </w:tcPr>
                <w:p w14:paraId="5B084D02">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7</w:t>
                  </w:r>
                </w:p>
              </w:tc>
              <w:tc>
                <w:tcPr>
                  <w:tcW w:w="1951" w:type="dxa"/>
                  <w:gridSpan w:val="3"/>
                  <w:vAlign w:val="center"/>
                </w:tcPr>
                <w:p w14:paraId="33DCF38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玻璃纤维增强塑料制品（本项目生产）</w:t>
                  </w:r>
                </w:p>
              </w:tc>
              <w:tc>
                <w:tcPr>
                  <w:tcW w:w="937" w:type="dxa"/>
                  <w:vAlign w:val="center"/>
                </w:tcPr>
                <w:p w14:paraId="3DAE7C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756</w:t>
                  </w:r>
                </w:p>
              </w:tc>
              <w:tc>
                <w:tcPr>
                  <w:tcW w:w="780" w:type="dxa"/>
                  <w:vAlign w:val="center"/>
                </w:tcPr>
                <w:p w14:paraId="4EBE1078">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20t</w:t>
                  </w:r>
                </w:p>
              </w:tc>
              <w:tc>
                <w:tcPr>
                  <w:tcW w:w="616" w:type="dxa"/>
                  <w:vAlign w:val="center"/>
                </w:tcPr>
                <w:p w14:paraId="38965F79">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41C586B8">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4FE4D7D3">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27A50B5C">
                  <w:pPr>
                    <w:spacing w:line="240" w:lineRule="auto"/>
                    <w:jc w:val="center"/>
                    <w:rPr>
                      <w:rFonts w:hint="default" w:ascii="Times New Roman" w:hAnsi="Times New Roman" w:eastAsia="宋体" w:cs="Times New Roman"/>
                      <w:color w:val="auto"/>
                      <w:sz w:val="21"/>
                      <w:szCs w:val="21"/>
                      <w:highlight w:val="none"/>
                      <w:lang w:val="en-US" w:eastAsia="zh-CN"/>
                    </w:rPr>
                  </w:pPr>
                </w:p>
              </w:tc>
            </w:tr>
            <w:tr w14:paraId="2911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23BDF662">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18</w:t>
                  </w:r>
                </w:p>
              </w:tc>
              <w:tc>
                <w:tcPr>
                  <w:tcW w:w="1951" w:type="dxa"/>
                  <w:gridSpan w:val="3"/>
                  <w:vAlign w:val="center"/>
                </w:tcPr>
                <w:p w14:paraId="4D6677C2">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清洗剂</w:t>
                  </w:r>
                </w:p>
              </w:tc>
              <w:tc>
                <w:tcPr>
                  <w:tcW w:w="937" w:type="dxa"/>
                  <w:vAlign w:val="center"/>
                </w:tcPr>
                <w:p w14:paraId="2E4628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olor w:val="auto"/>
                      <w:sz w:val="21"/>
                      <w:szCs w:val="21"/>
                      <w:highlight w:val="none"/>
                      <w:lang w:val="en-US" w:eastAsia="zh-CN"/>
                    </w:rPr>
                    <w:t>0.1</w:t>
                  </w:r>
                </w:p>
              </w:tc>
              <w:tc>
                <w:tcPr>
                  <w:tcW w:w="780" w:type="dxa"/>
                  <w:vAlign w:val="center"/>
                </w:tcPr>
                <w:p w14:paraId="38F855B3">
                  <w:pPr>
                    <w:spacing w:line="240" w:lineRule="auto"/>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0.1t</w:t>
                  </w:r>
                </w:p>
              </w:tc>
              <w:tc>
                <w:tcPr>
                  <w:tcW w:w="616" w:type="dxa"/>
                  <w:vAlign w:val="center"/>
                </w:tcPr>
                <w:p w14:paraId="516AB897">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01BB691D">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5EB5AE7">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喷漆房</w:t>
                  </w:r>
                </w:p>
              </w:tc>
              <w:tc>
                <w:tcPr>
                  <w:tcW w:w="944" w:type="dxa"/>
                  <w:vAlign w:val="center"/>
                </w:tcPr>
                <w:p w14:paraId="73EFD9BB">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2CD9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6D64354F">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19</w:t>
                  </w:r>
                </w:p>
              </w:tc>
              <w:tc>
                <w:tcPr>
                  <w:tcW w:w="1951" w:type="dxa"/>
                  <w:gridSpan w:val="3"/>
                  <w:vAlign w:val="center"/>
                </w:tcPr>
                <w:p w14:paraId="6804DD01">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阻垢剂缓蚀剂</w:t>
                  </w:r>
                </w:p>
              </w:tc>
              <w:tc>
                <w:tcPr>
                  <w:tcW w:w="937" w:type="dxa"/>
                  <w:vAlign w:val="center"/>
                </w:tcPr>
                <w:p w14:paraId="764E98D8">
                  <w:pPr>
                    <w:keepNext w:val="0"/>
                    <w:keepLines w:val="0"/>
                    <w:widowControl/>
                    <w:suppressLineNumbers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0.77</w:t>
                  </w:r>
                </w:p>
              </w:tc>
              <w:tc>
                <w:tcPr>
                  <w:tcW w:w="780" w:type="dxa"/>
                  <w:vAlign w:val="center"/>
                </w:tcPr>
                <w:p w14:paraId="4AA282B1">
                  <w:pPr>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0.1t</w:t>
                  </w:r>
                </w:p>
              </w:tc>
              <w:tc>
                <w:tcPr>
                  <w:tcW w:w="616" w:type="dxa"/>
                  <w:vAlign w:val="center"/>
                </w:tcPr>
                <w:p w14:paraId="1AB9409F">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6A366BF0">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ACCEC9F">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旁流过滤</w:t>
                  </w:r>
                </w:p>
              </w:tc>
              <w:tc>
                <w:tcPr>
                  <w:tcW w:w="944" w:type="dxa"/>
                  <w:vAlign w:val="center"/>
                </w:tcPr>
                <w:p w14:paraId="2C1ACECB">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58127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55FF6A73">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20</w:t>
                  </w:r>
                </w:p>
              </w:tc>
              <w:tc>
                <w:tcPr>
                  <w:tcW w:w="1951" w:type="dxa"/>
                  <w:gridSpan w:val="3"/>
                  <w:vAlign w:val="center"/>
                </w:tcPr>
                <w:p w14:paraId="2CD07FE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杀菌剂</w:t>
                  </w:r>
                </w:p>
              </w:tc>
              <w:tc>
                <w:tcPr>
                  <w:tcW w:w="937" w:type="dxa"/>
                  <w:vAlign w:val="center"/>
                </w:tcPr>
                <w:p w14:paraId="33BC944A">
                  <w:pPr>
                    <w:keepNext w:val="0"/>
                    <w:keepLines w:val="0"/>
                    <w:widowControl/>
                    <w:suppressLineNumbers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0.1</w:t>
                  </w:r>
                </w:p>
              </w:tc>
              <w:tc>
                <w:tcPr>
                  <w:tcW w:w="780" w:type="dxa"/>
                  <w:vAlign w:val="center"/>
                </w:tcPr>
                <w:p w14:paraId="1960D649">
                  <w:pPr>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0.05</w:t>
                  </w:r>
                </w:p>
              </w:tc>
              <w:tc>
                <w:tcPr>
                  <w:tcW w:w="616" w:type="dxa"/>
                  <w:vAlign w:val="center"/>
                </w:tcPr>
                <w:p w14:paraId="6261BB10">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71D04988">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76204AF">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旁流过滤</w:t>
                  </w:r>
                </w:p>
              </w:tc>
              <w:tc>
                <w:tcPr>
                  <w:tcW w:w="944" w:type="dxa"/>
                  <w:vAlign w:val="center"/>
                </w:tcPr>
                <w:p w14:paraId="76BDE5F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76563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868" w:type="dxa"/>
                  <w:gridSpan w:val="10"/>
                  <w:vAlign w:val="center"/>
                </w:tcPr>
                <w:p w14:paraId="1E25DEA4">
                  <w:pPr>
                    <w:spacing w:line="240" w:lineRule="auto"/>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注：1、本项目浸酯工序所需原料调配比例为不饱和聚酯树脂：固化剂：色浆；碳酸钙=5.5：0.1：0.05：1.63；</w:t>
                  </w:r>
                </w:p>
                <w:p w14:paraId="565A6D23">
                  <w:pPr>
                    <w:numPr>
                      <w:ilvl w:val="0"/>
                      <w:numId w:val="8"/>
                    </w:numPr>
                    <w:spacing w:line="240" w:lineRule="auto"/>
                    <w:ind w:firstLine="420" w:firstLineChars="200"/>
                    <w:jc w:val="left"/>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生活用品生产线原辅材料中，塑料配件年使用量为143.5t，其中2.625t为本项目塑料配件生产线的50%产量，其余140.875均为外购定制产品，非本项目所生产；玻璃纤维增强塑料制品年使用量为756t，均来自本项目玻璃纤维增强塑料制品生产线的30%产能</w:t>
                  </w:r>
                  <w:r>
                    <w:rPr>
                      <w:rFonts w:hint="eastAsia" w:cs="Times New Roman"/>
                      <w:color w:val="auto"/>
                      <w:sz w:val="21"/>
                      <w:szCs w:val="21"/>
                      <w:highlight w:val="none"/>
                      <w:lang w:val="en-US" w:eastAsia="zh-CN"/>
                    </w:rPr>
                    <w:t>；</w:t>
                  </w:r>
                </w:p>
                <w:p w14:paraId="233806B9">
                  <w:pPr>
                    <w:numPr>
                      <w:ilvl w:val="0"/>
                      <w:numId w:val="8"/>
                    </w:numPr>
                    <w:spacing w:line="24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油性漆调配方案为：PU</w:t>
                  </w:r>
                  <w:r>
                    <w:rPr>
                      <w:rFonts w:hint="default" w:ascii="Times New Roman" w:hAnsi="Times New Roman" w:cs="Times New Roman"/>
                      <w:color w:val="auto"/>
                      <w:sz w:val="21"/>
                      <w:szCs w:val="21"/>
                      <w:highlight w:val="none"/>
                      <w:lang w:val="en-US" w:eastAsia="zh-CN"/>
                    </w:rPr>
                    <w:t>漆:固化剂:稀释剂=1:</w:t>
                  </w:r>
                  <w:r>
                    <w:rPr>
                      <w:rFonts w:hint="eastAsia" w:cs="Times New Roman"/>
                      <w:color w:val="auto"/>
                      <w:sz w:val="21"/>
                      <w:szCs w:val="21"/>
                      <w:highlight w:val="none"/>
                      <w:lang w:val="en-US" w:eastAsia="zh-CN"/>
                    </w:rPr>
                    <w:t>02</w:t>
                  </w:r>
                  <w:r>
                    <w:rPr>
                      <w:rFonts w:hint="default" w:ascii="Times New Roman" w:hAnsi="Times New Roman" w:cs="Times New Roman"/>
                      <w:color w:val="auto"/>
                      <w:sz w:val="21"/>
                      <w:szCs w:val="21"/>
                      <w:highlight w:val="none"/>
                      <w:lang w:val="en-US" w:eastAsia="zh-CN"/>
                    </w:rPr>
                    <w:t>。</w:t>
                  </w:r>
                </w:p>
              </w:tc>
            </w:tr>
          </w:tbl>
          <w:p w14:paraId="668CD057">
            <w:pPr>
              <w:pStyle w:val="21"/>
              <w:numPr>
                <w:ilvl w:val="4"/>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（2）原辅材料理化性质</w:t>
            </w:r>
          </w:p>
          <w:p w14:paraId="67B0140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6</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原辅材料性质一览表</w:t>
            </w:r>
          </w:p>
          <w:tbl>
            <w:tblPr>
              <w:tblStyle w:val="4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76"/>
              <w:gridCol w:w="2031"/>
              <w:gridCol w:w="4838"/>
            </w:tblGrid>
            <w:tr w14:paraId="23F658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6CF1C5C">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294" w:type="pct"/>
                  <w:vAlign w:val="center"/>
                </w:tcPr>
                <w:p w14:paraId="27A0A00E">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成分</w:t>
                  </w:r>
                </w:p>
              </w:tc>
              <w:tc>
                <w:tcPr>
                  <w:tcW w:w="3083" w:type="pct"/>
                  <w:vAlign w:val="center"/>
                </w:tcPr>
                <w:p w14:paraId="3F06C4D0">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理化性质/简介</w:t>
                  </w:r>
                </w:p>
              </w:tc>
            </w:tr>
            <w:tr w14:paraId="29D2B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1FA0259">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玻璃纤维</w:t>
                  </w:r>
                </w:p>
              </w:tc>
              <w:tc>
                <w:tcPr>
                  <w:tcW w:w="1294" w:type="pct"/>
                  <w:vAlign w:val="center"/>
                </w:tcPr>
                <w:p w14:paraId="0DCC966A">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w:t>
                  </w:r>
                </w:p>
                <w:p w14:paraId="21835FF1">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（GF）</w:t>
                  </w:r>
                </w:p>
              </w:tc>
              <w:tc>
                <w:tcPr>
                  <w:tcW w:w="3083" w:type="pct"/>
                  <w:vAlign w:val="center"/>
                </w:tcPr>
                <w:p w14:paraId="4EE40433">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玻璃纤维纱</w:t>
                  </w:r>
                  <w:r>
                    <w:rPr>
                      <w:rFonts w:hint="default" w:ascii="Times New Roman" w:hAnsi="Times New Roman" w:cs="Times New Roman"/>
                      <w:color w:val="auto"/>
                      <w:sz w:val="21"/>
                      <w:szCs w:val="21"/>
                      <w:highlight w:val="none"/>
                      <w:lang w:val="en-US" w:eastAsia="zh-CN"/>
                    </w:rPr>
                    <w:t>作为强化塑料的补强材料应用时，最大的特征是抗拉强度大。主要由二氧化硅、三氧化铝、氯化钙氧化镁、二氧化钛、氧化锌、碱等组成。抗拉强度在标准状态下是6.3~6.9g/d，湿润状态5.4~5.8g/d。耐热性好，温度达300℃时对强度</w:t>
                  </w:r>
                  <w:r>
                    <w:rPr>
                      <w:rFonts w:hint="eastAsia" w:cs="Times New Roman"/>
                      <w:color w:val="auto"/>
                      <w:sz w:val="21"/>
                      <w:szCs w:val="21"/>
                      <w:highlight w:val="none"/>
                      <w:lang w:val="en-US" w:eastAsia="zh-CN"/>
                    </w:rPr>
                    <w:t>没有</w:t>
                  </w:r>
                  <w:r>
                    <w:rPr>
                      <w:rFonts w:hint="default" w:ascii="Times New Roman" w:hAnsi="Times New Roman" w:cs="Times New Roman"/>
                      <w:color w:val="auto"/>
                      <w:sz w:val="21"/>
                      <w:szCs w:val="21"/>
                      <w:highlight w:val="none"/>
                      <w:lang w:val="en-US" w:eastAsia="zh-CN"/>
                    </w:rPr>
                    <w:t>影响。具有优异的电绝缘性，是高级的电绝缘材料，也用于绝热材料的防火屏蔽材料，一般制备浓碱、氢氟酸和浓磷酸腐蚀。</w:t>
                  </w:r>
                </w:p>
              </w:tc>
            </w:tr>
            <w:tr w14:paraId="40737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76149DE">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1294" w:type="pct"/>
                  <w:vAlign w:val="center"/>
                </w:tcPr>
                <w:p w14:paraId="68CB4DCF">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聚酯6</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w:t>
                  </w:r>
                </w:p>
                <w:p w14:paraId="602956B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苯乙烯3</w:t>
                  </w: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p>
              </w:tc>
              <w:tc>
                <w:tcPr>
                  <w:tcW w:w="3083" w:type="pct"/>
                  <w:vAlign w:val="center"/>
                </w:tcPr>
                <w:p w14:paraId="2552EE86">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淡黄色</w:t>
                  </w:r>
                  <w:r>
                    <w:rPr>
                      <w:rFonts w:hint="eastAsia" w:cs="Times New Roman"/>
                      <w:color w:val="auto"/>
                      <w:sz w:val="21"/>
                      <w:szCs w:val="21"/>
                      <w:highlight w:val="none"/>
                      <w:lang w:val="en-US" w:eastAsia="zh-CN"/>
                    </w:rPr>
                    <w:t>透明</w:t>
                  </w:r>
                  <w:r>
                    <w:rPr>
                      <w:rFonts w:hint="default" w:ascii="Times New Roman" w:hAnsi="Times New Roman" w:eastAsia="宋体" w:cs="Times New Roman"/>
                      <w:color w:val="auto"/>
                      <w:sz w:val="21"/>
                      <w:szCs w:val="21"/>
                      <w:highlight w:val="none"/>
                    </w:rPr>
                    <w:t>液体，相对密度</w:t>
                  </w:r>
                  <w:r>
                    <w:rPr>
                      <w:rFonts w:hint="default" w:ascii="Times New Roman" w:hAnsi="Times New Roman" w:eastAsia="宋体" w:cs="Times New Roman"/>
                      <w:color w:val="auto"/>
                      <w:sz w:val="21"/>
                      <w:szCs w:val="21"/>
                      <w:highlight w:val="none"/>
                      <w:lang w:val="en-US" w:eastAsia="zh-CN"/>
                    </w:rPr>
                    <w:t>在</w:t>
                  </w:r>
                  <w:r>
                    <w:rPr>
                      <w:rFonts w:hint="default" w:ascii="Times New Roman" w:hAnsi="Times New Roman" w:eastAsia="宋体" w:cs="Times New Roman"/>
                      <w:color w:val="auto"/>
                      <w:sz w:val="21"/>
                      <w:szCs w:val="21"/>
                      <w:highlight w:val="none"/>
                    </w:rPr>
                    <w:t>1.10</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左右，沸点14</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℃，闪点</w:t>
                  </w:r>
                  <w:r>
                    <w:rPr>
                      <w:rFonts w:hint="eastAsia" w:cs="Times New Roman"/>
                      <w:color w:val="auto"/>
                      <w:sz w:val="21"/>
                      <w:szCs w:val="21"/>
                      <w:highlight w:val="none"/>
                      <w:lang w:val="en-US" w:eastAsia="zh-CN"/>
                    </w:rPr>
                    <w:t>31~32</w:t>
                  </w:r>
                  <w:r>
                    <w:rPr>
                      <w:rFonts w:hint="default" w:ascii="Times New Roman" w:hAnsi="Times New Roman" w:eastAsia="宋体" w:cs="Times New Roman"/>
                      <w:color w:val="auto"/>
                      <w:sz w:val="21"/>
                      <w:szCs w:val="21"/>
                      <w:highlight w:val="none"/>
                    </w:rPr>
                    <w:t>℃，饱和蒸汽压</w:t>
                  </w:r>
                  <w:r>
                    <w:rPr>
                      <w:rFonts w:hint="eastAsia" w:cs="Times New Roman"/>
                      <w:color w:val="auto"/>
                      <w:sz w:val="21"/>
                      <w:szCs w:val="21"/>
                      <w:highlight w:val="none"/>
                      <w:lang w:val="en-US" w:eastAsia="zh-CN"/>
                    </w:rPr>
                    <w:t>0.6</w:t>
                  </w:r>
                  <w:r>
                    <w:rPr>
                      <w:rFonts w:hint="default" w:ascii="Times New Roman" w:hAnsi="Times New Roman" w:eastAsia="宋体" w:cs="Times New Roman"/>
                      <w:color w:val="auto"/>
                      <w:sz w:val="21"/>
                      <w:szCs w:val="21"/>
                      <w:highlight w:val="none"/>
                    </w:rPr>
                    <w:t>kPa；不溶于水，溶于丙酮等多种溶剂</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常温下稳定</w:t>
                  </w:r>
                  <w:r>
                    <w:rPr>
                      <w:rFonts w:hint="default" w:ascii="Times New Roman" w:hAnsi="Times New Roman" w:eastAsia="宋体" w:cs="Times New Roman"/>
                      <w:color w:val="auto"/>
                      <w:sz w:val="21"/>
                      <w:szCs w:val="21"/>
                      <w:highlight w:val="none"/>
                    </w:rPr>
                    <w:t>；力学热能：较高的拉伸、弯曲等强度。</w:t>
                  </w:r>
                </w:p>
              </w:tc>
            </w:tr>
            <w:tr w14:paraId="7B1C4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584B213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固化剂</w:t>
                  </w:r>
                </w:p>
              </w:tc>
              <w:tc>
                <w:tcPr>
                  <w:tcW w:w="1294" w:type="pct"/>
                  <w:vAlign w:val="center"/>
                </w:tcPr>
                <w:p w14:paraId="2FF8C1B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过氧化苯甲酸叔丁酯</w:t>
                  </w:r>
                </w:p>
              </w:tc>
              <w:tc>
                <w:tcPr>
                  <w:tcW w:w="3083" w:type="pct"/>
                  <w:vAlign w:val="center"/>
                </w:tcPr>
                <w:p w14:paraId="7EDED988">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CAS号：</w:t>
                  </w:r>
                  <w:r>
                    <w:rPr>
                      <w:rFonts w:hint="default" w:ascii="Times New Roman" w:hAnsi="Times New Roman" w:eastAsia="宋体" w:cs="Times New Roman"/>
                      <w:color w:val="auto"/>
                      <w:sz w:val="21"/>
                      <w:szCs w:val="21"/>
                      <w:highlight w:val="none"/>
                      <w:lang w:val="en-US" w:eastAsia="zh-CN"/>
                    </w:rPr>
                    <w:t>614-45-9</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相对密度</w:t>
                  </w:r>
                  <w:r>
                    <w:rPr>
                      <w:rFonts w:hint="default" w:ascii="Times New Roman" w:hAnsi="Times New Roman" w:eastAsia="宋体" w:cs="Times New Roman"/>
                      <w:color w:val="auto"/>
                      <w:sz w:val="21"/>
                      <w:szCs w:val="21"/>
                      <w:highlight w:val="none"/>
                    </w:rPr>
                    <w:t>1.04g/cm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淡黄色透明液体，有微弱气味。熔点</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闪</w:t>
                  </w:r>
                  <w:r>
                    <w:rPr>
                      <w:rFonts w:hint="default" w:ascii="Times New Roman" w:hAnsi="Times New Roman" w:eastAsia="宋体" w:cs="Times New Roman"/>
                      <w:color w:val="auto"/>
                      <w:sz w:val="21"/>
                      <w:szCs w:val="21"/>
                      <w:highlight w:val="none"/>
                    </w:rPr>
                    <w:t>点</w:t>
                  </w:r>
                  <w:r>
                    <w:rPr>
                      <w:rFonts w:hint="default" w:ascii="Times New Roman" w:hAnsi="Times New Roman" w:eastAsia="宋体" w:cs="Times New Roman"/>
                      <w:color w:val="auto"/>
                      <w:sz w:val="21"/>
                      <w:szCs w:val="21"/>
                      <w:highlight w:val="none"/>
                      <w:lang w:val="en-US" w:eastAsia="zh-CN"/>
                    </w:rPr>
                    <w:t>96</w:t>
                  </w:r>
                  <w:r>
                    <w:rPr>
                      <w:rFonts w:hint="default" w:ascii="Times New Roman" w:hAnsi="Times New Roman" w:eastAsia="宋体" w:cs="Times New Roman"/>
                      <w:color w:val="auto"/>
                      <w:sz w:val="21"/>
                      <w:szCs w:val="21"/>
                      <w:highlight w:val="none"/>
                    </w:rPr>
                    <w:t>℃，不会发生聚合作用。当温度等于或高于自加速分解温度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SADT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60℃时，发生的热分解可能会产生危险的自加速分解反应，而且在某些情况下会导致爆炸或火灾</w:t>
                  </w:r>
                </w:p>
              </w:tc>
            </w:tr>
            <w:tr w14:paraId="18821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C42A90C">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色浆</w:t>
                  </w:r>
                </w:p>
              </w:tc>
              <w:tc>
                <w:tcPr>
                  <w:tcW w:w="1294" w:type="pct"/>
                  <w:vAlign w:val="center"/>
                </w:tcPr>
                <w:p w14:paraId="51327704">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有机硅硅</w:t>
                  </w:r>
                  <w:r>
                    <w:rPr>
                      <w:rFonts w:hint="default" w:ascii="Times New Roman" w:hAnsi="Times New Roman" w:cs="Times New Roman"/>
                      <w:color w:val="auto"/>
                      <w:sz w:val="21"/>
                      <w:szCs w:val="21"/>
                      <w:highlight w:val="none"/>
                    </w:rPr>
                    <w:t>树脂55%</w:t>
                  </w:r>
                </w:p>
                <w:p w14:paraId="2301590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颜料粉45%</w:t>
                  </w:r>
                </w:p>
              </w:tc>
              <w:tc>
                <w:tcPr>
                  <w:tcW w:w="3083" w:type="pct"/>
                  <w:vAlign w:val="center"/>
                </w:tcPr>
                <w:p w14:paraId="549A9215">
                  <w:pPr>
                    <w:pStyle w:val="60"/>
                    <w:rPr>
                      <w:rFonts w:hint="default" w:ascii="Times New Roman" w:hAnsi="Times New Roman" w:cs="Times New Roman"/>
                      <w:color w:val="auto"/>
                      <w:sz w:val="21"/>
                      <w:szCs w:val="21"/>
                      <w:highlight w:val="none"/>
                      <w:lang w:val="en-US"/>
                    </w:rPr>
                  </w:pPr>
                  <w:r>
                    <w:rPr>
                      <w:rFonts w:hint="eastAsia" w:cs="Times New Roman"/>
                      <w:color w:val="auto"/>
                      <w:szCs w:val="21"/>
                      <w:highlight w:val="none"/>
                      <w:lang w:val="en-US" w:eastAsia="zh-CN"/>
                    </w:rPr>
                    <w:t>液态状物，无味、无熔点和沸点。不溶于水、乙醇，但溶于苯、甲苯、二甲苯和汽油中；在加热、辐照或过氧化物作用下会发生交联反应，在酸、碱作用下会发生解聚反应，在明火中会发生燃烧反应</w:t>
                  </w:r>
                </w:p>
              </w:tc>
            </w:tr>
            <w:tr w14:paraId="5FFEC6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40AEB69F">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碳酸钙</w:t>
                  </w:r>
                </w:p>
              </w:tc>
              <w:tc>
                <w:tcPr>
                  <w:tcW w:w="1294" w:type="pct"/>
                  <w:vAlign w:val="center"/>
                </w:tcPr>
                <w:p w14:paraId="63363941">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碳酸钙</w:t>
                  </w:r>
                </w:p>
                <w:p w14:paraId="79BB942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（滑石粉）</w:t>
                  </w:r>
                </w:p>
              </w:tc>
              <w:tc>
                <w:tcPr>
                  <w:tcW w:w="3083" w:type="pct"/>
                  <w:vAlign w:val="center"/>
                </w:tcPr>
                <w:p w14:paraId="71B986D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常称滑石粉，</w:t>
                  </w:r>
                  <w:r>
                    <w:rPr>
                      <w:rFonts w:hint="default" w:ascii="Times New Roman" w:hAnsi="Times New Roman" w:cs="Times New Roman"/>
                      <w:color w:val="auto"/>
                      <w:sz w:val="21"/>
                      <w:szCs w:val="21"/>
                      <w:highlight w:val="none"/>
                    </w:rPr>
                    <w:t>CAS号：14807-96-6，白色或类白色、微细、无砂性的粉末，手摸有油腻感。无臭，无味。主要成分是滑石含水的硅酸镁，硬度1，比重2.7～2.8。本品在水、稀矿酸或稀氢氧化碱溶液中均不溶解。具有润滑性、抗黏、助流、耐火性、抗酸性、绝缘性、熔点高、化学性不活泼、遮盖力良好、柔软、光泽好、吸附力强等优良的物理、化学特性。</w:t>
                  </w:r>
                </w:p>
              </w:tc>
            </w:tr>
            <w:tr w14:paraId="6B2021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4BA5C5B">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水性脱模剂</w:t>
                  </w:r>
                </w:p>
              </w:tc>
              <w:tc>
                <w:tcPr>
                  <w:tcW w:w="1294" w:type="pct"/>
                  <w:vAlign w:val="center"/>
                </w:tcPr>
                <w:p w14:paraId="632A14E4">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改性硅油32%</w:t>
                  </w:r>
                </w:p>
                <w:p w14:paraId="7A68597E">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有机合成酯8%</w:t>
                  </w:r>
                </w:p>
                <w:p w14:paraId="0376AD21">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氧化聚乙烯蜡17%</w:t>
                  </w:r>
                </w:p>
                <w:p w14:paraId="16F08C2F">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其他添加剂1.5%</w:t>
                  </w:r>
                </w:p>
                <w:p w14:paraId="2A28E6C1">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水39%</w:t>
                  </w:r>
                </w:p>
                <w:p w14:paraId="51B95264">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Cs w:val="21"/>
                      <w:highlight w:val="none"/>
                    </w:rPr>
                    <w:t>乳化剂2.5%</w:t>
                  </w:r>
                </w:p>
              </w:tc>
              <w:tc>
                <w:tcPr>
                  <w:tcW w:w="3083" w:type="pct"/>
                  <w:vAlign w:val="center"/>
                </w:tcPr>
                <w:p w14:paraId="7C1D9BC1">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Cs w:val="21"/>
                      <w:highlight w:val="none"/>
                    </w:rPr>
                    <w:t>乳白色液体，无气味。溶于水，不</w:t>
                  </w:r>
                  <w:r>
                    <w:rPr>
                      <w:rFonts w:hint="eastAsia" w:cs="Times New Roman"/>
                      <w:color w:val="auto"/>
                      <w:szCs w:val="21"/>
                      <w:highlight w:val="none"/>
                      <w:lang w:val="en-US" w:eastAsia="zh-CN"/>
                    </w:rPr>
                    <w:t>燃</w:t>
                  </w:r>
                  <w:r>
                    <w:rPr>
                      <w:rFonts w:hint="default" w:ascii="Times New Roman" w:hAnsi="Times New Roman" w:eastAsia="宋体" w:cs="Times New Roman"/>
                      <w:color w:val="auto"/>
                      <w:szCs w:val="21"/>
                      <w:highlight w:val="none"/>
                    </w:rPr>
                    <w:t>。常态下稳定，应避免与高挥发溶剂（强酸/强碱）混合。正常情况下使用，无有毒有害物质产生。</w:t>
                  </w:r>
                </w:p>
              </w:tc>
            </w:tr>
            <w:tr w14:paraId="7EFBE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4A267F2F">
                  <w:pPr>
                    <w:spacing w:line="240" w:lineRule="auto"/>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聚酰胺纤维</w:t>
                  </w:r>
                </w:p>
              </w:tc>
              <w:tc>
                <w:tcPr>
                  <w:tcW w:w="1294" w:type="pct"/>
                  <w:vAlign w:val="center"/>
                </w:tcPr>
                <w:p w14:paraId="61DBD34A">
                  <w:pPr>
                    <w:pStyle w:val="6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聚酰胺纤维</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PA</w:t>
                  </w:r>
                  <w:r>
                    <w:rPr>
                      <w:rFonts w:hint="default" w:ascii="Times New Roman" w:hAnsi="Times New Roman" w:cs="Times New Roman"/>
                      <w:color w:val="auto"/>
                      <w:sz w:val="21"/>
                      <w:szCs w:val="21"/>
                      <w:highlight w:val="none"/>
                      <w:lang w:val="en-US" w:eastAsia="zh-CN"/>
                    </w:rPr>
                    <w:t>）</w:t>
                  </w:r>
                </w:p>
              </w:tc>
              <w:tc>
                <w:tcPr>
                  <w:tcW w:w="3083" w:type="pct"/>
                  <w:vAlign w:val="center"/>
                </w:tcPr>
                <w:p w14:paraId="16CFD47F">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聚酰胺纤维俗称尼龙（Nylon），英文名称Polyamide（简称PA），密度1.15g/cm</w:t>
                  </w:r>
                  <w:r>
                    <w:rPr>
                      <w:rFonts w:hint="default" w:ascii="Times New Roman" w:hAnsi="Times New Roman" w:cs="Times New Roman"/>
                      <w:color w:val="auto"/>
                      <w:szCs w:val="21"/>
                      <w:highlight w:val="none"/>
                      <w:vertAlign w:val="superscript"/>
                    </w:rPr>
                    <w:t>3</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是分子主链上含有重复酰胺基团—[NHCO]—的热塑性树脂总称。包括脂肪族PA，脂肪—芳香族PA和芳香族PA。其中，脂肪族PA品种多，产量大，应用广泛，其命名由合成单体具体的碳原子数而定。是美国著名化学家卡罗瑟斯和他的科研小组发明的，可制成长纤或短纤</w:t>
                  </w:r>
                  <w:r>
                    <w:rPr>
                      <w:rFonts w:hint="eastAsia" w:cs="Times New Roman"/>
                      <w:color w:val="auto"/>
                      <w:szCs w:val="21"/>
                      <w:highlight w:val="none"/>
                      <w:lang w:eastAsia="zh-CN"/>
                    </w:rPr>
                    <w:t>，</w:t>
                  </w:r>
                  <w:r>
                    <w:rPr>
                      <w:rFonts w:hint="eastAsia" w:cs="Times New Roman"/>
                      <w:color w:val="auto"/>
                      <w:szCs w:val="21"/>
                      <w:highlight w:val="none"/>
                      <w:lang w:val="en-US" w:eastAsia="zh-CN"/>
                    </w:rPr>
                    <w:t>在本项目中与玻璃纤维（GF）混合使用，作为塑料配件生产原料</w:t>
                  </w:r>
                </w:p>
              </w:tc>
            </w:tr>
            <w:tr w14:paraId="7F1B1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74CF3148">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碳纤维预浸料</w:t>
                  </w:r>
                </w:p>
              </w:tc>
              <w:tc>
                <w:tcPr>
                  <w:tcW w:w="1294" w:type="pct"/>
                  <w:vAlign w:val="center"/>
                </w:tcPr>
                <w:p w14:paraId="696FDFA2">
                  <w:pPr>
                    <w:pStyle w:val="60"/>
                    <w:rPr>
                      <w:rFonts w:hint="default" w:eastAsia="宋体"/>
                      <w:color w:val="auto"/>
                      <w:sz w:val="21"/>
                      <w:szCs w:val="21"/>
                      <w:highlight w:val="none"/>
                      <w:lang w:val="en-US" w:eastAsia="zh-CN"/>
                    </w:rPr>
                  </w:pPr>
                  <w:r>
                    <w:rPr>
                      <w:rFonts w:hint="eastAsia"/>
                      <w:color w:val="auto"/>
                      <w:highlight w:val="none"/>
                      <w:lang w:val="en-US" w:eastAsia="zh-CN"/>
                    </w:rPr>
                    <w:t>碳纤维编织布62%，环氧树脂38%</w:t>
                  </w:r>
                </w:p>
              </w:tc>
              <w:tc>
                <w:tcPr>
                  <w:tcW w:w="3083" w:type="pct"/>
                  <w:vAlign w:val="center"/>
                </w:tcPr>
                <w:p w14:paraId="0FA1E218">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物理性质</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形态：柔性片状材料，可按设计裁剪、弯曲成型。面密度： 2</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4 g/㎡。固化前状态：具有一定粘性，便于铺贴操作；在常温下需冷藏保存以延长保质期。固化后性能：密度约 1.5~1.6 g/cm³</w:t>
                  </w:r>
                </w:p>
                <w:p w14:paraId="67DFE2E4">
                  <w:pPr>
                    <w:pStyle w:val="60"/>
                    <w:rPr>
                      <w:rFonts w:hint="eastAsia" w:cs="Times New Roman"/>
                      <w:color w:val="auto"/>
                      <w:szCs w:val="21"/>
                      <w:highlight w:val="none"/>
                      <w:lang w:eastAsia="zh-CN"/>
                    </w:rPr>
                  </w:pPr>
                  <w:r>
                    <w:rPr>
                      <w:rFonts w:hint="default" w:ascii="Times New Roman" w:hAnsi="Times New Roman" w:cs="Times New Roman"/>
                      <w:color w:val="auto"/>
                      <w:szCs w:val="21"/>
                      <w:highlight w:val="none"/>
                    </w:rPr>
                    <w:t>抗拉强度可达 1500~3000 MPa</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兼具高强度、高模量与轻量化特性</w:t>
                  </w:r>
                  <w:r>
                    <w:rPr>
                      <w:rFonts w:hint="eastAsia" w:cs="Times New Roman"/>
                      <w:color w:val="auto"/>
                      <w:szCs w:val="21"/>
                      <w:highlight w:val="none"/>
                      <w:lang w:eastAsia="zh-CN"/>
                    </w:rPr>
                    <w:t>。</w:t>
                  </w:r>
                </w:p>
                <w:p w14:paraId="79BADC0A">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化学性质</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固化反应：在 120~150℃的加热条件下，环氧树脂会与固化剂（如双氰胺）发生交联反应，形成三维网状结构，使预浸布固化为刚性复合材料。</w:t>
                  </w:r>
                </w:p>
                <w:p w14:paraId="17BD8C48">
                  <w:pPr>
                    <w:pStyle w:val="6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挥发物：固化过程中，树脂内残留的少量溶剂（如丙酮）会挥发，形成 VOCs。耐腐蚀性：固化后的复合材料继承了碳纤维和环氧树脂的耐化学腐蚀特性，可在多数酸碱环境下长期使用。</w:t>
                  </w:r>
                </w:p>
              </w:tc>
            </w:tr>
            <w:tr w14:paraId="5D2BB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63BCDC6D">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PU漆</w:t>
                  </w:r>
                </w:p>
              </w:tc>
              <w:tc>
                <w:tcPr>
                  <w:tcW w:w="1294" w:type="pct"/>
                  <w:vAlign w:val="center"/>
                </w:tcPr>
                <w:p w14:paraId="26A078E9">
                  <w:pPr>
                    <w:pStyle w:val="60"/>
                    <w:rPr>
                      <w:rFonts w:hint="eastAsia"/>
                      <w:color w:val="auto"/>
                      <w:highlight w:val="none"/>
                      <w:lang w:val="en-US" w:eastAsia="zh-CN"/>
                    </w:rPr>
                  </w:pPr>
                  <w:r>
                    <w:rPr>
                      <w:rFonts w:hint="eastAsia"/>
                      <w:color w:val="auto"/>
                      <w:highlight w:val="none"/>
                      <w:lang w:val="en-US" w:eastAsia="zh-CN"/>
                    </w:rPr>
                    <w:t>羟基丙烯酸树脂40%~60%</w:t>
                  </w:r>
                </w:p>
                <w:p w14:paraId="320D1DAC">
                  <w:pPr>
                    <w:pStyle w:val="60"/>
                    <w:rPr>
                      <w:rFonts w:hint="eastAsia"/>
                      <w:color w:val="auto"/>
                      <w:highlight w:val="none"/>
                      <w:lang w:val="en-US" w:eastAsia="zh-CN"/>
                    </w:rPr>
                  </w:pPr>
                  <w:r>
                    <w:rPr>
                      <w:rFonts w:hint="eastAsia"/>
                      <w:color w:val="auto"/>
                      <w:highlight w:val="none"/>
                      <w:lang w:val="en-US" w:eastAsia="zh-CN"/>
                    </w:rPr>
                    <w:t>二甲苯3%~8%</w:t>
                  </w:r>
                </w:p>
                <w:p w14:paraId="12C32DB0">
                  <w:pPr>
                    <w:pStyle w:val="60"/>
                    <w:rPr>
                      <w:rFonts w:hint="eastAsia"/>
                      <w:color w:val="auto"/>
                      <w:highlight w:val="none"/>
                      <w:lang w:val="en-US" w:eastAsia="zh-CN"/>
                    </w:rPr>
                  </w:pPr>
                  <w:r>
                    <w:rPr>
                      <w:rFonts w:hint="eastAsia"/>
                      <w:color w:val="auto"/>
                      <w:highlight w:val="none"/>
                      <w:lang w:val="en-US" w:eastAsia="zh-CN"/>
                    </w:rPr>
                    <w:t>醋酸丁酯1%~5%</w:t>
                  </w:r>
                </w:p>
                <w:p w14:paraId="55B076DF">
                  <w:pPr>
                    <w:pStyle w:val="60"/>
                    <w:rPr>
                      <w:rFonts w:hint="eastAsia"/>
                      <w:color w:val="auto"/>
                      <w:highlight w:val="none"/>
                      <w:lang w:val="en-US" w:eastAsia="zh-CN"/>
                    </w:rPr>
                  </w:pPr>
                  <w:r>
                    <w:rPr>
                      <w:rFonts w:hint="eastAsia"/>
                      <w:color w:val="auto"/>
                      <w:highlight w:val="none"/>
                      <w:lang w:val="en-US" w:eastAsia="zh-CN"/>
                    </w:rPr>
                    <w:t>钛白粉15%~30%</w:t>
                  </w:r>
                </w:p>
              </w:tc>
              <w:tc>
                <w:tcPr>
                  <w:tcW w:w="3083" w:type="pct"/>
                  <w:vAlign w:val="center"/>
                </w:tcPr>
                <w:p w14:paraId="41D7C6DA">
                  <w:pPr>
                    <w:pStyle w:val="60"/>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相对密度:1.35±0.05，危险特征:遇明火/火花/高热可引发强烈燃烧；密闭空间内，挥发溶剂与空气混合可能形成爆炸性混合物，遇明火或火花可引发爆炸;本品经喷涂施工产生大量漆雾，遇明火/火花/高热可能导致爆燃或爆炸。</w:t>
                  </w:r>
                </w:p>
              </w:tc>
            </w:tr>
            <w:tr w14:paraId="62E4F7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36664732">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PU漆固化剂</w:t>
                  </w:r>
                </w:p>
              </w:tc>
              <w:tc>
                <w:tcPr>
                  <w:tcW w:w="1294" w:type="pct"/>
                  <w:vAlign w:val="center"/>
                </w:tcPr>
                <w:p w14:paraId="3050B1B2">
                  <w:pPr>
                    <w:pStyle w:val="60"/>
                    <w:rPr>
                      <w:rFonts w:hint="eastAsia"/>
                      <w:color w:val="auto"/>
                      <w:highlight w:val="none"/>
                      <w:lang w:val="en-US" w:eastAsia="zh-CN"/>
                    </w:rPr>
                  </w:pPr>
                  <w:r>
                    <w:rPr>
                      <w:rFonts w:hint="eastAsia"/>
                      <w:color w:val="auto"/>
                      <w:highlight w:val="none"/>
                      <w:lang w:val="en-US" w:eastAsia="zh-CN"/>
                    </w:rPr>
                    <w:t>六亚甲基二异氰酸酯70%~100%</w:t>
                  </w:r>
                </w:p>
                <w:p w14:paraId="5DFE2E93">
                  <w:pPr>
                    <w:pStyle w:val="60"/>
                    <w:rPr>
                      <w:rFonts w:hint="eastAsia"/>
                      <w:color w:val="auto"/>
                      <w:highlight w:val="none"/>
                      <w:lang w:val="en-US" w:eastAsia="zh-CN"/>
                    </w:rPr>
                  </w:pPr>
                  <w:r>
                    <w:rPr>
                      <w:rFonts w:hint="eastAsia"/>
                      <w:color w:val="auto"/>
                      <w:highlight w:val="none"/>
                      <w:lang w:val="en-US" w:eastAsia="zh-CN"/>
                    </w:rPr>
                    <w:t>醋酸丁酯5%~25%</w:t>
                  </w:r>
                </w:p>
              </w:tc>
              <w:tc>
                <w:tcPr>
                  <w:tcW w:w="3083" w:type="pct"/>
                  <w:vAlign w:val="center"/>
                </w:tcPr>
                <w:p w14:paraId="65E3D2D1">
                  <w:pPr>
                    <w:pStyle w:val="60"/>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相对密度:1.0±0.05，遇明火/火花/高热可引发强烈燃烧；密闭空间内，挥发溶剂与空气混合可能形成爆炸性混合物，遇明火或火花可引发爆炸;本品经喷涂施工产生大量漆雾，遇明火/火花/高热可能导致爆燃或爆炸。</w:t>
                  </w:r>
                </w:p>
              </w:tc>
            </w:tr>
            <w:tr w14:paraId="09C0EB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309B9154">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水性漆</w:t>
                  </w:r>
                </w:p>
              </w:tc>
              <w:tc>
                <w:tcPr>
                  <w:tcW w:w="1294" w:type="pct"/>
                  <w:vAlign w:val="center"/>
                </w:tcPr>
                <w:p w14:paraId="20E40C47">
                  <w:pPr>
                    <w:pStyle w:val="60"/>
                    <w:rPr>
                      <w:rFonts w:hint="eastAsia" w:eastAsia="宋体"/>
                      <w:color w:val="auto"/>
                      <w:highlight w:val="none"/>
                      <w:lang w:val="en-US" w:eastAsia="zh-CN"/>
                    </w:rPr>
                  </w:pPr>
                  <w:r>
                    <w:rPr>
                      <w:rFonts w:hint="eastAsia" w:eastAsia="宋体"/>
                      <w:color w:val="auto"/>
                      <w:highlight w:val="none"/>
                      <w:lang w:val="en-US" w:eastAsia="zh-CN"/>
                    </w:rPr>
                    <w:t>水性丙烯酸乳液35%</w:t>
                  </w:r>
                </w:p>
                <w:p w14:paraId="74AE5F5D">
                  <w:pPr>
                    <w:pStyle w:val="60"/>
                    <w:rPr>
                      <w:rFonts w:hint="eastAsia" w:eastAsia="宋体"/>
                      <w:color w:val="auto"/>
                      <w:highlight w:val="none"/>
                      <w:lang w:val="en-US" w:eastAsia="zh-CN"/>
                    </w:rPr>
                  </w:pPr>
                  <w:r>
                    <w:rPr>
                      <w:rFonts w:hint="eastAsia" w:eastAsia="宋体"/>
                      <w:color w:val="auto"/>
                      <w:highlight w:val="none"/>
                      <w:lang w:val="en-US" w:eastAsia="zh-CN"/>
                    </w:rPr>
                    <w:t>水性聚氨酯乳液25%</w:t>
                  </w:r>
                </w:p>
                <w:p w14:paraId="025D6722">
                  <w:pPr>
                    <w:pStyle w:val="60"/>
                    <w:rPr>
                      <w:rFonts w:hint="eastAsia" w:eastAsia="宋体"/>
                      <w:color w:val="auto"/>
                      <w:highlight w:val="none"/>
                      <w:lang w:val="en-US" w:eastAsia="zh-CN"/>
                    </w:rPr>
                  </w:pPr>
                  <w:r>
                    <w:rPr>
                      <w:rFonts w:hint="eastAsia" w:eastAsia="宋体"/>
                      <w:color w:val="auto"/>
                      <w:highlight w:val="none"/>
                      <w:lang w:val="en-US" w:eastAsia="zh-CN"/>
                    </w:rPr>
                    <w:t>钛白粉15%</w:t>
                  </w:r>
                </w:p>
                <w:p w14:paraId="7F98E650">
                  <w:pPr>
                    <w:pStyle w:val="60"/>
                    <w:rPr>
                      <w:rFonts w:hint="eastAsia" w:eastAsia="宋体"/>
                      <w:color w:val="auto"/>
                      <w:highlight w:val="none"/>
                      <w:lang w:val="en-US" w:eastAsia="zh-CN"/>
                    </w:rPr>
                  </w:pPr>
                  <w:r>
                    <w:rPr>
                      <w:rFonts w:hint="eastAsia" w:eastAsia="宋体"/>
                      <w:color w:val="auto"/>
                      <w:highlight w:val="none"/>
                      <w:lang w:val="en-US" w:eastAsia="zh-CN"/>
                    </w:rPr>
                    <w:t>丙二醇5%</w:t>
                  </w:r>
                </w:p>
                <w:p w14:paraId="12D80646">
                  <w:pPr>
                    <w:pStyle w:val="60"/>
                    <w:rPr>
                      <w:rFonts w:hint="eastAsia" w:eastAsia="宋体"/>
                      <w:color w:val="auto"/>
                      <w:highlight w:val="none"/>
                      <w:lang w:val="en-US" w:eastAsia="zh-CN"/>
                    </w:rPr>
                  </w:pPr>
                  <w:r>
                    <w:rPr>
                      <w:rFonts w:hint="eastAsia" w:eastAsia="宋体"/>
                      <w:color w:val="auto"/>
                      <w:highlight w:val="none"/>
                      <w:lang w:val="en-US" w:eastAsia="zh-CN"/>
                    </w:rPr>
                    <w:t>去离子水20%</w:t>
                  </w:r>
                </w:p>
              </w:tc>
              <w:tc>
                <w:tcPr>
                  <w:tcW w:w="3083" w:type="pct"/>
                  <w:vAlign w:val="center"/>
                </w:tcPr>
                <w:p w14:paraId="65599D5E">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白色液体；相对密度（水）：1.0~1.1g/cm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，本次评价取1.1g/cm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，正常状况下安定，不发生反应，水汽挥发完全成膜</w:t>
                  </w:r>
                </w:p>
              </w:tc>
            </w:tr>
            <w:tr w14:paraId="470DC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4C81A53">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清洗剂</w:t>
                  </w:r>
                </w:p>
              </w:tc>
              <w:tc>
                <w:tcPr>
                  <w:tcW w:w="1294" w:type="pct"/>
                  <w:vAlign w:val="center"/>
                </w:tcPr>
                <w:p w14:paraId="3E2426F6">
                  <w:pPr>
                    <w:pStyle w:val="60"/>
                    <w:rPr>
                      <w:rFonts w:hint="default" w:eastAsia="宋体"/>
                      <w:color w:val="auto"/>
                      <w:highlight w:val="none"/>
                      <w:lang w:val="en-US" w:eastAsia="zh-CN"/>
                    </w:rPr>
                  </w:pPr>
                  <w:r>
                    <w:rPr>
                      <w:rFonts w:hint="eastAsia" w:eastAsia="宋体"/>
                      <w:color w:val="auto"/>
                      <w:highlight w:val="none"/>
                      <w:lang w:val="en-US" w:eastAsia="zh-CN"/>
                    </w:rPr>
                    <w:t>乙酸乙酯</w:t>
                  </w:r>
                  <w:r>
                    <w:rPr>
                      <w:rFonts w:hint="eastAsia"/>
                      <w:color w:val="auto"/>
                      <w:highlight w:val="none"/>
                      <w:lang w:val="en-US" w:eastAsia="zh-CN"/>
                    </w:rPr>
                    <w:t>50%</w:t>
                  </w:r>
                </w:p>
                <w:p w14:paraId="5A918AA2">
                  <w:pPr>
                    <w:pStyle w:val="60"/>
                    <w:rPr>
                      <w:rFonts w:hint="default" w:eastAsia="宋体"/>
                      <w:color w:val="auto"/>
                      <w:highlight w:val="none"/>
                      <w:lang w:val="en-US" w:eastAsia="zh-CN"/>
                    </w:rPr>
                  </w:pPr>
                  <w:r>
                    <w:rPr>
                      <w:rFonts w:hint="eastAsia" w:eastAsia="宋体"/>
                      <w:color w:val="auto"/>
                      <w:highlight w:val="none"/>
                      <w:lang w:val="en-US" w:eastAsia="zh-CN"/>
                    </w:rPr>
                    <w:t>乙酸正丁酯</w:t>
                  </w:r>
                  <w:r>
                    <w:rPr>
                      <w:rFonts w:hint="eastAsia"/>
                      <w:color w:val="auto"/>
                      <w:highlight w:val="none"/>
                      <w:lang w:val="en-US" w:eastAsia="zh-CN"/>
                    </w:rPr>
                    <w:t>50%</w:t>
                  </w:r>
                </w:p>
              </w:tc>
              <w:tc>
                <w:tcPr>
                  <w:tcW w:w="3083" w:type="pct"/>
                  <w:shd w:val="clear" w:color="auto" w:fill="auto"/>
                  <w:vAlign w:val="center"/>
                </w:tcPr>
                <w:p w14:paraId="4BC50467">
                  <w:pPr>
                    <w:pStyle w:val="60"/>
                    <w:pageBreakBefore w:val="0"/>
                    <w:wordWrap w:val="0"/>
                    <w:overflowPunct/>
                    <w:bidi w:val="0"/>
                    <w:spacing w:line="240" w:lineRule="auto"/>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外观为无色透明液体，相对密度:0.8</w:t>
                  </w:r>
                  <w:r>
                    <w:rPr>
                      <w:rFonts w:hint="eastAsia" w:cs="Times New Roman"/>
                      <w:color w:val="auto"/>
                      <w:sz w:val="21"/>
                      <w:szCs w:val="21"/>
                      <w:highlight w:val="none"/>
                      <w:lang w:val="en-US" w:eastAsia="zh-CN"/>
                    </w:rPr>
                    <w:t>28</w:t>
                  </w:r>
                  <w:r>
                    <w:rPr>
                      <w:rFonts w:hint="default" w:ascii="Times New Roman" w:hAnsi="Times New Roman" w:cs="Times New Roman"/>
                      <w:color w:val="auto"/>
                      <w:sz w:val="21"/>
                      <w:szCs w:val="21"/>
                      <w:highlight w:val="none"/>
                    </w:rPr>
                    <w:t>，危险特征:易燃，遇明火、高热能引起燃烧爆炸。</w:t>
                  </w:r>
                </w:p>
              </w:tc>
            </w:tr>
            <w:tr w14:paraId="5E1E4F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7ECD0F4E">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PU漆稀释剂</w:t>
                  </w:r>
                </w:p>
              </w:tc>
              <w:tc>
                <w:tcPr>
                  <w:tcW w:w="2031" w:type="dxa"/>
                  <w:vAlign w:val="center"/>
                </w:tcPr>
                <w:p w14:paraId="362AD2A0">
                  <w:pPr>
                    <w:pStyle w:val="60"/>
                    <w:rPr>
                      <w:rFonts w:hint="eastAsia" w:eastAsia="宋体"/>
                      <w:color w:val="auto"/>
                      <w:highlight w:val="none"/>
                      <w:lang w:val="en-US" w:eastAsia="zh-CN"/>
                    </w:rPr>
                  </w:pPr>
                  <w:r>
                    <w:rPr>
                      <w:rFonts w:hint="eastAsia" w:eastAsia="宋体"/>
                      <w:color w:val="auto"/>
                      <w:highlight w:val="none"/>
                      <w:lang w:val="en-US" w:eastAsia="zh-CN"/>
                    </w:rPr>
                    <w:t>二甲苯</w:t>
                  </w:r>
                  <w:r>
                    <w:rPr>
                      <w:rFonts w:hint="eastAsia"/>
                      <w:color w:val="auto"/>
                      <w:highlight w:val="none"/>
                      <w:lang w:val="en-US" w:eastAsia="zh-CN"/>
                    </w:rPr>
                    <w:t>1</w:t>
                  </w:r>
                  <w:r>
                    <w:rPr>
                      <w:rFonts w:hint="eastAsia" w:eastAsia="宋体"/>
                      <w:color w:val="auto"/>
                      <w:highlight w:val="none"/>
                      <w:lang w:val="en-US" w:eastAsia="zh-CN"/>
                    </w:rPr>
                    <w:t>0</w:t>
                  </w:r>
                  <w:r>
                    <w:rPr>
                      <w:rFonts w:hint="eastAsia"/>
                      <w:color w:val="auto"/>
                      <w:highlight w:val="none"/>
                      <w:lang w:val="en-US" w:eastAsia="zh-CN"/>
                    </w:rPr>
                    <w:t>%</w:t>
                  </w:r>
                  <w:r>
                    <w:rPr>
                      <w:rFonts w:hint="eastAsia" w:eastAsia="宋体"/>
                      <w:color w:val="auto"/>
                      <w:highlight w:val="none"/>
                      <w:lang w:val="en-US" w:eastAsia="zh-CN"/>
                    </w:rPr>
                    <w:t>~</w:t>
                  </w:r>
                  <w:r>
                    <w:rPr>
                      <w:rFonts w:hint="eastAsia"/>
                      <w:color w:val="auto"/>
                      <w:highlight w:val="none"/>
                      <w:lang w:val="en-US" w:eastAsia="zh-CN"/>
                    </w:rPr>
                    <w:t>3</w:t>
                  </w:r>
                  <w:r>
                    <w:rPr>
                      <w:rFonts w:hint="eastAsia" w:eastAsia="宋体"/>
                      <w:color w:val="auto"/>
                      <w:highlight w:val="none"/>
                      <w:lang w:val="en-US" w:eastAsia="zh-CN"/>
                    </w:rPr>
                    <w:t>0%</w:t>
                  </w:r>
                </w:p>
                <w:p w14:paraId="240873CE">
                  <w:pPr>
                    <w:pStyle w:val="60"/>
                    <w:rPr>
                      <w:rFonts w:hint="eastAsia" w:eastAsia="宋体"/>
                      <w:color w:val="auto"/>
                      <w:highlight w:val="none"/>
                      <w:lang w:val="en-US" w:eastAsia="zh-CN"/>
                    </w:rPr>
                  </w:pPr>
                  <w:r>
                    <w:rPr>
                      <w:rFonts w:hint="eastAsia"/>
                      <w:color w:val="auto"/>
                      <w:highlight w:val="none"/>
                      <w:lang w:val="en-US" w:eastAsia="zh-CN"/>
                    </w:rPr>
                    <w:t>醋酸</w:t>
                  </w:r>
                  <w:r>
                    <w:rPr>
                      <w:rFonts w:hint="eastAsia" w:eastAsia="宋体"/>
                      <w:color w:val="auto"/>
                      <w:highlight w:val="none"/>
                      <w:lang w:val="en-US" w:eastAsia="zh-CN"/>
                    </w:rPr>
                    <w:t>丁酯</w:t>
                  </w:r>
                  <w:r>
                    <w:rPr>
                      <w:rFonts w:hint="eastAsia"/>
                      <w:color w:val="auto"/>
                      <w:highlight w:val="none"/>
                      <w:lang w:val="en-US" w:eastAsia="zh-CN"/>
                    </w:rPr>
                    <w:t>30%</w:t>
                  </w:r>
                  <w:r>
                    <w:rPr>
                      <w:rFonts w:hint="eastAsia" w:eastAsia="宋体"/>
                      <w:color w:val="auto"/>
                      <w:highlight w:val="none"/>
                      <w:lang w:val="en-US" w:eastAsia="zh-CN"/>
                    </w:rPr>
                    <w:t>~</w:t>
                  </w:r>
                  <w:r>
                    <w:rPr>
                      <w:rFonts w:hint="eastAsia"/>
                      <w:color w:val="auto"/>
                      <w:highlight w:val="none"/>
                      <w:lang w:val="en-US" w:eastAsia="zh-CN"/>
                    </w:rPr>
                    <w:t>5</w:t>
                  </w:r>
                  <w:r>
                    <w:rPr>
                      <w:rFonts w:hint="eastAsia" w:eastAsia="宋体"/>
                      <w:color w:val="auto"/>
                      <w:highlight w:val="none"/>
                      <w:lang w:val="en-US" w:eastAsia="zh-CN"/>
                    </w:rPr>
                    <w:t>0%丙二醇甲醚醋酸酯20</w:t>
                  </w:r>
                  <w:r>
                    <w:rPr>
                      <w:rFonts w:hint="eastAsia"/>
                      <w:color w:val="auto"/>
                      <w:highlight w:val="none"/>
                      <w:lang w:val="en-US" w:eastAsia="zh-CN"/>
                    </w:rPr>
                    <w:t>%</w:t>
                  </w:r>
                  <w:r>
                    <w:rPr>
                      <w:rFonts w:hint="eastAsia" w:eastAsia="宋体"/>
                      <w:color w:val="auto"/>
                      <w:highlight w:val="none"/>
                      <w:lang w:val="en-US" w:eastAsia="zh-CN"/>
                    </w:rPr>
                    <w:t>~</w:t>
                  </w:r>
                  <w:r>
                    <w:rPr>
                      <w:rFonts w:hint="eastAsia"/>
                      <w:color w:val="auto"/>
                      <w:highlight w:val="none"/>
                      <w:lang w:val="en-US" w:eastAsia="zh-CN"/>
                    </w:rPr>
                    <w:t>4</w:t>
                  </w:r>
                  <w:r>
                    <w:rPr>
                      <w:rFonts w:hint="eastAsia" w:eastAsia="宋体"/>
                      <w:color w:val="auto"/>
                      <w:highlight w:val="none"/>
                      <w:lang w:val="en-US" w:eastAsia="zh-CN"/>
                    </w:rPr>
                    <w:t>0%</w:t>
                  </w:r>
                </w:p>
              </w:tc>
              <w:tc>
                <w:tcPr>
                  <w:tcW w:w="4838" w:type="dxa"/>
                  <w:shd w:val="clear" w:color="auto" w:fill="auto"/>
                  <w:vAlign w:val="center"/>
                </w:tcPr>
                <w:p w14:paraId="70D6CBE6">
                  <w:pPr>
                    <w:pStyle w:val="60"/>
                    <w:pageBreakBefore w:val="0"/>
                    <w:wordWrap w:val="0"/>
                    <w:overflowPunct/>
                    <w:bidi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外观为无色透明液体，相对密度:0.8</w:t>
                  </w:r>
                  <w:r>
                    <w:rPr>
                      <w:rFonts w:hint="eastAsia" w:cs="Times New Roman"/>
                      <w:color w:val="auto"/>
                      <w:sz w:val="21"/>
                      <w:szCs w:val="21"/>
                      <w:highlight w:val="none"/>
                      <w:lang w:val="en-US" w:eastAsia="zh-CN"/>
                    </w:rPr>
                    <w:t>7±0.05</w:t>
                  </w:r>
                  <w:r>
                    <w:rPr>
                      <w:rFonts w:hint="default" w:ascii="Times New Roman" w:hAnsi="Times New Roman" w:cs="Times New Roman"/>
                      <w:color w:val="auto"/>
                      <w:sz w:val="21"/>
                      <w:szCs w:val="21"/>
                      <w:highlight w:val="none"/>
                    </w:rPr>
                    <w:t>，危险特征:易燃，遇明火、高热能引起燃烧爆炸。</w:t>
                  </w:r>
                </w:p>
              </w:tc>
            </w:tr>
          </w:tbl>
          <w:p w14:paraId="6A9D0174">
            <w:pPr>
              <w:keepNext w:val="0"/>
              <w:keepLines w:val="0"/>
              <w:pageBreakBefore w:val="0"/>
              <w:widowControl w:val="0"/>
              <w:kinsoku/>
              <w:wordWrap w:val="0"/>
              <w:overflowPunct/>
              <w:topLinePunct w:val="0"/>
              <w:autoSpaceDE/>
              <w:autoSpaceDN/>
              <w:bidi w:val="0"/>
              <w:adjustRightInd/>
              <w:snapToGrid/>
              <w:spacing w:before="156" w:beforeLines="50" w:line="360" w:lineRule="auto"/>
              <w:ind w:firstLine="480" w:firstLineChars="200"/>
              <w:textAlignment w:val="auto"/>
              <w:rPr>
                <w:b/>
                <w:color w:val="auto"/>
                <w:sz w:val="24"/>
                <w:highlight w:val="none"/>
              </w:rPr>
            </w:pPr>
            <w:r>
              <w:rPr>
                <w:rFonts w:hint="eastAsia" w:eastAsia="宋体" w:cs="Times New Roman"/>
                <w:b/>
                <w:bCs/>
                <w:color w:val="auto"/>
                <w:highlight w:val="none"/>
                <w:lang w:val="en-US" w:eastAsia="zh-CN"/>
              </w:rPr>
              <w:t>（3）</w:t>
            </w:r>
            <w:r>
              <w:rPr>
                <w:b/>
                <w:color w:val="auto"/>
                <w:sz w:val="24"/>
                <w:highlight w:val="none"/>
              </w:rPr>
              <w:t>漆料用料核算依据</w:t>
            </w:r>
          </w:p>
          <w:p w14:paraId="66C69056">
            <w:pPr>
              <w:pStyle w:val="26"/>
              <w:ind w:firstLine="480"/>
              <w:rPr>
                <w:rFonts w:hint="eastAsia" w:eastAsia="宋体" w:cs="Times New Roman"/>
                <w:b/>
                <w:bCs/>
                <w:color w:val="auto"/>
                <w:highlight w:val="none"/>
                <w:lang w:val="en-US" w:eastAsia="zh-CN"/>
              </w:rPr>
            </w:pPr>
            <w:r>
              <w:rPr>
                <w:rFonts w:hint="eastAsia"/>
                <w:color w:val="auto"/>
                <w:sz w:val="24"/>
                <w:szCs w:val="24"/>
                <w:highlight w:val="none"/>
                <w:lang w:val="en-US" w:eastAsia="zh-CN"/>
              </w:rPr>
              <w:t>本项目涂料实际用量采用计算公式：涂料实际用量（L）=喷涂面积×干膜厚度/（10×体积固体含量×100×上漆率）。</w:t>
            </w:r>
          </w:p>
          <w:p w14:paraId="3BA7B1B6">
            <w:pPr>
              <w:pageBreakBefore w:val="0"/>
              <w:wordWrap w:val="0"/>
              <w:overflowPunct/>
              <w:bidi w:val="0"/>
              <w:spacing w:line="360" w:lineRule="auto"/>
              <w:ind w:firstLine="480" w:firstLineChars="200"/>
              <w:rPr>
                <w:b/>
                <w:color w:val="auto"/>
                <w:sz w:val="24"/>
                <w:highlight w:val="none"/>
              </w:rPr>
            </w:pPr>
            <w:r>
              <w:rPr>
                <w:rFonts w:hint="eastAsia"/>
                <w:b/>
                <w:color w:val="auto"/>
                <w:sz w:val="24"/>
                <w:highlight w:val="none"/>
                <w:lang w:val="en-US" w:eastAsia="zh-CN"/>
              </w:rPr>
              <w:t>①</w:t>
            </w:r>
            <w:r>
              <w:rPr>
                <w:b/>
                <w:color w:val="auto"/>
                <w:sz w:val="24"/>
                <w:highlight w:val="none"/>
              </w:rPr>
              <w:t>调配后各漆料用料核算</w:t>
            </w:r>
          </w:p>
          <w:p w14:paraId="2B7C5369">
            <w:pPr>
              <w:keepNext w:val="0"/>
              <w:keepLines w:val="0"/>
              <w:pageBreakBefore w:val="0"/>
              <w:widowControl/>
              <w:kinsoku/>
              <w:wordWrap w:val="0"/>
              <w:overflowPunct/>
              <w:topLinePunct w:val="0"/>
              <w:autoSpaceDE/>
              <w:autoSpaceDN/>
              <w:bidi w:val="0"/>
              <w:adjustRightInd/>
              <w:snapToGrid/>
              <w:ind w:firstLine="105" w:firstLineChars="50"/>
              <w:jc w:val="center"/>
              <w:textAlignment w:val="auto"/>
              <w:rPr>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7</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bCs/>
                <w:color w:val="auto"/>
                <w:sz w:val="21"/>
                <w:szCs w:val="21"/>
                <w:highlight w:val="none"/>
              </w:rPr>
              <w:t>调配后各漆料用料一览表</w:t>
            </w:r>
          </w:p>
          <w:tbl>
            <w:tblPr>
              <w:tblStyle w:val="46"/>
              <w:tblW w:w="7416"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7"/>
              <w:gridCol w:w="722"/>
              <w:gridCol w:w="736"/>
              <w:gridCol w:w="750"/>
              <w:gridCol w:w="851"/>
              <w:gridCol w:w="851"/>
              <w:gridCol w:w="787"/>
              <w:gridCol w:w="600"/>
              <w:gridCol w:w="754"/>
              <w:gridCol w:w="758"/>
            </w:tblGrid>
            <w:tr w14:paraId="26B82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9"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4BDF64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产品</w:t>
                  </w:r>
                </w:p>
              </w:tc>
              <w:tc>
                <w:tcPr>
                  <w:tcW w:w="722"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5103A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涂层种类</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数量</w:t>
                  </w:r>
                </w:p>
              </w:tc>
              <w:tc>
                <w:tcPr>
                  <w:tcW w:w="736"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F9735D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喷涂层数</w:t>
                  </w:r>
                </w:p>
              </w:tc>
              <w:tc>
                <w:tcPr>
                  <w:tcW w:w="75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9F19FF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总喷涂面积</w:t>
                  </w:r>
                  <w:r>
                    <w:rPr>
                      <w:rFonts w:hint="default" w:ascii="Times New Roman" w:hAnsi="Times New Roman" w:eastAsia="宋体" w:cs="Times New Roman"/>
                      <w:b/>
                      <w:bCs/>
                      <w:i w:val="0"/>
                      <w:iCs w:val="0"/>
                      <w:color w:val="auto"/>
                      <w:kern w:val="0"/>
                      <w:sz w:val="21"/>
                      <w:szCs w:val="21"/>
                      <w:highlight w:val="none"/>
                      <w:u w:val="none"/>
                      <w:lang w:val="en-US" w:eastAsia="zh-CN"/>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2</w:t>
                  </w: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FCF59DF">
                  <w:pPr>
                    <w:keepNext w:val="0"/>
                    <w:keepLines w:val="0"/>
                    <w:widowControl/>
                    <w:suppressLineNumbers w:val="0"/>
                    <w:spacing w:line="240" w:lineRule="auto"/>
                    <w:jc w:val="center"/>
                    <w:textAlignment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涂层厚度μm</w:t>
                  </w: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452E7E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涂料密度</w:t>
                  </w:r>
                  <w:r>
                    <w:rPr>
                      <w:rFonts w:hint="default" w:ascii="Times New Roman" w:hAnsi="Times New Roman" w:eastAsia="宋体" w:cs="Times New Roman"/>
                      <w:b/>
                      <w:bCs/>
                      <w:i w:val="0"/>
                      <w:iCs w:val="0"/>
                      <w:color w:val="auto"/>
                      <w:kern w:val="0"/>
                      <w:sz w:val="21"/>
                      <w:szCs w:val="21"/>
                      <w:highlight w:val="none"/>
                      <w:u w:val="none"/>
                      <w:lang w:val="en-US" w:eastAsia="zh-CN"/>
                    </w:rPr>
                    <w:t>g/cm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2B9F98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固体分含量</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36BDAA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上漆率</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754"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CAF475">
                  <w:pPr>
                    <w:keepNext w:val="0"/>
                    <w:keepLines w:val="0"/>
                    <w:widowControl/>
                    <w:suppressLineNumbers w:val="0"/>
                    <w:spacing w:line="240" w:lineRule="auto"/>
                    <w:jc w:val="center"/>
                    <w:textAlignment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漆料用量</w:t>
                  </w:r>
                  <w:r>
                    <w:rPr>
                      <w:rFonts w:hint="eastAsia"/>
                      <w:color w:val="auto"/>
                      <w:sz w:val="21"/>
                      <w:szCs w:val="21"/>
                      <w:highlight w:val="none"/>
                      <w:lang w:val="en-US" w:eastAsia="zh-CN"/>
                    </w:rPr>
                    <w:t>L/a</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D0EFF8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折算重量</w:t>
                  </w:r>
                  <w:r>
                    <w:rPr>
                      <w:rFonts w:hint="default" w:ascii="Times New Roman" w:hAnsi="Times New Roman" w:eastAsia="宋体" w:cs="Times New Roman"/>
                      <w:b/>
                      <w:bCs/>
                      <w:i w:val="0"/>
                      <w:iCs w:val="0"/>
                      <w:color w:val="auto"/>
                      <w:kern w:val="0"/>
                      <w:sz w:val="21"/>
                      <w:szCs w:val="21"/>
                      <w:highlight w:val="none"/>
                      <w:u w:val="none"/>
                      <w:lang w:val="en-US" w:eastAsia="zh-CN"/>
                    </w:rPr>
                    <w:t>t/a</w:t>
                  </w:r>
                </w:p>
              </w:tc>
            </w:tr>
            <w:tr w14:paraId="29B82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1"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66EC077">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22"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66373A0">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36"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186E529">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57591CA">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D86DEDB">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9C39244">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71A218">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398EB16">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4"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2BC0A67">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EF3E9AF">
                  <w:pPr>
                    <w:spacing w:line="240" w:lineRule="auto"/>
                    <w:jc w:val="center"/>
                    <w:rPr>
                      <w:rFonts w:hint="default" w:ascii="Times New Roman" w:hAnsi="Times New Roman" w:eastAsia="宋体" w:cs="Times New Roman"/>
                      <w:b/>
                      <w:bCs/>
                      <w:i w:val="0"/>
                      <w:iCs w:val="0"/>
                      <w:color w:val="auto"/>
                      <w:sz w:val="21"/>
                      <w:szCs w:val="21"/>
                      <w:highlight w:val="none"/>
                      <w:u w:val="none"/>
                    </w:rPr>
                  </w:pPr>
                </w:p>
              </w:tc>
            </w:tr>
            <w:tr w14:paraId="56EA8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FBBA2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碳纤维冲压件</w:t>
                  </w: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ACB5B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25D5E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FAD37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12600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45480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AF860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1.23</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6A0EA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70.50%</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72E2E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1185A5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500.4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CA2E7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0.616 </w:t>
                  </w:r>
                </w:p>
              </w:tc>
            </w:tr>
            <w:tr w14:paraId="4C357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1DBD3E1">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94D3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BFC39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4DB7C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231000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92D3D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AFBD9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29833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78.30%</w:t>
                  </w: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5FD1D4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5B4080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7670.5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F3C3A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8.438 </w:t>
                  </w:r>
                </w:p>
              </w:tc>
            </w:tr>
            <w:tr w14:paraId="44AA9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50BF7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碳纤维管</w:t>
                  </w: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6E903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2AE9B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65AC6B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12600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54D52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067E3C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1.23</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52C88F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70.50%</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DCBC5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7713CF7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464.7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D012A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0.572 </w:t>
                  </w:r>
                </w:p>
              </w:tc>
            </w:tr>
            <w:tr w14:paraId="28466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6C51745">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6C256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A03DBC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5EDA6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163800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5C0C6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73BE0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B06EC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78.30%</w:t>
                  </w: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A9B4A1D">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2774BD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4602.3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DE1667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5.063 </w:t>
                  </w:r>
                </w:p>
              </w:tc>
            </w:tr>
            <w:tr w14:paraId="39F4D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A3051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合计</w:t>
                  </w:r>
                </w:p>
              </w:tc>
              <w:tc>
                <w:tcPr>
                  <w:tcW w:w="5297" w:type="dxa"/>
                  <w:gridSpan w:val="7"/>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E10E02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54"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F9C518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965.1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D051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1.187 </w:t>
                  </w:r>
                </w:p>
              </w:tc>
            </w:tr>
            <w:tr w14:paraId="09D56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31082E0">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97" w:type="dxa"/>
                  <w:gridSpan w:val="7"/>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3F8FA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54"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071758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12272.8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5349F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r>
            <w:tr w14:paraId="3C5EA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7416" w:type="dxa"/>
                  <w:gridSpan w:val="10"/>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497228E">
                  <w:pPr>
                    <w:keepNext w:val="0"/>
                    <w:keepLines w:val="0"/>
                    <w:widowControl/>
                    <w:suppressLineNumbers w:val="0"/>
                    <w:spacing w:line="240" w:lineRule="auto"/>
                    <w:jc w:val="center"/>
                    <w:textAlignment w:val="center"/>
                    <w:rPr>
                      <w:rStyle w:val="122"/>
                      <w:rFonts w:hint="eastAsia" w:eastAsia="宋体"/>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rPr>
                    <w:t>注：</w:t>
                  </w:r>
                  <w:r>
                    <w:rPr>
                      <w:rFonts w:hint="default" w:ascii="Times New Roman" w:hAnsi="Times New Roman" w:eastAsia="宋体" w:cs="Times New Roman"/>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、碳纤维制品需单面喷涂，喷涂面积</w:t>
                  </w:r>
                  <w:r>
                    <w:rPr>
                      <w:rFonts w:hint="default" w:ascii="Times New Roman" w:hAnsi="Times New Roman" w:eastAsia="宋体" w:cs="Times New Roman"/>
                      <w:i w:val="0"/>
                      <w:iCs w:val="0"/>
                      <w:color w:val="auto"/>
                      <w:kern w:val="0"/>
                      <w:sz w:val="21"/>
                      <w:szCs w:val="21"/>
                      <w:highlight w:val="none"/>
                      <w:u w:val="none"/>
                      <w:lang w:val="en-US" w:eastAsia="zh-CN"/>
                    </w:rPr>
                    <w:t>以碳纤维预浸布物料计</w:t>
                  </w:r>
                  <w:r>
                    <w:rPr>
                      <w:rFonts w:hint="default" w:ascii="Times New Roman" w:hAnsi="Times New Roman" w:cs="Times New Roman"/>
                      <w:i w:val="0"/>
                      <w:iCs w:val="0"/>
                      <w:color w:val="auto"/>
                      <w:kern w:val="0"/>
                      <w:sz w:val="21"/>
                      <w:szCs w:val="21"/>
                      <w:highlight w:val="none"/>
                      <w:u w:val="none"/>
                      <w:lang w:val="en-US" w:eastAsia="zh-CN"/>
                    </w:rPr>
                    <w:t>，年总用量为42万m，物料幅宽以1m计</w:t>
                  </w:r>
                  <w:r>
                    <w:rPr>
                      <w:rFonts w:hint="default" w:ascii="Times New Roman" w:hAnsi="Times New Roman" w:eastAsia="宋体" w:cs="Times New Roman"/>
                      <w:i w:val="0"/>
                      <w:iCs w:val="0"/>
                      <w:color w:val="auto"/>
                      <w:kern w:val="0"/>
                      <w:sz w:val="21"/>
                      <w:szCs w:val="21"/>
                      <w:highlight w:val="none"/>
                      <w:u w:val="none"/>
                      <w:lang w:val="en-US" w:eastAsia="zh-CN"/>
                    </w:rPr>
                    <w:t>，即42万m</w:t>
                  </w:r>
                  <w:r>
                    <w:rPr>
                      <w:rStyle w:val="122"/>
                      <w:rFonts w:hint="default" w:ascii="Times New Roman" w:hAnsi="Times New Roman" w:eastAsia="宋体" w:cs="Times New Roman"/>
                      <w:color w:val="auto"/>
                      <w:sz w:val="21"/>
                      <w:szCs w:val="21"/>
                      <w:highlight w:val="none"/>
                      <w:lang w:val="en-US" w:eastAsia="zh-CN"/>
                    </w:rPr>
                    <w:t>2</w:t>
                  </w:r>
                  <w:r>
                    <w:rPr>
                      <w:rStyle w:val="122"/>
                      <w:rFonts w:hint="default" w:ascii="Times New Roman" w:hAnsi="Times New Roman" w:eastAsia="宋体" w:cs="Times New Roman"/>
                      <w:color w:val="auto"/>
                      <w:sz w:val="21"/>
                      <w:szCs w:val="21"/>
                      <w:highlight w:val="none"/>
                      <w:vertAlign w:val="baseline"/>
                      <w:lang w:val="en-US" w:eastAsia="zh-CN"/>
                    </w:rPr>
                    <w:t>；</w:t>
                  </w:r>
                </w:p>
                <w:p w14:paraId="58D6E1A6">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eastAsia" w:ascii="Times New Roman" w:hAnsi="Times New Roman" w:eastAsia="宋体" w:cs="Times New Roman"/>
                      <w:bCs/>
                      <w:color w:val="auto"/>
                      <w:sz w:val="21"/>
                      <w:szCs w:val="21"/>
                      <w:highlight w:val="none"/>
                      <w:lang w:eastAsia="zh-CN"/>
                    </w:rPr>
                  </w:pPr>
                  <w:r>
                    <w:rPr>
                      <w:rStyle w:val="122"/>
                      <w:rFonts w:hint="eastAsia" w:eastAsia="宋体"/>
                      <w:color w:val="auto"/>
                      <w:sz w:val="21"/>
                      <w:szCs w:val="21"/>
                      <w:highlight w:val="none"/>
                      <w:vertAlign w:val="baseline"/>
                      <w:lang w:val="en-US" w:eastAsia="zh-CN"/>
                    </w:rPr>
                    <w:t>2、</w:t>
                  </w:r>
                  <w:r>
                    <w:rPr>
                      <w:rFonts w:hint="default" w:ascii="Times New Roman" w:hAnsi="Times New Roman" w:cs="Times New Roman"/>
                      <w:bCs/>
                      <w:color w:val="auto"/>
                      <w:sz w:val="21"/>
                      <w:szCs w:val="21"/>
                      <w:highlight w:val="none"/>
                    </w:rPr>
                    <w:t>根据建设单位提供资料，</w:t>
                  </w:r>
                  <w:r>
                    <w:rPr>
                      <w:rFonts w:hint="default" w:ascii="Times New Roman" w:hAnsi="Times New Roman" w:cs="Times New Roman"/>
                      <w:bCs/>
                      <w:color w:val="auto"/>
                      <w:sz w:val="21"/>
                      <w:szCs w:val="21"/>
                      <w:highlight w:val="none"/>
                      <w:lang w:val="en-US" w:eastAsia="zh-CN"/>
                    </w:rPr>
                    <w:t>本项目喷漆工序</w:t>
                  </w:r>
                  <w:r>
                    <w:rPr>
                      <w:rFonts w:hint="default" w:ascii="Times New Roman" w:hAnsi="Times New Roman" w:cs="Times New Roman"/>
                      <w:bCs/>
                      <w:color w:val="auto"/>
                      <w:sz w:val="21"/>
                      <w:szCs w:val="21"/>
                      <w:highlight w:val="none"/>
                    </w:rPr>
                    <w:t>采用空气喷涂法，涂料利用率参考《现代涂装手册 化学工业出版社 2010年（第一版）》内容：“第4章 空气喷涂-4.1.2 空气喷涂的特点”，选取为50%</w:t>
                  </w:r>
                  <w:r>
                    <w:rPr>
                      <w:rFonts w:hint="eastAsia" w:cs="Times New Roman"/>
                      <w:bCs/>
                      <w:color w:val="auto"/>
                      <w:sz w:val="21"/>
                      <w:szCs w:val="21"/>
                      <w:highlight w:val="none"/>
                      <w:lang w:eastAsia="zh-CN"/>
                    </w:rPr>
                    <w:t>。</w:t>
                  </w:r>
                </w:p>
                <w:p w14:paraId="00372B2F">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val="en-US" w:eastAsia="zh-CN"/>
                    </w:rPr>
                  </w:pPr>
                  <w:r>
                    <w:rPr>
                      <w:rStyle w:val="122"/>
                      <w:rFonts w:hint="eastAsia" w:eastAsia="宋体"/>
                      <w:color w:val="auto"/>
                      <w:sz w:val="21"/>
                      <w:szCs w:val="21"/>
                      <w:highlight w:val="none"/>
                      <w:vertAlign w:val="baseline"/>
                      <w:lang w:val="en-US" w:eastAsia="zh-CN"/>
                    </w:rPr>
                    <w:t>3、</w:t>
                  </w:r>
                  <w:r>
                    <w:rPr>
                      <w:rFonts w:hint="default" w:ascii="Times New Roman" w:hAnsi="Times New Roman" w:cs="Times New Roman"/>
                      <w:bCs/>
                      <w:color w:val="auto"/>
                      <w:sz w:val="21"/>
                      <w:szCs w:val="21"/>
                      <w:highlight w:val="none"/>
                    </w:rPr>
                    <w:t>喷</w:t>
                  </w:r>
                  <w:r>
                    <w:rPr>
                      <w:rFonts w:hint="default" w:ascii="Times New Roman" w:hAnsi="Times New Roman" w:cs="Times New Roman"/>
                      <w:bCs/>
                      <w:color w:val="auto"/>
                      <w:sz w:val="21"/>
                      <w:szCs w:val="21"/>
                      <w:highlight w:val="none"/>
                      <w:lang w:val="en-US" w:eastAsia="zh-CN"/>
                    </w:rPr>
                    <w:t>涂</w:t>
                  </w:r>
                  <w:r>
                    <w:rPr>
                      <w:rFonts w:hint="default" w:ascii="Times New Roman" w:hAnsi="Times New Roman" w:cs="Times New Roman"/>
                      <w:bCs/>
                      <w:color w:val="auto"/>
                      <w:sz w:val="21"/>
                      <w:szCs w:val="21"/>
                      <w:highlight w:val="none"/>
                    </w:rPr>
                    <w:t>工序</w:t>
                  </w:r>
                  <w:r>
                    <w:rPr>
                      <w:rFonts w:hint="default" w:ascii="Times New Roman" w:hAnsi="Times New Roman" w:cs="Times New Roman"/>
                      <w:bCs/>
                      <w:color w:val="auto"/>
                      <w:sz w:val="21"/>
                      <w:szCs w:val="21"/>
                      <w:highlight w:val="none"/>
                      <w:lang w:val="en-US" w:eastAsia="zh-CN"/>
                    </w:rPr>
                    <w:t>中：</w:t>
                  </w:r>
                </w:p>
                <w:p w14:paraId="4C90E70E">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①油性漆-调配方案为：PU</w:t>
                  </w:r>
                  <w:r>
                    <w:rPr>
                      <w:rFonts w:hint="default" w:ascii="Times New Roman" w:hAnsi="Times New Roman" w:cs="Times New Roman"/>
                      <w:color w:val="auto"/>
                      <w:sz w:val="21"/>
                      <w:szCs w:val="21"/>
                      <w:highlight w:val="none"/>
                      <w:lang w:val="en-US" w:eastAsia="zh-CN"/>
                    </w:rPr>
                    <w:t>漆:固化剂=</w:t>
                  </w:r>
                  <w:r>
                    <w:rPr>
                      <w:rFonts w:hint="eastAsia"/>
                      <w:color w:val="auto"/>
                      <w:sz w:val="21"/>
                      <w:szCs w:val="21"/>
                      <w:highlight w:val="none"/>
                      <w:lang w:val="en-US" w:eastAsia="zh-CN"/>
                    </w:rPr>
                    <w:t>1</w:t>
                  </w:r>
                  <w:r>
                    <w:rPr>
                      <w:rFonts w:hint="eastAsia" w:cs="Times New Roman"/>
                      <w:color w:val="auto"/>
                      <w:sz w:val="21"/>
                      <w:szCs w:val="21"/>
                      <w:highlight w:val="none"/>
                      <w:lang w:val="en-US" w:eastAsia="zh-CN"/>
                    </w:rPr>
                    <w:t>：0.2</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已知PU</w:t>
                  </w:r>
                  <w:r>
                    <w:rPr>
                      <w:rFonts w:hint="default" w:ascii="Times New Roman" w:hAnsi="Times New Roman" w:cs="Times New Roman"/>
                      <w:bCs/>
                      <w:color w:val="auto"/>
                      <w:sz w:val="21"/>
                      <w:szCs w:val="21"/>
                      <w:highlight w:val="none"/>
                    </w:rPr>
                    <w:t>漆的密度为1</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35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lang w:val="en-US" w:eastAsia="zh-CN"/>
                    </w:rPr>
                    <w:t>固化</w:t>
                  </w:r>
                  <w:r>
                    <w:rPr>
                      <w:rFonts w:hint="default" w:ascii="Times New Roman" w:hAnsi="Times New Roman" w:cs="Times New Roman"/>
                      <w:bCs/>
                      <w:color w:val="auto"/>
                      <w:sz w:val="21"/>
                      <w:szCs w:val="21"/>
                      <w:highlight w:val="none"/>
                    </w:rPr>
                    <w:t>剂的密度为</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。调配后</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漆</w:t>
                  </w:r>
                  <w:r>
                    <w:rPr>
                      <w:rFonts w:hint="default" w:ascii="Times New Roman" w:hAnsi="Times New Roman" w:cs="Times New Roman"/>
                      <w:bCs/>
                      <w:color w:val="auto"/>
                      <w:sz w:val="21"/>
                      <w:szCs w:val="21"/>
                      <w:highlight w:val="none"/>
                    </w:rPr>
                    <w:t>密度、固含量的计算过程如下：设</w:t>
                  </w:r>
                  <w:r>
                    <w:rPr>
                      <w:rFonts w:hint="default" w:ascii="Times New Roman" w:hAnsi="Times New Roman" w:cs="Times New Roman"/>
                      <w:bCs/>
                      <w:color w:val="auto"/>
                      <w:sz w:val="21"/>
                      <w:szCs w:val="21"/>
                      <w:highlight w:val="none"/>
                      <w:lang w:val="en-US" w:eastAsia="zh-CN"/>
                    </w:rPr>
                    <w:t>PU</w:t>
                  </w:r>
                  <w:r>
                    <w:rPr>
                      <w:rFonts w:hint="default" w:ascii="Times New Roman" w:hAnsi="Times New Roman" w:cs="Times New Roman"/>
                      <w:color w:val="auto"/>
                      <w:sz w:val="21"/>
                      <w:szCs w:val="21"/>
                      <w:highlight w:val="none"/>
                      <w:lang w:val="en-US" w:eastAsia="zh-CN"/>
                    </w:rPr>
                    <w:t>漆</w:t>
                  </w:r>
                  <w:r>
                    <w:rPr>
                      <w:rFonts w:hint="default" w:ascii="Times New Roman" w:hAnsi="Times New Roman" w:cs="Times New Roman"/>
                      <w:bCs/>
                      <w:color w:val="auto"/>
                      <w:sz w:val="21"/>
                      <w:szCs w:val="21"/>
                      <w:highlight w:val="none"/>
                    </w:rPr>
                    <w:t>的年用量约为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X克，则</w:t>
                  </w:r>
                  <w:r>
                    <w:rPr>
                      <w:rFonts w:hint="default" w:ascii="Times New Roman" w:hAnsi="Times New Roman" w:cs="Times New Roman"/>
                      <w:bCs/>
                      <w:color w:val="auto"/>
                      <w:sz w:val="21"/>
                      <w:szCs w:val="21"/>
                      <w:highlight w:val="none"/>
                      <w:lang w:val="en-US" w:eastAsia="zh-CN"/>
                    </w:rPr>
                    <w:t>固化剂年用量为</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X克</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漆</w:t>
                  </w:r>
                  <w:r>
                    <w:rPr>
                      <w:rFonts w:hint="default" w:ascii="Times New Roman" w:hAnsi="Times New Roman" w:cs="Times New Roman"/>
                      <w:bCs/>
                      <w:color w:val="auto"/>
                      <w:sz w:val="21"/>
                      <w:szCs w:val="21"/>
                      <w:highlight w:val="none"/>
                    </w:rPr>
                    <w:t>总年用量为：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1.2</w:t>
                  </w:r>
                  <w:r>
                    <w:rPr>
                      <w:rFonts w:hint="default" w:ascii="Times New Roman" w:hAnsi="Times New Roman" w:cs="Times New Roman"/>
                      <w:bCs/>
                      <w:color w:val="auto"/>
                      <w:sz w:val="21"/>
                      <w:szCs w:val="21"/>
                      <w:highlight w:val="none"/>
                    </w:rPr>
                    <w:t>Xg，总体积为：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35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≈0.941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eastAsia="zh-CN"/>
                    </w:rPr>
                    <w:t>。</w:t>
                  </w:r>
                </w:p>
                <w:p w14:paraId="138DE86E">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rPr>
                    <w:t>漆相对密度为：</w:t>
                  </w:r>
                  <w:r>
                    <w:rPr>
                      <w:rFonts w:hint="eastAsia" w:cs="Times New Roman"/>
                      <w:bCs/>
                      <w:color w:val="auto"/>
                      <w:sz w:val="21"/>
                      <w:szCs w:val="21"/>
                      <w:highlight w:val="none"/>
                      <w:lang w:val="en-US" w:eastAsia="zh-CN"/>
                    </w:rPr>
                    <w:t>1.2</w:t>
                  </w:r>
                  <w:r>
                    <w:rPr>
                      <w:rFonts w:hint="default" w:ascii="Times New Roman" w:hAnsi="Times New Roman" w:cs="Times New Roman"/>
                      <w:bCs/>
                      <w:color w:val="auto"/>
                      <w:sz w:val="21"/>
                      <w:szCs w:val="21"/>
                      <w:highlight w:val="none"/>
                    </w:rPr>
                    <w:t>Xg/</w:t>
                  </w:r>
                  <w:r>
                    <w:rPr>
                      <w:rFonts w:hint="eastAsia" w:cs="Times New Roman"/>
                      <w:bCs/>
                      <w:color w:val="auto"/>
                      <w:sz w:val="21"/>
                      <w:szCs w:val="21"/>
                      <w:highlight w:val="none"/>
                      <w:lang w:val="en-US" w:eastAsia="zh-CN"/>
                    </w:rPr>
                    <w:t>0.941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≈1.275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eastAsia" w:cs="Times New Roman"/>
                      <w:bCs/>
                      <w:color w:val="auto"/>
                      <w:sz w:val="21"/>
                      <w:szCs w:val="21"/>
                      <w:highlight w:val="none"/>
                      <w:vertAlign w:val="baseline"/>
                      <w:lang w:val="en-US" w:eastAsia="zh-CN"/>
                    </w:rPr>
                    <w:t>调配后的VOCs挥发分占比=</w:t>
                  </w:r>
                  <w:r>
                    <w:rPr>
                      <w:rFonts w:hint="eastAsia"/>
                      <w:color w:val="auto"/>
                      <w:sz w:val="21"/>
                      <w:szCs w:val="21"/>
                      <w:highlight w:val="none"/>
                      <w:lang w:eastAsia="zh-CN"/>
                    </w:rPr>
                    <w:t>（</w:t>
                  </w:r>
                  <w:r>
                    <w:rPr>
                      <w:rFonts w:hint="eastAsia"/>
                      <w:color w:val="auto"/>
                      <w:sz w:val="21"/>
                      <w:szCs w:val="21"/>
                      <w:highlight w:val="none"/>
                      <w:lang w:val="en-US" w:eastAsia="zh-CN"/>
                    </w:rPr>
                    <w:t>289*（1/1.275）+100）X/（1/1.275+0.1/0.87）X=363.3g/L,</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=1-挥发分占比=1-[（363.3g/L/1.23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）×100%]=70.5</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p w14:paraId="39EF0412">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Style w:val="122"/>
                      <w:rFonts w:hint="default" w:eastAsia="宋体"/>
                      <w:color w:val="auto"/>
                      <w:sz w:val="21"/>
                      <w:szCs w:val="21"/>
                      <w:highlight w:val="none"/>
                      <w:vertAlign w:val="baseline"/>
                      <w:lang w:val="en-US" w:eastAsia="zh-CN"/>
                    </w:rPr>
                  </w:pPr>
                  <w:r>
                    <w:rPr>
                      <w:rFonts w:hint="eastAsia" w:cs="Times New Roman"/>
                      <w:color w:val="auto"/>
                      <w:sz w:val="21"/>
                      <w:szCs w:val="21"/>
                      <w:highlight w:val="none"/>
                      <w:lang w:val="en-US" w:eastAsia="zh-CN"/>
                    </w:rPr>
                    <w:t>②水性漆</w:t>
                  </w:r>
                  <w:r>
                    <w:rPr>
                      <w:rFonts w:hint="default" w:ascii="Times New Roman" w:hAnsi="Times New Roman" w:cs="Times New Roman"/>
                      <w:bCs/>
                      <w:color w:val="auto"/>
                      <w:sz w:val="21"/>
                      <w:szCs w:val="21"/>
                      <w:highlight w:val="none"/>
                    </w:rPr>
                    <w:t>无需调配，直接使用</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密度</w:t>
                  </w:r>
                  <w:r>
                    <w:rPr>
                      <w:rFonts w:hint="eastAsia"/>
                      <w:color w:val="auto"/>
                      <w:sz w:val="21"/>
                      <w:szCs w:val="21"/>
                      <w:highlight w:val="none"/>
                      <w:vertAlign w:val="baseline"/>
                      <w:lang w:val="en-US" w:eastAsia="zh-CN"/>
                    </w:rPr>
                    <w:t>本次评价取</w:t>
                  </w:r>
                  <w:r>
                    <w:rPr>
                      <w:rFonts w:hint="eastAsia"/>
                      <w:color w:val="auto"/>
                      <w:sz w:val="21"/>
                      <w:szCs w:val="21"/>
                      <w:highlight w:val="none"/>
                      <w:lang w:val="en-US" w:eastAsia="zh-CN"/>
                    </w:rPr>
                    <w:t>1.1</w:t>
                  </w:r>
                  <w:r>
                    <w:rPr>
                      <w:color w:val="auto"/>
                      <w:sz w:val="21"/>
                      <w:szCs w:val="21"/>
                      <w:highlight w:val="none"/>
                    </w:rPr>
                    <w:t>g/cm</w:t>
                  </w:r>
                  <w:r>
                    <w:rPr>
                      <w:color w:val="auto"/>
                      <w:sz w:val="21"/>
                      <w:szCs w:val="21"/>
                      <w:highlight w:val="none"/>
                      <w:vertAlign w:val="superscript"/>
                    </w:rPr>
                    <w:t>3</w:t>
                  </w:r>
                  <w:r>
                    <w:rPr>
                      <w:rFonts w:hint="eastAsia"/>
                      <w:color w:val="auto"/>
                      <w:sz w:val="21"/>
                      <w:szCs w:val="21"/>
                      <w:highlight w:val="none"/>
                      <w:vertAlign w:val="baseline"/>
                      <w:lang w:eastAsia="zh-CN"/>
                    </w:rPr>
                    <w:t>、</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=1-挥发份占比-水分占比=1-[（19g/L/1.1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）×100%]-20%=78.3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eastAsia="zh-CN"/>
                    </w:rPr>
                    <w:t>。</w:t>
                  </w:r>
                </w:p>
              </w:tc>
            </w:tr>
          </w:tbl>
          <w:p w14:paraId="2A7EA25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b/>
                <w:color w:val="auto"/>
                <w:sz w:val="24"/>
                <w:highlight w:val="none"/>
              </w:rPr>
            </w:pPr>
            <w:r>
              <w:rPr>
                <w:rFonts w:hint="eastAsia"/>
                <w:b/>
                <w:color w:val="auto"/>
                <w:sz w:val="24"/>
                <w:highlight w:val="none"/>
                <w:lang w:val="en-US" w:eastAsia="zh-CN"/>
              </w:rPr>
              <w:t>②</w:t>
            </w:r>
            <w:r>
              <w:rPr>
                <w:b/>
                <w:color w:val="auto"/>
                <w:sz w:val="24"/>
                <w:highlight w:val="none"/>
              </w:rPr>
              <w:t>原漆料用量核算</w:t>
            </w:r>
          </w:p>
          <w:p w14:paraId="77E4A18D">
            <w:pPr>
              <w:pStyle w:val="2"/>
              <w:pageBreakBefore w:val="0"/>
              <w:wordWrap w:val="0"/>
              <w:overflowPunct/>
              <w:bidi w:val="0"/>
              <w:ind w:firstLine="480" w:firstLineChars="200"/>
              <w:rPr>
                <w:rFonts w:ascii="Times New Roman" w:hAnsi="Times New Roman" w:eastAsia="宋体"/>
                <w:color w:val="auto"/>
                <w:szCs w:val="24"/>
                <w:highlight w:val="none"/>
              </w:rPr>
            </w:pPr>
            <w:r>
              <w:rPr>
                <w:rFonts w:ascii="Times New Roman" w:hAnsi="Times New Roman" w:eastAsia="宋体"/>
                <w:color w:val="auto"/>
                <w:szCs w:val="24"/>
                <w:highlight w:val="none"/>
              </w:rPr>
              <w:t>根据各漆料配比比例，得出原漆料具体成分使用量，详见下表。</w:t>
            </w:r>
          </w:p>
          <w:p w14:paraId="52F7CCB9">
            <w:pPr>
              <w:pageBreakBefore w:val="0"/>
              <w:widowControl/>
              <w:wordWrap w:val="0"/>
              <w:overflowPunct/>
              <w:bidi w:val="0"/>
              <w:spacing w:line="360" w:lineRule="auto"/>
              <w:jc w:val="center"/>
              <w:rPr>
                <w:color w:val="auto"/>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8</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bCs/>
                <w:color w:val="auto"/>
                <w:sz w:val="21"/>
                <w:szCs w:val="21"/>
                <w:highlight w:val="none"/>
              </w:rPr>
              <w:t>各原漆料用料一览表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1287"/>
              <w:gridCol w:w="1320"/>
              <w:gridCol w:w="4200"/>
            </w:tblGrid>
            <w:tr w14:paraId="0BEA2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61" w:type="pct"/>
                  <w:vAlign w:val="center"/>
                </w:tcPr>
                <w:p w14:paraId="00944EC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涂层种类</w:t>
                  </w:r>
                </w:p>
              </w:tc>
              <w:tc>
                <w:tcPr>
                  <w:tcW w:w="820" w:type="pct"/>
                  <w:vAlign w:val="center"/>
                </w:tcPr>
                <w:p w14:paraId="0106CC37">
                  <w:pPr>
                    <w:pageBreakBefore w:val="0"/>
                    <w:wordWrap w:val="0"/>
                    <w:overflowPunct/>
                    <w:bidi w:val="0"/>
                    <w:spacing w:line="240" w:lineRule="auto"/>
                    <w:jc w:val="center"/>
                    <w:outlineLvl w:val="3"/>
                    <w:rPr>
                      <w:b/>
                      <w:color w:val="auto"/>
                      <w:sz w:val="21"/>
                      <w:szCs w:val="21"/>
                      <w:highlight w:val="none"/>
                    </w:rPr>
                  </w:pPr>
                  <w:r>
                    <w:rPr>
                      <w:rFonts w:hint="eastAsia"/>
                      <w:b/>
                      <w:color w:val="auto"/>
                      <w:sz w:val="21"/>
                      <w:szCs w:val="21"/>
                      <w:highlight w:val="none"/>
                      <w:lang w:val="en-US" w:eastAsia="zh-CN"/>
                    </w:rPr>
                    <w:t>漆料</w:t>
                  </w:r>
                  <w:r>
                    <w:rPr>
                      <w:b/>
                      <w:color w:val="auto"/>
                      <w:sz w:val="21"/>
                      <w:szCs w:val="21"/>
                      <w:highlight w:val="none"/>
                    </w:rPr>
                    <w:t>名称</w:t>
                  </w:r>
                </w:p>
              </w:tc>
              <w:tc>
                <w:tcPr>
                  <w:tcW w:w="841" w:type="pct"/>
                  <w:vAlign w:val="center"/>
                </w:tcPr>
                <w:p w14:paraId="6C86EF3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原漆料用量（t/a）</w:t>
                  </w:r>
                </w:p>
              </w:tc>
              <w:tc>
                <w:tcPr>
                  <w:tcW w:w="2676" w:type="pct"/>
                  <w:vAlign w:val="center"/>
                </w:tcPr>
                <w:p w14:paraId="2255B1D1">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备注</w:t>
                  </w:r>
                </w:p>
              </w:tc>
            </w:tr>
            <w:tr w14:paraId="31260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restart"/>
                  <w:vAlign w:val="center"/>
                </w:tcPr>
                <w:p w14:paraId="0FF27C9C">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油性漆</w:t>
                  </w:r>
                </w:p>
              </w:tc>
              <w:tc>
                <w:tcPr>
                  <w:tcW w:w="820" w:type="pct"/>
                  <w:shd w:val="clear" w:color="auto" w:fill="auto"/>
                  <w:vAlign w:val="center"/>
                </w:tcPr>
                <w:p w14:paraId="03266CD5">
                  <w:pPr>
                    <w:pageBreakBefore w:val="0"/>
                    <w:wordWrap w:val="0"/>
                    <w:overflowPunct/>
                    <w:bidi w:val="0"/>
                    <w:spacing w:line="240" w:lineRule="auto"/>
                    <w:jc w:val="center"/>
                    <w:outlineLvl w:val="3"/>
                    <w:rPr>
                      <w:rFonts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PU</w:t>
                  </w:r>
                  <w:r>
                    <w:rPr>
                      <w:bCs/>
                      <w:color w:val="auto"/>
                      <w:sz w:val="21"/>
                      <w:szCs w:val="21"/>
                      <w:highlight w:val="none"/>
                    </w:rPr>
                    <w:t>漆</w:t>
                  </w:r>
                </w:p>
              </w:tc>
              <w:tc>
                <w:tcPr>
                  <w:tcW w:w="841" w:type="pct"/>
                  <w:shd w:val="clear" w:color="auto" w:fill="auto"/>
                  <w:vAlign w:val="center"/>
                </w:tcPr>
                <w:p w14:paraId="5F31091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0.913</w:t>
                  </w:r>
                </w:p>
              </w:tc>
              <w:tc>
                <w:tcPr>
                  <w:tcW w:w="2676" w:type="pct"/>
                  <w:shd w:val="clear" w:color="auto" w:fill="auto"/>
                  <w:vAlign w:val="center"/>
                </w:tcPr>
                <w:p w14:paraId="37B18686">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PU</w:t>
                  </w:r>
                  <w:r>
                    <w:rPr>
                      <w:rFonts w:hint="eastAsia"/>
                      <w:color w:val="auto"/>
                      <w:sz w:val="21"/>
                      <w:szCs w:val="21"/>
                      <w:highlight w:val="none"/>
                      <w:lang w:val="en-US" w:eastAsia="zh-CN"/>
                    </w:rPr>
                    <w:t>漆:固化剂：稀释剂=1:0.2：0.1</w:t>
                  </w:r>
                </w:p>
              </w:tc>
            </w:tr>
            <w:tr w14:paraId="546F4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continue"/>
                  <w:vAlign w:val="center"/>
                </w:tcPr>
                <w:p w14:paraId="3E10920A">
                  <w:pPr>
                    <w:pageBreakBefore w:val="0"/>
                    <w:wordWrap w:val="0"/>
                    <w:overflowPunct/>
                    <w:bidi w:val="0"/>
                    <w:spacing w:line="240" w:lineRule="auto"/>
                    <w:jc w:val="center"/>
                    <w:rPr>
                      <w:bCs/>
                      <w:color w:val="auto"/>
                      <w:sz w:val="21"/>
                      <w:szCs w:val="21"/>
                      <w:highlight w:val="none"/>
                    </w:rPr>
                  </w:pPr>
                </w:p>
              </w:tc>
              <w:tc>
                <w:tcPr>
                  <w:tcW w:w="820" w:type="pct"/>
                  <w:vAlign w:val="center"/>
                </w:tcPr>
                <w:p w14:paraId="1283F08F">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固化剂</w:t>
                  </w:r>
                </w:p>
              </w:tc>
              <w:tc>
                <w:tcPr>
                  <w:tcW w:w="841" w:type="pct"/>
                  <w:vAlign w:val="center"/>
                </w:tcPr>
                <w:p w14:paraId="67CB925B">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183</w:t>
                  </w:r>
                </w:p>
              </w:tc>
              <w:tc>
                <w:tcPr>
                  <w:tcW w:w="2676" w:type="pct"/>
                  <w:vAlign w:val="center"/>
                </w:tcPr>
                <w:p w14:paraId="34810CE0">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56A06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1" w:type="pct"/>
                  <w:vMerge w:val="continue"/>
                  <w:vAlign w:val="center"/>
                </w:tcPr>
                <w:p w14:paraId="5277C058">
                  <w:pPr>
                    <w:pageBreakBefore w:val="0"/>
                    <w:wordWrap w:val="0"/>
                    <w:overflowPunct/>
                    <w:bidi w:val="0"/>
                    <w:spacing w:line="240" w:lineRule="auto"/>
                    <w:jc w:val="center"/>
                    <w:rPr>
                      <w:bCs/>
                      <w:color w:val="auto"/>
                      <w:sz w:val="21"/>
                      <w:szCs w:val="21"/>
                      <w:highlight w:val="none"/>
                    </w:rPr>
                  </w:pPr>
                </w:p>
              </w:tc>
              <w:tc>
                <w:tcPr>
                  <w:tcW w:w="820" w:type="pct"/>
                  <w:vAlign w:val="center"/>
                </w:tcPr>
                <w:p w14:paraId="54739D3D">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稀释剂</w:t>
                  </w:r>
                </w:p>
              </w:tc>
              <w:tc>
                <w:tcPr>
                  <w:tcW w:w="841" w:type="pct"/>
                  <w:vAlign w:val="center"/>
                </w:tcPr>
                <w:p w14:paraId="727E8721">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w:t>
                  </w:r>
                </w:p>
              </w:tc>
              <w:tc>
                <w:tcPr>
                  <w:tcW w:w="2676" w:type="pct"/>
                  <w:vAlign w:val="center"/>
                </w:tcPr>
                <w:p w14:paraId="0E834CE3">
                  <w:pPr>
                    <w:pageBreakBefore w:val="0"/>
                    <w:wordWrap w:val="0"/>
                    <w:overflowPunct/>
                    <w:bidi w:val="0"/>
                    <w:spacing w:line="240" w:lineRule="auto"/>
                    <w:jc w:val="center"/>
                    <w:outlineLvl w:val="3"/>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1E51C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61" w:type="pct"/>
                  <w:vAlign w:val="center"/>
                </w:tcPr>
                <w:p w14:paraId="39D3AC84">
                  <w:pPr>
                    <w:pageBreakBefore w:val="0"/>
                    <w:wordWrap w:val="0"/>
                    <w:overflowPunct/>
                    <w:bidi w:val="0"/>
                    <w:spacing w:line="240" w:lineRule="auto"/>
                    <w:jc w:val="center"/>
                    <w:rPr>
                      <w:color w:val="auto"/>
                      <w:sz w:val="21"/>
                      <w:szCs w:val="21"/>
                      <w:highlight w:val="none"/>
                    </w:rPr>
                  </w:pPr>
                  <w:r>
                    <w:rPr>
                      <w:rFonts w:hint="eastAsia"/>
                      <w:bCs/>
                      <w:color w:val="auto"/>
                      <w:sz w:val="21"/>
                      <w:szCs w:val="21"/>
                      <w:highlight w:val="none"/>
                      <w:lang w:val="en-US" w:eastAsia="zh-CN"/>
                    </w:rPr>
                    <w:t>水性漆</w:t>
                  </w:r>
                </w:p>
              </w:tc>
              <w:tc>
                <w:tcPr>
                  <w:tcW w:w="820" w:type="pct"/>
                  <w:vAlign w:val="center"/>
                </w:tcPr>
                <w:p w14:paraId="4D695FA2">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水性漆</w:t>
                  </w:r>
                </w:p>
              </w:tc>
              <w:tc>
                <w:tcPr>
                  <w:tcW w:w="841" w:type="pct"/>
                  <w:vAlign w:val="center"/>
                </w:tcPr>
                <w:p w14:paraId="6422A242">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13.500</w:t>
                  </w:r>
                </w:p>
              </w:tc>
              <w:tc>
                <w:tcPr>
                  <w:tcW w:w="2676" w:type="pct"/>
                  <w:vAlign w:val="center"/>
                </w:tcPr>
                <w:p w14:paraId="0FCEE44C">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单独使用</w:t>
                  </w:r>
                  <w:r>
                    <w:rPr>
                      <w:rFonts w:hint="eastAsia"/>
                      <w:bCs/>
                      <w:color w:val="auto"/>
                      <w:sz w:val="21"/>
                      <w:szCs w:val="21"/>
                      <w:highlight w:val="none"/>
                      <w:lang w:eastAsia="zh-CN"/>
                    </w:rPr>
                    <w:t>，</w:t>
                  </w:r>
                  <w:r>
                    <w:rPr>
                      <w:rFonts w:hint="eastAsia"/>
                      <w:bCs/>
                      <w:color w:val="auto"/>
                      <w:sz w:val="21"/>
                      <w:szCs w:val="21"/>
                      <w:highlight w:val="none"/>
                      <w:lang w:val="en-US" w:eastAsia="zh-CN"/>
                    </w:rPr>
                    <w:t>水汽挥发完全成膜</w:t>
                  </w:r>
                </w:p>
              </w:tc>
            </w:tr>
          </w:tbl>
          <w:p w14:paraId="5A2EE319">
            <w:pPr>
              <w:pStyle w:val="2"/>
              <w:keepNext w:val="0"/>
              <w:keepLines w:val="0"/>
              <w:pageBreakBefore w:val="0"/>
              <w:widowControl w:val="0"/>
              <w:kinsoku/>
              <w:wordWrap w:val="0"/>
              <w:overflowPunct/>
              <w:topLinePunct w:val="0"/>
              <w:autoSpaceDE w:val="0"/>
              <w:autoSpaceDN w:val="0"/>
              <w:bidi w:val="0"/>
              <w:adjustRightInd w:val="0"/>
              <w:snapToGrid/>
              <w:jc w:val="center"/>
              <w:textAlignment w:val="auto"/>
              <w:rPr>
                <w:rFonts w:asci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9</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ascii="Times New Roman" w:cs="Times New Roman"/>
                <w:b/>
                <w:bCs/>
                <w:color w:val="auto"/>
                <w:sz w:val="21"/>
                <w:szCs w:val="21"/>
                <w:highlight w:val="none"/>
              </w:rPr>
              <w:t>项目涉VOCs原辅材料VOCs含量情况一览表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8" w:type="dxa"/>
                <w:bottom w:w="0" w:type="dxa"/>
                <w:right w:w="68" w:type="dxa"/>
              </w:tblCellMar>
            </w:tblPr>
            <w:tblGrid>
              <w:gridCol w:w="1380"/>
              <w:gridCol w:w="843"/>
              <w:gridCol w:w="899"/>
              <w:gridCol w:w="1886"/>
              <w:gridCol w:w="1957"/>
              <w:gridCol w:w="880"/>
            </w:tblGrid>
            <w:tr w14:paraId="69D14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7B382ADC">
                  <w:pPr>
                    <w:pageBreakBefore w:val="0"/>
                    <w:wordWrap w:val="0"/>
                    <w:overflowPunct/>
                    <w:bidi w:val="0"/>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110" w:type="pct"/>
                  <w:gridSpan w:val="2"/>
                  <w:vAlign w:val="center"/>
                </w:tcPr>
                <w:p w14:paraId="430ED364">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VOCs含量</w:t>
                  </w:r>
                </w:p>
              </w:tc>
              <w:tc>
                <w:tcPr>
                  <w:tcW w:w="1202" w:type="pct"/>
                  <w:vAlign w:val="center"/>
                </w:tcPr>
                <w:p w14:paraId="00B0CFFF">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执行国家标准</w:t>
                  </w:r>
                </w:p>
              </w:tc>
              <w:tc>
                <w:tcPr>
                  <w:tcW w:w="1247" w:type="pct"/>
                  <w:vAlign w:val="center"/>
                </w:tcPr>
                <w:p w14:paraId="4D82238C">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标准限值</w:t>
                  </w:r>
                </w:p>
              </w:tc>
              <w:tc>
                <w:tcPr>
                  <w:tcW w:w="558" w:type="pct"/>
                  <w:vAlign w:val="center"/>
                </w:tcPr>
                <w:p w14:paraId="1B55F827">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符合性</w:t>
                  </w:r>
                </w:p>
              </w:tc>
            </w:tr>
            <w:tr w14:paraId="0E29A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90" w:hRule="atLeast"/>
              </w:trPr>
              <w:tc>
                <w:tcPr>
                  <w:tcW w:w="880" w:type="pct"/>
                  <w:shd w:val="clear" w:color="auto" w:fill="auto"/>
                  <w:vAlign w:val="center"/>
                </w:tcPr>
                <w:p w14:paraId="30EAC59B">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调配后油性漆</w:t>
                  </w:r>
                </w:p>
              </w:tc>
              <w:tc>
                <w:tcPr>
                  <w:tcW w:w="537" w:type="pct"/>
                  <w:shd w:val="clear" w:color="auto" w:fill="auto"/>
                  <w:vAlign w:val="center"/>
                </w:tcPr>
                <w:p w14:paraId="37DEE9D4">
                  <w:pPr>
                    <w:pageBreakBefore w:val="0"/>
                    <w:wordWrap w:val="0"/>
                    <w:overflowPunct/>
                    <w:bidi w:val="0"/>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29.5%</w:t>
                  </w:r>
                </w:p>
              </w:tc>
              <w:tc>
                <w:tcPr>
                  <w:tcW w:w="572" w:type="pct"/>
                  <w:shd w:val="clear" w:color="auto" w:fill="auto"/>
                  <w:vAlign w:val="center"/>
                </w:tcPr>
                <w:p w14:paraId="51CAD7F9">
                  <w:pPr>
                    <w:pageBreakBefore w:val="0"/>
                    <w:wordWrap w:val="0"/>
                    <w:overflowPunct/>
                    <w:bidi w:val="0"/>
                    <w:adjustRightInd w:val="0"/>
                    <w:snapToGrid w:val="0"/>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363.3</w:t>
                  </w:r>
                  <w:r>
                    <w:rPr>
                      <w:rFonts w:hint="default" w:ascii="Times New Roman" w:hAnsi="Times New Roman" w:cs="Times New Roman"/>
                      <w:bCs/>
                      <w:color w:val="auto"/>
                      <w:sz w:val="21"/>
                      <w:szCs w:val="21"/>
                      <w:highlight w:val="none"/>
                    </w:rPr>
                    <w:t>g/L</w:t>
                  </w:r>
                </w:p>
              </w:tc>
              <w:tc>
                <w:tcPr>
                  <w:tcW w:w="1202" w:type="pct"/>
                  <w:vMerge w:val="restart"/>
                  <w:vAlign w:val="center"/>
                </w:tcPr>
                <w:p w14:paraId="208E2D16">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《低挥发性有机化合物含量涂料产品技术要求》（GB/T38597-2020）</w:t>
                  </w:r>
                </w:p>
              </w:tc>
              <w:tc>
                <w:tcPr>
                  <w:tcW w:w="1247" w:type="pct"/>
                  <w:vAlign w:val="center"/>
                </w:tcPr>
                <w:p w14:paraId="3AB4A872">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工业防护涂料-机械设备涂料（含零部件涂料）面漆双组分≤420g/L</w:t>
                  </w:r>
                </w:p>
              </w:tc>
              <w:tc>
                <w:tcPr>
                  <w:tcW w:w="558" w:type="pct"/>
                  <w:vAlign w:val="center"/>
                </w:tcPr>
                <w:p w14:paraId="322AC31C">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1059F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40153AA1">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水性漆</w:t>
                  </w:r>
                </w:p>
              </w:tc>
              <w:tc>
                <w:tcPr>
                  <w:tcW w:w="537" w:type="pct"/>
                  <w:vAlign w:val="center"/>
                </w:tcPr>
                <w:p w14:paraId="20620CD8">
                  <w:pPr>
                    <w:pageBreakBefore w:val="0"/>
                    <w:wordWrap w:val="0"/>
                    <w:overflowPunct/>
                    <w:bidi w:val="0"/>
                    <w:adjustRightInd w:val="0"/>
                    <w:snapToGrid w:val="0"/>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1.7%</w:t>
                  </w:r>
                </w:p>
              </w:tc>
              <w:tc>
                <w:tcPr>
                  <w:tcW w:w="572" w:type="pct"/>
                  <w:vAlign w:val="center"/>
                </w:tcPr>
                <w:p w14:paraId="4665EF01">
                  <w:pPr>
                    <w:pageBreakBefore w:val="0"/>
                    <w:wordWrap w:val="0"/>
                    <w:overflowPunct/>
                    <w:bidi w:val="0"/>
                    <w:adjustRightInd w:val="0"/>
                    <w:snapToGrid w:val="0"/>
                    <w:spacing w:line="240" w:lineRule="auto"/>
                    <w:jc w:val="center"/>
                    <w:rPr>
                      <w:rFonts w:hint="eastAsia"/>
                      <w:bCs/>
                      <w:color w:val="auto"/>
                      <w:sz w:val="21"/>
                      <w:szCs w:val="21"/>
                      <w:highlight w:val="none"/>
                      <w:lang w:val="en-US" w:eastAsia="zh-CN"/>
                    </w:rPr>
                  </w:pPr>
                  <w:r>
                    <w:rPr>
                      <w:rFonts w:hint="eastAsia"/>
                      <w:bCs/>
                      <w:color w:val="auto"/>
                      <w:sz w:val="21"/>
                      <w:szCs w:val="21"/>
                      <w:highlight w:val="none"/>
                      <w:lang w:val="en-US" w:eastAsia="zh-CN"/>
                    </w:rPr>
                    <w:t>19</w:t>
                  </w:r>
                  <w:r>
                    <w:rPr>
                      <w:rFonts w:hint="eastAsia"/>
                      <w:bCs/>
                      <w:color w:val="auto"/>
                      <w:sz w:val="21"/>
                      <w:szCs w:val="21"/>
                      <w:highlight w:val="none"/>
                    </w:rPr>
                    <w:t>g/L</w:t>
                  </w:r>
                </w:p>
              </w:tc>
              <w:tc>
                <w:tcPr>
                  <w:tcW w:w="1202" w:type="pct"/>
                  <w:vMerge w:val="continue"/>
                  <w:vAlign w:val="center"/>
                </w:tcPr>
                <w:p w14:paraId="23FA961B">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p>
              </w:tc>
              <w:tc>
                <w:tcPr>
                  <w:tcW w:w="1247" w:type="pct"/>
                  <w:vAlign w:val="center"/>
                </w:tcPr>
                <w:p w14:paraId="194ECA3D">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eastAsia"/>
                      <w:bCs/>
                      <w:color w:val="auto"/>
                      <w:sz w:val="21"/>
                      <w:szCs w:val="21"/>
                      <w:highlight w:val="none"/>
                    </w:rPr>
                    <w:t>工业防护涂料-型材涂料</w:t>
                  </w:r>
                  <w:r>
                    <w:rPr>
                      <w:rFonts w:hint="eastAsia"/>
                      <w:bCs/>
                      <w:color w:val="auto"/>
                      <w:sz w:val="21"/>
                      <w:szCs w:val="21"/>
                      <w:highlight w:val="none"/>
                      <w:lang w:val="en-US" w:eastAsia="zh-CN"/>
                    </w:rPr>
                    <w:t>-其他</w:t>
                  </w:r>
                  <w:r>
                    <w:rPr>
                      <w:bCs/>
                      <w:color w:val="auto"/>
                      <w:sz w:val="21"/>
                      <w:szCs w:val="21"/>
                      <w:highlight w:val="none"/>
                    </w:rPr>
                    <w:t>：≤2</w:t>
                  </w:r>
                  <w:r>
                    <w:rPr>
                      <w:rFonts w:hint="eastAsia"/>
                      <w:bCs/>
                      <w:color w:val="auto"/>
                      <w:sz w:val="21"/>
                      <w:szCs w:val="21"/>
                      <w:highlight w:val="none"/>
                      <w:lang w:val="en-US" w:eastAsia="zh-CN"/>
                    </w:rPr>
                    <w:t>5</w:t>
                  </w:r>
                  <w:r>
                    <w:rPr>
                      <w:bCs/>
                      <w:color w:val="auto"/>
                      <w:sz w:val="21"/>
                      <w:szCs w:val="21"/>
                      <w:highlight w:val="none"/>
                    </w:rPr>
                    <w:t>0g/L</w:t>
                  </w:r>
                </w:p>
              </w:tc>
              <w:tc>
                <w:tcPr>
                  <w:tcW w:w="558" w:type="pct"/>
                  <w:vAlign w:val="center"/>
                </w:tcPr>
                <w:p w14:paraId="13D9BC0C">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72931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5000" w:type="pct"/>
                  <w:gridSpan w:val="6"/>
                  <w:vAlign w:val="center"/>
                </w:tcPr>
                <w:p w14:paraId="021A4D97">
                  <w:pPr>
                    <w:pageBreakBefore w:val="0"/>
                    <w:wordWrap w:val="0"/>
                    <w:overflowPunct/>
                    <w:bidi w:val="0"/>
                    <w:adjustRightInd w:val="0"/>
                    <w:snapToGrid w:val="0"/>
                    <w:spacing w:line="240" w:lineRule="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注：</w:t>
                  </w:r>
                </w:p>
                <w:p w14:paraId="6B25EC73">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①</w:t>
                  </w:r>
                  <w:r>
                    <w:rPr>
                      <w:rFonts w:hint="default" w:ascii="Times New Roman" w:hAnsi="Times New Roman" w:cs="Times New Roman"/>
                      <w:bCs/>
                      <w:color w:val="auto"/>
                      <w:sz w:val="21"/>
                      <w:szCs w:val="21"/>
                      <w:highlight w:val="none"/>
                      <w:lang w:val="en-US" w:eastAsia="zh-CN"/>
                    </w:rPr>
                    <w:t>调配后油性漆-</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lang w:val="en-US" w:eastAsia="zh-CN"/>
                    </w:rPr>
                    <w:t>漆</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根据VOC检测报告（附件</w:t>
                  </w:r>
                  <w:r>
                    <w:rPr>
                      <w:rFonts w:hint="eastAsia"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lang w:val="en-US" w:eastAsia="zh-CN"/>
                    </w:rPr>
                    <w:t>）可知，</w:t>
                  </w:r>
                  <w:r>
                    <w:rPr>
                      <w:rFonts w:hint="eastAsia" w:ascii="Times New Roman" w:hAnsi="Times New Roman" w:cs="Times New Roman"/>
                      <w:bCs/>
                      <w:color w:val="auto"/>
                      <w:sz w:val="21"/>
                      <w:szCs w:val="21"/>
                      <w:highlight w:val="none"/>
                      <w:lang w:val="en-US" w:eastAsia="zh-CN"/>
                    </w:rPr>
                    <w:t>调配比为主漆:固化剂=1:0.</w:t>
                  </w:r>
                  <w:r>
                    <w:rPr>
                      <w:rFonts w:hint="eastAsia" w:cs="Times New Roman"/>
                      <w:bCs/>
                      <w:color w:val="auto"/>
                      <w:sz w:val="21"/>
                      <w:szCs w:val="21"/>
                      <w:highlight w:val="none"/>
                      <w:lang w:val="en-US" w:eastAsia="zh-CN"/>
                    </w:rPr>
                    <w:t>2</w:t>
                  </w:r>
                  <w:r>
                    <w:rPr>
                      <w:rFonts w:hint="eastAsia" w:ascii="Times New Roman" w:hAnsi="Times New Roman" w:cs="Times New Roman"/>
                      <w:bCs/>
                      <w:color w:val="auto"/>
                      <w:sz w:val="21"/>
                      <w:szCs w:val="21"/>
                      <w:highlight w:val="none"/>
                      <w:lang w:val="en-US" w:eastAsia="zh-CN"/>
                    </w:rPr>
                    <w:t>（质量比）时，</w:t>
                  </w:r>
                  <w:r>
                    <w:rPr>
                      <w:rFonts w:hint="default" w:ascii="Times New Roman" w:hAnsi="Times New Roman" w:cs="Times New Roman"/>
                      <w:bCs/>
                      <w:color w:val="auto"/>
                      <w:sz w:val="21"/>
                      <w:szCs w:val="21"/>
                      <w:highlight w:val="none"/>
                      <w:lang w:val="en-US" w:eastAsia="zh-CN"/>
                    </w:rPr>
                    <w:t>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cs="Times New Roman"/>
                      <w:bCs/>
                      <w:color w:val="auto"/>
                      <w:sz w:val="21"/>
                      <w:szCs w:val="21"/>
                      <w:highlight w:val="none"/>
                      <w:lang w:val="en-US" w:eastAsia="zh-CN"/>
                    </w:rPr>
                    <w:t>298</w:t>
                  </w:r>
                  <w:r>
                    <w:rPr>
                      <w:rFonts w:hint="default" w:ascii="Times New Roman" w:hAnsi="Times New Roman" w:cs="Times New Roman"/>
                      <w:bCs/>
                      <w:color w:val="auto"/>
                      <w:sz w:val="21"/>
                      <w:szCs w:val="21"/>
                      <w:highlight w:val="none"/>
                      <w:lang w:val="en-US" w:eastAsia="zh-CN"/>
                    </w:rPr>
                    <w:t>g/L</w:t>
                  </w:r>
                  <w:r>
                    <w:rPr>
                      <w:rFonts w:hint="eastAsia" w:cs="Times New Roman"/>
                      <w:bCs/>
                      <w:color w:val="auto"/>
                      <w:sz w:val="21"/>
                      <w:szCs w:val="21"/>
                      <w:highlight w:val="none"/>
                      <w:lang w:val="en-US" w:eastAsia="zh-CN"/>
                    </w:rPr>
                    <w:t>，稀释剂使用量按</w:t>
                  </w:r>
                  <w:r>
                    <w:rPr>
                      <w:rFonts w:hint="eastAsia" w:ascii="Times New Roman" w:hAnsi="Times New Roman" w:cs="Times New Roman"/>
                      <w:bCs/>
                      <w:color w:val="auto"/>
                      <w:sz w:val="21"/>
                      <w:szCs w:val="21"/>
                      <w:highlight w:val="none"/>
                      <w:lang w:val="en-US" w:eastAsia="zh-CN"/>
                    </w:rPr>
                    <w:t>主漆:固化剂</w:t>
                  </w:r>
                  <w:r>
                    <w:rPr>
                      <w:rFonts w:hint="eastAsia" w:cs="Times New Roman"/>
                      <w:bCs/>
                      <w:color w:val="auto"/>
                      <w:sz w:val="21"/>
                      <w:szCs w:val="21"/>
                      <w:highlight w:val="none"/>
                      <w:lang w:val="en-US" w:eastAsia="zh-CN"/>
                    </w:rPr>
                    <w:t>：稀释剂</w:t>
                  </w:r>
                  <w:r>
                    <w:rPr>
                      <w:rFonts w:hint="eastAsia" w:ascii="Times New Roman" w:hAnsi="Times New Roman" w:cs="Times New Roman"/>
                      <w:bCs/>
                      <w:color w:val="auto"/>
                      <w:sz w:val="21"/>
                      <w:szCs w:val="21"/>
                      <w:highlight w:val="none"/>
                      <w:lang w:val="en-US" w:eastAsia="zh-CN"/>
                    </w:rPr>
                    <w:t>=1:0.</w:t>
                  </w:r>
                  <w:r>
                    <w:rPr>
                      <w:rFonts w:hint="eastAsia" w:cs="Times New Roman"/>
                      <w:bCs/>
                      <w:color w:val="auto"/>
                      <w:sz w:val="21"/>
                      <w:szCs w:val="21"/>
                      <w:highlight w:val="none"/>
                      <w:lang w:val="en-US" w:eastAsia="zh-CN"/>
                    </w:rPr>
                    <w:t>2：0.1</w:t>
                  </w:r>
                  <w:r>
                    <w:rPr>
                      <w:rFonts w:hint="eastAsia" w:ascii="Times New Roman" w:hAnsi="Times New Roman" w:cs="Times New Roman"/>
                      <w:bCs/>
                      <w:color w:val="auto"/>
                      <w:sz w:val="21"/>
                      <w:szCs w:val="21"/>
                      <w:highlight w:val="none"/>
                      <w:lang w:val="en-US" w:eastAsia="zh-CN"/>
                    </w:rPr>
                    <w:t>（质量比）</w:t>
                  </w:r>
                  <w:r>
                    <w:rPr>
                      <w:rFonts w:hint="eastAsia" w:cs="Times New Roman"/>
                      <w:bCs/>
                      <w:color w:val="auto"/>
                      <w:sz w:val="21"/>
                      <w:szCs w:val="21"/>
                      <w:highlight w:val="none"/>
                      <w:lang w:val="en-US" w:eastAsia="zh-CN"/>
                    </w:rPr>
                    <w:t>，转换百分比为（363.3g/L/1.23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）×100%≈29.5%</w:t>
                  </w:r>
                  <w:r>
                    <w:rPr>
                      <w:rFonts w:hint="default" w:ascii="Times New Roman" w:hAnsi="Times New Roman" w:cs="Times New Roman"/>
                      <w:bCs/>
                      <w:color w:val="auto"/>
                      <w:sz w:val="21"/>
                      <w:szCs w:val="21"/>
                      <w:highlight w:val="none"/>
                    </w:rPr>
                    <w:t>；</w:t>
                  </w:r>
                </w:p>
                <w:p w14:paraId="349367CE">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②</w:t>
                  </w:r>
                  <w:r>
                    <w:rPr>
                      <w:rFonts w:hint="eastAsia" w:cs="Times New Roman"/>
                      <w:color w:val="auto"/>
                      <w:sz w:val="21"/>
                      <w:szCs w:val="21"/>
                      <w:highlight w:val="none"/>
                      <w:lang w:val="en-US" w:eastAsia="zh-CN"/>
                    </w:rPr>
                    <w:t>水性漆：</w:t>
                  </w:r>
                  <w:r>
                    <w:rPr>
                      <w:rFonts w:hint="default" w:ascii="Times New Roman" w:hAnsi="Times New Roman" w:cs="Times New Roman"/>
                      <w:bCs/>
                      <w:color w:val="auto"/>
                      <w:sz w:val="21"/>
                      <w:szCs w:val="21"/>
                      <w:highlight w:val="none"/>
                      <w:lang w:val="en-US" w:eastAsia="zh-CN"/>
                    </w:rPr>
                    <w:t>根据VOC检测报告（附件</w:t>
                  </w:r>
                  <w:r>
                    <w:rPr>
                      <w:rFonts w:hint="eastAsia"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lang w:val="en-US" w:eastAsia="zh-CN"/>
                    </w:rPr>
                    <w:t>）可知，其挥发性有机化合物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lang w:val="en-US" w:eastAsia="zh-CN"/>
                    </w:rPr>
                    <w:t>g/L</w:t>
                  </w:r>
                  <w:r>
                    <w:rPr>
                      <w:rFonts w:hint="eastAsia" w:ascii="Times New Roman" w:hAnsi="Times New Roman" w:cs="Times New Roman"/>
                      <w:bCs/>
                      <w:color w:val="auto"/>
                      <w:sz w:val="21"/>
                      <w:szCs w:val="21"/>
                      <w:highlight w:val="none"/>
                      <w:lang w:val="en-US" w:eastAsia="zh-CN"/>
                    </w:rPr>
                    <w:t>，未检出苯系物、甲醛</w:t>
                  </w:r>
                  <w:r>
                    <w:rPr>
                      <w:rFonts w:hint="eastAsia" w:cs="Times New Roman"/>
                      <w:bCs/>
                      <w:color w:val="auto"/>
                      <w:sz w:val="21"/>
                      <w:szCs w:val="21"/>
                      <w:highlight w:val="none"/>
                      <w:lang w:val="en-US" w:eastAsia="zh-CN"/>
                    </w:rPr>
                    <w:t>，转换百分比为（19g/L/1.1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）×100%≈1.7%。</w:t>
                  </w:r>
                </w:p>
              </w:tc>
            </w:tr>
          </w:tbl>
          <w:p w14:paraId="2C9F4483">
            <w:pPr>
              <w:pStyle w:val="26"/>
              <w:ind w:firstLine="480"/>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项目物料平衡</w:t>
            </w:r>
          </w:p>
          <w:p w14:paraId="0D6E3E61">
            <w:pPr>
              <w:pStyle w:val="26"/>
              <w:ind w:firstLine="480"/>
              <w:rPr>
                <w:rFonts w:hint="eastAsia" w:eastAsia="宋体" w:cs="Times New Roman"/>
                <w:b w:val="0"/>
                <w:bCs w:val="0"/>
                <w:color w:val="auto"/>
                <w:highlight w:val="none"/>
                <w:lang w:val="en-US" w:eastAsia="zh-CN"/>
              </w:rPr>
            </w:pPr>
            <w:r>
              <w:rPr>
                <w:rFonts w:hint="eastAsia" w:eastAsia="宋体" w:cs="Times New Roman"/>
                <w:b w:val="0"/>
                <w:bCs w:val="0"/>
                <w:color w:val="auto"/>
                <w:highlight w:val="none"/>
                <w:lang w:val="en-US" w:eastAsia="zh-CN"/>
              </w:rPr>
              <w:t>根据建设单位提供资料，本项目生产过程物料平衡分析</w:t>
            </w:r>
            <w:r>
              <w:rPr>
                <w:rFonts w:hint="eastAsia" w:cs="Times New Roman"/>
                <w:b w:val="0"/>
                <w:bCs w:val="0"/>
                <w:color w:val="auto"/>
                <w:highlight w:val="none"/>
                <w:lang w:val="en-US" w:eastAsia="zh-CN"/>
              </w:rPr>
              <w:t>如下</w:t>
            </w:r>
            <w:r>
              <w:rPr>
                <w:rFonts w:hint="eastAsia" w:eastAsia="宋体" w:cs="Times New Roman"/>
                <w:b w:val="0"/>
                <w:bCs w:val="0"/>
                <w:color w:val="auto"/>
                <w:highlight w:val="none"/>
                <w:lang w:val="en-US" w:eastAsia="zh-CN"/>
              </w:rPr>
              <w:t>：</w:t>
            </w:r>
          </w:p>
          <w:p w14:paraId="367812E0">
            <w:pPr>
              <w:pStyle w:val="16"/>
              <w:spacing w:line="240" w:lineRule="auto"/>
              <w:rPr>
                <w:rFonts w:hint="eastAsia" w:eastAsia="宋体" w:cs="Times New Roman"/>
                <w:b/>
                <w:bCs/>
                <w:color w:val="auto"/>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10</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eastAsia="宋体" w:cs="Times New Roman"/>
                <w:b/>
                <w:bCs/>
                <w:color w:val="auto"/>
                <w:highlight w:val="none"/>
                <w:lang w:val="en-US" w:eastAsia="zh-CN"/>
              </w:rPr>
              <w:t xml:space="preserve"> 物料平衡表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8"/>
              <w:gridCol w:w="1088"/>
              <w:gridCol w:w="1089"/>
              <w:gridCol w:w="990"/>
              <w:gridCol w:w="700"/>
              <w:gridCol w:w="2434"/>
              <w:gridCol w:w="1136"/>
            </w:tblGrid>
            <w:tr w14:paraId="4AD884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1BFE6B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2018" w:type="pct"/>
                  <w:gridSpan w:val="3"/>
                  <w:vAlign w:val="center"/>
                </w:tcPr>
                <w:p w14:paraId="6B7214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投料（t/a）</w:t>
                  </w:r>
                </w:p>
              </w:tc>
              <w:tc>
                <w:tcPr>
                  <w:tcW w:w="2721" w:type="pct"/>
                  <w:gridSpan w:val="3"/>
                  <w:vAlign w:val="center"/>
                </w:tcPr>
                <w:p w14:paraId="3CF163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产出（t/a）</w:t>
                  </w:r>
                </w:p>
              </w:tc>
            </w:tr>
            <w:tr w14:paraId="5E943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9AA548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1386" w:type="pct"/>
                  <w:gridSpan w:val="2"/>
                  <w:vAlign w:val="center"/>
                </w:tcPr>
                <w:p w14:paraId="220A30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物料名称</w:t>
                  </w:r>
                </w:p>
              </w:tc>
              <w:tc>
                <w:tcPr>
                  <w:tcW w:w="631" w:type="pct"/>
                  <w:vAlign w:val="center"/>
                </w:tcPr>
                <w:p w14:paraId="5944E6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数量</w:t>
                  </w:r>
                </w:p>
              </w:tc>
              <w:tc>
                <w:tcPr>
                  <w:tcW w:w="1997" w:type="pct"/>
                  <w:gridSpan w:val="2"/>
                  <w:vAlign w:val="center"/>
                </w:tcPr>
                <w:p w14:paraId="581189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物料名称</w:t>
                  </w:r>
                </w:p>
              </w:tc>
              <w:tc>
                <w:tcPr>
                  <w:tcW w:w="723" w:type="pct"/>
                  <w:vAlign w:val="center"/>
                </w:tcPr>
                <w:p w14:paraId="0C52C0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数量</w:t>
                  </w:r>
                </w:p>
              </w:tc>
            </w:tr>
            <w:tr w14:paraId="5D8E0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2B3302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i w:val="0"/>
                      <w:iCs w:val="0"/>
                      <w:color w:val="auto"/>
                      <w:kern w:val="0"/>
                      <w:sz w:val="21"/>
                      <w:szCs w:val="21"/>
                      <w:highlight w:val="none"/>
                      <w:u w:val="none"/>
                      <w:lang w:val="en-US" w:eastAsia="zh-CN"/>
                    </w:rPr>
                    <w:t>.玻璃纤维增强塑料制品生产线</w:t>
                  </w:r>
                </w:p>
              </w:tc>
              <w:tc>
                <w:tcPr>
                  <w:tcW w:w="1386" w:type="pct"/>
                  <w:gridSpan w:val="2"/>
                  <w:vAlign w:val="center"/>
                </w:tcPr>
                <w:p w14:paraId="3442F0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玻璃纤维纱</w:t>
                  </w:r>
                </w:p>
              </w:tc>
              <w:tc>
                <w:tcPr>
                  <w:tcW w:w="631" w:type="pct"/>
                  <w:vAlign w:val="center"/>
                </w:tcPr>
                <w:p w14:paraId="1E8AFF5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1520.03</w:t>
                  </w:r>
                </w:p>
              </w:tc>
              <w:tc>
                <w:tcPr>
                  <w:tcW w:w="446" w:type="pct"/>
                  <w:vAlign w:val="center"/>
                </w:tcPr>
                <w:p w14:paraId="74FB8C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Align w:val="center"/>
                </w:tcPr>
                <w:p w14:paraId="5C4811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玻璃纤维增强塑料制品</w:t>
                  </w:r>
                </w:p>
              </w:tc>
              <w:tc>
                <w:tcPr>
                  <w:tcW w:w="723" w:type="pct"/>
                  <w:vAlign w:val="center"/>
                </w:tcPr>
                <w:p w14:paraId="24303FD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2520.00</w:t>
                  </w:r>
                </w:p>
              </w:tc>
            </w:tr>
            <w:tr w14:paraId="73B90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6FC39E8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43D015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不饱和聚酯树脂</w:t>
                  </w:r>
                </w:p>
              </w:tc>
              <w:tc>
                <w:tcPr>
                  <w:tcW w:w="631" w:type="pct"/>
                  <w:vAlign w:val="center"/>
                </w:tcPr>
                <w:p w14:paraId="7189124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763.35</w:t>
                  </w:r>
                </w:p>
              </w:tc>
              <w:tc>
                <w:tcPr>
                  <w:tcW w:w="446" w:type="pct"/>
                  <w:vMerge w:val="restart"/>
                  <w:vAlign w:val="center"/>
                </w:tcPr>
                <w:p w14:paraId="149055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废气</w:t>
                  </w:r>
                </w:p>
              </w:tc>
              <w:tc>
                <w:tcPr>
                  <w:tcW w:w="1551" w:type="pct"/>
                  <w:vAlign w:val="center"/>
                </w:tcPr>
                <w:p w14:paraId="3EA498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723" w:type="pct"/>
                  <w:vAlign w:val="center"/>
                </w:tcPr>
                <w:p w14:paraId="29FECF18">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0.23</w:t>
                  </w:r>
                </w:p>
              </w:tc>
            </w:tr>
            <w:tr w14:paraId="0EC95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F10234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201BA1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固化剂</w:t>
                  </w:r>
                </w:p>
              </w:tc>
              <w:tc>
                <w:tcPr>
                  <w:tcW w:w="631" w:type="pct"/>
                  <w:vAlign w:val="center"/>
                </w:tcPr>
                <w:p w14:paraId="7691064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14.00</w:t>
                  </w:r>
                </w:p>
              </w:tc>
              <w:tc>
                <w:tcPr>
                  <w:tcW w:w="446" w:type="pct"/>
                  <w:vMerge w:val="continue"/>
                  <w:vAlign w:val="center"/>
                </w:tcPr>
                <w:p w14:paraId="31C4465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p>
              </w:tc>
              <w:tc>
                <w:tcPr>
                  <w:tcW w:w="1551" w:type="pct"/>
                  <w:vAlign w:val="center"/>
                </w:tcPr>
                <w:p w14:paraId="307343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非甲烷总烃（含苯乙烯）</w:t>
                  </w:r>
                </w:p>
              </w:tc>
              <w:tc>
                <w:tcPr>
                  <w:tcW w:w="723" w:type="pct"/>
                  <w:vAlign w:val="center"/>
                </w:tcPr>
                <w:p w14:paraId="102DC39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2"/>
                      <w:szCs w:val="22"/>
                      <w:highlight w:val="none"/>
                      <w:u w:val="none"/>
                      <w:lang w:val="en-US" w:eastAsia="zh-CN"/>
                    </w:rPr>
                    <w:t>1.67</w:t>
                  </w:r>
                </w:p>
              </w:tc>
            </w:tr>
            <w:tr w14:paraId="58E6A1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35731E7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7E488A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色浆</w:t>
                  </w:r>
                </w:p>
              </w:tc>
              <w:tc>
                <w:tcPr>
                  <w:tcW w:w="631" w:type="pct"/>
                  <w:vAlign w:val="center"/>
                </w:tcPr>
                <w:p w14:paraId="3B2492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7.00</w:t>
                  </w:r>
                </w:p>
              </w:tc>
              <w:tc>
                <w:tcPr>
                  <w:tcW w:w="446" w:type="pct"/>
                  <w:vMerge w:val="restart"/>
                  <w:vAlign w:val="center"/>
                </w:tcPr>
                <w:p w14:paraId="1CB746D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固废</w:t>
                  </w:r>
                </w:p>
              </w:tc>
              <w:tc>
                <w:tcPr>
                  <w:tcW w:w="1551" w:type="pct"/>
                  <w:vMerge w:val="restart"/>
                  <w:vAlign w:val="center"/>
                </w:tcPr>
                <w:p w14:paraId="61EFE6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玻璃纤维边角料</w:t>
                  </w:r>
                </w:p>
              </w:tc>
              <w:tc>
                <w:tcPr>
                  <w:tcW w:w="723" w:type="pct"/>
                  <w:vMerge w:val="restart"/>
                  <w:vAlign w:val="center"/>
                </w:tcPr>
                <w:p w14:paraId="40EBDC4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12.60</w:t>
                  </w:r>
                </w:p>
              </w:tc>
            </w:tr>
            <w:tr w14:paraId="43E1B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14DC75F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1178CD2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碳酸钙</w:t>
                  </w:r>
                </w:p>
              </w:tc>
              <w:tc>
                <w:tcPr>
                  <w:tcW w:w="631" w:type="pct"/>
                  <w:vAlign w:val="center"/>
                </w:tcPr>
                <w:p w14:paraId="0C46F8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227.50</w:t>
                  </w:r>
                </w:p>
              </w:tc>
              <w:tc>
                <w:tcPr>
                  <w:tcW w:w="446" w:type="pct"/>
                  <w:vMerge w:val="continue"/>
                  <w:vAlign w:val="center"/>
                </w:tcPr>
                <w:p w14:paraId="202C830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551" w:type="pct"/>
                  <w:vMerge w:val="continue"/>
                  <w:vAlign w:val="center"/>
                </w:tcPr>
                <w:p w14:paraId="2A7915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3" w:type="pct"/>
                  <w:vMerge w:val="continue"/>
                  <w:vAlign w:val="center"/>
                </w:tcPr>
                <w:p w14:paraId="15872E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r>
            <w:tr w14:paraId="41274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2DC650B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6E0784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塑料配件</w:t>
                  </w:r>
                </w:p>
              </w:tc>
              <w:tc>
                <w:tcPr>
                  <w:tcW w:w="631" w:type="pct"/>
                  <w:vAlign w:val="center"/>
                </w:tcPr>
                <w:p w14:paraId="6F3A71B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2.63</w:t>
                  </w:r>
                </w:p>
              </w:tc>
              <w:tc>
                <w:tcPr>
                  <w:tcW w:w="446" w:type="pct"/>
                  <w:vMerge w:val="continue"/>
                  <w:vAlign w:val="center"/>
                </w:tcPr>
                <w:p w14:paraId="2DC06B3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551" w:type="pct"/>
                  <w:vMerge w:val="continue"/>
                  <w:vAlign w:val="center"/>
                </w:tcPr>
                <w:p w14:paraId="0D07DB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3" w:type="pct"/>
                  <w:vMerge w:val="continue"/>
                  <w:vAlign w:val="center"/>
                </w:tcPr>
                <w:p w14:paraId="74B184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rPr>
                  </w:pPr>
                </w:p>
              </w:tc>
            </w:tr>
            <w:tr w14:paraId="16C743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225EC64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7535BD97">
                  <w:pPr>
                    <w:keepNext w:val="0"/>
                    <w:keepLines w:val="0"/>
                    <w:widowControl/>
                    <w:suppressLineNumbers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2534.50</w:t>
                  </w:r>
                </w:p>
              </w:tc>
              <w:tc>
                <w:tcPr>
                  <w:tcW w:w="1997" w:type="pct"/>
                  <w:gridSpan w:val="2"/>
                  <w:vAlign w:val="center"/>
                </w:tcPr>
                <w:p w14:paraId="03F008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212F9E8D">
                  <w:pPr>
                    <w:keepNext w:val="0"/>
                    <w:keepLines w:val="0"/>
                    <w:widowControl/>
                    <w:suppressLineNumbers w:val="0"/>
                    <w:jc w:val="center"/>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eastAsia="宋体" w:cs="Times New Roman"/>
                      <w:b/>
                      <w:bCs/>
                      <w:i w:val="0"/>
                      <w:iCs w:val="0"/>
                      <w:color w:val="auto"/>
                      <w:kern w:val="0"/>
                      <w:sz w:val="22"/>
                      <w:szCs w:val="22"/>
                      <w:highlight w:val="none"/>
                      <w:u w:val="none"/>
                      <w:lang w:val="en-US" w:eastAsia="zh-CN"/>
                    </w:rPr>
                    <w:t>2534.50</w:t>
                  </w:r>
                </w:p>
              </w:tc>
            </w:tr>
            <w:tr w14:paraId="22425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42AF4E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i w:val="0"/>
                      <w:iCs w:val="0"/>
                      <w:color w:val="auto"/>
                      <w:kern w:val="0"/>
                      <w:sz w:val="21"/>
                      <w:szCs w:val="21"/>
                      <w:highlight w:val="none"/>
                      <w:u w:val="none"/>
                      <w:lang w:val="en-US" w:eastAsia="zh-CN"/>
                    </w:rPr>
                    <w:t>.玻纤布生产线</w:t>
                  </w:r>
                </w:p>
              </w:tc>
              <w:tc>
                <w:tcPr>
                  <w:tcW w:w="1386" w:type="pct"/>
                  <w:gridSpan w:val="2"/>
                  <w:vMerge w:val="restart"/>
                  <w:vAlign w:val="center"/>
                </w:tcPr>
                <w:p w14:paraId="2C2B68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玻璃纤维纱</w:t>
                  </w:r>
                </w:p>
              </w:tc>
              <w:tc>
                <w:tcPr>
                  <w:tcW w:w="631" w:type="pct"/>
                  <w:vMerge w:val="restart"/>
                  <w:vAlign w:val="center"/>
                </w:tcPr>
                <w:p w14:paraId="02791FDA">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420.00</w:t>
                  </w:r>
                </w:p>
              </w:tc>
              <w:tc>
                <w:tcPr>
                  <w:tcW w:w="446" w:type="pct"/>
                  <w:vAlign w:val="center"/>
                </w:tcPr>
                <w:p w14:paraId="33D3BD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Align w:val="center"/>
                </w:tcPr>
                <w:p w14:paraId="604331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玻纤布</w:t>
                  </w:r>
                </w:p>
              </w:tc>
              <w:tc>
                <w:tcPr>
                  <w:tcW w:w="723" w:type="pct"/>
                  <w:vAlign w:val="center"/>
                </w:tcPr>
                <w:p w14:paraId="4604479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2"/>
                      <w:szCs w:val="22"/>
                      <w:highlight w:val="none"/>
                      <w:u w:val="none"/>
                      <w:lang w:val="en-US" w:eastAsia="zh-CN"/>
                    </w:rPr>
                    <w:t>419.91</w:t>
                  </w:r>
                </w:p>
              </w:tc>
            </w:tr>
            <w:tr w14:paraId="3EDCE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A5921C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08C850B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18A7C88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Align w:val="center"/>
                </w:tcPr>
                <w:p w14:paraId="11989A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废气</w:t>
                  </w:r>
                </w:p>
              </w:tc>
              <w:tc>
                <w:tcPr>
                  <w:tcW w:w="1551" w:type="pct"/>
                  <w:vAlign w:val="center"/>
                </w:tcPr>
                <w:p w14:paraId="1486B5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723" w:type="pct"/>
                  <w:vAlign w:val="center"/>
                </w:tcPr>
                <w:p w14:paraId="69EF1BA8">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0.004</w:t>
                  </w:r>
                </w:p>
              </w:tc>
            </w:tr>
            <w:tr w14:paraId="19FC2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B2AB31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6674FFA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31FC56D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Merge w:val="restart"/>
                  <w:vAlign w:val="center"/>
                </w:tcPr>
                <w:p w14:paraId="22153D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固废</w:t>
                  </w:r>
                </w:p>
              </w:tc>
              <w:tc>
                <w:tcPr>
                  <w:tcW w:w="1551" w:type="pct"/>
                  <w:vAlign w:val="center"/>
                </w:tcPr>
                <w:p w14:paraId="771D17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下脚料</w:t>
                  </w:r>
                </w:p>
              </w:tc>
              <w:tc>
                <w:tcPr>
                  <w:tcW w:w="723" w:type="pct"/>
                  <w:vAlign w:val="center"/>
                </w:tcPr>
                <w:p w14:paraId="34E4C8B2">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0.02</w:t>
                  </w:r>
                </w:p>
              </w:tc>
            </w:tr>
            <w:tr w14:paraId="26DB6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F0E24E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26C5355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36E6A0E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Merge w:val="continue"/>
                  <w:vAlign w:val="center"/>
                </w:tcPr>
                <w:p w14:paraId="38B7543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Align w:val="center"/>
                </w:tcPr>
                <w:p w14:paraId="7B1DE8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不合格品</w:t>
                  </w:r>
                </w:p>
              </w:tc>
              <w:tc>
                <w:tcPr>
                  <w:tcW w:w="723" w:type="pct"/>
                  <w:vAlign w:val="center"/>
                </w:tcPr>
                <w:p w14:paraId="5B8996F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0.07</w:t>
                  </w:r>
                </w:p>
              </w:tc>
            </w:tr>
            <w:tr w14:paraId="2800D7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4AB53D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1E302C5B">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420.00</w:t>
                  </w:r>
                </w:p>
              </w:tc>
              <w:tc>
                <w:tcPr>
                  <w:tcW w:w="1997" w:type="pct"/>
                  <w:gridSpan w:val="2"/>
                  <w:vAlign w:val="center"/>
                </w:tcPr>
                <w:p w14:paraId="75B8A8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4911AC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420.00</w:t>
                  </w:r>
                </w:p>
              </w:tc>
            </w:tr>
            <w:tr w14:paraId="2C971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4EB0C9B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default" w:ascii="Times New Roman" w:hAnsi="Times New Roman" w:cs="Times New Roman"/>
                      <w:i w:val="0"/>
                      <w:iCs w:val="0"/>
                      <w:color w:val="auto"/>
                      <w:kern w:val="0"/>
                      <w:sz w:val="21"/>
                      <w:szCs w:val="21"/>
                      <w:highlight w:val="none"/>
                      <w:u w:val="none"/>
                      <w:lang w:val="en-US" w:eastAsia="zh-CN"/>
                    </w:rPr>
                    <w:t>.生活用品生产线</w:t>
                  </w:r>
                </w:p>
              </w:tc>
              <w:tc>
                <w:tcPr>
                  <w:tcW w:w="693" w:type="pct"/>
                  <w:vMerge w:val="restart"/>
                  <w:vAlign w:val="center"/>
                </w:tcPr>
                <w:p w14:paraId="07AB52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塑料配件</w:t>
                  </w:r>
                </w:p>
              </w:tc>
              <w:tc>
                <w:tcPr>
                  <w:tcW w:w="693" w:type="pct"/>
                  <w:vAlign w:val="center"/>
                </w:tcPr>
                <w:p w14:paraId="291C02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定制外购</w:t>
                  </w:r>
                </w:p>
              </w:tc>
              <w:tc>
                <w:tcPr>
                  <w:tcW w:w="631" w:type="pct"/>
                  <w:vAlign w:val="center"/>
                </w:tcPr>
                <w:p w14:paraId="2692A5D0">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140.88</w:t>
                  </w:r>
                </w:p>
              </w:tc>
              <w:tc>
                <w:tcPr>
                  <w:tcW w:w="446" w:type="pct"/>
                  <w:vMerge w:val="restart"/>
                  <w:vAlign w:val="center"/>
                </w:tcPr>
                <w:p w14:paraId="62DAE4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Merge w:val="restart"/>
                  <w:vAlign w:val="center"/>
                </w:tcPr>
                <w:p w14:paraId="182EF0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生活用品</w:t>
                  </w:r>
                </w:p>
              </w:tc>
              <w:tc>
                <w:tcPr>
                  <w:tcW w:w="723" w:type="pct"/>
                  <w:vMerge w:val="restart"/>
                  <w:vAlign w:val="center"/>
                </w:tcPr>
                <w:p w14:paraId="6C5FBC5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1225.00</w:t>
                  </w:r>
                </w:p>
              </w:tc>
            </w:tr>
            <w:tr w14:paraId="0F4014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6A92A8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693" w:type="pct"/>
                  <w:vMerge w:val="continue"/>
                  <w:vAlign w:val="center"/>
                </w:tcPr>
                <w:p w14:paraId="7C91BD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93" w:type="pct"/>
                  <w:vAlign w:val="center"/>
                </w:tcPr>
                <w:p w14:paraId="54C55A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本项目生产</w:t>
                  </w:r>
                </w:p>
              </w:tc>
              <w:tc>
                <w:tcPr>
                  <w:tcW w:w="631" w:type="pct"/>
                  <w:vAlign w:val="center"/>
                </w:tcPr>
                <w:p w14:paraId="4D3BB6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2.63</w:t>
                  </w:r>
                </w:p>
              </w:tc>
              <w:tc>
                <w:tcPr>
                  <w:tcW w:w="446" w:type="pct"/>
                  <w:vMerge w:val="continue"/>
                  <w:vAlign w:val="center"/>
                </w:tcPr>
                <w:p w14:paraId="75A06B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1551" w:type="pct"/>
                  <w:vMerge w:val="continue"/>
                  <w:vAlign w:val="center"/>
                </w:tcPr>
                <w:p w14:paraId="058C41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0643CF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7DFF20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258A074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75FC5A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布匹（</w:t>
                  </w:r>
                  <w:r>
                    <w:rPr>
                      <w:rFonts w:hint="default" w:ascii="Times New Roman" w:hAnsi="Times New Roman" w:eastAsia="宋体" w:cs="Times New Roman"/>
                      <w:i w:val="0"/>
                      <w:iCs w:val="0"/>
                      <w:color w:val="auto"/>
                      <w:kern w:val="0"/>
                      <w:sz w:val="21"/>
                      <w:szCs w:val="21"/>
                      <w:highlight w:val="none"/>
                      <w:u w:val="none"/>
                      <w:lang w:val="en-US" w:eastAsia="zh-CN"/>
                    </w:rPr>
                    <w:t>定制外购</w:t>
                  </w:r>
                  <w:r>
                    <w:rPr>
                      <w:rFonts w:hint="default" w:ascii="Times New Roman" w:hAnsi="Times New Roman" w:cs="Times New Roman"/>
                      <w:i w:val="0"/>
                      <w:iCs w:val="0"/>
                      <w:color w:val="auto"/>
                      <w:kern w:val="0"/>
                      <w:sz w:val="21"/>
                      <w:szCs w:val="21"/>
                      <w:highlight w:val="none"/>
                      <w:u w:val="none"/>
                      <w:lang w:val="en-US" w:eastAsia="zh-CN"/>
                    </w:rPr>
                    <w:t>）</w:t>
                  </w:r>
                </w:p>
              </w:tc>
              <w:tc>
                <w:tcPr>
                  <w:tcW w:w="631" w:type="pct"/>
                  <w:vAlign w:val="center"/>
                </w:tcPr>
                <w:p w14:paraId="7D37D616">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122.50</w:t>
                  </w:r>
                </w:p>
              </w:tc>
              <w:tc>
                <w:tcPr>
                  <w:tcW w:w="446" w:type="pct"/>
                  <w:vMerge w:val="continue"/>
                  <w:vAlign w:val="center"/>
                </w:tcPr>
                <w:p w14:paraId="53EE9C8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Merge w:val="continue"/>
                  <w:vAlign w:val="center"/>
                </w:tcPr>
                <w:p w14:paraId="1F5C11E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3E0354C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447F75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075B9C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468AE5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金属配件（定制外购）</w:t>
                  </w:r>
                </w:p>
              </w:tc>
              <w:tc>
                <w:tcPr>
                  <w:tcW w:w="631" w:type="pct"/>
                  <w:vAlign w:val="center"/>
                </w:tcPr>
                <w:p w14:paraId="280935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203.00</w:t>
                  </w:r>
                </w:p>
              </w:tc>
              <w:tc>
                <w:tcPr>
                  <w:tcW w:w="446" w:type="pct"/>
                  <w:vMerge w:val="continue"/>
                  <w:vAlign w:val="center"/>
                </w:tcPr>
                <w:p w14:paraId="3E2E463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Merge w:val="continue"/>
                  <w:vAlign w:val="center"/>
                </w:tcPr>
                <w:p w14:paraId="6B5D96A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68B90C6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275A12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04BFF7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194FBA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玻璃纤维增强塑料制品</w:t>
                  </w:r>
                </w:p>
              </w:tc>
              <w:tc>
                <w:tcPr>
                  <w:tcW w:w="631" w:type="pct"/>
                  <w:vAlign w:val="center"/>
                </w:tcPr>
                <w:p w14:paraId="7E6C07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756.00</w:t>
                  </w:r>
                </w:p>
              </w:tc>
              <w:tc>
                <w:tcPr>
                  <w:tcW w:w="446" w:type="pct"/>
                  <w:vMerge w:val="continue"/>
                  <w:vAlign w:val="center"/>
                </w:tcPr>
                <w:p w14:paraId="1CF7664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p>
              </w:tc>
              <w:tc>
                <w:tcPr>
                  <w:tcW w:w="1551" w:type="pct"/>
                  <w:vMerge w:val="continue"/>
                  <w:vAlign w:val="center"/>
                </w:tcPr>
                <w:p w14:paraId="413D277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2AD4F94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02B665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50D4C5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227F97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1225.00</w:t>
                  </w:r>
                </w:p>
              </w:tc>
              <w:tc>
                <w:tcPr>
                  <w:tcW w:w="1997" w:type="pct"/>
                  <w:gridSpan w:val="2"/>
                  <w:vAlign w:val="center"/>
                </w:tcPr>
                <w:p w14:paraId="790FD9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7D50FC07">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i w:val="0"/>
                      <w:iCs w:val="0"/>
                      <w:color w:val="auto"/>
                      <w:kern w:val="0"/>
                      <w:sz w:val="22"/>
                      <w:szCs w:val="22"/>
                      <w:highlight w:val="none"/>
                      <w:u w:val="none"/>
                      <w:lang w:val="en-US" w:eastAsia="zh-CN"/>
                    </w:rPr>
                    <w:t>1225.00</w:t>
                  </w:r>
                </w:p>
              </w:tc>
            </w:tr>
            <w:tr w14:paraId="054ED9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087918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rPr>
                    <w:t>4</w:t>
                  </w:r>
                  <w:r>
                    <w:rPr>
                      <w:rFonts w:hint="eastAsia" w:cs="Times New Roman"/>
                      <w:b w:val="0"/>
                      <w:bCs w:val="0"/>
                      <w:i w:val="0"/>
                      <w:iCs w:val="0"/>
                      <w:color w:val="auto"/>
                      <w:kern w:val="0"/>
                      <w:sz w:val="21"/>
                      <w:szCs w:val="21"/>
                      <w:highlight w:val="none"/>
                      <w:u w:val="none"/>
                      <w:lang w:val="en-US" w:eastAsia="zh-CN"/>
                    </w:rPr>
                    <w:t>.塑料配件生产线</w:t>
                  </w:r>
                </w:p>
              </w:tc>
              <w:tc>
                <w:tcPr>
                  <w:tcW w:w="1386" w:type="pct"/>
                  <w:gridSpan w:val="2"/>
                  <w:vMerge w:val="restart"/>
                  <w:vAlign w:val="center"/>
                </w:tcPr>
                <w:p w14:paraId="252A18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聚酰胺纤维+玻璃纤维</w:t>
                  </w:r>
                </w:p>
              </w:tc>
              <w:tc>
                <w:tcPr>
                  <w:tcW w:w="631" w:type="pct"/>
                  <w:vMerge w:val="restart"/>
                  <w:vAlign w:val="center"/>
                </w:tcPr>
                <w:p w14:paraId="6D0079E4">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5.32</w:t>
                  </w:r>
                </w:p>
              </w:tc>
              <w:tc>
                <w:tcPr>
                  <w:tcW w:w="1997" w:type="pct"/>
                  <w:gridSpan w:val="2"/>
                  <w:vAlign w:val="center"/>
                </w:tcPr>
                <w:p w14:paraId="39BADF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塑料边角料及不合格品</w:t>
                  </w:r>
                </w:p>
              </w:tc>
              <w:tc>
                <w:tcPr>
                  <w:tcW w:w="723" w:type="pct"/>
                  <w:vAlign w:val="center"/>
                </w:tcPr>
                <w:p w14:paraId="4950A57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0.05</w:t>
                  </w:r>
                </w:p>
              </w:tc>
            </w:tr>
            <w:tr w14:paraId="61B6BC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F8BDFF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1386" w:type="pct"/>
                  <w:gridSpan w:val="2"/>
                  <w:vMerge w:val="continue"/>
                  <w:vAlign w:val="center"/>
                </w:tcPr>
                <w:p w14:paraId="674675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631" w:type="pct"/>
                  <w:vMerge w:val="continue"/>
                  <w:vAlign w:val="center"/>
                </w:tcPr>
                <w:p w14:paraId="3AC992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1997" w:type="pct"/>
                  <w:gridSpan w:val="2"/>
                  <w:vAlign w:val="center"/>
                </w:tcPr>
                <w:p w14:paraId="417EB8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723" w:type="pct"/>
                  <w:vAlign w:val="center"/>
                </w:tcPr>
                <w:p w14:paraId="2F249A5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0.01</w:t>
                  </w:r>
                </w:p>
              </w:tc>
            </w:tr>
            <w:tr w14:paraId="3636B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A3396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386" w:type="pct"/>
                  <w:gridSpan w:val="2"/>
                  <w:vMerge w:val="continue"/>
                  <w:vAlign w:val="center"/>
                </w:tcPr>
                <w:p w14:paraId="1FBE42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631" w:type="pct"/>
                  <w:vMerge w:val="continue"/>
                  <w:vAlign w:val="center"/>
                </w:tcPr>
                <w:p w14:paraId="667DD3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20288F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rPr>
                    <w:t>塑料配件</w:t>
                  </w:r>
                </w:p>
              </w:tc>
              <w:tc>
                <w:tcPr>
                  <w:tcW w:w="723" w:type="pct"/>
                  <w:vAlign w:val="center"/>
                </w:tcPr>
                <w:p w14:paraId="4CB7636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5.25</w:t>
                  </w:r>
                </w:p>
              </w:tc>
            </w:tr>
            <w:tr w14:paraId="0DD3A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shd w:val="clear" w:color="auto" w:fill="auto"/>
                  <w:vAlign w:val="center"/>
                </w:tcPr>
                <w:p w14:paraId="46788B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合计</w:t>
                  </w:r>
                </w:p>
              </w:tc>
              <w:tc>
                <w:tcPr>
                  <w:tcW w:w="631" w:type="pct"/>
                  <w:shd w:val="clear" w:color="auto" w:fill="auto"/>
                  <w:vAlign w:val="center"/>
                </w:tcPr>
                <w:p w14:paraId="1B74F2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5.32</w:t>
                  </w:r>
                </w:p>
              </w:tc>
              <w:tc>
                <w:tcPr>
                  <w:tcW w:w="1997" w:type="pct"/>
                  <w:gridSpan w:val="2"/>
                  <w:shd w:val="clear" w:color="auto" w:fill="auto"/>
                  <w:vAlign w:val="center"/>
                </w:tcPr>
                <w:p w14:paraId="567D1E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合计</w:t>
                  </w:r>
                </w:p>
              </w:tc>
              <w:tc>
                <w:tcPr>
                  <w:tcW w:w="723" w:type="pct"/>
                  <w:shd w:val="clear" w:color="auto" w:fill="auto"/>
                  <w:vAlign w:val="center"/>
                </w:tcPr>
                <w:p w14:paraId="4B7E5F75">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5.32</w:t>
                  </w:r>
                </w:p>
              </w:tc>
            </w:tr>
            <w:tr w14:paraId="47496B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0AFAF2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5.碳纤维</w:t>
                  </w:r>
                </w:p>
                <w:p w14:paraId="268B6A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制品线</w:t>
                  </w:r>
                </w:p>
              </w:tc>
              <w:tc>
                <w:tcPr>
                  <w:tcW w:w="1386" w:type="pct"/>
                  <w:gridSpan w:val="2"/>
                  <w:vMerge w:val="restart"/>
                  <w:vAlign w:val="center"/>
                </w:tcPr>
                <w:p w14:paraId="732616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碳纤维预浸料</w:t>
                  </w:r>
                </w:p>
              </w:tc>
              <w:tc>
                <w:tcPr>
                  <w:tcW w:w="990" w:type="dxa"/>
                  <w:vMerge w:val="restart"/>
                  <w:vAlign w:val="center"/>
                </w:tcPr>
                <w:p w14:paraId="3B8C1C4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94.080 </w:t>
                  </w:r>
                </w:p>
              </w:tc>
              <w:tc>
                <w:tcPr>
                  <w:tcW w:w="1997" w:type="pct"/>
                  <w:gridSpan w:val="2"/>
                  <w:vAlign w:val="center"/>
                </w:tcPr>
                <w:p w14:paraId="57922E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碳纤维管</w:t>
                  </w:r>
                </w:p>
              </w:tc>
              <w:tc>
                <w:tcPr>
                  <w:tcW w:w="1135" w:type="dxa"/>
                  <w:vAlign w:val="center"/>
                </w:tcPr>
                <w:p w14:paraId="182232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50.135 </w:t>
                  </w:r>
                </w:p>
              </w:tc>
            </w:tr>
            <w:tr w14:paraId="010B6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1D7D59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Merge w:val="continue"/>
                  <w:vAlign w:val="center"/>
                </w:tcPr>
                <w:p w14:paraId="5BA9FF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631" w:type="pct"/>
                  <w:vMerge w:val="continue"/>
                  <w:vAlign w:val="center"/>
                </w:tcPr>
                <w:p w14:paraId="277156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05A397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碳纤维冲压件</w:t>
                  </w:r>
                </w:p>
              </w:tc>
              <w:tc>
                <w:tcPr>
                  <w:tcW w:w="1135" w:type="dxa"/>
                  <w:vAlign w:val="center"/>
                </w:tcPr>
                <w:p w14:paraId="4119C6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48.254 </w:t>
                  </w:r>
                </w:p>
              </w:tc>
            </w:tr>
            <w:tr w14:paraId="45113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B0566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3356FC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BOPP膜</w:t>
                  </w:r>
                </w:p>
              </w:tc>
              <w:tc>
                <w:tcPr>
                  <w:tcW w:w="990" w:type="dxa"/>
                  <w:vAlign w:val="center"/>
                </w:tcPr>
                <w:p w14:paraId="6643CC56">
                  <w:pPr>
                    <w:jc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297FB5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非甲烷总烃</w:t>
                  </w:r>
                </w:p>
              </w:tc>
              <w:tc>
                <w:tcPr>
                  <w:tcW w:w="1135" w:type="dxa"/>
                  <w:vAlign w:val="center"/>
                </w:tcPr>
                <w:p w14:paraId="3565C7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4.159 </w:t>
                  </w:r>
                </w:p>
              </w:tc>
            </w:tr>
            <w:tr w14:paraId="1F8CB9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34BDCD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12B999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水性漆</w:t>
                  </w:r>
                </w:p>
              </w:tc>
              <w:tc>
                <w:tcPr>
                  <w:tcW w:w="990" w:type="dxa"/>
                  <w:vAlign w:val="center"/>
                </w:tcPr>
                <w:p w14:paraId="6E0B4CCE">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28.500 </w:t>
                  </w:r>
                </w:p>
              </w:tc>
              <w:tc>
                <w:tcPr>
                  <w:tcW w:w="1997" w:type="pct"/>
                  <w:gridSpan w:val="2"/>
                  <w:shd w:val="clear" w:color="auto" w:fill="auto"/>
                  <w:vAlign w:val="center"/>
                </w:tcPr>
                <w:p w14:paraId="29FC7A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漆雾颗粒</w:t>
                  </w:r>
                </w:p>
              </w:tc>
              <w:tc>
                <w:tcPr>
                  <w:tcW w:w="1135" w:type="dxa"/>
                  <w:shd w:val="clear" w:color="auto" w:fill="auto"/>
                  <w:vAlign w:val="center"/>
                </w:tcPr>
                <w:p w14:paraId="6112FC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5.704 </w:t>
                  </w:r>
                </w:p>
              </w:tc>
            </w:tr>
            <w:tr w14:paraId="2B3740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A9744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shd w:val="clear" w:color="auto" w:fill="auto"/>
                  <w:vAlign w:val="center"/>
                </w:tcPr>
                <w:p w14:paraId="20BCF3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油性漆</w:t>
                  </w:r>
                </w:p>
              </w:tc>
              <w:tc>
                <w:tcPr>
                  <w:tcW w:w="990" w:type="dxa"/>
                  <w:shd w:val="clear" w:color="auto" w:fill="auto"/>
                  <w:vAlign w:val="center"/>
                </w:tcPr>
                <w:p w14:paraId="44325D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c>
                <w:tcPr>
                  <w:tcW w:w="1997" w:type="pct"/>
                  <w:gridSpan w:val="2"/>
                  <w:shd w:val="clear" w:color="auto" w:fill="auto"/>
                  <w:vAlign w:val="center"/>
                </w:tcPr>
                <w:p w14:paraId="71EA459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碳纤维边角料和不合格品</w:t>
                  </w:r>
                </w:p>
              </w:tc>
              <w:tc>
                <w:tcPr>
                  <w:tcW w:w="1135" w:type="dxa"/>
                  <w:shd w:val="clear" w:color="auto" w:fill="auto"/>
                  <w:vAlign w:val="center"/>
                </w:tcPr>
                <w:p w14:paraId="312EFE21">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3BD9B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CF174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shd w:val="clear" w:color="auto" w:fill="auto"/>
                  <w:vAlign w:val="center"/>
                </w:tcPr>
                <w:p w14:paraId="598D7B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固化剂</w:t>
                  </w:r>
                </w:p>
              </w:tc>
              <w:tc>
                <w:tcPr>
                  <w:tcW w:w="990" w:type="dxa"/>
                  <w:shd w:val="clear" w:color="auto" w:fill="auto"/>
                  <w:vAlign w:val="center"/>
                </w:tcPr>
                <w:p w14:paraId="7A8AF9C6">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0.913 </w:t>
                  </w:r>
                </w:p>
              </w:tc>
              <w:tc>
                <w:tcPr>
                  <w:tcW w:w="1997" w:type="pct"/>
                  <w:gridSpan w:val="2"/>
                  <w:shd w:val="clear" w:color="auto" w:fill="auto"/>
                  <w:vAlign w:val="center"/>
                </w:tcPr>
                <w:p w14:paraId="4795AD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color w:val="auto"/>
                      <w:sz w:val="21"/>
                      <w:szCs w:val="21"/>
                      <w:highlight w:val="none"/>
                      <w:lang w:eastAsia="zh-CN"/>
                    </w:rPr>
                    <w:t>喷枪清洗废液</w:t>
                  </w:r>
                </w:p>
              </w:tc>
              <w:tc>
                <w:tcPr>
                  <w:tcW w:w="1135" w:type="dxa"/>
                  <w:shd w:val="clear" w:color="auto" w:fill="auto"/>
                  <w:vAlign w:val="center"/>
                </w:tcPr>
                <w:p w14:paraId="15FFDCE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r>
            <w:tr w14:paraId="1C50D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371B4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730C25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清洗剂</w:t>
                  </w:r>
                </w:p>
              </w:tc>
              <w:tc>
                <w:tcPr>
                  <w:tcW w:w="990" w:type="dxa"/>
                  <w:vAlign w:val="center"/>
                </w:tcPr>
                <w:p w14:paraId="29065C58">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0.183 </w:t>
                  </w:r>
                </w:p>
              </w:tc>
              <w:tc>
                <w:tcPr>
                  <w:tcW w:w="1997" w:type="pct"/>
                  <w:gridSpan w:val="2"/>
                  <w:shd w:val="clear" w:color="auto" w:fill="auto"/>
                  <w:vAlign w:val="center"/>
                </w:tcPr>
                <w:p w14:paraId="263A95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废BOPP膜和沉淀滤渣</w:t>
                  </w:r>
                </w:p>
              </w:tc>
              <w:tc>
                <w:tcPr>
                  <w:tcW w:w="1135" w:type="dxa"/>
                  <w:shd w:val="clear" w:color="auto" w:fill="auto"/>
                  <w:vAlign w:val="center"/>
                </w:tcPr>
                <w:p w14:paraId="07AE0A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28.524</w:t>
                  </w:r>
                </w:p>
              </w:tc>
            </w:tr>
            <w:tr w14:paraId="15657E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1BFF67E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合计</w:t>
                  </w:r>
                </w:p>
              </w:tc>
              <w:tc>
                <w:tcPr>
                  <w:tcW w:w="631" w:type="pct"/>
                  <w:vAlign w:val="center"/>
                </w:tcPr>
                <w:p w14:paraId="6A0DF4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137.48</w:t>
                  </w:r>
                </w:p>
              </w:tc>
              <w:tc>
                <w:tcPr>
                  <w:tcW w:w="1997" w:type="pct"/>
                  <w:gridSpan w:val="2"/>
                  <w:vAlign w:val="center"/>
                </w:tcPr>
                <w:p w14:paraId="658911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i w:val="0"/>
                      <w:iCs w:val="0"/>
                      <w:color w:val="auto"/>
                      <w:kern w:val="0"/>
                      <w:sz w:val="21"/>
                      <w:szCs w:val="21"/>
                      <w:highlight w:val="none"/>
                      <w:u w:val="none"/>
                      <w:lang w:val="en-US" w:eastAsia="zh-CN"/>
                    </w:rPr>
                  </w:pPr>
                  <w:r>
                    <w:rPr>
                      <w:rFonts w:hint="eastAsia" w:ascii="Times New Roman" w:hAnsi="Times New Roman" w:cs="Times New Roman"/>
                      <w:b/>
                      <w:bCs/>
                      <w:i w:val="0"/>
                      <w:iCs w:val="0"/>
                      <w:color w:val="auto"/>
                      <w:kern w:val="0"/>
                      <w:sz w:val="21"/>
                      <w:szCs w:val="21"/>
                      <w:highlight w:val="none"/>
                      <w:u w:val="none"/>
                      <w:lang w:val="en-US" w:eastAsia="zh-CN"/>
                    </w:rPr>
                    <w:t>合计</w:t>
                  </w:r>
                </w:p>
              </w:tc>
              <w:tc>
                <w:tcPr>
                  <w:tcW w:w="1136" w:type="dxa"/>
                  <w:vAlign w:val="center"/>
                </w:tcPr>
                <w:p w14:paraId="337704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137.48</w:t>
                  </w:r>
                </w:p>
              </w:tc>
            </w:tr>
          </w:tbl>
          <w:p w14:paraId="490C0EFE">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35D51EBE">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523EFD61">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11</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生产设备一览表</w:t>
            </w:r>
          </w:p>
          <w:tbl>
            <w:tblPr>
              <w:tblStyle w:val="46"/>
              <w:tblW w:w="784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558"/>
              <w:gridCol w:w="1042"/>
              <w:gridCol w:w="1711"/>
              <w:gridCol w:w="627"/>
              <w:gridCol w:w="1975"/>
              <w:gridCol w:w="838"/>
              <w:gridCol w:w="1097"/>
            </w:tblGrid>
            <w:tr w14:paraId="167E0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tcBorders>
                    <w:tl2br w:val="nil"/>
                    <w:tr2bl w:val="nil"/>
                  </w:tcBorders>
                  <w:shd w:val="clear" w:color="auto" w:fill="auto"/>
                  <w:noWrap/>
                  <w:vAlign w:val="center"/>
                </w:tcPr>
                <w:p w14:paraId="26019F7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序号</w:t>
                  </w:r>
                </w:p>
              </w:tc>
              <w:tc>
                <w:tcPr>
                  <w:tcW w:w="1042" w:type="dxa"/>
                  <w:tcBorders>
                    <w:tl2br w:val="nil"/>
                    <w:tr2bl w:val="nil"/>
                  </w:tcBorders>
                  <w:shd w:val="clear" w:color="auto" w:fill="auto"/>
                  <w:noWrap/>
                  <w:vAlign w:val="center"/>
                </w:tcPr>
                <w:p w14:paraId="526A175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生产环节</w:t>
                  </w:r>
                </w:p>
              </w:tc>
              <w:tc>
                <w:tcPr>
                  <w:tcW w:w="1711" w:type="dxa"/>
                  <w:tcBorders>
                    <w:tl2br w:val="nil"/>
                    <w:tr2bl w:val="nil"/>
                  </w:tcBorders>
                  <w:shd w:val="clear" w:color="auto" w:fill="auto"/>
                  <w:noWrap/>
                  <w:vAlign w:val="center"/>
                </w:tcPr>
                <w:p w14:paraId="1BB9269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设备名称</w:t>
                  </w:r>
                </w:p>
              </w:tc>
              <w:tc>
                <w:tcPr>
                  <w:tcW w:w="627" w:type="dxa"/>
                  <w:tcBorders>
                    <w:tl2br w:val="nil"/>
                    <w:tr2bl w:val="nil"/>
                  </w:tcBorders>
                  <w:shd w:val="clear" w:color="auto" w:fill="auto"/>
                  <w:noWrap/>
                  <w:vAlign w:val="center"/>
                </w:tcPr>
                <w:p w14:paraId="2980AFF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数量</w:t>
                  </w:r>
                </w:p>
              </w:tc>
              <w:tc>
                <w:tcPr>
                  <w:tcW w:w="1975" w:type="dxa"/>
                  <w:tcBorders>
                    <w:tl2br w:val="nil"/>
                    <w:tr2bl w:val="nil"/>
                  </w:tcBorders>
                  <w:shd w:val="clear" w:color="auto" w:fill="auto"/>
                  <w:noWrap/>
                  <w:vAlign w:val="center"/>
                </w:tcPr>
                <w:p w14:paraId="619644E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规格型号</w:t>
                  </w:r>
                </w:p>
              </w:tc>
              <w:tc>
                <w:tcPr>
                  <w:tcW w:w="838" w:type="dxa"/>
                  <w:tcBorders>
                    <w:tl2br w:val="nil"/>
                    <w:tr2bl w:val="nil"/>
                  </w:tcBorders>
                  <w:shd w:val="clear" w:color="auto" w:fill="auto"/>
                  <w:noWrap/>
                  <w:vAlign w:val="center"/>
                </w:tcPr>
                <w:p w14:paraId="0BD5412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用途</w:t>
                  </w:r>
                </w:p>
              </w:tc>
              <w:tc>
                <w:tcPr>
                  <w:tcW w:w="1097" w:type="dxa"/>
                  <w:tcBorders>
                    <w:tl2br w:val="nil"/>
                    <w:tr2bl w:val="nil"/>
                  </w:tcBorders>
                  <w:shd w:val="clear" w:color="auto" w:fill="auto"/>
                  <w:noWrap/>
                  <w:vAlign w:val="center"/>
                </w:tcPr>
                <w:p w14:paraId="56AC57E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所在厂房</w:t>
                  </w:r>
                </w:p>
              </w:tc>
            </w:tr>
            <w:tr w14:paraId="6EA3FB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2A32C1F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w:t>
                  </w:r>
                </w:p>
              </w:tc>
              <w:tc>
                <w:tcPr>
                  <w:tcW w:w="1042" w:type="dxa"/>
                  <w:vMerge w:val="restart"/>
                  <w:tcBorders>
                    <w:tl2br w:val="nil"/>
                    <w:tr2bl w:val="nil"/>
                  </w:tcBorders>
                  <w:shd w:val="clear" w:color="auto" w:fill="auto"/>
                  <w:noWrap/>
                  <w:vAlign w:val="center"/>
                </w:tcPr>
                <w:p w14:paraId="2EA42FE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碳纤维制品生产线</w:t>
                  </w:r>
                </w:p>
              </w:tc>
              <w:tc>
                <w:tcPr>
                  <w:tcW w:w="1711" w:type="dxa"/>
                  <w:tcBorders>
                    <w:tl2br w:val="nil"/>
                    <w:tr2bl w:val="nil"/>
                  </w:tcBorders>
                  <w:shd w:val="clear" w:color="auto" w:fill="auto"/>
                  <w:noWrap/>
                  <w:vAlign w:val="center"/>
                </w:tcPr>
                <w:p w14:paraId="342828D6">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可调转角自动大张裁布机</w:t>
                  </w:r>
                </w:p>
              </w:tc>
              <w:tc>
                <w:tcPr>
                  <w:tcW w:w="627" w:type="dxa"/>
                  <w:tcBorders>
                    <w:tl2br w:val="nil"/>
                    <w:tr2bl w:val="nil"/>
                  </w:tcBorders>
                  <w:shd w:val="clear" w:color="auto" w:fill="auto"/>
                  <w:noWrap/>
                  <w:vAlign w:val="center"/>
                </w:tcPr>
                <w:p w14:paraId="1A7717E6">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5D1BD4E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FMC-CUT-2000</w:t>
                  </w:r>
                </w:p>
              </w:tc>
              <w:tc>
                <w:tcPr>
                  <w:tcW w:w="838" w:type="dxa"/>
                  <w:tcBorders>
                    <w:tl2br w:val="nil"/>
                    <w:tr2bl w:val="nil"/>
                  </w:tcBorders>
                  <w:shd w:val="clear" w:color="auto" w:fill="auto"/>
                  <w:noWrap/>
                  <w:vAlign w:val="center"/>
                </w:tcPr>
                <w:p w14:paraId="4515762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裁布</w:t>
                  </w:r>
                </w:p>
              </w:tc>
              <w:tc>
                <w:tcPr>
                  <w:tcW w:w="1097" w:type="dxa"/>
                  <w:tcBorders>
                    <w:tl2br w:val="nil"/>
                    <w:tr2bl w:val="nil"/>
                  </w:tcBorders>
                  <w:shd w:val="clear" w:color="auto" w:fill="auto"/>
                  <w:noWrap/>
                  <w:vAlign w:val="center"/>
                </w:tcPr>
                <w:p w14:paraId="4EAD3C2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70CF0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CB3FB7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3EDD4EA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noWrap/>
                  <w:vAlign w:val="center"/>
                </w:tcPr>
                <w:p w14:paraId="6FBEFE8D">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热压成型台</w:t>
                  </w:r>
                </w:p>
              </w:tc>
              <w:tc>
                <w:tcPr>
                  <w:tcW w:w="627" w:type="dxa"/>
                  <w:tcBorders>
                    <w:tl2br w:val="nil"/>
                    <w:tr2bl w:val="nil"/>
                  </w:tcBorders>
                  <w:shd w:val="clear" w:color="auto" w:fill="auto"/>
                  <w:noWrap/>
                  <w:vAlign w:val="center"/>
                </w:tcPr>
                <w:p w14:paraId="7E272D8D">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057FFA74">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YQ-150T</w:t>
                  </w:r>
                </w:p>
              </w:tc>
              <w:tc>
                <w:tcPr>
                  <w:tcW w:w="838" w:type="dxa"/>
                  <w:tcBorders>
                    <w:tl2br w:val="nil"/>
                    <w:tr2bl w:val="nil"/>
                  </w:tcBorders>
                  <w:shd w:val="clear" w:color="auto" w:fill="auto"/>
                  <w:noWrap/>
                  <w:vAlign w:val="center"/>
                </w:tcPr>
                <w:p w14:paraId="2153E98A">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热压</w:t>
                  </w:r>
                </w:p>
              </w:tc>
              <w:tc>
                <w:tcPr>
                  <w:tcW w:w="1097" w:type="dxa"/>
                  <w:tcBorders>
                    <w:tl2br w:val="nil"/>
                    <w:tr2bl w:val="nil"/>
                  </w:tcBorders>
                  <w:shd w:val="clear" w:color="auto" w:fill="auto"/>
                  <w:noWrap/>
                  <w:vAlign w:val="center"/>
                </w:tcPr>
                <w:p w14:paraId="00F10E4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1#厂房</w:t>
                  </w:r>
                </w:p>
              </w:tc>
            </w:tr>
            <w:tr w14:paraId="580A3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D2C8FA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4536DD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09555764">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冷却台</w:t>
                  </w:r>
                </w:p>
              </w:tc>
              <w:tc>
                <w:tcPr>
                  <w:tcW w:w="627" w:type="dxa"/>
                  <w:tcBorders>
                    <w:tl2br w:val="nil"/>
                    <w:tr2bl w:val="nil"/>
                  </w:tcBorders>
                  <w:shd w:val="clear" w:color="auto" w:fill="auto"/>
                  <w:vAlign w:val="center"/>
                </w:tcPr>
                <w:p w14:paraId="3C0E927B">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46E1FC7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C-1200 型冷却平台</w:t>
                  </w:r>
                </w:p>
              </w:tc>
              <w:tc>
                <w:tcPr>
                  <w:tcW w:w="838" w:type="dxa"/>
                  <w:tcBorders>
                    <w:tl2br w:val="nil"/>
                    <w:tr2bl w:val="nil"/>
                  </w:tcBorders>
                  <w:shd w:val="clear" w:color="auto" w:fill="auto"/>
                  <w:noWrap/>
                  <w:vAlign w:val="center"/>
                </w:tcPr>
                <w:p w14:paraId="4F6E3E0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冷却</w:t>
                  </w:r>
                </w:p>
              </w:tc>
              <w:tc>
                <w:tcPr>
                  <w:tcW w:w="1097" w:type="dxa"/>
                  <w:tcBorders>
                    <w:tl2br w:val="nil"/>
                    <w:tr2bl w:val="nil"/>
                  </w:tcBorders>
                  <w:shd w:val="clear" w:color="auto" w:fill="auto"/>
                  <w:noWrap/>
                  <w:vAlign w:val="center"/>
                </w:tcPr>
                <w:p w14:paraId="29629AD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5E51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51579A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D943AE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7C473BF">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液压升降机</w:t>
                  </w:r>
                </w:p>
              </w:tc>
              <w:tc>
                <w:tcPr>
                  <w:tcW w:w="627" w:type="dxa"/>
                  <w:tcBorders>
                    <w:tl2br w:val="nil"/>
                    <w:tr2bl w:val="nil"/>
                  </w:tcBorders>
                  <w:shd w:val="clear" w:color="auto" w:fill="auto"/>
                  <w:vAlign w:val="center"/>
                </w:tcPr>
                <w:p w14:paraId="62DD623E">
                  <w:pPr>
                    <w:keepNext w:val="0"/>
                    <w:keepLines w:val="0"/>
                    <w:widowControl/>
                    <w:suppressLineNumbers w:val="0"/>
                    <w:jc w:val="righ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56CAECA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LH-2000</w:t>
                  </w:r>
                </w:p>
              </w:tc>
              <w:tc>
                <w:tcPr>
                  <w:tcW w:w="838" w:type="dxa"/>
                  <w:tcBorders>
                    <w:tl2br w:val="nil"/>
                    <w:tr2bl w:val="nil"/>
                  </w:tcBorders>
                  <w:shd w:val="clear" w:color="auto" w:fill="auto"/>
                  <w:noWrap/>
                  <w:vAlign w:val="center"/>
                </w:tcPr>
                <w:p w14:paraId="7F7C791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出模</w:t>
                  </w:r>
                </w:p>
              </w:tc>
              <w:tc>
                <w:tcPr>
                  <w:tcW w:w="1097" w:type="dxa"/>
                  <w:tcBorders>
                    <w:tl2br w:val="nil"/>
                    <w:tr2bl w:val="nil"/>
                  </w:tcBorders>
                  <w:shd w:val="clear" w:color="auto" w:fill="auto"/>
                  <w:noWrap/>
                  <w:vAlign w:val="center"/>
                </w:tcPr>
                <w:p w14:paraId="50F8DBC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1#厂房</w:t>
                  </w:r>
                </w:p>
              </w:tc>
            </w:tr>
            <w:tr w14:paraId="723325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5C7510E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D2CA59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0367C00">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液压开合模滚筒台</w:t>
                  </w:r>
                </w:p>
              </w:tc>
              <w:tc>
                <w:tcPr>
                  <w:tcW w:w="627" w:type="dxa"/>
                  <w:tcBorders>
                    <w:tl2br w:val="nil"/>
                    <w:tr2bl w:val="nil"/>
                  </w:tcBorders>
                  <w:shd w:val="clear" w:color="auto" w:fill="auto"/>
                  <w:vAlign w:val="center"/>
                </w:tcPr>
                <w:p w14:paraId="78B19871">
                  <w:pPr>
                    <w:keepNext w:val="0"/>
                    <w:keepLines w:val="0"/>
                    <w:widowControl/>
                    <w:suppressLineNumbers w:val="0"/>
                    <w:jc w:val="righ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A9B3CC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KM-1500</w:t>
                  </w:r>
                </w:p>
              </w:tc>
              <w:tc>
                <w:tcPr>
                  <w:tcW w:w="838" w:type="dxa"/>
                  <w:tcBorders>
                    <w:tl2br w:val="nil"/>
                    <w:tr2bl w:val="nil"/>
                  </w:tcBorders>
                  <w:shd w:val="clear" w:color="auto" w:fill="auto"/>
                  <w:noWrap/>
                  <w:vAlign w:val="center"/>
                </w:tcPr>
                <w:p w14:paraId="39E5099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开模</w:t>
                  </w:r>
                </w:p>
              </w:tc>
              <w:tc>
                <w:tcPr>
                  <w:tcW w:w="1097" w:type="dxa"/>
                  <w:tcBorders>
                    <w:tl2br w:val="nil"/>
                    <w:tr2bl w:val="nil"/>
                  </w:tcBorders>
                  <w:shd w:val="clear" w:color="auto" w:fill="auto"/>
                  <w:noWrap/>
                  <w:vAlign w:val="center"/>
                </w:tcPr>
                <w:p w14:paraId="0E1EF95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454683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CAF2B6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97113E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1AFF6EC8">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半自动研磨机</w:t>
                  </w:r>
                </w:p>
              </w:tc>
              <w:tc>
                <w:tcPr>
                  <w:tcW w:w="627" w:type="dxa"/>
                  <w:tcBorders>
                    <w:tl2br w:val="nil"/>
                    <w:tr2bl w:val="nil"/>
                  </w:tcBorders>
                  <w:shd w:val="clear" w:color="auto" w:fill="auto"/>
                  <w:vAlign w:val="center"/>
                </w:tcPr>
                <w:p w14:paraId="68D3003A">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04181B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SG-1200</w:t>
                  </w:r>
                </w:p>
              </w:tc>
              <w:tc>
                <w:tcPr>
                  <w:tcW w:w="838" w:type="dxa"/>
                  <w:tcBorders>
                    <w:tl2br w:val="nil"/>
                    <w:tr2bl w:val="nil"/>
                  </w:tcBorders>
                  <w:shd w:val="clear" w:color="auto" w:fill="auto"/>
                  <w:noWrap/>
                  <w:vAlign w:val="center"/>
                </w:tcPr>
                <w:p w14:paraId="284E571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水抛光</w:t>
                  </w:r>
                </w:p>
              </w:tc>
              <w:tc>
                <w:tcPr>
                  <w:tcW w:w="1097" w:type="dxa"/>
                  <w:tcBorders>
                    <w:tl2br w:val="nil"/>
                    <w:tr2bl w:val="nil"/>
                  </w:tcBorders>
                  <w:shd w:val="clear" w:color="auto" w:fill="auto"/>
                  <w:noWrap/>
                  <w:vAlign w:val="center"/>
                </w:tcPr>
                <w:p w14:paraId="0A51213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5619C6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BFBB77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2654116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5DE180DD">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密闭</w:t>
                  </w:r>
                  <w:r>
                    <w:rPr>
                      <w:rFonts w:hint="default" w:ascii="Times New Roman" w:hAnsi="Times New Roman" w:eastAsia="宋体" w:cs="Times New Roman"/>
                      <w:i w:val="0"/>
                      <w:iCs w:val="0"/>
                      <w:color w:val="auto"/>
                      <w:kern w:val="0"/>
                      <w:sz w:val="21"/>
                      <w:szCs w:val="21"/>
                      <w:highlight w:val="none"/>
                      <w:u w:val="none"/>
                      <w:lang w:val="en-US" w:eastAsia="zh-CN"/>
                    </w:rPr>
                    <w:t>喷漆</w:t>
                  </w:r>
                  <w:r>
                    <w:rPr>
                      <w:rFonts w:hint="default" w:ascii="Times New Roman" w:hAnsi="Times New Roman" w:cs="Times New Roman"/>
                      <w:i w:val="0"/>
                      <w:iCs w:val="0"/>
                      <w:color w:val="auto"/>
                      <w:kern w:val="0"/>
                      <w:sz w:val="21"/>
                      <w:szCs w:val="21"/>
                      <w:highlight w:val="none"/>
                      <w:u w:val="none"/>
                      <w:lang w:val="en-US" w:eastAsia="zh-CN"/>
                    </w:rPr>
                    <w:t>房</w:t>
                  </w:r>
                </w:p>
              </w:tc>
              <w:tc>
                <w:tcPr>
                  <w:tcW w:w="627" w:type="dxa"/>
                  <w:tcBorders>
                    <w:tl2br w:val="nil"/>
                    <w:tr2bl w:val="nil"/>
                  </w:tcBorders>
                  <w:shd w:val="clear" w:color="auto" w:fill="auto"/>
                  <w:vAlign w:val="center"/>
                </w:tcPr>
                <w:p w14:paraId="0074ECCA">
                  <w:pPr>
                    <w:keepNext w:val="0"/>
                    <w:keepLines w:val="0"/>
                    <w:widowControl/>
                    <w:suppressLineNumbers w:val="0"/>
                    <w:jc w:val="left"/>
                    <w:textAlignment w:val="center"/>
                    <w:rPr>
                      <w:rFonts w:hint="default" w:ascii="Times New Roman" w:hAnsi="Times New Roman" w:cs="Times New Roman"/>
                      <w:color w:val="auto"/>
                      <w:sz w:val="21"/>
                      <w:szCs w:val="21"/>
                      <w:highlight w:val="none"/>
                      <w:lang w:val="en-US"/>
                    </w:rPr>
                  </w:pPr>
                  <w:r>
                    <w:rPr>
                      <w:rFonts w:hint="eastAsia" w:cs="Times New Roman"/>
                      <w:i w:val="0"/>
                      <w:iCs w:val="0"/>
                      <w:color w:val="auto"/>
                      <w:kern w:val="0"/>
                      <w:sz w:val="21"/>
                      <w:szCs w:val="21"/>
                      <w:highlight w:val="none"/>
                      <w:u w:val="none"/>
                      <w:lang w:val="en-US" w:eastAsia="zh-CN"/>
                    </w:rPr>
                    <w:t>2</w:t>
                  </w:r>
                  <w:r>
                    <w:rPr>
                      <w:rFonts w:hint="default" w:ascii="Times New Roman" w:hAnsi="Times New Roman" w:eastAsia="宋体" w:cs="Times New Roman"/>
                      <w:i w:val="0"/>
                      <w:iCs w:val="0"/>
                      <w:color w:val="auto"/>
                      <w:kern w:val="0"/>
                      <w:sz w:val="21"/>
                      <w:szCs w:val="21"/>
                      <w:highlight w:val="none"/>
                      <w:u w:val="none"/>
                      <w:lang w:val="en-US" w:eastAsia="zh-CN"/>
                    </w:rPr>
                    <w:t>间</w:t>
                  </w:r>
                </w:p>
              </w:tc>
              <w:tc>
                <w:tcPr>
                  <w:tcW w:w="1975" w:type="dxa"/>
                  <w:tcBorders>
                    <w:tl2br w:val="nil"/>
                    <w:tr2bl w:val="nil"/>
                  </w:tcBorders>
                  <w:shd w:val="clear" w:color="auto" w:fill="auto"/>
                  <w:noWrap/>
                  <w:vAlign w:val="center"/>
                </w:tcPr>
                <w:p w14:paraId="1299C7C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SPR-300</w:t>
                  </w:r>
                </w:p>
              </w:tc>
              <w:tc>
                <w:tcPr>
                  <w:tcW w:w="838" w:type="dxa"/>
                  <w:tcBorders>
                    <w:tl2br w:val="nil"/>
                    <w:tr2bl w:val="nil"/>
                  </w:tcBorders>
                  <w:shd w:val="clear" w:color="auto" w:fill="auto"/>
                  <w:noWrap/>
                  <w:vAlign w:val="center"/>
                </w:tcPr>
                <w:p w14:paraId="7F1D6B59">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调漆、</w:t>
                  </w:r>
                  <w:r>
                    <w:rPr>
                      <w:rFonts w:hint="default" w:ascii="Times New Roman" w:hAnsi="Times New Roman" w:eastAsia="宋体" w:cs="Times New Roman"/>
                      <w:i w:val="0"/>
                      <w:iCs w:val="0"/>
                      <w:color w:val="auto"/>
                      <w:kern w:val="0"/>
                      <w:sz w:val="21"/>
                      <w:szCs w:val="21"/>
                      <w:highlight w:val="none"/>
                      <w:u w:val="none"/>
                      <w:lang w:val="en-US" w:eastAsia="zh-CN"/>
                    </w:rPr>
                    <w:t>喷漆</w:t>
                  </w:r>
                  <w:r>
                    <w:rPr>
                      <w:rFonts w:hint="eastAsia" w:cs="Times New Roman"/>
                      <w:i w:val="0"/>
                      <w:iCs w:val="0"/>
                      <w:color w:val="auto"/>
                      <w:kern w:val="0"/>
                      <w:sz w:val="21"/>
                      <w:szCs w:val="21"/>
                      <w:highlight w:val="none"/>
                      <w:u w:val="none"/>
                      <w:lang w:val="en-US" w:eastAsia="zh-CN"/>
                    </w:rPr>
                    <w:t>、抽漆</w:t>
                  </w:r>
                </w:p>
              </w:tc>
              <w:tc>
                <w:tcPr>
                  <w:tcW w:w="1097" w:type="dxa"/>
                  <w:tcBorders>
                    <w:tl2br w:val="nil"/>
                    <w:tr2bl w:val="nil"/>
                  </w:tcBorders>
                  <w:shd w:val="clear" w:color="auto" w:fill="auto"/>
                  <w:noWrap/>
                  <w:vAlign w:val="center"/>
                </w:tcPr>
                <w:p w14:paraId="1DF223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146D6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3675432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1C2BA2A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2A6E2BB">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密闭烘干房</w:t>
                  </w:r>
                </w:p>
              </w:tc>
              <w:tc>
                <w:tcPr>
                  <w:tcW w:w="627" w:type="dxa"/>
                  <w:tcBorders>
                    <w:tl2br w:val="nil"/>
                    <w:tr2bl w:val="nil"/>
                  </w:tcBorders>
                  <w:shd w:val="clear" w:color="auto" w:fill="auto"/>
                  <w:vAlign w:val="center"/>
                </w:tcPr>
                <w:p w14:paraId="26BB666D">
                  <w:pPr>
                    <w:keepNext w:val="0"/>
                    <w:keepLines w:val="0"/>
                    <w:widowControl/>
                    <w:suppressLineNumbers w:val="0"/>
                    <w:jc w:val="left"/>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2间</w:t>
                  </w:r>
                </w:p>
              </w:tc>
              <w:tc>
                <w:tcPr>
                  <w:tcW w:w="1975" w:type="dxa"/>
                  <w:tcBorders>
                    <w:tl2br w:val="nil"/>
                    <w:tr2bl w:val="nil"/>
                  </w:tcBorders>
                  <w:shd w:val="clear" w:color="auto" w:fill="auto"/>
                  <w:noWrap/>
                  <w:vAlign w:val="center"/>
                </w:tcPr>
                <w:p w14:paraId="69BDB6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38" w:type="dxa"/>
                  <w:tcBorders>
                    <w:tl2br w:val="nil"/>
                    <w:tr2bl w:val="nil"/>
                  </w:tcBorders>
                  <w:shd w:val="clear" w:color="auto" w:fill="auto"/>
                  <w:noWrap/>
                  <w:vAlign w:val="center"/>
                </w:tcPr>
                <w:p w14:paraId="35C7B624">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烘干</w:t>
                  </w:r>
                </w:p>
              </w:tc>
              <w:tc>
                <w:tcPr>
                  <w:tcW w:w="1097" w:type="dxa"/>
                  <w:tcBorders>
                    <w:tl2br w:val="nil"/>
                    <w:tr2bl w:val="nil"/>
                  </w:tcBorders>
                  <w:shd w:val="clear" w:color="auto" w:fill="auto"/>
                  <w:noWrap/>
                  <w:vAlign w:val="center"/>
                </w:tcPr>
                <w:p w14:paraId="0BD1E7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1#厂房</w:t>
                  </w:r>
                </w:p>
              </w:tc>
            </w:tr>
            <w:tr w14:paraId="256EB1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005126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497DCA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1E82C9B8">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切割机</w:t>
                  </w:r>
                </w:p>
              </w:tc>
              <w:tc>
                <w:tcPr>
                  <w:tcW w:w="627" w:type="dxa"/>
                  <w:tcBorders>
                    <w:tl2br w:val="nil"/>
                    <w:tr2bl w:val="nil"/>
                  </w:tcBorders>
                  <w:shd w:val="clear" w:color="auto" w:fill="auto"/>
                  <w:vAlign w:val="center"/>
                </w:tcPr>
                <w:p w14:paraId="15ED26D8">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1台</w:t>
                  </w:r>
                </w:p>
              </w:tc>
              <w:tc>
                <w:tcPr>
                  <w:tcW w:w="1975" w:type="dxa"/>
                  <w:tcBorders>
                    <w:tl2br w:val="nil"/>
                    <w:tr2bl w:val="nil"/>
                  </w:tcBorders>
                  <w:shd w:val="clear" w:color="auto" w:fill="auto"/>
                  <w:noWrap/>
                  <w:vAlign w:val="center"/>
                </w:tcPr>
                <w:p w14:paraId="3DEF15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配备1m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水箱</w:t>
                  </w:r>
                </w:p>
              </w:tc>
              <w:tc>
                <w:tcPr>
                  <w:tcW w:w="838" w:type="dxa"/>
                  <w:tcBorders>
                    <w:tl2br w:val="nil"/>
                    <w:tr2bl w:val="nil"/>
                  </w:tcBorders>
                  <w:shd w:val="clear" w:color="auto" w:fill="auto"/>
                  <w:noWrap/>
                  <w:vAlign w:val="center"/>
                </w:tcPr>
                <w:p w14:paraId="0AA917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切断</w:t>
                  </w:r>
                </w:p>
              </w:tc>
              <w:tc>
                <w:tcPr>
                  <w:tcW w:w="1097" w:type="dxa"/>
                  <w:tcBorders>
                    <w:tl2br w:val="nil"/>
                    <w:tr2bl w:val="nil"/>
                  </w:tcBorders>
                  <w:shd w:val="clear" w:color="auto" w:fill="auto"/>
                  <w:noWrap/>
                  <w:vAlign w:val="center"/>
                </w:tcPr>
                <w:p w14:paraId="38F55A1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C910C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052FCC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03E21C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365DADF">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双风机复材固化炉</w:t>
                  </w:r>
                </w:p>
              </w:tc>
              <w:tc>
                <w:tcPr>
                  <w:tcW w:w="627" w:type="dxa"/>
                  <w:tcBorders>
                    <w:tl2br w:val="nil"/>
                    <w:tr2bl w:val="nil"/>
                  </w:tcBorders>
                  <w:shd w:val="clear" w:color="auto" w:fill="auto"/>
                  <w:vAlign w:val="center"/>
                </w:tcPr>
                <w:p w14:paraId="2DCEC7B5">
                  <w:pPr>
                    <w:keepNext w:val="0"/>
                    <w:keepLines w:val="0"/>
                    <w:widowControl/>
                    <w:suppressLineNumbers w:val="0"/>
                    <w:jc w:val="right"/>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1A4FA1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GC-1200</w:t>
                  </w:r>
                </w:p>
              </w:tc>
              <w:tc>
                <w:tcPr>
                  <w:tcW w:w="838" w:type="dxa"/>
                  <w:tcBorders>
                    <w:tl2br w:val="nil"/>
                    <w:tr2bl w:val="nil"/>
                  </w:tcBorders>
                  <w:shd w:val="clear" w:color="auto" w:fill="auto"/>
                  <w:noWrap/>
                  <w:vAlign w:val="center"/>
                </w:tcPr>
                <w:p w14:paraId="1E98E15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卷管、固化</w:t>
                  </w:r>
                </w:p>
              </w:tc>
              <w:tc>
                <w:tcPr>
                  <w:tcW w:w="1097" w:type="dxa"/>
                  <w:tcBorders>
                    <w:tl2br w:val="nil"/>
                    <w:tr2bl w:val="nil"/>
                  </w:tcBorders>
                  <w:shd w:val="clear" w:color="auto" w:fill="auto"/>
                  <w:noWrap/>
                  <w:vAlign w:val="center"/>
                </w:tcPr>
                <w:p w14:paraId="4AA6A38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1#厂房</w:t>
                  </w:r>
                </w:p>
              </w:tc>
            </w:tr>
            <w:tr w14:paraId="27434F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6227D3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F1B271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622E38E">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卷制缠带机</w:t>
                  </w:r>
                </w:p>
              </w:tc>
              <w:tc>
                <w:tcPr>
                  <w:tcW w:w="627" w:type="dxa"/>
                  <w:tcBorders>
                    <w:tl2br w:val="nil"/>
                    <w:tr2bl w:val="nil"/>
                  </w:tcBorders>
                  <w:shd w:val="clear" w:color="auto" w:fill="auto"/>
                  <w:vAlign w:val="center"/>
                </w:tcPr>
                <w:p w14:paraId="596969E2">
                  <w:pPr>
                    <w:keepNext w:val="0"/>
                    <w:keepLines w:val="0"/>
                    <w:widowControl/>
                    <w:suppressLineNumbers w:val="0"/>
                    <w:jc w:val="left"/>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7081BA8">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54FFF508">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卷制缠带</w:t>
                  </w:r>
                </w:p>
              </w:tc>
              <w:tc>
                <w:tcPr>
                  <w:tcW w:w="1097" w:type="dxa"/>
                  <w:tcBorders>
                    <w:tl2br w:val="nil"/>
                    <w:tr2bl w:val="nil"/>
                  </w:tcBorders>
                  <w:shd w:val="clear" w:color="auto" w:fill="auto"/>
                  <w:noWrap/>
                  <w:vAlign w:val="center"/>
                </w:tcPr>
                <w:p w14:paraId="0FED4BB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3275B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7975C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ADD6BB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B537B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烫芯脱</w:t>
                  </w:r>
                  <w:r>
                    <w:rPr>
                      <w:rFonts w:hint="eastAsia" w:cs="Times New Roman"/>
                      <w:i w:val="0"/>
                      <w:iCs w:val="0"/>
                      <w:color w:val="auto"/>
                      <w:kern w:val="0"/>
                      <w:sz w:val="21"/>
                      <w:szCs w:val="21"/>
                      <w:highlight w:val="none"/>
                      <w:u w:val="none"/>
                      <w:lang w:val="en-US" w:eastAsia="zh-CN"/>
                    </w:rPr>
                    <w:t>BOPP</w:t>
                  </w:r>
                  <w:r>
                    <w:rPr>
                      <w:rFonts w:hint="eastAsia" w:ascii="Times New Roman" w:hAnsi="Times New Roman" w:eastAsia="宋体" w:cs="Times New Roman"/>
                      <w:i w:val="0"/>
                      <w:iCs w:val="0"/>
                      <w:color w:val="auto"/>
                      <w:kern w:val="0"/>
                      <w:sz w:val="21"/>
                      <w:szCs w:val="21"/>
                      <w:highlight w:val="none"/>
                      <w:u w:val="none"/>
                      <w:lang w:val="en-US" w:eastAsia="zh-CN"/>
                    </w:rPr>
                    <w:t>膜机</w:t>
                  </w:r>
                </w:p>
              </w:tc>
              <w:tc>
                <w:tcPr>
                  <w:tcW w:w="627" w:type="dxa"/>
                  <w:tcBorders>
                    <w:tl2br w:val="nil"/>
                    <w:tr2bl w:val="nil"/>
                  </w:tcBorders>
                  <w:shd w:val="clear" w:color="auto" w:fill="auto"/>
                  <w:vAlign w:val="center"/>
                </w:tcPr>
                <w:p w14:paraId="04CEEBF2">
                  <w:pPr>
                    <w:keepNext w:val="0"/>
                    <w:keepLines w:val="0"/>
                    <w:widowControl/>
                    <w:suppressLineNumbers w:val="0"/>
                    <w:jc w:val="right"/>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6619F69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38" w:type="dxa"/>
                  <w:tcBorders>
                    <w:tl2br w:val="nil"/>
                    <w:tr2bl w:val="nil"/>
                  </w:tcBorders>
                  <w:shd w:val="clear" w:color="auto" w:fill="auto"/>
                  <w:noWrap/>
                  <w:vAlign w:val="center"/>
                </w:tcPr>
                <w:p w14:paraId="7AA9A65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烫芯脱BOPP膜</w:t>
                  </w:r>
                </w:p>
              </w:tc>
              <w:tc>
                <w:tcPr>
                  <w:tcW w:w="1097" w:type="dxa"/>
                  <w:tcBorders>
                    <w:tl2br w:val="nil"/>
                    <w:tr2bl w:val="nil"/>
                  </w:tcBorders>
                  <w:shd w:val="clear" w:color="auto" w:fill="auto"/>
                  <w:noWrap/>
                  <w:vAlign w:val="center"/>
                </w:tcPr>
                <w:p w14:paraId="24670B3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100B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11632BD3">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042" w:type="dxa"/>
                  <w:vMerge w:val="restart"/>
                  <w:tcBorders>
                    <w:tl2br w:val="nil"/>
                    <w:tr2bl w:val="nil"/>
                  </w:tcBorders>
                  <w:shd w:val="clear" w:color="auto" w:fill="auto"/>
                  <w:noWrap/>
                  <w:vAlign w:val="center"/>
                </w:tcPr>
                <w:p w14:paraId="2F6A33A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玻璃纤维增强塑料制品</w:t>
                  </w:r>
                  <w:r>
                    <w:rPr>
                      <w:rFonts w:hint="default" w:ascii="Times New Roman" w:hAnsi="Times New Roman" w:cs="Times New Roman"/>
                      <w:color w:val="auto"/>
                      <w:sz w:val="21"/>
                      <w:szCs w:val="21"/>
                      <w:highlight w:val="none"/>
                    </w:rPr>
                    <w:t>生产线</w:t>
                  </w:r>
                </w:p>
              </w:tc>
              <w:tc>
                <w:tcPr>
                  <w:tcW w:w="1711" w:type="dxa"/>
                  <w:tcBorders>
                    <w:tl2br w:val="nil"/>
                    <w:tr2bl w:val="nil"/>
                  </w:tcBorders>
                  <w:shd w:val="clear" w:color="auto" w:fill="auto"/>
                  <w:vAlign w:val="center"/>
                </w:tcPr>
                <w:p w14:paraId="078B317C">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纱架</w:t>
                  </w:r>
                </w:p>
              </w:tc>
              <w:tc>
                <w:tcPr>
                  <w:tcW w:w="627" w:type="dxa"/>
                  <w:tcBorders>
                    <w:tl2br w:val="nil"/>
                    <w:tr2bl w:val="nil"/>
                  </w:tcBorders>
                  <w:shd w:val="clear" w:color="auto" w:fill="auto"/>
                  <w:vAlign w:val="center"/>
                </w:tcPr>
                <w:p w14:paraId="79FAC24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2台</w:t>
                  </w:r>
                </w:p>
              </w:tc>
              <w:tc>
                <w:tcPr>
                  <w:tcW w:w="1975" w:type="dxa"/>
                  <w:tcBorders>
                    <w:tl2br w:val="nil"/>
                    <w:tr2bl w:val="nil"/>
                  </w:tcBorders>
                  <w:shd w:val="clear" w:color="auto" w:fill="auto"/>
                  <w:noWrap/>
                  <w:vAlign w:val="center"/>
                </w:tcPr>
                <w:p w14:paraId="7501C16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4E709BB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1A5A94C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77341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6A514B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8BF48F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7F40D9C">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分纱板</w:t>
                  </w:r>
                </w:p>
              </w:tc>
              <w:tc>
                <w:tcPr>
                  <w:tcW w:w="627" w:type="dxa"/>
                  <w:tcBorders>
                    <w:tl2br w:val="nil"/>
                    <w:tr2bl w:val="nil"/>
                  </w:tcBorders>
                  <w:shd w:val="clear" w:color="auto" w:fill="auto"/>
                  <w:vAlign w:val="center"/>
                </w:tcPr>
                <w:p w14:paraId="1279292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2台</w:t>
                  </w:r>
                </w:p>
              </w:tc>
              <w:tc>
                <w:tcPr>
                  <w:tcW w:w="1975" w:type="dxa"/>
                  <w:tcBorders>
                    <w:tl2br w:val="nil"/>
                    <w:tr2bl w:val="nil"/>
                  </w:tcBorders>
                  <w:shd w:val="clear" w:color="auto" w:fill="auto"/>
                  <w:noWrap/>
                  <w:vAlign w:val="center"/>
                </w:tcPr>
                <w:p w14:paraId="6C7B084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531C8A9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1097" w:type="dxa"/>
                  <w:tcBorders>
                    <w:tl2br w:val="nil"/>
                    <w:tr2bl w:val="nil"/>
                  </w:tcBorders>
                  <w:shd w:val="clear" w:color="auto" w:fill="auto"/>
                  <w:noWrap/>
                  <w:vAlign w:val="center"/>
                </w:tcPr>
                <w:p w14:paraId="790F6A6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25E38D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D7826D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0F07A3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231D91A">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浸酯槽</w:t>
                  </w:r>
                </w:p>
              </w:tc>
              <w:tc>
                <w:tcPr>
                  <w:tcW w:w="627" w:type="dxa"/>
                  <w:tcBorders>
                    <w:tl2br w:val="nil"/>
                    <w:tr2bl w:val="nil"/>
                  </w:tcBorders>
                  <w:shd w:val="clear" w:color="auto" w:fill="auto"/>
                  <w:vAlign w:val="center"/>
                </w:tcPr>
                <w:p w14:paraId="4CCC8A1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座</w:t>
                  </w:r>
                </w:p>
              </w:tc>
              <w:tc>
                <w:tcPr>
                  <w:tcW w:w="1975" w:type="dxa"/>
                  <w:tcBorders>
                    <w:tl2br w:val="nil"/>
                    <w:tr2bl w:val="nil"/>
                  </w:tcBorders>
                  <w:shd w:val="clear" w:color="auto" w:fill="auto"/>
                  <w:noWrap/>
                  <w:vAlign w:val="center"/>
                </w:tcPr>
                <w:p w14:paraId="34D743C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3D7BEB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浸酯</w:t>
                  </w:r>
                </w:p>
              </w:tc>
              <w:tc>
                <w:tcPr>
                  <w:tcW w:w="1097" w:type="dxa"/>
                  <w:tcBorders>
                    <w:tl2br w:val="nil"/>
                    <w:tr2bl w:val="nil"/>
                  </w:tcBorders>
                  <w:shd w:val="clear" w:color="auto" w:fill="auto"/>
                  <w:noWrap/>
                  <w:vAlign w:val="center"/>
                </w:tcPr>
                <w:p w14:paraId="185EA50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33FCD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4D1DEE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25CC0D8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CFC531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搅拌机</w:t>
                  </w:r>
                </w:p>
              </w:tc>
              <w:tc>
                <w:tcPr>
                  <w:tcW w:w="627" w:type="dxa"/>
                  <w:tcBorders>
                    <w:tl2br w:val="nil"/>
                    <w:tr2bl w:val="nil"/>
                  </w:tcBorders>
                  <w:shd w:val="clear" w:color="auto" w:fill="auto"/>
                  <w:vAlign w:val="center"/>
                </w:tcPr>
                <w:p w14:paraId="3BEE360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1台</w:t>
                  </w:r>
                </w:p>
              </w:tc>
              <w:tc>
                <w:tcPr>
                  <w:tcW w:w="1975" w:type="dxa"/>
                  <w:tcBorders>
                    <w:tl2br w:val="nil"/>
                    <w:tr2bl w:val="nil"/>
                  </w:tcBorders>
                  <w:shd w:val="clear" w:color="auto" w:fill="auto"/>
                  <w:noWrap/>
                  <w:vAlign w:val="center"/>
                </w:tcPr>
                <w:p w14:paraId="2B45557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电力供能</w:t>
                  </w:r>
                </w:p>
              </w:tc>
              <w:tc>
                <w:tcPr>
                  <w:tcW w:w="838" w:type="dxa"/>
                  <w:tcBorders>
                    <w:tl2br w:val="nil"/>
                    <w:tr2bl w:val="nil"/>
                  </w:tcBorders>
                  <w:shd w:val="clear" w:color="auto" w:fill="auto"/>
                  <w:noWrap/>
                  <w:vAlign w:val="center"/>
                </w:tcPr>
                <w:p w14:paraId="2F20EB2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搅拌</w:t>
                  </w:r>
                </w:p>
              </w:tc>
              <w:tc>
                <w:tcPr>
                  <w:tcW w:w="1097" w:type="dxa"/>
                  <w:tcBorders>
                    <w:tl2br w:val="nil"/>
                    <w:tr2bl w:val="nil"/>
                  </w:tcBorders>
                  <w:shd w:val="clear" w:color="auto" w:fill="auto"/>
                  <w:noWrap/>
                  <w:vAlign w:val="center"/>
                </w:tcPr>
                <w:p w14:paraId="399A297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5B566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87A22A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002591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ADC5034">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模具加热板</w:t>
                  </w:r>
                </w:p>
              </w:tc>
              <w:tc>
                <w:tcPr>
                  <w:tcW w:w="627" w:type="dxa"/>
                  <w:tcBorders>
                    <w:tl2br w:val="nil"/>
                    <w:tr2bl w:val="nil"/>
                  </w:tcBorders>
                  <w:shd w:val="clear" w:color="auto" w:fill="auto"/>
                  <w:vAlign w:val="center"/>
                </w:tcPr>
                <w:p w14:paraId="0F4D7A9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12台</w:t>
                  </w:r>
                </w:p>
              </w:tc>
              <w:tc>
                <w:tcPr>
                  <w:tcW w:w="1975" w:type="dxa"/>
                  <w:tcBorders>
                    <w:tl2br w:val="nil"/>
                    <w:tr2bl w:val="nil"/>
                  </w:tcBorders>
                  <w:shd w:val="clear" w:color="auto" w:fill="auto"/>
                  <w:noWrap/>
                  <w:vAlign w:val="center"/>
                </w:tcPr>
                <w:p w14:paraId="1B23810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电力供能</w:t>
                  </w:r>
                </w:p>
              </w:tc>
              <w:tc>
                <w:tcPr>
                  <w:tcW w:w="838" w:type="dxa"/>
                  <w:tcBorders>
                    <w:tl2br w:val="nil"/>
                    <w:tr2bl w:val="nil"/>
                  </w:tcBorders>
                  <w:shd w:val="clear" w:color="auto" w:fill="auto"/>
                  <w:noWrap/>
                  <w:vAlign w:val="center"/>
                </w:tcPr>
                <w:p w14:paraId="6BCBB4B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加热</w:t>
                  </w:r>
                  <w:r>
                    <w:rPr>
                      <w:rFonts w:hint="eastAsia" w:cs="Times New Roman"/>
                      <w:color w:val="auto"/>
                      <w:sz w:val="21"/>
                      <w:szCs w:val="21"/>
                      <w:highlight w:val="none"/>
                      <w:lang w:val="en-US" w:eastAsia="zh-CN"/>
                    </w:rPr>
                    <w:t>定型</w:t>
                  </w:r>
                </w:p>
              </w:tc>
              <w:tc>
                <w:tcPr>
                  <w:tcW w:w="1097" w:type="dxa"/>
                  <w:tcBorders>
                    <w:tl2br w:val="nil"/>
                    <w:tr2bl w:val="nil"/>
                  </w:tcBorders>
                  <w:shd w:val="clear" w:color="auto" w:fill="auto"/>
                  <w:noWrap/>
                  <w:vAlign w:val="center"/>
                </w:tcPr>
                <w:p w14:paraId="64390C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3F848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40C68C8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2186B1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1C538A1">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0"/>
                      <w:sz w:val="21"/>
                      <w:szCs w:val="21"/>
                      <w:highlight w:val="none"/>
                      <w:lang w:val="en-US" w:eastAsia="zh-CN"/>
                    </w:rPr>
                    <w:t>牵引</w:t>
                  </w:r>
                  <w:r>
                    <w:rPr>
                      <w:rFonts w:hint="default" w:ascii="Times New Roman" w:hAnsi="Times New Roman" w:eastAsia="宋体" w:cs="Times New Roman"/>
                      <w:color w:val="auto"/>
                      <w:kern w:val="0"/>
                      <w:sz w:val="21"/>
                      <w:szCs w:val="21"/>
                      <w:highlight w:val="none"/>
                      <w:lang w:val="en-US" w:eastAsia="zh-CN"/>
                    </w:rPr>
                    <w:t>机</w:t>
                  </w:r>
                </w:p>
              </w:tc>
              <w:tc>
                <w:tcPr>
                  <w:tcW w:w="627" w:type="dxa"/>
                  <w:tcBorders>
                    <w:tl2br w:val="nil"/>
                    <w:tr2bl w:val="nil"/>
                  </w:tcBorders>
                  <w:shd w:val="clear" w:color="auto" w:fill="auto"/>
                  <w:vAlign w:val="center"/>
                </w:tcPr>
                <w:p w14:paraId="16797D1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086F46D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6276540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val="en-US" w:eastAsia="zh-CN"/>
                    </w:rPr>
                    <w:t>牵引</w:t>
                  </w:r>
                </w:p>
              </w:tc>
              <w:tc>
                <w:tcPr>
                  <w:tcW w:w="1097" w:type="dxa"/>
                  <w:tcBorders>
                    <w:tl2br w:val="nil"/>
                    <w:tr2bl w:val="nil"/>
                  </w:tcBorders>
                  <w:shd w:val="clear" w:color="auto" w:fill="auto"/>
                  <w:noWrap/>
                  <w:vAlign w:val="center"/>
                </w:tcPr>
                <w:p w14:paraId="4F3E667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4647A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481FADC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3B8F39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7875361B">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切割机</w:t>
                  </w:r>
                </w:p>
              </w:tc>
              <w:tc>
                <w:tcPr>
                  <w:tcW w:w="627" w:type="dxa"/>
                  <w:tcBorders>
                    <w:tl2br w:val="nil"/>
                    <w:tr2bl w:val="nil"/>
                  </w:tcBorders>
                  <w:shd w:val="clear" w:color="auto" w:fill="auto"/>
                  <w:vAlign w:val="center"/>
                </w:tcPr>
                <w:p w14:paraId="1AD76B0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51BB9FE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配备1m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水箱</w:t>
                  </w:r>
                </w:p>
              </w:tc>
              <w:tc>
                <w:tcPr>
                  <w:tcW w:w="838" w:type="dxa"/>
                  <w:tcBorders>
                    <w:tl2br w:val="nil"/>
                    <w:tr2bl w:val="nil"/>
                  </w:tcBorders>
                  <w:shd w:val="clear" w:color="auto" w:fill="auto"/>
                  <w:noWrap/>
                  <w:vAlign w:val="center"/>
                </w:tcPr>
                <w:p w14:paraId="5C6AAEE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切割</w:t>
                  </w:r>
                </w:p>
              </w:tc>
              <w:tc>
                <w:tcPr>
                  <w:tcW w:w="1097" w:type="dxa"/>
                  <w:tcBorders>
                    <w:tl2br w:val="nil"/>
                    <w:tr2bl w:val="nil"/>
                  </w:tcBorders>
                  <w:shd w:val="clear" w:color="auto" w:fill="auto"/>
                  <w:noWrap/>
                  <w:vAlign w:val="center"/>
                </w:tcPr>
                <w:p w14:paraId="0C56784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E426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B8469F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C4AEF5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E92664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接料架</w:t>
                  </w:r>
                </w:p>
              </w:tc>
              <w:tc>
                <w:tcPr>
                  <w:tcW w:w="627" w:type="dxa"/>
                  <w:tcBorders>
                    <w:tl2br w:val="nil"/>
                    <w:tr2bl w:val="nil"/>
                  </w:tcBorders>
                  <w:shd w:val="clear" w:color="auto" w:fill="auto"/>
                  <w:vAlign w:val="center"/>
                </w:tcPr>
                <w:p w14:paraId="4868E5E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047F2F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100C366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339990C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27E90F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tcBorders>
                    <w:tl2br w:val="nil"/>
                    <w:tr2bl w:val="nil"/>
                  </w:tcBorders>
                  <w:shd w:val="clear" w:color="auto" w:fill="auto"/>
                  <w:noWrap/>
                  <w:vAlign w:val="center"/>
                </w:tcPr>
                <w:p w14:paraId="0B4945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w:t>
                  </w:r>
                </w:p>
              </w:tc>
              <w:tc>
                <w:tcPr>
                  <w:tcW w:w="1042" w:type="dxa"/>
                  <w:tcBorders>
                    <w:tl2br w:val="nil"/>
                    <w:tr2bl w:val="nil"/>
                  </w:tcBorders>
                  <w:shd w:val="clear" w:color="auto" w:fill="auto"/>
                  <w:noWrap/>
                  <w:vAlign w:val="center"/>
                </w:tcPr>
                <w:p w14:paraId="56F5CA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塑料配件</w:t>
                  </w:r>
                </w:p>
              </w:tc>
              <w:tc>
                <w:tcPr>
                  <w:tcW w:w="1711" w:type="dxa"/>
                  <w:tcBorders>
                    <w:tl2br w:val="nil"/>
                    <w:tr2bl w:val="nil"/>
                  </w:tcBorders>
                  <w:shd w:val="clear" w:color="auto" w:fill="auto"/>
                  <w:vAlign w:val="center"/>
                </w:tcPr>
                <w:p w14:paraId="61ED1E5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注塑机</w:t>
                  </w:r>
                </w:p>
              </w:tc>
              <w:tc>
                <w:tcPr>
                  <w:tcW w:w="627" w:type="dxa"/>
                  <w:tcBorders>
                    <w:tl2br w:val="nil"/>
                    <w:tr2bl w:val="nil"/>
                  </w:tcBorders>
                  <w:shd w:val="clear" w:color="auto" w:fill="auto"/>
                  <w:vAlign w:val="center"/>
                </w:tcPr>
                <w:p w14:paraId="5EBC32C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vAlign w:val="center"/>
                </w:tcPr>
                <w:p w14:paraId="6F12348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内置循环冷却系统</w:t>
                  </w:r>
                </w:p>
              </w:tc>
              <w:tc>
                <w:tcPr>
                  <w:tcW w:w="838" w:type="dxa"/>
                  <w:tcBorders>
                    <w:tl2br w:val="nil"/>
                    <w:tr2bl w:val="nil"/>
                  </w:tcBorders>
                  <w:shd w:val="clear" w:color="auto" w:fill="auto"/>
                  <w:noWrap/>
                  <w:vAlign w:val="center"/>
                </w:tcPr>
                <w:p w14:paraId="43BD839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注塑配件</w:t>
                  </w:r>
                </w:p>
              </w:tc>
              <w:tc>
                <w:tcPr>
                  <w:tcW w:w="1097" w:type="dxa"/>
                  <w:tcBorders>
                    <w:tl2br w:val="nil"/>
                    <w:tr2bl w:val="nil"/>
                  </w:tcBorders>
                  <w:shd w:val="clear" w:color="auto" w:fill="auto"/>
                  <w:noWrap/>
                  <w:vAlign w:val="center"/>
                </w:tcPr>
                <w:p w14:paraId="7EA13B5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AFC86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78E2CDA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042" w:type="dxa"/>
                  <w:vMerge w:val="restart"/>
                  <w:tcBorders>
                    <w:tl2br w:val="nil"/>
                    <w:tr2bl w:val="nil"/>
                  </w:tcBorders>
                  <w:shd w:val="clear" w:color="auto" w:fill="auto"/>
                  <w:noWrap/>
                  <w:vAlign w:val="center"/>
                </w:tcPr>
                <w:p w14:paraId="4C7BE19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玻纤布</w:t>
                  </w:r>
                </w:p>
              </w:tc>
              <w:tc>
                <w:tcPr>
                  <w:tcW w:w="1711" w:type="dxa"/>
                  <w:tcBorders>
                    <w:tl2br w:val="nil"/>
                    <w:tr2bl w:val="nil"/>
                  </w:tcBorders>
                  <w:shd w:val="clear" w:color="auto" w:fill="auto"/>
                  <w:vAlign w:val="center"/>
                </w:tcPr>
                <w:p w14:paraId="240B2B4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纱架</w:t>
                  </w:r>
                </w:p>
              </w:tc>
              <w:tc>
                <w:tcPr>
                  <w:tcW w:w="627" w:type="dxa"/>
                  <w:tcBorders>
                    <w:tl2br w:val="nil"/>
                    <w:tr2bl w:val="nil"/>
                  </w:tcBorders>
                  <w:shd w:val="clear" w:color="auto" w:fill="auto"/>
                  <w:vAlign w:val="center"/>
                </w:tcPr>
                <w:p w14:paraId="19CA2A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6台</w:t>
                  </w:r>
                </w:p>
              </w:tc>
              <w:tc>
                <w:tcPr>
                  <w:tcW w:w="1975" w:type="dxa"/>
                  <w:tcBorders>
                    <w:tl2br w:val="nil"/>
                    <w:tr2bl w:val="nil"/>
                  </w:tcBorders>
                  <w:shd w:val="clear" w:color="auto" w:fill="auto"/>
                  <w:vAlign w:val="center"/>
                </w:tcPr>
                <w:p w14:paraId="2E5F6B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w:t>
                  </w:r>
                </w:p>
              </w:tc>
              <w:tc>
                <w:tcPr>
                  <w:tcW w:w="838" w:type="dxa"/>
                  <w:tcBorders>
                    <w:tl2br w:val="nil"/>
                    <w:tr2bl w:val="nil"/>
                  </w:tcBorders>
                  <w:shd w:val="clear" w:color="auto" w:fill="auto"/>
                  <w:noWrap/>
                  <w:vAlign w:val="center"/>
                </w:tcPr>
                <w:p w14:paraId="66FC4F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741A23A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6D098D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69A17E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340D0F3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35040AB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织布机</w:t>
                  </w:r>
                </w:p>
              </w:tc>
              <w:tc>
                <w:tcPr>
                  <w:tcW w:w="627" w:type="dxa"/>
                  <w:tcBorders>
                    <w:tl2br w:val="nil"/>
                    <w:tr2bl w:val="nil"/>
                  </w:tcBorders>
                  <w:shd w:val="clear" w:color="auto" w:fill="auto"/>
                  <w:vAlign w:val="center"/>
                </w:tcPr>
                <w:p w14:paraId="67006A8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6台</w:t>
                  </w:r>
                </w:p>
              </w:tc>
              <w:tc>
                <w:tcPr>
                  <w:tcW w:w="1975" w:type="dxa"/>
                  <w:tcBorders>
                    <w:tl2br w:val="nil"/>
                    <w:tr2bl w:val="nil"/>
                  </w:tcBorders>
                  <w:shd w:val="clear" w:color="auto" w:fill="auto"/>
                  <w:vAlign w:val="center"/>
                </w:tcPr>
                <w:p w14:paraId="690C8BE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w:t>
                  </w:r>
                </w:p>
              </w:tc>
              <w:tc>
                <w:tcPr>
                  <w:tcW w:w="838" w:type="dxa"/>
                  <w:tcBorders>
                    <w:tl2br w:val="nil"/>
                    <w:tr2bl w:val="nil"/>
                  </w:tcBorders>
                  <w:shd w:val="clear" w:color="auto" w:fill="auto"/>
                  <w:noWrap/>
                  <w:vAlign w:val="center"/>
                </w:tcPr>
                <w:p w14:paraId="08716A6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纺织</w:t>
                  </w:r>
                </w:p>
              </w:tc>
              <w:tc>
                <w:tcPr>
                  <w:tcW w:w="1097" w:type="dxa"/>
                  <w:tcBorders>
                    <w:tl2br w:val="nil"/>
                    <w:tr2bl w:val="nil"/>
                  </w:tcBorders>
                  <w:shd w:val="clear" w:color="auto" w:fill="auto"/>
                  <w:noWrap/>
                  <w:vAlign w:val="center"/>
                </w:tcPr>
                <w:p w14:paraId="3EC5D9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F73E6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7848" w:type="dxa"/>
                  <w:gridSpan w:val="7"/>
                  <w:tcBorders>
                    <w:tl2br w:val="nil"/>
                    <w:tr2bl w:val="nil"/>
                  </w:tcBorders>
                  <w:shd w:val="clear" w:color="auto" w:fill="auto"/>
                  <w:noWrap/>
                  <w:vAlign w:val="center"/>
                </w:tcPr>
                <w:p w14:paraId="5F51C215">
                  <w:pPr>
                    <w:keepNext w:val="0"/>
                    <w:keepLines w:val="0"/>
                    <w:pageBreakBefore w:val="0"/>
                    <w:widowControl/>
                    <w:kinsoku/>
                    <w:wordWrap/>
                    <w:overflowPunct/>
                    <w:topLinePunct w:val="0"/>
                    <w:autoSpaceDE/>
                    <w:autoSpaceDN/>
                    <w:bidi w:val="0"/>
                    <w:adjustRightInd/>
                    <w:snapToGrid/>
                    <w:spacing w:line="240" w:lineRule="auto"/>
                    <w:jc w:val="left"/>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注：生活用品生产线基本工序为人工组装，无需设置生产机械装置。</w:t>
                  </w:r>
                </w:p>
              </w:tc>
            </w:tr>
          </w:tbl>
          <w:p w14:paraId="35E8EC0A">
            <w:pPr>
              <w:pStyle w:val="24"/>
              <w:pageBreakBefore w:val="0"/>
              <w:wordWrap w:val="0"/>
              <w:overflowPunct/>
              <w:bidi w:val="0"/>
              <w:spacing w:before="157" w:beforeLines="50"/>
              <w:ind w:firstLine="482"/>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各生产设备</w:t>
            </w:r>
            <w:r>
              <w:rPr>
                <w:rFonts w:hint="default" w:ascii="Times New Roman" w:hAnsi="Times New Roman" w:cs="Times New Roman"/>
                <w:b/>
                <w:color w:val="auto"/>
                <w:sz w:val="24"/>
                <w:highlight w:val="none"/>
              </w:rPr>
              <w:t>产能</w:t>
            </w:r>
            <w:r>
              <w:rPr>
                <w:rFonts w:hint="eastAsia" w:ascii="Times New Roman" w:hAnsi="Times New Roman" w:cs="Times New Roman"/>
                <w:b/>
                <w:color w:val="auto"/>
                <w:sz w:val="24"/>
                <w:highlight w:val="none"/>
                <w:lang w:val="en-US" w:eastAsia="zh-CN"/>
              </w:rPr>
              <w:t>匹配性</w:t>
            </w:r>
            <w:r>
              <w:rPr>
                <w:rFonts w:hint="default" w:ascii="Times New Roman" w:hAnsi="Times New Roman" w:cs="Times New Roman"/>
                <w:b/>
                <w:color w:val="auto"/>
                <w:sz w:val="24"/>
                <w:highlight w:val="none"/>
              </w:rPr>
              <w:t>核算：</w:t>
            </w:r>
          </w:p>
          <w:p w14:paraId="2ABB79A8">
            <w:pPr>
              <w:pStyle w:val="123"/>
              <w:keepNext w:val="0"/>
              <w:keepLines w:val="0"/>
              <w:pageBreakBefore w:val="0"/>
              <w:numPr>
                <w:ilvl w:val="0"/>
                <w:numId w:val="0"/>
              </w:numPr>
              <w:suppressLineNumbers w:val="0"/>
              <w:kinsoku/>
              <w:wordWrap w:val="0"/>
              <w:overflowPunct/>
              <w:autoSpaceDE/>
              <w:autoSpaceDN/>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生产设备</w:t>
            </w:r>
            <w:r>
              <w:rPr>
                <w:rFonts w:hint="eastAsia" w:ascii="Times New Roman" w:hAnsi="Times New Roman" w:cs="Times New Roman"/>
                <w:b/>
                <w:bCs/>
                <w:color w:val="auto"/>
                <w:sz w:val="21"/>
                <w:szCs w:val="21"/>
                <w:highlight w:val="none"/>
                <w:lang w:val="en-US" w:eastAsia="zh-CN"/>
              </w:rPr>
              <w:t>产能匹配性分析</w:t>
            </w:r>
            <w:r>
              <w:rPr>
                <w:rFonts w:hint="default" w:ascii="Times New Roman" w:hAnsi="Times New Roman" w:cs="Times New Roman"/>
                <w:b/>
                <w:bCs/>
                <w:color w:val="auto"/>
                <w:sz w:val="21"/>
                <w:szCs w:val="21"/>
                <w:highlight w:val="none"/>
              </w:rPr>
              <w:t>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1030"/>
              <w:gridCol w:w="1108"/>
              <w:gridCol w:w="848"/>
              <w:gridCol w:w="811"/>
              <w:gridCol w:w="910"/>
              <w:gridCol w:w="753"/>
              <w:gridCol w:w="799"/>
              <w:gridCol w:w="655"/>
            </w:tblGrid>
            <w:tr w14:paraId="0AA7A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0AD59428">
                  <w:pPr>
                    <w:keepNext w:val="0"/>
                    <w:keepLines w:val="0"/>
                    <w:pageBreakBefore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产品</w:t>
                  </w:r>
                </w:p>
              </w:tc>
              <w:tc>
                <w:tcPr>
                  <w:tcW w:w="656" w:type="pct"/>
                  <w:tcMar>
                    <w:top w:w="0" w:type="dxa"/>
                    <w:left w:w="0" w:type="dxa"/>
                    <w:bottom w:w="0" w:type="dxa"/>
                    <w:right w:w="0" w:type="dxa"/>
                  </w:tcMar>
                  <w:vAlign w:val="center"/>
                </w:tcPr>
                <w:p w14:paraId="340C654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706" w:type="pct"/>
                  <w:tcMar>
                    <w:top w:w="0" w:type="dxa"/>
                    <w:left w:w="0" w:type="dxa"/>
                    <w:bottom w:w="0" w:type="dxa"/>
                    <w:right w:w="0" w:type="dxa"/>
                  </w:tcMar>
                  <w:vAlign w:val="center"/>
                </w:tcPr>
                <w:p w14:paraId="7A5E8D2C">
                  <w:pPr>
                    <w:keepNext w:val="0"/>
                    <w:keepLines w:val="0"/>
                    <w:pageBreakBefore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设</w:t>
                  </w:r>
                  <w:r>
                    <w:rPr>
                      <w:rFonts w:hint="eastAsia" w:cs="Times New Roman"/>
                      <w:b/>
                      <w:color w:val="auto"/>
                      <w:sz w:val="21"/>
                      <w:szCs w:val="21"/>
                      <w:highlight w:val="none"/>
                      <w:lang w:val="en-US" w:eastAsia="zh-CN"/>
                    </w:rPr>
                    <w:t>备功能</w:t>
                  </w:r>
                </w:p>
              </w:tc>
              <w:tc>
                <w:tcPr>
                  <w:tcW w:w="540" w:type="pct"/>
                  <w:tcMar>
                    <w:top w:w="0" w:type="dxa"/>
                    <w:left w:w="0" w:type="dxa"/>
                    <w:bottom w:w="0" w:type="dxa"/>
                    <w:right w:w="0" w:type="dxa"/>
                  </w:tcMar>
                  <w:vAlign w:val="center"/>
                </w:tcPr>
                <w:p w14:paraId="1EA8F1F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数量</w:t>
                  </w:r>
                </w:p>
                <w:p w14:paraId="7CD8F61C">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（台）</w:t>
                  </w:r>
                </w:p>
              </w:tc>
              <w:tc>
                <w:tcPr>
                  <w:tcW w:w="517" w:type="pct"/>
                  <w:tcMar>
                    <w:top w:w="0" w:type="dxa"/>
                    <w:left w:w="0" w:type="dxa"/>
                    <w:bottom w:w="0" w:type="dxa"/>
                    <w:right w:w="0" w:type="dxa"/>
                  </w:tcMar>
                  <w:vAlign w:val="center"/>
                </w:tcPr>
                <w:p w14:paraId="0EDDE9A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w:t>
                  </w:r>
                </w:p>
                <w:p w14:paraId="0E4FEF9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产能</w:t>
                  </w:r>
                </w:p>
              </w:tc>
              <w:tc>
                <w:tcPr>
                  <w:tcW w:w="580" w:type="pct"/>
                  <w:tcMar>
                    <w:top w:w="0" w:type="dxa"/>
                    <w:left w:w="0" w:type="dxa"/>
                    <w:bottom w:w="0" w:type="dxa"/>
                    <w:right w:w="0" w:type="dxa"/>
                  </w:tcMar>
                  <w:vAlign w:val="center"/>
                </w:tcPr>
                <w:p w14:paraId="56A39005">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年工作时间（</w:t>
                  </w:r>
                  <w:r>
                    <w:rPr>
                      <w:rFonts w:hint="default" w:ascii="Times New Roman" w:hAnsi="Times New Roman"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rPr>
                    <w:t>）</w:t>
                  </w:r>
                </w:p>
              </w:tc>
              <w:tc>
                <w:tcPr>
                  <w:tcW w:w="480" w:type="pct"/>
                  <w:tcMar>
                    <w:top w:w="0" w:type="dxa"/>
                    <w:left w:w="0" w:type="dxa"/>
                    <w:bottom w:w="0" w:type="dxa"/>
                    <w:right w:w="0" w:type="dxa"/>
                  </w:tcMar>
                  <w:vAlign w:val="center"/>
                </w:tcPr>
                <w:p w14:paraId="074CEC3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最大产量</w:t>
                  </w:r>
                </w:p>
              </w:tc>
              <w:tc>
                <w:tcPr>
                  <w:tcW w:w="509" w:type="pct"/>
                  <w:tcMar>
                    <w:top w:w="0" w:type="dxa"/>
                    <w:left w:w="0" w:type="dxa"/>
                    <w:bottom w:w="0" w:type="dxa"/>
                    <w:right w:w="0" w:type="dxa"/>
                  </w:tcMar>
                  <w:vAlign w:val="center"/>
                </w:tcPr>
                <w:p w14:paraId="429E058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bCs/>
                      <w:color w:val="auto"/>
                      <w:sz w:val="21"/>
                      <w:szCs w:val="21"/>
                      <w:highlight w:val="none"/>
                      <w:lang w:val="en-US" w:eastAsia="zh-CN"/>
                    </w:rPr>
                    <w:t>年产量</w:t>
                  </w:r>
                </w:p>
              </w:tc>
              <w:tc>
                <w:tcPr>
                  <w:tcW w:w="417" w:type="pct"/>
                  <w:tcMar>
                    <w:top w:w="0" w:type="dxa"/>
                    <w:left w:w="0" w:type="dxa"/>
                    <w:bottom w:w="0" w:type="dxa"/>
                    <w:right w:w="0" w:type="dxa"/>
                  </w:tcMar>
                  <w:vAlign w:val="center"/>
                </w:tcPr>
                <w:p w14:paraId="7D9A808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匹配</w:t>
                  </w:r>
                </w:p>
                <w:p w14:paraId="30BA00A7">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2FA6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91" w:type="pct"/>
                  <w:tcMar>
                    <w:top w:w="0" w:type="dxa"/>
                    <w:left w:w="0" w:type="dxa"/>
                    <w:bottom w:w="0" w:type="dxa"/>
                    <w:right w:w="0" w:type="dxa"/>
                  </w:tcMar>
                  <w:vAlign w:val="center"/>
                </w:tcPr>
                <w:p w14:paraId="1A2BF9E7">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碳纤维制品</w:t>
                  </w:r>
                </w:p>
              </w:tc>
              <w:tc>
                <w:tcPr>
                  <w:tcW w:w="656" w:type="pct"/>
                  <w:tcMar>
                    <w:top w:w="0" w:type="dxa"/>
                    <w:left w:w="0" w:type="dxa"/>
                    <w:bottom w:w="0" w:type="dxa"/>
                    <w:right w:w="0" w:type="dxa"/>
                  </w:tcMar>
                  <w:vAlign w:val="center"/>
                </w:tcPr>
                <w:p w14:paraId="7FC528A9">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可调转角自动大张裁布机</w:t>
                  </w:r>
                </w:p>
              </w:tc>
              <w:tc>
                <w:tcPr>
                  <w:tcW w:w="706" w:type="pct"/>
                  <w:tcMar>
                    <w:top w:w="0" w:type="dxa"/>
                    <w:left w:w="0" w:type="dxa"/>
                    <w:bottom w:w="0" w:type="dxa"/>
                    <w:right w:w="0" w:type="dxa"/>
                  </w:tcMar>
                  <w:vAlign w:val="center"/>
                </w:tcPr>
                <w:p w14:paraId="0054F8A7">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裁布</w:t>
                  </w:r>
                </w:p>
              </w:tc>
              <w:tc>
                <w:tcPr>
                  <w:tcW w:w="540" w:type="pct"/>
                  <w:tcMar>
                    <w:top w:w="0" w:type="dxa"/>
                    <w:left w:w="0" w:type="dxa"/>
                    <w:bottom w:w="0" w:type="dxa"/>
                    <w:right w:w="0" w:type="dxa"/>
                  </w:tcMar>
                  <w:vAlign w:val="center"/>
                </w:tcPr>
                <w:p w14:paraId="0D35B1F7">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17" w:type="pct"/>
                  <w:tcMar>
                    <w:top w:w="0" w:type="dxa"/>
                    <w:left w:w="0" w:type="dxa"/>
                    <w:bottom w:w="0" w:type="dxa"/>
                    <w:right w:w="0" w:type="dxa"/>
                  </w:tcMar>
                  <w:vAlign w:val="center"/>
                </w:tcPr>
                <w:p w14:paraId="01777A2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27383FC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r>
                    <w:rPr>
                      <w:rFonts w:hint="eastAsia" w:ascii="Times New Roman" w:hAnsi="Times New Roman" w:cs="Times New Roman"/>
                      <w:color w:val="auto"/>
                      <w:kern w:val="0"/>
                      <w:sz w:val="21"/>
                      <w:szCs w:val="21"/>
                      <w:highlight w:val="none"/>
                      <w:lang w:val="en-US" w:eastAsia="zh-CN"/>
                    </w:rPr>
                    <w:t>0</w:t>
                  </w:r>
                </w:p>
              </w:tc>
              <w:tc>
                <w:tcPr>
                  <w:tcW w:w="480" w:type="pct"/>
                  <w:tcMar>
                    <w:top w:w="0" w:type="dxa"/>
                    <w:left w:w="0" w:type="dxa"/>
                    <w:bottom w:w="0" w:type="dxa"/>
                    <w:right w:w="0" w:type="dxa"/>
                  </w:tcMar>
                  <w:vAlign w:val="center"/>
                </w:tcPr>
                <w:p w14:paraId="62BAE25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120万m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0F22340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/a（94.08t/a）</w:t>
                  </w:r>
                </w:p>
              </w:tc>
              <w:tc>
                <w:tcPr>
                  <w:tcW w:w="417" w:type="pct"/>
                  <w:tcMar>
                    <w:top w:w="0" w:type="dxa"/>
                    <w:left w:w="0" w:type="dxa"/>
                    <w:bottom w:w="0" w:type="dxa"/>
                    <w:right w:w="0" w:type="dxa"/>
                  </w:tcMar>
                  <w:vAlign w:val="center"/>
                </w:tcPr>
                <w:p w14:paraId="4971E5AB">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r w14:paraId="54D2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0B55A7C">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碳纤维管</w:t>
                  </w:r>
                </w:p>
              </w:tc>
              <w:tc>
                <w:tcPr>
                  <w:tcW w:w="656" w:type="pct"/>
                  <w:tcMar>
                    <w:top w:w="0" w:type="dxa"/>
                    <w:left w:w="0" w:type="dxa"/>
                    <w:bottom w:w="0" w:type="dxa"/>
                    <w:right w:w="0" w:type="dxa"/>
                  </w:tcMar>
                  <w:vAlign w:val="center"/>
                </w:tcPr>
                <w:p w14:paraId="11916B7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半自动研磨机</w:t>
                  </w:r>
                </w:p>
              </w:tc>
              <w:tc>
                <w:tcPr>
                  <w:tcW w:w="706" w:type="pct"/>
                  <w:tcMar>
                    <w:top w:w="0" w:type="dxa"/>
                    <w:left w:w="0" w:type="dxa"/>
                    <w:bottom w:w="0" w:type="dxa"/>
                    <w:right w:w="0" w:type="dxa"/>
                  </w:tcMar>
                  <w:vAlign w:val="center"/>
                </w:tcPr>
                <w:p w14:paraId="7D27AB76">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水磨</w:t>
                  </w:r>
                </w:p>
              </w:tc>
              <w:tc>
                <w:tcPr>
                  <w:tcW w:w="540" w:type="pct"/>
                  <w:tcMar>
                    <w:top w:w="0" w:type="dxa"/>
                    <w:left w:w="0" w:type="dxa"/>
                    <w:bottom w:w="0" w:type="dxa"/>
                    <w:right w:w="0" w:type="dxa"/>
                  </w:tcMar>
                  <w:vAlign w:val="center"/>
                </w:tcPr>
                <w:p w14:paraId="2E99B9F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p>
              </w:tc>
              <w:tc>
                <w:tcPr>
                  <w:tcW w:w="517" w:type="pct"/>
                  <w:tcMar>
                    <w:top w:w="0" w:type="dxa"/>
                    <w:left w:w="0" w:type="dxa"/>
                    <w:bottom w:w="0" w:type="dxa"/>
                    <w:right w:w="0" w:type="dxa"/>
                  </w:tcMar>
                  <w:vAlign w:val="center"/>
                </w:tcPr>
                <w:p w14:paraId="277091A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7AA9494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r>
                    <w:rPr>
                      <w:rFonts w:hint="eastAsia" w:ascii="Times New Roman" w:hAnsi="Times New Roman" w:cs="Times New Roman"/>
                      <w:color w:val="auto"/>
                      <w:kern w:val="0"/>
                      <w:sz w:val="21"/>
                      <w:szCs w:val="21"/>
                      <w:highlight w:val="none"/>
                      <w:lang w:val="en-US" w:eastAsia="zh-CN"/>
                    </w:rPr>
                    <w:t>0</w:t>
                  </w:r>
                </w:p>
              </w:tc>
              <w:tc>
                <w:tcPr>
                  <w:tcW w:w="480" w:type="pct"/>
                  <w:tcMar>
                    <w:top w:w="0" w:type="dxa"/>
                    <w:left w:w="0" w:type="dxa"/>
                    <w:bottom w:w="0" w:type="dxa"/>
                    <w:right w:w="0" w:type="dxa"/>
                  </w:tcMar>
                  <w:vAlign w:val="center"/>
                </w:tcPr>
                <w:p w14:paraId="1AA5D53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144万m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05DD4A4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27.75万m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417" w:type="pct"/>
                  <w:tcMar>
                    <w:top w:w="0" w:type="dxa"/>
                    <w:left w:w="0" w:type="dxa"/>
                    <w:bottom w:w="0" w:type="dxa"/>
                    <w:right w:w="0" w:type="dxa"/>
                  </w:tcMar>
                  <w:vAlign w:val="center"/>
                </w:tcPr>
                <w:p w14:paraId="32A1CA0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匹配</w:t>
                  </w:r>
                </w:p>
              </w:tc>
            </w:tr>
            <w:tr w14:paraId="73F7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09FB184F">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碳纤维冲压件</w:t>
                  </w:r>
                </w:p>
              </w:tc>
              <w:tc>
                <w:tcPr>
                  <w:tcW w:w="656" w:type="pct"/>
                  <w:tcMar>
                    <w:top w:w="0" w:type="dxa"/>
                    <w:left w:w="0" w:type="dxa"/>
                    <w:bottom w:w="0" w:type="dxa"/>
                    <w:right w:w="0" w:type="dxa"/>
                  </w:tcMar>
                  <w:vAlign w:val="center"/>
                </w:tcPr>
                <w:p w14:paraId="1312045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热压成型台</w:t>
                  </w:r>
                </w:p>
              </w:tc>
              <w:tc>
                <w:tcPr>
                  <w:tcW w:w="706" w:type="pct"/>
                  <w:tcMar>
                    <w:top w:w="0" w:type="dxa"/>
                    <w:left w:w="0" w:type="dxa"/>
                    <w:bottom w:w="0" w:type="dxa"/>
                    <w:right w:w="0" w:type="dxa"/>
                  </w:tcMar>
                  <w:vAlign w:val="center"/>
                </w:tcPr>
                <w:p w14:paraId="1D24DC3C">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热压</w:t>
                  </w:r>
                </w:p>
              </w:tc>
              <w:tc>
                <w:tcPr>
                  <w:tcW w:w="540" w:type="pct"/>
                  <w:tcMar>
                    <w:top w:w="0" w:type="dxa"/>
                    <w:left w:w="0" w:type="dxa"/>
                    <w:bottom w:w="0" w:type="dxa"/>
                    <w:right w:w="0" w:type="dxa"/>
                  </w:tcMar>
                  <w:vAlign w:val="center"/>
                </w:tcPr>
                <w:p w14:paraId="5B0943CD">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517" w:type="pct"/>
                  <w:tcMar>
                    <w:top w:w="0" w:type="dxa"/>
                    <w:left w:w="0" w:type="dxa"/>
                    <w:bottom w:w="0" w:type="dxa"/>
                    <w:right w:w="0" w:type="dxa"/>
                  </w:tcMar>
                  <w:vAlign w:val="center"/>
                </w:tcPr>
                <w:p w14:paraId="4B94BA8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100m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6115F58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421C698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359C0D5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21万m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417" w:type="pct"/>
                  <w:tcMar>
                    <w:top w:w="0" w:type="dxa"/>
                    <w:left w:w="0" w:type="dxa"/>
                    <w:bottom w:w="0" w:type="dxa"/>
                    <w:right w:w="0" w:type="dxa"/>
                  </w:tcMar>
                  <w:vAlign w:val="center"/>
                </w:tcPr>
                <w:p w14:paraId="02C6FD4E">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4AFEB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EE10685">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玻璃纤维增强塑料制品</w:t>
                  </w:r>
                </w:p>
              </w:tc>
              <w:tc>
                <w:tcPr>
                  <w:tcW w:w="656" w:type="pct"/>
                  <w:tcMar>
                    <w:top w:w="0" w:type="dxa"/>
                    <w:left w:w="0" w:type="dxa"/>
                    <w:bottom w:w="0" w:type="dxa"/>
                    <w:right w:w="0" w:type="dxa"/>
                  </w:tcMar>
                  <w:vAlign w:val="center"/>
                </w:tcPr>
                <w:p w14:paraId="7EE3464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搅拌机</w:t>
                  </w:r>
                </w:p>
              </w:tc>
              <w:tc>
                <w:tcPr>
                  <w:tcW w:w="706" w:type="pct"/>
                  <w:tcMar>
                    <w:top w:w="0" w:type="dxa"/>
                    <w:left w:w="0" w:type="dxa"/>
                    <w:bottom w:w="0" w:type="dxa"/>
                    <w:right w:w="0" w:type="dxa"/>
                  </w:tcMar>
                  <w:vAlign w:val="center"/>
                </w:tcPr>
                <w:p w14:paraId="07043712">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搅拌</w:t>
                  </w:r>
                </w:p>
              </w:tc>
              <w:tc>
                <w:tcPr>
                  <w:tcW w:w="540" w:type="pct"/>
                  <w:tcMar>
                    <w:top w:w="0" w:type="dxa"/>
                    <w:left w:w="0" w:type="dxa"/>
                    <w:bottom w:w="0" w:type="dxa"/>
                    <w:right w:w="0" w:type="dxa"/>
                  </w:tcMar>
                  <w:vAlign w:val="center"/>
                </w:tcPr>
                <w:p w14:paraId="1A6AD2B6">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517" w:type="pct"/>
                  <w:tcMar>
                    <w:top w:w="0" w:type="dxa"/>
                    <w:left w:w="0" w:type="dxa"/>
                    <w:bottom w:w="0" w:type="dxa"/>
                    <w:right w:w="0" w:type="dxa"/>
                  </w:tcMar>
                  <w:vAlign w:val="center"/>
                </w:tcPr>
                <w:p w14:paraId="6AF2DB8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4t/d</w:t>
                  </w:r>
                </w:p>
              </w:tc>
              <w:tc>
                <w:tcPr>
                  <w:tcW w:w="580" w:type="pct"/>
                  <w:tcMar>
                    <w:top w:w="0" w:type="dxa"/>
                    <w:left w:w="0" w:type="dxa"/>
                    <w:bottom w:w="0" w:type="dxa"/>
                    <w:right w:w="0" w:type="dxa"/>
                  </w:tcMar>
                  <w:vAlign w:val="center"/>
                </w:tcPr>
                <w:p w14:paraId="43C04B7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7CDC78B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1200t/a</w:t>
                  </w:r>
                </w:p>
              </w:tc>
              <w:tc>
                <w:tcPr>
                  <w:tcW w:w="509" w:type="pct"/>
                  <w:tcMar>
                    <w:top w:w="0" w:type="dxa"/>
                    <w:left w:w="0" w:type="dxa"/>
                    <w:bottom w:w="0" w:type="dxa"/>
                    <w:right w:w="0" w:type="dxa"/>
                  </w:tcMar>
                  <w:vAlign w:val="center"/>
                </w:tcPr>
                <w:p w14:paraId="320B44D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1011t/a（产品量2520t/a）</w:t>
                  </w:r>
                </w:p>
              </w:tc>
              <w:tc>
                <w:tcPr>
                  <w:tcW w:w="417" w:type="pct"/>
                  <w:tcMar>
                    <w:top w:w="0" w:type="dxa"/>
                    <w:left w:w="0" w:type="dxa"/>
                    <w:bottom w:w="0" w:type="dxa"/>
                    <w:right w:w="0" w:type="dxa"/>
                  </w:tcMar>
                  <w:vAlign w:val="center"/>
                </w:tcPr>
                <w:p w14:paraId="3D460A0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1256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E70A684">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玻纤布</w:t>
                  </w:r>
                </w:p>
              </w:tc>
              <w:tc>
                <w:tcPr>
                  <w:tcW w:w="656" w:type="pct"/>
                  <w:tcMar>
                    <w:top w:w="0" w:type="dxa"/>
                    <w:left w:w="0" w:type="dxa"/>
                    <w:bottom w:w="0" w:type="dxa"/>
                    <w:right w:w="0" w:type="dxa"/>
                  </w:tcMar>
                  <w:vAlign w:val="center"/>
                </w:tcPr>
                <w:p w14:paraId="7301965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织布机</w:t>
                  </w:r>
                </w:p>
              </w:tc>
              <w:tc>
                <w:tcPr>
                  <w:tcW w:w="706" w:type="pct"/>
                  <w:tcMar>
                    <w:top w:w="0" w:type="dxa"/>
                    <w:left w:w="0" w:type="dxa"/>
                    <w:bottom w:w="0" w:type="dxa"/>
                    <w:right w:w="0" w:type="dxa"/>
                  </w:tcMar>
                  <w:vAlign w:val="center"/>
                </w:tcPr>
                <w:p w14:paraId="237DE76D">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纺织</w:t>
                  </w:r>
                </w:p>
              </w:tc>
              <w:tc>
                <w:tcPr>
                  <w:tcW w:w="540" w:type="pct"/>
                  <w:tcMar>
                    <w:top w:w="0" w:type="dxa"/>
                    <w:left w:w="0" w:type="dxa"/>
                    <w:bottom w:w="0" w:type="dxa"/>
                    <w:right w:w="0" w:type="dxa"/>
                  </w:tcMar>
                  <w:vAlign w:val="center"/>
                </w:tcPr>
                <w:p w14:paraId="69FB6CA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517" w:type="pct"/>
                  <w:tcMar>
                    <w:top w:w="0" w:type="dxa"/>
                    <w:left w:w="0" w:type="dxa"/>
                    <w:bottom w:w="0" w:type="dxa"/>
                    <w:right w:w="0" w:type="dxa"/>
                  </w:tcMar>
                  <w:vAlign w:val="center"/>
                </w:tcPr>
                <w:p w14:paraId="25C50AF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200kg/d</w:t>
                  </w:r>
                </w:p>
              </w:tc>
              <w:tc>
                <w:tcPr>
                  <w:tcW w:w="580" w:type="pct"/>
                  <w:tcMar>
                    <w:top w:w="0" w:type="dxa"/>
                    <w:left w:w="0" w:type="dxa"/>
                    <w:bottom w:w="0" w:type="dxa"/>
                    <w:right w:w="0" w:type="dxa"/>
                  </w:tcMar>
                  <w:vAlign w:val="center"/>
                </w:tcPr>
                <w:p w14:paraId="39B7188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0D5F03C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480t/a</w:t>
                  </w:r>
                </w:p>
              </w:tc>
              <w:tc>
                <w:tcPr>
                  <w:tcW w:w="509" w:type="pct"/>
                  <w:tcMar>
                    <w:top w:w="0" w:type="dxa"/>
                    <w:left w:w="0" w:type="dxa"/>
                    <w:bottom w:w="0" w:type="dxa"/>
                    <w:right w:w="0" w:type="dxa"/>
                  </w:tcMar>
                  <w:vAlign w:val="center"/>
                </w:tcPr>
                <w:p w14:paraId="4B57BC0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420t/a</w:t>
                  </w:r>
                </w:p>
              </w:tc>
              <w:tc>
                <w:tcPr>
                  <w:tcW w:w="417" w:type="pct"/>
                  <w:tcMar>
                    <w:top w:w="0" w:type="dxa"/>
                    <w:left w:w="0" w:type="dxa"/>
                    <w:bottom w:w="0" w:type="dxa"/>
                    <w:right w:w="0" w:type="dxa"/>
                  </w:tcMar>
                  <w:vAlign w:val="center"/>
                </w:tcPr>
                <w:p w14:paraId="512F9CE1">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599F9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198EB9DF">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塑料配件</w:t>
                  </w:r>
                </w:p>
              </w:tc>
              <w:tc>
                <w:tcPr>
                  <w:tcW w:w="656" w:type="pct"/>
                  <w:tcMar>
                    <w:top w:w="0" w:type="dxa"/>
                    <w:left w:w="0" w:type="dxa"/>
                    <w:bottom w:w="0" w:type="dxa"/>
                    <w:right w:w="0" w:type="dxa"/>
                  </w:tcMar>
                  <w:vAlign w:val="center"/>
                </w:tcPr>
                <w:p w14:paraId="2F72EBE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注塑机</w:t>
                  </w:r>
                </w:p>
              </w:tc>
              <w:tc>
                <w:tcPr>
                  <w:tcW w:w="706" w:type="pct"/>
                  <w:shd w:val="clear" w:color="auto" w:fill="auto"/>
                  <w:tcMar>
                    <w:top w:w="0" w:type="dxa"/>
                    <w:left w:w="0" w:type="dxa"/>
                    <w:bottom w:w="0" w:type="dxa"/>
                    <w:right w:w="0" w:type="dxa"/>
                  </w:tcMar>
                  <w:vAlign w:val="center"/>
                </w:tcPr>
                <w:p w14:paraId="1A4BF7F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注塑</w:t>
                  </w:r>
                </w:p>
              </w:tc>
              <w:tc>
                <w:tcPr>
                  <w:tcW w:w="540" w:type="pct"/>
                  <w:tcMar>
                    <w:top w:w="0" w:type="dxa"/>
                    <w:left w:w="0" w:type="dxa"/>
                    <w:bottom w:w="0" w:type="dxa"/>
                    <w:right w:w="0" w:type="dxa"/>
                  </w:tcMar>
                  <w:vAlign w:val="center"/>
                </w:tcPr>
                <w:p w14:paraId="2DB4F73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517" w:type="pct"/>
                  <w:tcMar>
                    <w:top w:w="0" w:type="dxa"/>
                    <w:left w:w="0" w:type="dxa"/>
                    <w:bottom w:w="0" w:type="dxa"/>
                    <w:right w:w="0" w:type="dxa"/>
                  </w:tcMar>
                  <w:vAlign w:val="center"/>
                </w:tcPr>
                <w:p w14:paraId="6BBC440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8t</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1EBEA35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7079F4B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u w:val="none"/>
                      <w:lang w:val="en-US" w:eastAsia="zh-CN"/>
                    </w:rPr>
                    <w:t>9.6t</w:t>
                  </w:r>
                  <w:r>
                    <w:rPr>
                      <w:rFonts w:hint="default"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a</w:t>
                  </w:r>
                </w:p>
              </w:tc>
              <w:tc>
                <w:tcPr>
                  <w:tcW w:w="509" w:type="pct"/>
                  <w:tcMar>
                    <w:top w:w="0" w:type="dxa"/>
                    <w:left w:w="0" w:type="dxa"/>
                    <w:bottom w:w="0" w:type="dxa"/>
                    <w:right w:w="0" w:type="dxa"/>
                  </w:tcMar>
                  <w:vAlign w:val="center"/>
                </w:tcPr>
                <w:p w14:paraId="41C6154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ascii="Times New Roman" w:hAnsi="Times New Roman" w:cs="Times New Roman"/>
                      <w:color w:val="auto"/>
                      <w:sz w:val="21"/>
                      <w:szCs w:val="21"/>
                      <w:highlight w:val="none"/>
                      <w:u w:val="none"/>
                      <w:lang w:val="en-US" w:eastAsia="zh-CN"/>
                    </w:rPr>
                    <w:t>5</w:t>
                  </w:r>
                  <w:r>
                    <w:rPr>
                      <w:rFonts w:hint="eastAsia" w:cs="Times New Roman"/>
                      <w:color w:val="auto"/>
                      <w:sz w:val="21"/>
                      <w:szCs w:val="21"/>
                      <w:highlight w:val="none"/>
                      <w:u w:val="none"/>
                      <w:lang w:val="en-US" w:eastAsia="zh-CN"/>
                    </w:rPr>
                    <w:t>.25t</w:t>
                  </w:r>
                  <w:r>
                    <w:rPr>
                      <w:rFonts w:hint="default"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a</w:t>
                  </w:r>
                </w:p>
              </w:tc>
              <w:tc>
                <w:tcPr>
                  <w:tcW w:w="417" w:type="pct"/>
                  <w:tcMar>
                    <w:top w:w="0" w:type="dxa"/>
                    <w:left w:w="0" w:type="dxa"/>
                    <w:bottom w:w="0" w:type="dxa"/>
                    <w:right w:w="0" w:type="dxa"/>
                  </w:tcMar>
                  <w:vAlign w:val="center"/>
                </w:tcPr>
                <w:p w14:paraId="0569BFE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bl>
          <w:p w14:paraId="034D01AA">
            <w:pPr>
              <w:pStyle w:val="24"/>
              <w:pageBreakBefore w:val="0"/>
              <w:wordWrap w:val="0"/>
              <w:overflowPunct/>
              <w:bidi w:val="0"/>
              <w:ind w:firstLine="482"/>
              <w:rPr>
                <w:b/>
                <w:color w:val="auto"/>
                <w:sz w:val="24"/>
                <w:highlight w:val="none"/>
              </w:rPr>
            </w:pPr>
            <w:r>
              <w:rPr>
                <w:b/>
                <w:color w:val="auto"/>
                <w:sz w:val="24"/>
                <w:highlight w:val="none"/>
              </w:rPr>
              <w:t>喷枪产能核算：</w:t>
            </w:r>
          </w:p>
          <w:p w14:paraId="06BB12B1">
            <w:pPr>
              <w:pStyle w:val="55"/>
              <w:pageBreakBefore w:val="0"/>
              <w:wordWrap w:val="0"/>
              <w:overflowPunct/>
              <w:bidi w:val="0"/>
              <w:jc w:val="center"/>
              <w:rPr>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13</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color w:val="auto"/>
                <w:sz w:val="21"/>
                <w:szCs w:val="21"/>
                <w:highlight w:val="none"/>
              </w:rPr>
              <w:t xml:space="preserve"> 喷枪产能核算一览表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1122"/>
              <w:gridCol w:w="750"/>
              <w:gridCol w:w="1351"/>
              <w:gridCol w:w="994"/>
              <w:gridCol w:w="1378"/>
              <w:gridCol w:w="1314"/>
            </w:tblGrid>
            <w:tr w14:paraId="32A8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vAlign w:val="center"/>
                </w:tcPr>
                <w:p w14:paraId="32EC4B59">
                  <w:pPr>
                    <w:pStyle w:val="55"/>
                    <w:pageBreakBefore w:val="0"/>
                    <w:wordWrap w:val="0"/>
                    <w:overflowPunct/>
                    <w:bidi w:val="0"/>
                    <w:jc w:val="center"/>
                    <w:rPr>
                      <w:rFonts w:hint="eastAsia" w:eastAsia="宋体"/>
                      <w:b/>
                      <w:bCs/>
                      <w:color w:val="auto"/>
                      <w:sz w:val="21"/>
                      <w:szCs w:val="21"/>
                      <w:highlight w:val="none"/>
                      <w:lang w:eastAsia="zh-CN"/>
                    </w:rPr>
                  </w:pPr>
                  <w:r>
                    <w:rPr>
                      <w:rFonts w:hint="eastAsia"/>
                      <w:b/>
                      <w:bCs/>
                      <w:color w:val="auto"/>
                      <w:sz w:val="21"/>
                      <w:szCs w:val="21"/>
                      <w:highlight w:val="none"/>
                      <w:lang w:eastAsia="zh-CN"/>
                    </w:rPr>
                    <w:t>物料名称</w:t>
                  </w:r>
                </w:p>
              </w:tc>
              <w:tc>
                <w:tcPr>
                  <w:tcW w:w="1122" w:type="dxa"/>
                  <w:vAlign w:val="center"/>
                </w:tcPr>
                <w:p w14:paraId="66AF7932">
                  <w:pPr>
                    <w:pStyle w:val="55"/>
                    <w:pageBreakBefore w:val="0"/>
                    <w:wordWrap w:val="0"/>
                    <w:overflowPunct/>
                    <w:bidi w:val="0"/>
                    <w:jc w:val="center"/>
                    <w:rPr>
                      <w:b/>
                      <w:bCs/>
                      <w:color w:val="auto"/>
                      <w:sz w:val="21"/>
                      <w:szCs w:val="21"/>
                      <w:highlight w:val="none"/>
                    </w:rPr>
                  </w:pPr>
                  <w:r>
                    <w:rPr>
                      <w:b/>
                      <w:bCs/>
                      <w:color w:val="auto"/>
                      <w:sz w:val="21"/>
                      <w:szCs w:val="21"/>
                      <w:highlight w:val="none"/>
                    </w:rPr>
                    <w:t>设备名称</w:t>
                  </w:r>
                </w:p>
              </w:tc>
              <w:tc>
                <w:tcPr>
                  <w:tcW w:w="750" w:type="dxa"/>
                  <w:vAlign w:val="center"/>
                </w:tcPr>
                <w:p w14:paraId="17F47155">
                  <w:pPr>
                    <w:pStyle w:val="55"/>
                    <w:pageBreakBefore w:val="0"/>
                    <w:wordWrap w:val="0"/>
                    <w:overflowPunct/>
                    <w:bidi w:val="0"/>
                    <w:jc w:val="center"/>
                    <w:rPr>
                      <w:b/>
                      <w:bCs/>
                      <w:color w:val="auto"/>
                      <w:sz w:val="21"/>
                      <w:szCs w:val="21"/>
                      <w:highlight w:val="none"/>
                    </w:rPr>
                  </w:pPr>
                  <w:r>
                    <w:rPr>
                      <w:b/>
                      <w:bCs/>
                      <w:color w:val="auto"/>
                      <w:sz w:val="21"/>
                      <w:szCs w:val="21"/>
                      <w:highlight w:val="none"/>
                    </w:rPr>
                    <w:t>数量（</w:t>
                  </w:r>
                  <w:r>
                    <w:rPr>
                      <w:rFonts w:hint="eastAsia"/>
                      <w:b/>
                      <w:bCs/>
                      <w:color w:val="auto"/>
                      <w:sz w:val="21"/>
                      <w:szCs w:val="21"/>
                      <w:highlight w:val="none"/>
                      <w:lang w:eastAsia="zh-CN"/>
                    </w:rPr>
                    <w:t>支</w:t>
                  </w:r>
                  <w:r>
                    <w:rPr>
                      <w:b/>
                      <w:bCs/>
                      <w:color w:val="auto"/>
                      <w:sz w:val="21"/>
                      <w:szCs w:val="21"/>
                      <w:highlight w:val="none"/>
                    </w:rPr>
                    <w:t>）</w:t>
                  </w:r>
                </w:p>
              </w:tc>
              <w:tc>
                <w:tcPr>
                  <w:tcW w:w="1351" w:type="dxa"/>
                  <w:vAlign w:val="center"/>
                </w:tcPr>
                <w:p w14:paraId="65CCF2DF">
                  <w:pPr>
                    <w:pStyle w:val="55"/>
                    <w:pageBreakBefore w:val="0"/>
                    <w:wordWrap w:val="0"/>
                    <w:overflowPunct/>
                    <w:bidi w:val="0"/>
                    <w:jc w:val="center"/>
                    <w:rPr>
                      <w:b/>
                      <w:bCs/>
                      <w:color w:val="auto"/>
                      <w:sz w:val="21"/>
                      <w:szCs w:val="21"/>
                      <w:highlight w:val="none"/>
                    </w:rPr>
                  </w:pPr>
                  <w:r>
                    <w:rPr>
                      <w:b/>
                      <w:bCs/>
                      <w:color w:val="auto"/>
                      <w:sz w:val="21"/>
                      <w:szCs w:val="21"/>
                      <w:highlight w:val="none"/>
                    </w:rPr>
                    <w:t>设计喷枪流量（kg/h）</w:t>
                  </w:r>
                </w:p>
              </w:tc>
              <w:tc>
                <w:tcPr>
                  <w:tcW w:w="994" w:type="dxa"/>
                  <w:vAlign w:val="center"/>
                </w:tcPr>
                <w:p w14:paraId="30648E8E">
                  <w:pPr>
                    <w:pageBreakBefore w:val="0"/>
                    <w:wordWrap w:val="0"/>
                    <w:overflowPunct/>
                    <w:bidi w:val="0"/>
                    <w:jc w:val="center"/>
                    <w:rPr>
                      <w:b/>
                      <w:bCs/>
                      <w:color w:val="auto"/>
                      <w:sz w:val="21"/>
                      <w:szCs w:val="21"/>
                      <w:highlight w:val="none"/>
                    </w:rPr>
                  </w:pPr>
                  <w:r>
                    <w:rPr>
                      <w:b/>
                      <w:bCs/>
                      <w:color w:val="auto"/>
                      <w:sz w:val="21"/>
                      <w:szCs w:val="21"/>
                      <w:highlight w:val="none"/>
                    </w:rPr>
                    <w:t>工作时间（h）</w:t>
                  </w:r>
                </w:p>
              </w:tc>
              <w:tc>
                <w:tcPr>
                  <w:tcW w:w="1378" w:type="dxa"/>
                  <w:vAlign w:val="center"/>
                </w:tcPr>
                <w:p w14:paraId="11D7B5BB">
                  <w:pPr>
                    <w:pStyle w:val="55"/>
                    <w:pageBreakBefore w:val="0"/>
                    <w:wordWrap w:val="0"/>
                    <w:overflowPunct/>
                    <w:bidi w:val="0"/>
                    <w:jc w:val="center"/>
                    <w:rPr>
                      <w:b/>
                      <w:bCs/>
                      <w:color w:val="auto"/>
                      <w:sz w:val="21"/>
                      <w:szCs w:val="21"/>
                      <w:highlight w:val="none"/>
                    </w:rPr>
                  </w:pPr>
                  <w:r>
                    <w:rPr>
                      <w:b/>
                      <w:bCs/>
                      <w:color w:val="auto"/>
                      <w:sz w:val="21"/>
                      <w:szCs w:val="21"/>
                      <w:highlight w:val="none"/>
                    </w:rPr>
                    <w:t>设计年喷涂量（t/a）</w:t>
                  </w:r>
                </w:p>
              </w:tc>
              <w:tc>
                <w:tcPr>
                  <w:tcW w:w="1314" w:type="dxa"/>
                  <w:vAlign w:val="center"/>
                </w:tcPr>
                <w:p w14:paraId="157BD1A9">
                  <w:pPr>
                    <w:pStyle w:val="55"/>
                    <w:pageBreakBefore w:val="0"/>
                    <w:wordWrap w:val="0"/>
                    <w:overflowPunct/>
                    <w:bidi w:val="0"/>
                    <w:jc w:val="center"/>
                    <w:rPr>
                      <w:b/>
                      <w:bCs/>
                      <w:color w:val="auto"/>
                      <w:sz w:val="21"/>
                      <w:szCs w:val="21"/>
                      <w:highlight w:val="none"/>
                    </w:rPr>
                  </w:pPr>
                  <w:r>
                    <w:rPr>
                      <w:b/>
                      <w:bCs/>
                      <w:color w:val="auto"/>
                      <w:sz w:val="21"/>
                      <w:szCs w:val="21"/>
                      <w:highlight w:val="none"/>
                    </w:rPr>
                    <w:t>项目实际年喷涂量（t/a）</w:t>
                  </w:r>
                </w:p>
              </w:tc>
            </w:tr>
            <w:tr w14:paraId="19A50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vAlign w:val="center"/>
                </w:tcPr>
                <w:p w14:paraId="0B59B115">
                  <w:pPr>
                    <w:pStyle w:val="55"/>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油性漆</w:t>
                  </w:r>
                </w:p>
              </w:tc>
              <w:tc>
                <w:tcPr>
                  <w:tcW w:w="1122" w:type="dxa"/>
                  <w:vAlign w:val="center"/>
                </w:tcPr>
                <w:p w14:paraId="40718A21">
                  <w:pPr>
                    <w:pStyle w:val="55"/>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vAlign w:val="center"/>
                </w:tcPr>
                <w:p w14:paraId="2889CD4F">
                  <w:pPr>
                    <w:keepNext w:val="0"/>
                    <w:keepLines w:val="0"/>
                    <w:widowControl/>
                    <w:suppressLineNumbers w:val="0"/>
                    <w:jc w:val="center"/>
                    <w:textAlignment w:val="center"/>
                    <w:rPr>
                      <w:rFonts w:hint="eastAsia" w:eastAsia="宋体"/>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3</w:t>
                  </w:r>
                </w:p>
              </w:tc>
              <w:tc>
                <w:tcPr>
                  <w:tcW w:w="1351" w:type="dxa"/>
                  <w:vAlign w:val="center"/>
                </w:tcPr>
                <w:p w14:paraId="16C89697">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0.6</w:t>
                  </w:r>
                </w:p>
              </w:tc>
              <w:tc>
                <w:tcPr>
                  <w:tcW w:w="994" w:type="dxa"/>
                  <w:vAlign w:val="center"/>
                </w:tcPr>
                <w:p w14:paraId="5CD8BC0A">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c>
                <w:tcPr>
                  <w:tcW w:w="1378" w:type="dxa"/>
                  <w:vAlign w:val="center"/>
                </w:tcPr>
                <w:p w14:paraId="33EBB393">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8.64</w:t>
                  </w:r>
                </w:p>
              </w:tc>
              <w:tc>
                <w:tcPr>
                  <w:tcW w:w="1314" w:type="dxa"/>
                  <w:vAlign w:val="center"/>
                </w:tcPr>
                <w:p w14:paraId="449339B2">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1.18</w:t>
                  </w:r>
                  <w:r>
                    <w:rPr>
                      <w:rFonts w:hint="eastAsia" w:cs="Times New Roman"/>
                      <w:i w:val="0"/>
                      <w:iCs w:val="0"/>
                      <w:color w:val="auto"/>
                      <w:kern w:val="0"/>
                      <w:sz w:val="21"/>
                      <w:szCs w:val="21"/>
                      <w:highlight w:val="none"/>
                      <w:u w:val="none"/>
                      <w:lang w:val="en-US" w:eastAsia="zh-CN" w:bidi="ar"/>
                    </w:rPr>
                    <w:t>7</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r>
            <w:tr w14:paraId="186C8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39" w:type="dxa"/>
                  <w:vAlign w:val="center"/>
                </w:tcPr>
                <w:p w14:paraId="5B7A01A4">
                  <w:pPr>
                    <w:pStyle w:val="55"/>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水性漆</w:t>
                  </w:r>
                </w:p>
              </w:tc>
              <w:tc>
                <w:tcPr>
                  <w:tcW w:w="1122" w:type="dxa"/>
                  <w:vAlign w:val="center"/>
                </w:tcPr>
                <w:p w14:paraId="3E20EFFA">
                  <w:pPr>
                    <w:pStyle w:val="55"/>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vAlign w:val="center"/>
                </w:tcPr>
                <w:p w14:paraId="78E415E3">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w:t>
                  </w:r>
                </w:p>
              </w:tc>
              <w:tc>
                <w:tcPr>
                  <w:tcW w:w="1351" w:type="dxa"/>
                  <w:vAlign w:val="center"/>
                </w:tcPr>
                <w:p w14:paraId="7EA46DD0">
                  <w:pPr>
                    <w:keepNext w:val="0"/>
                    <w:keepLines w:val="0"/>
                    <w:widowControl/>
                    <w:suppressLineNumbers w:val="0"/>
                    <w:jc w:val="center"/>
                    <w:textAlignment w:val="center"/>
                    <w:rPr>
                      <w:rFonts w:hint="default"/>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0.6</w:t>
                  </w:r>
                </w:p>
              </w:tc>
              <w:tc>
                <w:tcPr>
                  <w:tcW w:w="994" w:type="dxa"/>
                  <w:vAlign w:val="center"/>
                </w:tcPr>
                <w:p w14:paraId="6ADF6E57">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c>
                <w:tcPr>
                  <w:tcW w:w="1378" w:type="dxa"/>
                  <w:vAlign w:val="center"/>
                </w:tcPr>
                <w:p w14:paraId="58FE9A36">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23.04</w:t>
                  </w:r>
                </w:p>
              </w:tc>
              <w:tc>
                <w:tcPr>
                  <w:tcW w:w="1314" w:type="dxa"/>
                  <w:vAlign w:val="center"/>
                </w:tcPr>
                <w:p w14:paraId="1F9FB9C4">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13.500</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r>
            <w:tr w14:paraId="6DA5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848" w:type="dxa"/>
                  <w:gridSpan w:val="7"/>
                  <w:vAlign w:val="center"/>
                </w:tcPr>
                <w:p w14:paraId="7C9BBE7D">
                  <w:pPr>
                    <w:pStyle w:val="55"/>
                    <w:pageBreakBefore w:val="0"/>
                    <w:wordWrap w:val="0"/>
                    <w:overflowPunct/>
                    <w:bidi w:val="0"/>
                    <w:spacing w:line="240" w:lineRule="auto"/>
                    <w:jc w:val="both"/>
                    <w:rPr>
                      <w:rFonts w:hint="default" w:eastAsia="宋体"/>
                      <w:color w:val="auto"/>
                      <w:sz w:val="21"/>
                      <w:szCs w:val="21"/>
                      <w:highlight w:val="none"/>
                      <w:lang w:val="en-US" w:eastAsia="zh-CN"/>
                    </w:rPr>
                  </w:pPr>
                  <w:r>
                    <w:rPr>
                      <w:color w:val="auto"/>
                      <w:sz w:val="21"/>
                      <w:szCs w:val="21"/>
                      <w:highlight w:val="none"/>
                    </w:rPr>
                    <w:t>注：</w:t>
                  </w:r>
                  <w:r>
                    <w:rPr>
                      <w:rFonts w:hint="eastAsia"/>
                      <w:color w:val="auto"/>
                      <w:sz w:val="21"/>
                      <w:szCs w:val="21"/>
                      <w:highlight w:val="none"/>
                      <w:lang w:eastAsia="zh-CN"/>
                    </w:rPr>
                    <w:t>①单支喷枪流量为</w:t>
                  </w:r>
                  <w:r>
                    <w:rPr>
                      <w:rFonts w:hint="eastAsia" w:cs="Times New Roman"/>
                      <w:color w:val="auto"/>
                      <w:sz w:val="21"/>
                      <w:szCs w:val="21"/>
                      <w:highlight w:val="none"/>
                      <w:lang w:val="en-US" w:eastAsia="zh-CN"/>
                    </w:rPr>
                    <w:t>5~50ml/min，本项目分别取10ml/min，即为0.6kg/h；</w:t>
                  </w:r>
                </w:p>
                <w:p w14:paraId="5EA2F93C">
                  <w:pPr>
                    <w:pStyle w:val="55"/>
                    <w:pageBreakBefore w:val="0"/>
                    <w:wordWrap w:val="0"/>
                    <w:overflowPunct/>
                    <w:bidi w:val="0"/>
                    <w:spacing w:line="240" w:lineRule="auto"/>
                    <w:jc w:val="both"/>
                    <w:rPr>
                      <w:color w:val="auto"/>
                      <w:highlight w:val="none"/>
                    </w:rPr>
                  </w:pPr>
                  <w:r>
                    <w:rPr>
                      <w:rFonts w:hint="eastAsia"/>
                      <w:color w:val="auto"/>
                      <w:sz w:val="21"/>
                      <w:szCs w:val="21"/>
                      <w:highlight w:val="none"/>
                      <w:lang w:eastAsia="zh-CN"/>
                    </w:rPr>
                    <w:t>②</w:t>
                  </w:r>
                  <w:r>
                    <w:rPr>
                      <w:color w:val="auto"/>
                      <w:sz w:val="21"/>
                      <w:szCs w:val="21"/>
                      <w:highlight w:val="none"/>
                    </w:rPr>
                    <w:t>根据企业提供资料，项目喷涂过程中喷涂时间为</w:t>
                  </w:r>
                  <w:r>
                    <w:rPr>
                      <w:rFonts w:hint="eastAsia"/>
                      <w:color w:val="auto"/>
                      <w:sz w:val="21"/>
                      <w:szCs w:val="21"/>
                      <w:highlight w:val="none"/>
                      <w:lang w:val="en-US" w:eastAsia="zh-CN"/>
                    </w:rPr>
                    <w:t>480</w:t>
                  </w:r>
                  <w:r>
                    <w:rPr>
                      <w:color w:val="auto"/>
                      <w:sz w:val="21"/>
                      <w:szCs w:val="21"/>
                      <w:highlight w:val="none"/>
                    </w:rPr>
                    <w:t>0h</w:t>
                  </w:r>
                  <w:r>
                    <w:rPr>
                      <w:rFonts w:hint="eastAsia"/>
                      <w:color w:val="auto"/>
                      <w:sz w:val="21"/>
                      <w:szCs w:val="21"/>
                      <w:highlight w:val="none"/>
                      <w:lang w:eastAsia="zh-CN"/>
                    </w:rPr>
                    <w:t>，</w:t>
                  </w:r>
                  <w:r>
                    <w:rPr>
                      <w:color w:val="auto"/>
                      <w:sz w:val="21"/>
                      <w:szCs w:val="21"/>
                      <w:highlight w:val="none"/>
                    </w:rPr>
                    <w:t>根据计算，喷枪设计喷涂总量为</w:t>
                  </w:r>
                  <w:r>
                    <w:rPr>
                      <w:rFonts w:hint="eastAsia"/>
                      <w:color w:val="auto"/>
                      <w:sz w:val="21"/>
                      <w:szCs w:val="21"/>
                      <w:highlight w:val="none"/>
                      <w:lang w:val="en-US" w:eastAsia="zh-CN"/>
                    </w:rPr>
                    <w:t>31.68</w:t>
                  </w:r>
                  <w:r>
                    <w:rPr>
                      <w:color w:val="auto"/>
                      <w:sz w:val="21"/>
                      <w:szCs w:val="21"/>
                      <w:highlight w:val="none"/>
                    </w:rPr>
                    <w:t>t/a，项目油漆</w:t>
                  </w:r>
                  <w:r>
                    <w:rPr>
                      <w:rFonts w:hint="eastAsia"/>
                      <w:color w:val="auto"/>
                      <w:sz w:val="21"/>
                      <w:szCs w:val="21"/>
                      <w:highlight w:val="none"/>
                      <w:lang w:eastAsia="zh-CN"/>
                    </w:rPr>
                    <w:t>（水性</w:t>
                  </w:r>
                  <w:r>
                    <w:rPr>
                      <w:rFonts w:hint="eastAsia"/>
                      <w:color w:val="auto"/>
                      <w:sz w:val="21"/>
                      <w:szCs w:val="21"/>
                      <w:highlight w:val="none"/>
                      <w:lang w:val="en-US" w:eastAsia="zh-CN"/>
                    </w:rPr>
                    <w:t>+油性</w:t>
                  </w:r>
                  <w:r>
                    <w:rPr>
                      <w:rFonts w:hint="eastAsia"/>
                      <w:color w:val="auto"/>
                      <w:sz w:val="21"/>
                      <w:szCs w:val="21"/>
                      <w:highlight w:val="none"/>
                      <w:lang w:eastAsia="zh-CN"/>
                    </w:rPr>
                    <w:t>）</w:t>
                  </w:r>
                  <w:r>
                    <w:rPr>
                      <w:color w:val="auto"/>
                      <w:sz w:val="21"/>
                      <w:szCs w:val="21"/>
                      <w:highlight w:val="none"/>
                    </w:rPr>
                    <w:t>实际总用量为</w:t>
                  </w:r>
                  <w:r>
                    <w:rPr>
                      <w:rFonts w:hint="eastAsia"/>
                      <w:color w:val="auto"/>
                      <w:sz w:val="21"/>
                      <w:szCs w:val="21"/>
                      <w:highlight w:val="none"/>
                      <w:lang w:val="en-US" w:eastAsia="zh-CN"/>
                    </w:rPr>
                    <w:t>14.687</w:t>
                  </w:r>
                  <w:r>
                    <w:rPr>
                      <w:color w:val="auto"/>
                      <w:sz w:val="21"/>
                      <w:szCs w:val="21"/>
                      <w:highlight w:val="none"/>
                    </w:rPr>
                    <w:t>t/a，约占喷枪设计产能的</w:t>
                  </w:r>
                  <w:r>
                    <w:rPr>
                      <w:rFonts w:hint="eastAsia"/>
                      <w:color w:val="auto"/>
                      <w:sz w:val="21"/>
                      <w:szCs w:val="21"/>
                      <w:highlight w:val="none"/>
                      <w:lang w:val="en-US" w:eastAsia="zh-CN"/>
                    </w:rPr>
                    <w:t xml:space="preserve"> 46</w:t>
                  </w:r>
                  <w:r>
                    <w:rPr>
                      <w:color w:val="auto"/>
                      <w:sz w:val="21"/>
                      <w:szCs w:val="21"/>
                      <w:highlight w:val="none"/>
                    </w:rPr>
                    <w:t>%，与喷枪的产能相匹配。因此，生产设备的产能和原料用量相匹配、合理。</w:t>
                  </w:r>
                </w:p>
              </w:tc>
            </w:tr>
          </w:tbl>
          <w:p w14:paraId="112C5AD0">
            <w:pPr>
              <w:pStyle w:val="20"/>
              <w:numPr>
                <w:ilvl w:val="3"/>
                <w:numId w:val="0"/>
              </w:numPr>
              <w:ind w:left="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highlight w:val="none"/>
              </w:rPr>
              <w:t>劳动定员和工作制度</w:t>
            </w:r>
          </w:p>
          <w:p w14:paraId="43FBE003">
            <w:pPr>
              <w:pStyle w:val="16"/>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14</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Style w:val="61"/>
                <w:rFonts w:hint="default" w:ascii="Times New Roman" w:hAnsi="Times New Roman" w:cs="Times New Roman"/>
                <w:b/>
                <w:bCs/>
                <w:color w:val="auto"/>
                <w:highlight w:val="none"/>
              </w:rPr>
              <w:t>劳</w:t>
            </w:r>
            <w:r>
              <w:rPr>
                <w:rFonts w:hint="default" w:ascii="Times New Roman" w:hAnsi="Times New Roman" w:cs="Times New Roman"/>
                <w:b/>
                <w:bCs/>
                <w:color w:val="auto"/>
                <w:highlight w:val="none"/>
              </w:rPr>
              <w:t>动定员与工作制度一览表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93"/>
              <w:gridCol w:w="2613"/>
              <w:gridCol w:w="1394"/>
              <w:gridCol w:w="2545"/>
            </w:tblGrid>
            <w:tr w14:paraId="73CF4A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08DDB42">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65" w:type="pct"/>
                  <w:vAlign w:val="center"/>
                </w:tcPr>
                <w:p w14:paraId="5E358D16">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c>
                <w:tcPr>
                  <w:tcW w:w="888" w:type="pct"/>
                  <w:vAlign w:val="center"/>
                </w:tcPr>
                <w:p w14:paraId="5F3D189C">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21" w:type="pct"/>
                  <w:vAlign w:val="center"/>
                </w:tcPr>
                <w:p w14:paraId="34756897">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r>
            <w:tr w14:paraId="3868B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566ED2F1">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劳动定员</w:t>
                  </w:r>
                </w:p>
              </w:tc>
              <w:tc>
                <w:tcPr>
                  <w:tcW w:w="1665" w:type="pct"/>
                  <w:vAlign w:val="center"/>
                </w:tcPr>
                <w:p w14:paraId="22FF21AF">
                  <w:pPr>
                    <w:pStyle w:val="60"/>
                    <w:spacing w:line="36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lang w:val="en-US" w:eastAsia="zh-CN"/>
                    </w:rPr>
                    <w:t>35</w:t>
                  </w:r>
                  <w:r>
                    <w:rPr>
                      <w:rFonts w:hint="default" w:ascii="Times New Roman" w:hAnsi="Times New Roman" w:cs="Times New Roman"/>
                      <w:color w:val="auto"/>
                      <w:sz w:val="21"/>
                      <w:szCs w:val="21"/>
                      <w:highlight w:val="none"/>
                      <w:lang w:eastAsia="zh-CN"/>
                    </w:rPr>
                    <w:t>人</w:t>
                  </w:r>
                </w:p>
              </w:tc>
              <w:tc>
                <w:tcPr>
                  <w:tcW w:w="888" w:type="pct"/>
                  <w:vAlign w:val="center"/>
                </w:tcPr>
                <w:p w14:paraId="73EE65A5">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食宿</w:t>
                  </w:r>
                  <w:r>
                    <w:rPr>
                      <w:rFonts w:hint="default" w:ascii="Times New Roman" w:hAnsi="Times New Roman" w:cs="Times New Roman"/>
                      <w:b/>
                      <w:bCs/>
                      <w:color w:val="auto"/>
                      <w:highlight w:val="none"/>
                      <w:lang w:val="en-US" w:eastAsia="zh-CN"/>
                    </w:rPr>
                    <w:t>情况</w:t>
                  </w:r>
                </w:p>
              </w:tc>
              <w:tc>
                <w:tcPr>
                  <w:tcW w:w="1621" w:type="pct"/>
                  <w:vAlign w:val="center"/>
                </w:tcPr>
                <w:p w14:paraId="345DF444">
                  <w:pPr>
                    <w:pStyle w:val="6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无食堂、</w:t>
                  </w:r>
                  <w:r>
                    <w:rPr>
                      <w:rFonts w:hint="default" w:ascii="Times New Roman" w:hAnsi="Times New Roman" w:cs="Times New Roman"/>
                      <w:color w:val="auto"/>
                      <w:highlight w:val="none"/>
                      <w:lang w:eastAsia="zh-CN"/>
                    </w:rPr>
                    <w:t>住宿</w:t>
                  </w:r>
                </w:p>
              </w:tc>
            </w:tr>
            <w:tr w14:paraId="0889A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1968F6AD">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工作时间</w:t>
                  </w:r>
                </w:p>
              </w:tc>
              <w:tc>
                <w:tcPr>
                  <w:tcW w:w="1665" w:type="pct"/>
                  <w:vAlign w:val="center"/>
                </w:tcPr>
                <w:p w14:paraId="69D75255">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年生产300天</w:t>
                  </w:r>
                </w:p>
              </w:tc>
              <w:tc>
                <w:tcPr>
                  <w:tcW w:w="888" w:type="pct"/>
                  <w:vAlign w:val="center"/>
                </w:tcPr>
                <w:p w14:paraId="49209FEC">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夜间生产</w:t>
                  </w:r>
                </w:p>
              </w:tc>
              <w:tc>
                <w:tcPr>
                  <w:tcW w:w="1621" w:type="pct"/>
                  <w:vAlign w:val="center"/>
                </w:tcPr>
                <w:p w14:paraId="6D94ECF7">
                  <w:pPr>
                    <w:pStyle w:val="60"/>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有</w:t>
                  </w:r>
                </w:p>
              </w:tc>
            </w:tr>
            <w:tr w14:paraId="21F512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6880A9A7">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工作班制</w:t>
                  </w:r>
                </w:p>
              </w:tc>
              <w:tc>
                <w:tcPr>
                  <w:tcW w:w="1665" w:type="pct"/>
                  <w:vAlign w:val="center"/>
                </w:tcPr>
                <w:p w14:paraId="6E362BFC">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每天16小时，实行2班制</w:t>
                  </w:r>
                </w:p>
              </w:tc>
              <w:tc>
                <w:tcPr>
                  <w:tcW w:w="888" w:type="pct"/>
                  <w:vAlign w:val="center"/>
                </w:tcPr>
                <w:p w14:paraId="04390F7B">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21" w:type="pct"/>
                  <w:vAlign w:val="center"/>
                </w:tcPr>
                <w:p w14:paraId="1B58F9B1">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78053351">
            <w:pPr>
              <w:pStyle w:val="20"/>
              <w:numPr>
                <w:ilvl w:val="3"/>
                <w:numId w:val="0"/>
              </w:numPr>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6DD97639">
            <w:pPr>
              <w:pStyle w:val="21"/>
              <w:numPr>
                <w:ilvl w:val="4"/>
                <w:numId w:val="0"/>
              </w:numPr>
              <w:ind w:left="-960" w:firstLine="144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（1）供电</w:t>
            </w:r>
          </w:p>
          <w:p w14:paraId="1C66352F">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本项目用电由市政供电网提供，年用电量约300万千瓦·时，不设备用发电机或锅炉。</w:t>
            </w:r>
          </w:p>
          <w:p w14:paraId="053608CF">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（2）给水</w:t>
            </w:r>
          </w:p>
          <w:p w14:paraId="75258FA6">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切割用水、</w:t>
            </w:r>
            <w:r>
              <w:rPr>
                <w:rFonts w:hint="default" w:ascii="Times New Roman" w:hAnsi="Times New Roman" w:cs="Times New Roman"/>
                <w:color w:val="auto"/>
                <w:highlight w:val="none"/>
                <w:lang w:eastAsia="zh-CN"/>
              </w:rPr>
              <w:t>冷却用水、喷淋用水</w:t>
            </w:r>
            <w:r>
              <w:rPr>
                <w:rFonts w:hint="eastAsia" w:cs="Times New Roman"/>
                <w:color w:val="auto"/>
                <w:highlight w:val="none"/>
                <w:lang w:eastAsia="zh-CN"/>
              </w:rPr>
              <w:t>、</w:t>
            </w:r>
            <w:r>
              <w:rPr>
                <w:rFonts w:hint="eastAsia" w:cs="Times New Roman"/>
                <w:color w:val="auto"/>
                <w:highlight w:val="none"/>
                <w:lang w:val="en-US" w:eastAsia="zh-CN"/>
              </w:rPr>
              <w:t>水磨抛光用水</w:t>
            </w:r>
            <w:r>
              <w:rPr>
                <w:rFonts w:hint="default" w:ascii="Times New Roman" w:hAnsi="Times New Roman" w:cs="Times New Roman"/>
                <w:color w:val="auto"/>
                <w:highlight w:val="none"/>
                <w:lang w:eastAsia="zh-CN"/>
              </w:rPr>
              <w:t>。</w:t>
            </w:r>
          </w:p>
          <w:p w14:paraId="6A5B9880">
            <w:pPr>
              <w:pStyle w:val="26"/>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不设置</w:t>
            </w:r>
            <w:r>
              <w:rPr>
                <w:rFonts w:hint="default" w:ascii="Times New Roman" w:hAnsi="Times New Roman" w:cs="Times New Roman"/>
                <w:color w:val="auto"/>
                <w:highlight w:val="none"/>
              </w:rPr>
              <w:t>职工</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宿舍，劳动定员</w:t>
            </w:r>
            <w:r>
              <w:rPr>
                <w:rFonts w:hint="default" w:ascii="Times New Roman" w:hAnsi="Times New Roman" w:cs="Times New Roman"/>
                <w:color w:val="auto"/>
                <w:highlight w:val="none"/>
                <w:lang w:val="en-US" w:eastAsia="zh-CN"/>
              </w:rPr>
              <w:t>35</w:t>
            </w:r>
            <w:r>
              <w:rPr>
                <w:rFonts w:hint="default" w:ascii="Times New Roman" w:hAnsi="Times New Roman" w:cs="Times New Roman"/>
                <w:color w:val="auto"/>
                <w:highlight w:val="none"/>
              </w:rPr>
              <w:t>人，年工作时间为300天，</w:t>
            </w:r>
            <w:r>
              <w:rPr>
                <w:rFonts w:hint="default" w:ascii="Times New Roman" w:hAnsi="Times New Roman" w:cs="Times New Roman"/>
                <w:color w:val="auto"/>
                <w:highlight w:val="none"/>
                <w:lang w:val="en-US" w:eastAsia="zh-CN"/>
              </w:rPr>
              <w:t>每天16小时，实行2班制</w:t>
            </w:r>
            <w:r>
              <w:rPr>
                <w:rFonts w:hint="default" w:ascii="Times New Roman" w:hAnsi="Times New Roman" w:cs="Times New Roman"/>
                <w:color w:val="auto"/>
                <w:highlight w:val="none"/>
              </w:rPr>
              <w:t>，生活用水量为</w:t>
            </w:r>
            <w:r>
              <w:rPr>
                <w:rFonts w:hint="eastAsia" w:cs="Times New Roman"/>
                <w:color w:val="auto"/>
                <w:highlight w:val="none"/>
                <w:lang w:val="en-US" w:eastAsia="zh-CN"/>
              </w:rPr>
              <w:t>1575</w:t>
            </w:r>
            <w:r>
              <w:rPr>
                <w:rFonts w:hint="default" w:ascii="Times New Roman" w:hAnsi="Times New Roman" w:cs="Times New Roman"/>
                <w:color w:val="auto"/>
                <w:highlight w:val="none"/>
              </w:rPr>
              <w:t>t/a</w:t>
            </w:r>
            <w:r>
              <w:rPr>
                <w:rFonts w:hint="eastAsia" w:cs="Times New Roman"/>
                <w:color w:val="auto"/>
                <w:highlight w:val="none"/>
                <w:lang w:eastAsia="zh-CN"/>
              </w:rPr>
              <w:t>；</w:t>
            </w:r>
          </w:p>
          <w:p w14:paraId="2CADB6BA">
            <w:pPr>
              <w:pStyle w:val="26"/>
              <w:ind w:firstLine="480"/>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②切割</w:t>
            </w:r>
            <w:r>
              <w:rPr>
                <w:rFonts w:hint="eastAsia" w:cs="Times New Roman"/>
                <w:color w:val="auto"/>
                <w:highlight w:val="none"/>
                <w:lang w:val="en-US" w:eastAsia="zh-CN"/>
              </w:rPr>
              <w:t>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循环用水量为12480t/a，新鲜水用水量为249.6t/a，损耗量为249.6t/a；</w:t>
            </w:r>
          </w:p>
          <w:p w14:paraId="3891D377">
            <w:pPr>
              <w:pStyle w:val="26"/>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③注塑冷却用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循环用水量为72000t/a，新鲜水用水量为831.6t/a，损耗量为831.6t/a；</w:t>
            </w:r>
          </w:p>
          <w:p w14:paraId="38AD1F87">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lang w:val="en-US" w:eastAsia="zh-CN"/>
              </w:rPr>
              <w:t>喷淋用水：</w:t>
            </w:r>
            <w:r>
              <w:rPr>
                <w:rFonts w:hint="eastAsia" w:cs="Times New Roman"/>
                <w:color w:val="auto"/>
                <w:highlight w:val="none"/>
                <w:lang w:val="en-US" w:eastAsia="zh-CN"/>
              </w:rPr>
              <w:t>循环用水量为211200t/a，新鲜水用水量为2288t/a，损耗量为2112t/a。</w:t>
            </w:r>
          </w:p>
          <w:p w14:paraId="5D5990C8">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⑤水磨抛光用水</w:t>
            </w:r>
          </w:p>
          <w:p w14:paraId="60290F7F">
            <w:pPr>
              <w:pStyle w:val="26"/>
              <w:ind w:firstLine="480"/>
              <w:rPr>
                <w:rFonts w:hint="default" w:cs="Times New Roman"/>
                <w:color w:val="auto"/>
                <w:highlight w:val="none"/>
                <w:lang w:val="en-US" w:eastAsia="zh-CN"/>
              </w:rPr>
            </w:pPr>
            <w:r>
              <w:rPr>
                <w:rFonts w:hint="eastAsia" w:cs="Times New Roman"/>
                <w:color w:val="auto"/>
                <w:highlight w:val="none"/>
                <w:lang w:val="en-US" w:eastAsia="zh-CN"/>
              </w:rPr>
              <w:t>采用半自动水磨机（4台），每台配备循环水槽（容积约100 L），每台水磨机日均运行时间：8小时（两班制）；喷淋水损耗率：约 5 L/小时·台（含蒸发、溅射、附着损失），则补水量 = 4台 × 16 h × 5 L/h = 320L/天（96 m³/a）。循环用水量为4台×1.0 m³/h×16h = 64 m³/d（19200 m³/a）。</w:t>
            </w:r>
          </w:p>
          <w:p w14:paraId="2CCD515E">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（3）排水</w:t>
            </w:r>
          </w:p>
          <w:p w14:paraId="16FC4C2B">
            <w:pPr>
              <w:adjustRightIn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本项目实行雨污分流制的排水体制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雨水经厂区雨水管网收集后，排入市政雨水管网</w:t>
            </w:r>
            <w:r>
              <w:rPr>
                <w:rFonts w:hint="default" w:ascii="Times New Roman" w:hAnsi="Times New Roman" w:cs="Times New Roman"/>
                <w:color w:val="auto"/>
                <w:highlight w:val="none"/>
                <w:lang w:eastAsia="zh-CN"/>
              </w:rPr>
              <w:t>。</w:t>
            </w:r>
          </w:p>
          <w:p w14:paraId="2A98C672">
            <w:pPr>
              <w:pStyle w:val="26"/>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生活污水：本项目生活污水排放量为</w:t>
            </w:r>
            <w:r>
              <w:rPr>
                <w:rFonts w:hint="eastAsia" w:cs="Times New Roman"/>
                <w:color w:val="auto"/>
                <w:highlight w:val="none"/>
                <w:lang w:val="en-US" w:eastAsia="zh-CN"/>
              </w:rPr>
              <w:t>1197</w:t>
            </w:r>
            <w:r>
              <w:rPr>
                <w:rFonts w:hint="default" w:ascii="Times New Roman" w:hAnsi="Times New Roman" w:cs="Times New Roman"/>
                <w:color w:val="auto"/>
                <w:highlight w:val="none"/>
              </w:rPr>
              <w:t>t/a，经三级化粪池预处理后，排入园区污水处理厂进一步处理，达标后排放至武江</w:t>
            </w:r>
            <w:r>
              <w:rPr>
                <w:rFonts w:hint="eastAsia" w:cs="Times New Roman"/>
                <w:color w:val="auto"/>
                <w:highlight w:val="none"/>
                <w:lang w:eastAsia="zh-CN"/>
              </w:rPr>
              <w:t>；</w:t>
            </w:r>
          </w:p>
          <w:p w14:paraId="2F6E0EC9">
            <w:pPr>
              <w:pStyle w:val="26"/>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②切割</w:t>
            </w:r>
            <w:r>
              <w:rPr>
                <w:rFonts w:hint="eastAsia" w:cs="Times New Roman"/>
                <w:color w:val="auto"/>
                <w:highlight w:val="none"/>
                <w:lang w:val="en-US" w:eastAsia="zh-CN"/>
              </w:rPr>
              <w:t>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循环使用，定期补充新鲜用水，配套设置旁流过滤装置，无废水外排；</w:t>
            </w:r>
          </w:p>
          <w:p w14:paraId="78474796">
            <w:pPr>
              <w:adjustRightInd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w:t>
            </w:r>
            <w:r>
              <w:rPr>
                <w:rFonts w:hint="eastAsia" w:cs="Times New Roman"/>
                <w:color w:val="auto"/>
                <w:highlight w:val="none"/>
                <w:lang w:val="en-US" w:eastAsia="zh-CN"/>
              </w:rPr>
              <w:t>注塑冷却用水：循环使用，定期补充新鲜用水，配套设置旁流过滤装置，无废水外排。</w:t>
            </w:r>
          </w:p>
          <w:p w14:paraId="17D5541D">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lang w:val="en-US" w:eastAsia="zh-CN"/>
              </w:rPr>
              <w:t>喷淋用水：</w:t>
            </w:r>
            <w:r>
              <w:rPr>
                <w:rFonts w:hint="eastAsia" w:cs="Times New Roman"/>
                <w:color w:val="auto"/>
                <w:highlight w:val="none"/>
                <w:lang w:val="en-US" w:eastAsia="zh-CN"/>
              </w:rPr>
              <w:t>循环过程补充新鲜用水，更换后水帘柜喷淋废液176 t/a做危废转运处理，无废水外排。</w:t>
            </w:r>
          </w:p>
          <w:p w14:paraId="318845AA">
            <w:pPr>
              <w:adjustRightInd w:val="0"/>
              <w:ind w:firstLine="480" w:firstLineChars="20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⑤水磨废水：</w:t>
            </w:r>
            <w:r>
              <w:rPr>
                <w:rFonts w:hint="eastAsia" w:cs="Times New Roman"/>
                <w:color w:val="auto"/>
                <w:highlight w:val="none"/>
                <w:lang w:val="en-US" w:eastAsia="zh-CN"/>
              </w:rPr>
              <w:t>经沉淀过滤后</w:t>
            </w:r>
            <w:r>
              <w:rPr>
                <w:rFonts w:hint="eastAsia" w:ascii="Times New Roman" w:hAnsi="Times New Roman" w:cs="Times New Roman"/>
                <w:color w:val="auto"/>
                <w:highlight w:val="none"/>
                <w:lang w:val="en-US" w:eastAsia="zh-CN"/>
              </w:rPr>
              <w:t>循环</w:t>
            </w:r>
            <w:r>
              <w:rPr>
                <w:rFonts w:hint="eastAsia" w:cs="Times New Roman"/>
                <w:color w:val="auto"/>
                <w:highlight w:val="none"/>
                <w:lang w:val="en-US" w:eastAsia="zh-CN"/>
              </w:rPr>
              <w:t>使用，不外排</w:t>
            </w:r>
            <w:r>
              <w:rPr>
                <w:rFonts w:hint="eastAsia" w:ascii="Times New Roman" w:hAnsi="Times New Roman" w:cs="Times New Roman"/>
                <w:color w:val="auto"/>
                <w:highlight w:val="none"/>
                <w:lang w:val="en-US" w:eastAsia="zh-CN"/>
              </w:rPr>
              <w:t>。</w:t>
            </w:r>
          </w:p>
          <w:p w14:paraId="58D81422">
            <w:pPr>
              <w:adjustRightInd w:val="0"/>
              <w:ind w:firstLine="480" w:firstLineChars="200"/>
              <w:rPr>
                <w:rFonts w:hint="default"/>
                <w:color w:val="auto"/>
                <w:highlight w:val="none"/>
                <w:lang w:val="en-US" w:eastAsia="zh-CN"/>
              </w:rPr>
            </w:pPr>
            <w:r>
              <w:rPr>
                <w:rFonts w:hint="eastAsia"/>
                <w:color w:val="auto"/>
                <w:highlight w:val="none"/>
                <w:lang w:val="en-US" w:eastAsia="zh-CN"/>
              </w:rPr>
              <w:t>项目循环水系统年循环水量为 84480 m³，切割用水、注塑冷却水分别配套设置旁流过滤装置，采用旁流石英砂过滤 + 阻垢缓蚀杀菌+RO反渗透处理工艺，投加阻垢剂、缓蚀剂、杀菌剂，控制浓缩倍数 3～5，石英砂过滤去除水中悬浮物、泥沙等杂质，保证水质清澈；阻垢缓蚀杀菌防止设备结垢、腐蚀并抑制菌藻滋生。RO反渗透可去除水中盐分、钙、镁硬度离子，提高浓缩倍数、减少排污，三者配合实现循环水稳定闭路循环，确保循环水水质满足《工业循环冷却水处理设计规范》（GB/T 50050）要求，保障系统长期稳定闭路循环运行。定期对废滤料进行更换，旁滤反冲洗废水全部回用于循环水系统补水，不外排。</w:t>
            </w:r>
          </w:p>
          <w:p w14:paraId="3BDDCFC1">
            <w:pPr>
              <w:pStyle w:val="16"/>
              <w:spacing w:line="240" w:lineRule="auto"/>
              <w:rPr>
                <w:rFonts w:hint="default" w:cs="Times New Roman"/>
                <w:b/>
                <w:bCs/>
                <w:color w:val="auto"/>
                <w:sz w:val="21"/>
                <w:szCs w:val="21"/>
                <w:highlight w:val="none"/>
                <w:lang w:val="en-US" w:eastAsia="zh-CN"/>
              </w:rPr>
            </w:pPr>
            <w:r>
              <w:rPr>
                <w:rFonts w:hint="eastAsia" w:ascii="Times New Roman" w:hAnsi="Times New Roman" w:eastAsia="宋体" w:cs="Times New Roman"/>
                <w:color w:val="auto"/>
                <w:highlight w:val="none"/>
                <w:lang w:eastAsia="zh-CN"/>
              </w:rPr>
              <w:object>
                <v:shape id="_x0000_i1025" o:spt="75" type="#_x0000_t75" style="height:409.75pt;width:392.55pt;" o:ole="t" filled="f" o:preferrelative="t" stroked="f" coordsize="21600,21600">
                  <v:path/>
                  <v:fill on="f" focussize="0,0"/>
                  <v:stroke on="f"/>
                  <v:imagedata r:id="rId20" o:title=""/>
                  <o:lock v:ext="edit" aspectratio="t"/>
                  <w10:wrap type="none"/>
                  <w10:anchorlock/>
                </v:shape>
                <o:OLEObject Type="Embed" ProgID="Visio.Drawing.11" ShapeID="_x0000_i1025" DrawAspect="Content" ObjectID="_1468075725" r:id="rId19">
                  <o:LockedField>false</o:LockedField>
                </o:OLEObject>
              </w:object>
            </w:r>
            <w:r>
              <w:rPr>
                <w:rFonts w:hint="eastAsia" w:cs="Times New Roman"/>
                <w:b/>
                <w:bCs/>
                <w:color w:val="auto"/>
                <w:sz w:val="21"/>
                <w:szCs w:val="21"/>
                <w:highlight w:val="none"/>
                <w:lang w:val="en-US" w:eastAsia="zh-CN"/>
              </w:rPr>
              <w:t xml:space="preserve">图2-1 项目用水平衡图 </w:t>
            </w:r>
          </w:p>
          <w:p w14:paraId="128E4D93">
            <w:pPr>
              <w:pStyle w:val="16"/>
              <w:spacing w:line="240" w:lineRule="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15</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项目</w:t>
            </w:r>
            <w:r>
              <w:rPr>
                <w:rFonts w:hint="default" w:ascii="Times New Roman" w:hAnsi="Times New Roman" w:cs="Times New Roman"/>
                <w:b/>
                <w:bCs/>
                <w:color w:val="auto"/>
                <w:sz w:val="21"/>
                <w:szCs w:val="21"/>
                <w:highlight w:val="none"/>
              </w:rPr>
              <w:t>用量</w:t>
            </w:r>
            <w:r>
              <w:rPr>
                <w:rFonts w:hint="default" w:ascii="Times New Roman" w:hAnsi="Times New Roman" w:cs="Times New Roman"/>
                <w:b/>
                <w:bCs/>
                <w:color w:val="auto"/>
                <w:sz w:val="21"/>
                <w:szCs w:val="21"/>
                <w:highlight w:val="none"/>
                <w:lang w:val="en-US" w:eastAsia="zh-CN"/>
              </w:rPr>
              <w:t>情况</w:t>
            </w:r>
            <w:r>
              <w:rPr>
                <w:rFonts w:hint="default" w:ascii="Times New Roman" w:hAnsi="Times New Roman" w:cs="Times New Roman"/>
                <w:b/>
                <w:bCs/>
                <w:color w:val="auto"/>
                <w:sz w:val="21"/>
                <w:szCs w:val="21"/>
                <w:highlight w:val="none"/>
              </w:rPr>
              <w:t>一览表</w:t>
            </w:r>
            <w:r>
              <w:rPr>
                <w:rFonts w:hint="default" w:ascii="Times New Roman" w:hAnsi="Times New Roman" w:cs="Times New Roman"/>
                <w:b/>
                <w:bCs/>
                <w:color w:val="auto"/>
                <w:sz w:val="21"/>
                <w:szCs w:val="21"/>
                <w:highlight w:val="none"/>
                <w:lang w:val="en-US" w:eastAsia="zh-CN"/>
              </w:rPr>
              <w:t xml:space="preserve">  单位：t/a</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68" w:type="dxa"/>
                <w:bottom w:w="0" w:type="dxa"/>
                <w:right w:w="68" w:type="dxa"/>
              </w:tblCellMar>
            </w:tblPr>
            <w:tblGrid>
              <w:gridCol w:w="1280"/>
              <w:gridCol w:w="940"/>
              <w:gridCol w:w="831"/>
              <w:gridCol w:w="1037"/>
              <w:gridCol w:w="872"/>
              <w:gridCol w:w="805"/>
              <w:gridCol w:w="2080"/>
            </w:tblGrid>
            <w:tr w14:paraId="6D9307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6C898DEE">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用水情形</w:t>
                  </w:r>
                </w:p>
              </w:tc>
              <w:tc>
                <w:tcPr>
                  <w:tcW w:w="599" w:type="pct"/>
                  <w:vAlign w:val="center"/>
                </w:tcPr>
                <w:p w14:paraId="0735A05B">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新鲜水</w:t>
                  </w:r>
                </w:p>
              </w:tc>
              <w:tc>
                <w:tcPr>
                  <w:tcW w:w="529" w:type="pct"/>
                  <w:vAlign w:val="center"/>
                </w:tcPr>
                <w:p w14:paraId="41A57A2D">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损耗量</w:t>
                  </w:r>
                </w:p>
              </w:tc>
              <w:tc>
                <w:tcPr>
                  <w:tcW w:w="660" w:type="pct"/>
                  <w:vAlign w:val="center"/>
                </w:tcPr>
                <w:p w14:paraId="704B3377">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循环水量</w:t>
                  </w:r>
                </w:p>
              </w:tc>
              <w:tc>
                <w:tcPr>
                  <w:tcW w:w="555" w:type="pct"/>
                  <w:vAlign w:val="center"/>
                </w:tcPr>
                <w:p w14:paraId="05CFA1FF">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产生量</w:t>
                  </w:r>
                </w:p>
              </w:tc>
              <w:tc>
                <w:tcPr>
                  <w:tcW w:w="513" w:type="pct"/>
                  <w:vAlign w:val="center"/>
                </w:tcPr>
                <w:p w14:paraId="51217F7F">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排放量</w:t>
                  </w:r>
                </w:p>
              </w:tc>
              <w:tc>
                <w:tcPr>
                  <w:tcW w:w="1325" w:type="pct"/>
                  <w:vAlign w:val="center"/>
                </w:tcPr>
                <w:p w14:paraId="763C0653">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21825A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304197AB">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喷淋用水</w:t>
                  </w:r>
                </w:p>
              </w:tc>
              <w:tc>
                <w:tcPr>
                  <w:tcW w:w="599" w:type="pct"/>
                  <w:shd w:val="clear" w:color="auto" w:fill="auto"/>
                  <w:vAlign w:val="center"/>
                </w:tcPr>
                <w:p w14:paraId="407431F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2288</w:t>
                  </w:r>
                </w:p>
              </w:tc>
              <w:tc>
                <w:tcPr>
                  <w:tcW w:w="529" w:type="pct"/>
                  <w:shd w:val="clear" w:color="auto" w:fill="auto"/>
                  <w:vAlign w:val="center"/>
                </w:tcPr>
                <w:p w14:paraId="2AB9EF6A">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2112</w:t>
                  </w:r>
                </w:p>
              </w:tc>
              <w:tc>
                <w:tcPr>
                  <w:tcW w:w="660" w:type="pct"/>
                  <w:shd w:val="clear" w:color="auto" w:fill="auto"/>
                  <w:vAlign w:val="center"/>
                </w:tcPr>
                <w:p w14:paraId="1FF10F5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211200</w:t>
                  </w:r>
                </w:p>
              </w:tc>
              <w:tc>
                <w:tcPr>
                  <w:tcW w:w="555" w:type="pct"/>
                  <w:shd w:val="clear" w:color="auto" w:fill="auto"/>
                  <w:vAlign w:val="center"/>
                </w:tcPr>
                <w:p w14:paraId="390782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176</w:t>
                  </w:r>
                </w:p>
              </w:tc>
              <w:tc>
                <w:tcPr>
                  <w:tcW w:w="513" w:type="pct"/>
                  <w:shd w:val="clear" w:color="auto" w:fill="auto"/>
                  <w:vAlign w:val="center"/>
                </w:tcPr>
                <w:p w14:paraId="4878905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325" w:type="pct"/>
                  <w:vAlign w:val="center"/>
                </w:tcPr>
                <w:p w14:paraId="748C00F1">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喷淋水箱内部循环，176t/a做危废转运处理，其余为蒸发损耗，定期补充损耗，不外排</w:t>
                  </w:r>
                </w:p>
              </w:tc>
            </w:tr>
            <w:tr w14:paraId="529DB0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0EC0E9A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切割</w:t>
                  </w:r>
                  <w:r>
                    <w:rPr>
                      <w:rFonts w:hint="eastAsia" w:cs="Times New Roman"/>
                      <w:color w:val="auto"/>
                      <w:sz w:val="21"/>
                      <w:szCs w:val="21"/>
                      <w:highlight w:val="none"/>
                      <w:lang w:val="en-US" w:eastAsia="zh-CN"/>
                    </w:rPr>
                    <w:t>用</w:t>
                  </w:r>
                  <w:r>
                    <w:rPr>
                      <w:rFonts w:hint="default" w:ascii="Times New Roman" w:hAnsi="Times New Roman" w:cs="Times New Roman"/>
                      <w:color w:val="auto"/>
                      <w:sz w:val="21"/>
                      <w:szCs w:val="21"/>
                      <w:highlight w:val="none"/>
                      <w:lang w:val="en-US" w:eastAsia="zh-CN"/>
                    </w:rPr>
                    <w:t>水</w:t>
                  </w:r>
                </w:p>
              </w:tc>
              <w:tc>
                <w:tcPr>
                  <w:tcW w:w="599" w:type="pct"/>
                  <w:vAlign w:val="center"/>
                </w:tcPr>
                <w:p w14:paraId="3056D1F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529" w:type="pct"/>
                  <w:vAlign w:val="center"/>
                </w:tcPr>
                <w:p w14:paraId="5BB747A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660" w:type="pct"/>
                  <w:vAlign w:val="center"/>
                </w:tcPr>
                <w:p w14:paraId="6AB2F6F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12480</w:t>
                  </w:r>
                </w:p>
              </w:tc>
              <w:tc>
                <w:tcPr>
                  <w:tcW w:w="555" w:type="pct"/>
                  <w:vAlign w:val="center"/>
                </w:tcPr>
                <w:p w14:paraId="4D47197A">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vAlign w:val="center"/>
                </w:tcPr>
                <w:p w14:paraId="265C27D8">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vMerge w:val="restart"/>
                  <w:vAlign w:val="center"/>
                </w:tcPr>
                <w:p w14:paraId="4CD21300">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设旁流过滤装置，循环使用，定期补充损耗，不外排</w:t>
                  </w:r>
                </w:p>
              </w:tc>
            </w:tr>
            <w:tr w14:paraId="449085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0129B385">
                  <w:pPr>
                    <w:pStyle w:val="6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冷却用水</w:t>
                  </w:r>
                </w:p>
              </w:tc>
              <w:tc>
                <w:tcPr>
                  <w:tcW w:w="599" w:type="pct"/>
                  <w:vAlign w:val="center"/>
                </w:tcPr>
                <w:p w14:paraId="5EA4E79E">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529" w:type="pct"/>
                  <w:vAlign w:val="center"/>
                </w:tcPr>
                <w:p w14:paraId="15CBE1BE">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660" w:type="pct"/>
                  <w:vAlign w:val="center"/>
                </w:tcPr>
                <w:p w14:paraId="2D1C81AF">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72000</w:t>
                  </w:r>
                </w:p>
              </w:tc>
              <w:tc>
                <w:tcPr>
                  <w:tcW w:w="555" w:type="pct"/>
                  <w:vAlign w:val="center"/>
                </w:tcPr>
                <w:p w14:paraId="3E308CE0">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vAlign w:val="center"/>
                </w:tcPr>
                <w:p w14:paraId="787E05B1">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vMerge w:val="continue"/>
                  <w:vAlign w:val="center"/>
                </w:tcPr>
                <w:p w14:paraId="1D2A6C6F">
                  <w:pPr>
                    <w:spacing w:line="240" w:lineRule="auto"/>
                    <w:jc w:val="center"/>
                    <w:rPr>
                      <w:rFonts w:hint="eastAsia" w:cs="Times New Roman"/>
                      <w:color w:val="auto"/>
                      <w:sz w:val="21"/>
                      <w:szCs w:val="21"/>
                      <w:highlight w:val="none"/>
                      <w:lang w:val="en-US" w:eastAsia="zh-CN"/>
                    </w:rPr>
                  </w:pPr>
                </w:p>
              </w:tc>
            </w:tr>
            <w:tr w14:paraId="07FB57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7695FB8A">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水磨抛光用水</w:t>
                  </w:r>
                </w:p>
              </w:tc>
              <w:tc>
                <w:tcPr>
                  <w:tcW w:w="599" w:type="pct"/>
                  <w:shd w:val="clear" w:color="auto" w:fill="auto"/>
                  <w:vAlign w:val="center"/>
                </w:tcPr>
                <w:p w14:paraId="7427AF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96</w:t>
                  </w:r>
                  <w:r>
                    <w:rPr>
                      <w:rFonts w:hint="eastAsia" w:cs="Times New Roman"/>
                      <w:i w:val="0"/>
                      <w:iCs w:val="0"/>
                      <w:color w:val="auto"/>
                      <w:kern w:val="0"/>
                      <w:sz w:val="21"/>
                      <w:szCs w:val="21"/>
                      <w:highlight w:val="none"/>
                      <w:u w:val="none"/>
                      <w:lang w:val="en-US" w:eastAsia="zh-CN"/>
                    </w:rPr>
                    <w:t>.036</w:t>
                  </w:r>
                </w:p>
              </w:tc>
              <w:tc>
                <w:tcPr>
                  <w:tcW w:w="529" w:type="pct"/>
                  <w:shd w:val="clear" w:color="auto" w:fill="auto"/>
                  <w:vAlign w:val="center"/>
                </w:tcPr>
                <w:p w14:paraId="41037094">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660" w:type="pct"/>
                  <w:shd w:val="clear" w:color="auto" w:fill="auto"/>
                  <w:vAlign w:val="center"/>
                </w:tcPr>
                <w:p w14:paraId="50B41E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19200</w:t>
                  </w:r>
                </w:p>
              </w:tc>
              <w:tc>
                <w:tcPr>
                  <w:tcW w:w="555" w:type="pct"/>
                  <w:shd w:val="clear" w:color="auto" w:fill="auto"/>
                  <w:vAlign w:val="center"/>
                </w:tcPr>
                <w:p w14:paraId="724DBAED">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shd w:val="clear" w:color="auto" w:fill="auto"/>
                  <w:vAlign w:val="center"/>
                </w:tcPr>
                <w:p w14:paraId="4074ADE0">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shd w:val="clear" w:color="auto" w:fill="auto"/>
                  <w:vAlign w:val="center"/>
                </w:tcPr>
                <w:p w14:paraId="27F8067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设沉淀池定期捞渣，</w:t>
                  </w:r>
                  <w:r>
                    <w:rPr>
                      <w:rFonts w:hint="eastAsia" w:cs="Times New Roman"/>
                      <w:color w:val="auto"/>
                      <w:sz w:val="21"/>
                      <w:szCs w:val="21"/>
                      <w:highlight w:val="none"/>
                      <w:lang w:val="en-US" w:eastAsia="zh-CN"/>
                    </w:rPr>
                    <w:t>定期补充水损耗，不外排</w:t>
                  </w:r>
                </w:p>
              </w:tc>
            </w:tr>
            <w:tr w14:paraId="34072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47A1873F">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生活用水</w:t>
                  </w:r>
                </w:p>
              </w:tc>
              <w:tc>
                <w:tcPr>
                  <w:tcW w:w="599" w:type="pct"/>
                  <w:shd w:val="clear" w:color="auto" w:fill="auto"/>
                  <w:vAlign w:val="center"/>
                </w:tcPr>
                <w:p w14:paraId="2D7C5FBF">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1330</w:t>
                  </w:r>
                </w:p>
              </w:tc>
              <w:tc>
                <w:tcPr>
                  <w:tcW w:w="529" w:type="pct"/>
                  <w:shd w:val="clear" w:color="auto" w:fill="auto"/>
                  <w:vAlign w:val="center"/>
                </w:tcPr>
                <w:p w14:paraId="39F7F809">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133</w:t>
                  </w:r>
                </w:p>
              </w:tc>
              <w:tc>
                <w:tcPr>
                  <w:tcW w:w="660" w:type="pct"/>
                  <w:shd w:val="clear" w:color="auto" w:fill="auto"/>
                  <w:vAlign w:val="center"/>
                </w:tcPr>
                <w:p w14:paraId="5A547A1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555" w:type="pct"/>
                  <w:shd w:val="clear" w:color="auto" w:fill="auto"/>
                  <w:vAlign w:val="center"/>
                </w:tcPr>
                <w:p w14:paraId="00F6BA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1197</w:t>
                  </w:r>
                </w:p>
              </w:tc>
              <w:tc>
                <w:tcPr>
                  <w:tcW w:w="513" w:type="pct"/>
                  <w:shd w:val="clear" w:color="auto" w:fill="auto"/>
                  <w:vAlign w:val="center"/>
                </w:tcPr>
                <w:p w14:paraId="3CC4E7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1197</w:t>
                  </w:r>
                </w:p>
              </w:tc>
              <w:tc>
                <w:tcPr>
                  <w:tcW w:w="1325" w:type="pct"/>
                  <w:vAlign w:val="center"/>
                </w:tcPr>
                <w:p w14:paraId="3EFA57C0">
                  <w:pPr>
                    <w:spacing w:line="240" w:lineRule="auto"/>
                    <w:jc w:val="center"/>
                    <w:rPr>
                      <w:rFonts w:hint="eastAsia"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三级化粪池处理→园区污水处理厂→武江</w:t>
                  </w:r>
                </w:p>
              </w:tc>
            </w:tr>
            <w:tr w14:paraId="0A727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658E3DDE">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合计</w:t>
                  </w:r>
                </w:p>
              </w:tc>
              <w:tc>
                <w:tcPr>
                  <w:tcW w:w="599" w:type="pct"/>
                  <w:vAlign w:val="center"/>
                </w:tcPr>
                <w:p w14:paraId="0E7D850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4795.</w:t>
                  </w:r>
                  <w:r>
                    <w:rPr>
                      <w:rFonts w:hint="eastAsia" w:cs="Times New Roman"/>
                      <w:i w:val="0"/>
                      <w:iCs w:val="0"/>
                      <w:color w:val="auto"/>
                      <w:kern w:val="0"/>
                      <w:sz w:val="21"/>
                      <w:szCs w:val="21"/>
                      <w:highlight w:val="none"/>
                      <w:u w:val="none"/>
                      <w:lang w:val="en-US" w:eastAsia="zh-CN" w:bidi="ar"/>
                    </w:rPr>
                    <w:t>336</w:t>
                  </w:r>
                </w:p>
              </w:tc>
              <w:tc>
                <w:tcPr>
                  <w:tcW w:w="529" w:type="pct"/>
                  <w:vAlign w:val="center"/>
                </w:tcPr>
                <w:p w14:paraId="1FC6799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3422.</w:t>
                  </w:r>
                  <w:r>
                    <w:rPr>
                      <w:rFonts w:hint="eastAsia" w:cs="Times New Roman"/>
                      <w:i w:val="0"/>
                      <w:iCs w:val="0"/>
                      <w:color w:val="auto"/>
                      <w:kern w:val="0"/>
                      <w:sz w:val="21"/>
                      <w:szCs w:val="21"/>
                      <w:highlight w:val="none"/>
                      <w:u w:val="none"/>
                      <w:lang w:val="en-US" w:eastAsia="zh-CN" w:bidi="ar"/>
                    </w:rPr>
                    <w:t>3</w:t>
                  </w:r>
                </w:p>
              </w:tc>
              <w:tc>
                <w:tcPr>
                  <w:tcW w:w="660" w:type="pct"/>
                  <w:vAlign w:val="center"/>
                </w:tcPr>
                <w:p w14:paraId="1515A9E7">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314880</w:t>
                  </w:r>
                </w:p>
              </w:tc>
              <w:tc>
                <w:tcPr>
                  <w:tcW w:w="555" w:type="pct"/>
                  <w:shd w:val="clear" w:color="auto" w:fill="auto"/>
                  <w:vAlign w:val="center"/>
                </w:tcPr>
                <w:p w14:paraId="69CED732">
                  <w:pPr>
                    <w:keepNext w:val="0"/>
                    <w:keepLines w:val="0"/>
                    <w:widowControl/>
                    <w:suppressLineNumbers w:val="0"/>
                    <w:jc w:val="righ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cs="Times New Roman"/>
                      <w:i w:val="0"/>
                      <w:iCs w:val="0"/>
                      <w:color w:val="auto"/>
                      <w:kern w:val="0"/>
                      <w:sz w:val="21"/>
                      <w:szCs w:val="21"/>
                      <w:highlight w:val="none"/>
                      <w:u w:val="none"/>
                      <w:lang w:val="en-US" w:eastAsia="zh-CN" w:bidi="ar"/>
                    </w:rPr>
                    <w:t>373</w:t>
                  </w:r>
                </w:p>
              </w:tc>
              <w:tc>
                <w:tcPr>
                  <w:tcW w:w="513" w:type="pct"/>
                  <w:vAlign w:val="center"/>
                </w:tcPr>
                <w:p w14:paraId="4E505600">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c>
                <w:tcPr>
                  <w:tcW w:w="1325" w:type="pct"/>
                  <w:shd w:val="clear" w:color="auto" w:fill="auto"/>
                  <w:vAlign w:val="center"/>
                </w:tcPr>
                <w:p w14:paraId="1DE31EF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bl>
          <w:p w14:paraId="67AC4988">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（4）通风系统</w:t>
            </w:r>
          </w:p>
          <w:p w14:paraId="0DAE5215">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13C52D44">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729D1CBE">
            <w:pPr>
              <w:pStyle w:val="20"/>
              <w:numPr>
                <w:ilvl w:val="3"/>
                <w:numId w:val="0"/>
              </w:numPr>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w:t>
            </w:r>
            <w:r>
              <w:rPr>
                <w:rFonts w:hint="eastAsia" w:cs="Times New Roman"/>
                <w:color w:val="auto"/>
                <w:highlight w:val="none"/>
                <w:lang w:eastAsia="zh-CN"/>
              </w:rPr>
              <w:t>理性</w:t>
            </w:r>
            <w:r>
              <w:rPr>
                <w:rFonts w:hint="default" w:ascii="Times New Roman" w:hAnsi="Times New Roman" w:cs="Times New Roman"/>
                <w:color w:val="auto"/>
                <w:highlight w:val="none"/>
              </w:rPr>
              <w:t>、合法性分析</w:t>
            </w:r>
          </w:p>
          <w:p w14:paraId="62942822">
            <w:pPr>
              <w:pStyle w:val="20"/>
              <w:numPr>
                <w:ilvl w:val="3"/>
                <w:numId w:val="0"/>
              </w:numPr>
              <w:ind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建设单位拟于韶关市乐昌市乐昌产业转移工业园建设路1号进行生产，根据中华人民共和国不动产权证书（详见附件3）可知，项目用地用途为工业用地。</w:t>
            </w:r>
          </w:p>
          <w:p w14:paraId="0A1F0966">
            <w:pPr>
              <w:pStyle w:val="20"/>
              <w:numPr>
                <w:ilvl w:val="3"/>
                <w:numId w:val="0"/>
              </w:numPr>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74B6DB3C">
            <w:pPr>
              <w:adjustRightInd w:val="0"/>
              <w:ind w:firstLine="480" w:firstLineChars="200"/>
              <w:rPr>
                <w:rFonts w:hint="default" w:ascii="Times New Roman" w:hAnsi="Times New Roman" w:cs="Times New Roman"/>
                <w:color w:val="auto"/>
                <w:highlight w:val="none"/>
              </w:rPr>
            </w:pPr>
            <w:bookmarkStart w:id="19" w:name="_Toc21623"/>
            <w:bookmarkStart w:id="20" w:name="_Toc15878"/>
            <w:r>
              <w:rPr>
                <w:rFonts w:hint="default" w:ascii="Times New Roman" w:hAnsi="Times New Roman" w:cs="Times New Roman"/>
                <w:bCs/>
                <w:color w:val="auto"/>
                <w:highlight w:val="none"/>
              </w:rPr>
              <w:t>本项目东面为</w:t>
            </w:r>
            <w:r>
              <w:rPr>
                <w:rFonts w:hint="default" w:ascii="Times New Roman" w:hAnsi="Times New Roman" w:cs="Times New Roman"/>
                <w:bCs/>
                <w:color w:val="auto"/>
                <w:highlight w:val="none"/>
                <w:lang w:val="en-US" w:eastAsia="zh-CN"/>
              </w:rPr>
              <w:t>园区道路</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南面为</w:t>
            </w:r>
            <w:r>
              <w:rPr>
                <w:rFonts w:hint="default" w:ascii="Times New Roman" w:hAnsi="Times New Roman" w:cs="Times New Roman"/>
                <w:bCs/>
                <w:color w:val="auto"/>
                <w:highlight w:val="none"/>
                <w:lang w:val="en-US" w:eastAsia="zh-CN"/>
              </w:rPr>
              <w:t>广东冠益灯饰有限公司和三和磁石，</w:t>
            </w:r>
            <w:r>
              <w:rPr>
                <w:rFonts w:hint="default" w:ascii="Times New Roman" w:hAnsi="Times New Roman" w:cs="Times New Roman"/>
                <w:bCs/>
                <w:color w:val="auto"/>
                <w:highlight w:val="none"/>
              </w:rPr>
              <w:t>西面</w:t>
            </w:r>
            <w:r>
              <w:rPr>
                <w:rFonts w:hint="default" w:ascii="Times New Roman" w:hAnsi="Times New Roman" w:cs="Times New Roman"/>
                <w:bCs/>
                <w:color w:val="auto"/>
                <w:highlight w:val="none"/>
                <w:lang w:val="en-US" w:eastAsia="zh-CN"/>
              </w:rPr>
              <w:t>为碧红自动化（广东）有限责任公司和同向（乐昌）精密机械有限公司）</w:t>
            </w:r>
            <w:r>
              <w:rPr>
                <w:rFonts w:hint="default" w:ascii="Times New Roman" w:hAnsi="Times New Roman" w:cs="Times New Roman"/>
                <w:bCs/>
                <w:color w:val="auto"/>
                <w:highlight w:val="none"/>
              </w:rPr>
              <w:t>，本项目最近的环境保护目标为厂界东</w:t>
            </w:r>
            <w:r>
              <w:rPr>
                <w:rFonts w:hint="eastAsia" w:cs="Times New Roman"/>
                <w:bCs/>
                <w:color w:val="auto"/>
                <w:highlight w:val="none"/>
                <w:lang w:val="en-US" w:eastAsia="zh-CN"/>
              </w:rPr>
              <w:t>北</w:t>
            </w:r>
            <w:r>
              <w:rPr>
                <w:rFonts w:hint="default" w:ascii="Times New Roman" w:hAnsi="Times New Roman" w:cs="Times New Roman"/>
                <w:bCs/>
                <w:color w:val="auto"/>
                <w:highlight w:val="none"/>
              </w:rPr>
              <w:t>侧</w:t>
            </w:r>
            <w:r>
              <w:rPr>
                <w:rFonts w:hint="default" w:ascii="Times New Roman" w:hAnsi="Times New Roman" w:cs="Times New Roman"/>
                <w:bCs/>
                <w:color w:val="auto"/>
                <w:highlight w:val="none"/>
                <w:lang w:val="en-US" w:eastAsia="zh-CN"/>
              </w:rPr>
              <w:t>194</w:t>
            </w:r>
            <w:r>
              <w:rPr>
                <w:rFonts w:hint="default" w:ascii="Times New Roman" w:hAnsi="Times New Roman" w:cs="Times New Roman"/>
                <w:bCs/>
                <w:color w:val="auto"/>
                <w:highlight w:val="none"/>
              </w:rPr>
              <w:t>m的</w:t>
            </w:r>
            <w:r>
              <w:rPr>
                <w:rFonts w:hint="default" w:ascii="Times New Roman" w:hAnsi="Times New Roman" w:cs="Times New Roman"/>
                <w:bCs/>
                <w:color w:val="auto"/>
                <w:highlight w:val="none"/>
                <w:lang w:val="en-US" w:eastAsia="zh-CN"/>
              </w:rPr>
              <w:t>付村</w:t>
            </w:r>
            <w:r>
              <w:rPr>
                <w:rFonts w:hint="default" w:ascii="Times New Roman" w:hAnsi="Times New Roman" w:cs="Times New Roman"/>
                <w:bCs/>
                <w:color w:val="auto"/>
                <w:highlight w:val="none"/>
              </w:rPr>
              <w:t>，项目边界周围500m范围内无学校、医院、文物古迹、风景名胜区、自然保护区、水源保护区</w:t>
            </w:r>
            <w:r>
              <w:rPr>
                <w:rFonts w:hint="default" w:ascii="Times New Roman" w:hAnsi="Times New Roman" w:cs="Times New Roman"/>
                <w:color w:val="auto"/>
                <w:highlight w:val="none"/>
              </w:rPr>
              <w:t>。</w:t>
            </w:r>
            <w:bookmarkEnd w:id="19"/>
            <w:bookmarkEnd w:id="20"/>
          </w:p>
          <w:p w14:paraId="3E9F986B">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11550B92">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本项目由生产车间（1#~4#车间）、综合楼建筑物组成，各区用途分明，布局紧凑，原料统一存放，便于物料的管理和风险控制，该区域地面设置防渗层，防止泄漏时下渗，防止污染土壤和地下水；废气排气筒DA001设置在1#车间</w:t>
            </w:r>
            <w:r>
              <w:rPr>
                <w:rFonts w:hint="eastAsia" w:cs="Times New Roman"/>
                <w:b w:val="0"/>
                <w:bCs w:val="0"/>
                <w:color w:val="auto"/>
                <w:highlight w:val="none"/>
                <w:lang w:val="en-US" w:eastAsia="zh-CN"/>
              </w:rPr>
              <w:t>西</w:t>
            </w:r>
            <w:r>
              <w:rPr>
                <w:rFonts w:hint="default" w:ascii="Times New Roman" w:hAnsi="Times New Roman" w:cs="Times New Roman"/>
                <w:b w:val="0"/>
                <w:bCs w:val="0"/>
                <w:color w:val="auto"/>
                <w:highlight w:val="none"/>
              </w:rPr>
              <w:t>侧，</w:t>
            </w:r>
            <w:r>
              <w:rPr>
                <w:rFonts w:hint="eastAsia" w:cs="Times New Roman"/>
                <w:b w:val="0"/>
                <w:bCs w:val="0"/>
                <w:color w:val="auto"/>
                <w:highlight w:val="none"/>
                <w:lang w:val="en-US" w:eastAsia="zh-CN"/>
              </w:rPr>
              <w:t>远离</w:t>
            </w:r>
            <w:r>
              <w:rPr>
                <w:rFonts w:hint="default" w:ascii="Times New Roman" w:hAnsi="Times New Roman" w:cs="Times New Roman"/>
                <w:b w:val="0"/>
                <w:bCs w:val="0"/>
                <w:color w:val="auto"/>
                <w:highlight w:val="none"/>
              </w:rPr>
              <w:t>最近的环境保护目标</w:t>
            </w:r>
            <w:r>
              <w:rPr>
                <w:rFonts w:hint="default" w:ascii="Times New Roman" w:hAnsi="Times New Roman" w:cs="Times New Roman"/>
                <w:b w:val="0"/>
                <w:bCs w:val="0"/>
                <w:color w:val="auto"/>
                <w:highlight w:val="none"/>
                <w:lang w:val="en-US" w:eastAsia="zh-CN"/>
              </w:rPr>
              <w:t>付村</w:t>
            </w:r>
            <w:r>
              <w:rPr>
                <w:rFonts w:hint="eastAsia" w:cs="Times New Roman"/>
                <w:b w:val="0"/>
                <w:bCs w:val="0"/>
                <w:color w:val="auto"/>
                <w:highlight w:val="none"/>
                <w:lang w:val="en-US" w:eastAsia="zh-CN"/>
              </w:rPr>
              <w:t>布置</w:t>
            </w:r>
            <w:r>
              <w:rPr>
                <w:rFonts w:hint="default" w:ascii="Times New Roman" w:hAnsi="Times New Roman" w:cs="Times New Roman"/>
                <w:b w:val="0"/>
                <w:bCs w:val="0"/>
                <w:color w:val="auto"/>
                <w:highlight w:val="none"/>
              </w:rPr>
              <w:t>。本项目四周以工业性质企业、建设用地为主，因此本项目建设能与周边环境协调一致，项目四至情况卫星图见附图2，周边环境现状实景见附图1</w:t>
            </w:r>
            <w:r>
              <w:rPr>
                <w:rFonts w:hint="eastAsia" w:cs="Times New Roman"/>
                <w:b w:val="0"/>
                <w:bCs w:val="0"/>
                <w:color w:val="auto"/>
                <w:highlight w:val="none"/>
                <w:lang w:val="en-US" w:eastAsia="zh-CN"/>
              </w:rPr>
              <w:t>5</w:t>
            </w:r>
            <w:r>
              <w:rPr>
                <w:rFonts w:hint="default" w:ascii="Times New Roman" w:hAnsi="Times New Roman" w:cs="Times New Roman"/>
                <w:b w:val="0"/>
                <w:bCs w:val="0"/>
                <w:color w:val="auto"/>
                <w:highlight w:val="none"/>
              </w:rPr>
              <w:t>。</w:t>
            </w:r>
          </w:p>
        </w:tc>
      </w:tr>
      <w:tr w14:paraId="276D6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66" w:type="pct"/>
            <w:vAlign w:val="center"/>
          </w:tcPr>
          <w:p w14:paraId="72393AB5">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21" w:name="_Toc29759"/>
            <w:bookmarkStart w:id="22" w:name="_Toc14179"/>
            <w:bookmarkStart w:id="23" w:name="_Toc25729"/>
            <w:bookmarkStart w:id="24" w:name="_Toc7091"/>
            <w:bookmarkStart w:id="25" w:name="_Toc22477"/>
            <w:r>
              <w:rPr>
                <w:rFonts w:hint="default" w:ascii="Times New Roman" w:hAnsi="Times New Roman" w:cs="Times New Roman"/>
                <w:color w:val="auto"/>
                <w:highlight w:val="none"/>
              </w:rPr>
              <w:t>工艺流程和产排污环节</w:t>
            </w:r>
            <w:bookmarkEnd w:id="21"/>
            <w:bookmarkEnd w:id="22"/>
            <w:bookmarkEnd w:id="23"/>
            <w:bookmarkEnd w:id="24"/>
            <w:bookmarkEnd w:id="25"/>
          </w:p>
        </w:tc>
        <w:tc>
          <w:tcPr>
            <w:tcW w:w="4733" w:type="pct"/>
          </w:tcPr>
          <w:p w14:paraId="5C5F71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b/>
                <w:bCs w:val="0"/>
                <w:color w:val="auto"/>
                <w:sz w:val="24"/>
                <w:szCs w:val="24"/>
                <w:highlight w:val="none"/>
                <w:lang w:eastAsia="zh-CN"/>
              </w:rPr>
              <w:t>一、</w:t>
            </w:r>
            <w:r>
              <w:rPr>
                <w:rFonts w:hint="default" w:ascii="Times New Roman" w:hAnsi="Times New Roman" w:eastAsia="宋体" w:cs="Times New Roman"/>
                <w:b/>
                <w:bCs w:val="0"/>
                <w:color w:val="auto"/>
                <w:sz w:val="24"/>
                <w:szCs w:val="24"/>
                <w:highlight w:val="none"/>
                <w:lang w:eastAsia="zh-CN"/>
              </w:rPr>
              <w:t>运营期工艺流程及产污</w:t>
            </w:r>
            <w:r>
              <w:rPr>
                <w:rFonts w:hint="default" w:ascii="Times New Roman" w:hAnsi="Times New Roman" w:cs="Times New Roman"/>
                <w:b/>
                <w:bCs w:val="0"/>
                <w:color w:val="auto"/>
                <w:sz w:val="24"/>
                <w:szCs w:val="24"/>
                <w:highlight w:val="none"/>
                <w:lang w:eastAsia="zh-CN"/>
              </w:rPr>
              <w:t>环节</w:t>
            </w:r>
          </w:p>
          <w:p w14:paraId="400AA83A">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1）玻璃纤维增强塑料制品工艺流程</w:t>
            </w:r>
          </w:p>
          <w:p w14:paraId="5E8A98B0">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2414270</wp:posOffset>
                      </wp:positionH>
                      <wp:positionV relativeFrom="paragraph">
                        <wp:posOffset>2552065</wp:posOffset>
                      </wp:positionV>
                      <wp:extent cx="1376680" cy="373380"/>
                      <wp:effectExtent l="4445" t="4445" r="9525" b="22225"/>
                      <wp:wrapNone/>
                      <wp:docPr id="75" name="文本框 75"/>
                      <wp:cNvGraphicFramePr/>
                      <a:graphic xmlns:a="http://schemas.openxmlformats.org/drawingml/2006/main">
                        <a:graphicData uri="http://schemas.microsoft.com/office/word/2010/wordprocessingShape">
                          <wps:wsp>
                            <wps:cNvSpPr txBox="1"/>
                            <wps:spPr>
                              <a:xfrm>
                                <a:off x="3836035" y="3502025"/>
                                <a:ext cx="1376680" cy="373380"/>
                              </a:xfrm>
                              <a:prstGeom prst="rect">
                                <a:avLst/>
                              </a:prstGeom>
                              <a:solidFill>
                                <a:schemeClr val="lt1"/>
                              </a:solidFill>
                              <a:ln w="6350">
                                <a:solidFill>
                                  <a:schemeClr val="accent2"/>
                                </a:solidFill>
                                <a:prstDash val="dash"/>
                              </a:ln>
                            </wps:spPr>
                            <wps:style>
                              <a:lnRef idx="0">
                                <a:schemeClr val="accent1"/>
                              </a:lnRef>
                              <a:fillRef idx="0">
                                <a:schemeClr val="accent1"/>
                              </a:fillRef>
                              <a:effectRef idx="0">
                                <a:schemeClr val="accent1"/>
                              </a:effectRef>
                              <a:fontRef idx="minor">
                                <a:schemeClr val="dk1"/>
                              </a:fontRef>
                            </wps:style>
                            <wps:txbx>
                              <w:txbxContent>
                                <w:p w14:paraId="2F575185">
                                  <w:pPr>
                                    <w:spacing w:line="240" w:lineRule="auto"/>
                                    <w:jc w:val="center"/>
                                    <w:rPr>
                                      <w:rFonts w:hint="default" w:eastAsia="宋体"/>
                                      <w:b/>
                                      <w:bCs/>
                                      <w:sz w:val="20"/>
                                      <w:szCs w:val="20"/>
                                      <w:lang w:val="en-US" w:eastAsia="zh-CN"/>
                                    </w:rPr>
                                  </w:pPr>
                                  <w:r>
                                    <w:rPr>
                                      <w:rFonts w:hint="eastAsia"/>
                                      <w:b/>
                                      <w:bCs/>
                                      <w:sz w:val="20"/>
                                      <w:szCs w:val="20"/>
                                      <w:lang w:val="en-US" w:eastAsia="zh-CN"/>
                                    </w:rPr>
                                    <w:t>有机废气、苯乙烯、臭气浓度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0.1pt;margin-top:200.95pt;height:29.4pt;width:108.4pt;z-index:251677696;mso-width-relative:page;mso-height-relative:page;" fillcolor="#FFFFFF [3201]" filled="t" stroked="t" coordsize="21600,21600" o:gfxdata="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Eqqnq2wAAAAsBAAAPAAAAAAAAAAEAIAAAACIAAABkcnMvZG93bnJldi54bWxQSwEC&#10;FAAUAAAACACHTuJAea/t8mMCAADOBAAADgAAAAAAAAABACAAAAAqAQAAZHJzL2Uyb0RvYy54bWxQ&#10;SwUGAAAAAAYABgBZAQAA/wUAAAAA&#10;">
                      <v:fill on="t" focussize="0,0"/>
                      <v:stroke weight="0.5pt" color="#C0504D [3205]" joinstyle="round" dashstyle="dash"/>
                      <v:imagedata o:title=""/>
                      <o:lock v:ext="edit" aspectratio="f"/>
                      <v:textbox inset="0mm,0mm,0mm,0mm">
                        <w:txbxContent>
                          <w:p w14:paraId="2F575185">
                            <w:pPr>
                              <w:spacing w:line="240" w:lineRule="auto"/>
                              <w:jc w:val="center"/>
                              <w:rPr>
                                <w:rFonts w:hint="default" w:eastAsia="宋体"/>
                                <w:b/>
                                <w:bCs/>
                                <w:sz w:val="20"/>
                                <w:szCs w:val="20"/>
                                <w:lang w:val="en-US" w:eastAsia="zh-CN"/>
                              </w:rPr>
                            </w:pPr>
                            <w:r>
                              <w:rPr>
                                <w:rFonts w:hint="eastAsia"/>
                                <w:b/>
                                <w:bCs/>
                                <w:sz w:val="20"/>
                                <w:szCs w:val="20"/>
                                <w:lang w:val="en-US" w:eastAsia="zh-CN"/>
                              </w:rPr>
                              <w:t>有机废气、苯乙烯、臭气浓度</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0" distR="0">
                  <wp:extent cx="4982845" cy="4411345"/>
                  <wp:effectExtent l="0" t="0" r="0" b="0"/>
                  <wp:docPr id="1029" name="ECB019B1-382A-4266-B25C-5B523AA43C14-1" descr="C:/Users/12604/AppData/Local/Temp/wps.HtXrahwps"/>
                  <wp:cNvGraphicFramePr/>
                  <a:graphic xmlns:a="http://schemas.openxmlformats.org/drawingml/2006/main">
                    <a:graphicData uri="http://schemas.openxmlformats.org/drawingml/2006/picture">
                      <pic:pic xmlns:pic="http://schemas.openxmlformats.org/drawingml/2006/picture">
                        <pic:nvPicPr>
                          <pic:cNvPr id="1029" name="ECB019B1-382A-4266-B25C-5B523AA43C14-1" descr="C:/Users/12604/AppData/Local/Temp/wps.HtXrahwps"/>
                          <pic:cNvPicPr/>
                        </pic:nvPicPr>
                        <pic:blipFill>
                          <a:blip r:embed="rId21" cstate="print">
                            <a:clrChange>
                              <a:clrFrom>
                                <a:srgbClr val="000000"/>
                              </a:clrFrom>
                              <a:clrTo>
                                <a:srgbClr val="000000">
                                  <a:alpha val="0"/>
                                </a:srgbClr>
                              </a:clrTo>
                            </a:clrChange>
                          </a:blip>
                          <a:srcRect/>
                          <a:stretch>
                            <a:fillRect/>
                          </a:stretch>
                        </pic:blipFill>
                        <pic:spPr>
                          <a:xfrm>
                            <a:off x="0" y="0"/>
                            <a:ext cx="4982845" cy="4411345"/>
                          </a:xfrm>
                          <a:prstGeom prst="rect">
                            <a:avLst/>
                          </a:prstGeom>
                          <a:ln>
                            <a:noFill/>
                          </a:ln>
                        </pic:spPr>
                      </pic:pic>
                    </a:graphicData>
                  </a:graphic>
                </wp:inline>
              </w:drawing>
            </w:r>
          </w:p>
          <w:p w14:paraId="77146E1C">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玻璃纤维增强塑料制品</w:t>
            </w:r>
            <w:r>
              <w:rPr>
                <w:rFonts w:hint="default" w:ascii="Times New Roman" w:hAnsi="Times New Roman" w:cs="Times New Roman"/>
                <w:b/>
                <w:bCs/>
                <w:color w:val="auto"/>
                <w:sz w:val="24"/>
                <w:szCs w:val="24"/>
                <w:highlight w:val="none"/>
              </w:rPr>
              <w:t>生产工艺流程图</w:t>
            </w:r>
          </w:p>
          <w:p w14:paraId="49E6C90C">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2F1D0846">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highlight w:val="none"/>
                <w:lang w:val="en-US" w:eastAsia="zh-CN"/>
              </w:rPr>
            </w:pPr>
            <w:r>
              <w:rPr>
                <w:rFonts w:hint="eastAsia" w:cs="Times New Roman"/>
                <w:b/>
                <w:bCs/>
                <w:color w:val="auto"/>
                <w:highlight w:val="none"/>
                <w:lang w:val="en-US" w:eastAsia="zh-CN"/>
              </w:rPr>
              <w:t>1.调胶</w:t>
            </w:r>
            <w:r>
              <w:rPr>
                <w:rFonts w:hint="default" w:ascii="Times New Roman" w:hAnsi="Times New Roman" w:cs="Times New Roman"/>
                <w:b/>
                <w:bCs/>
                <w:color w:val="auto"/>
                <w:highlight w:val="none"/>
                <w:lang w:val="en-US" w:eastAsia="zh-CN"/>
              </w:rPr>
              <w:t>：</w:t>
            </w:r>
            <w:r>
              <w:rPr>
                <w:rFonts w:hint="eastAsia" w:cs="Times New Roman"/>
                <w:b w:val="0"/>
                <w:bCs w:val="0"/>
                <w:color w:val="auto"/>
                <w:highlight w:val="none"/>
                <w:lang w:val="en-US" w:eastAsia="zh-CN"/>
              </w:rPr>
              <w:t>本</w:t>
            </w:r>
            <w:r>
              <w:rPr>
                <w:rFonts w:hint="default" w:ascii="Times New Roman" w:hAnsi="Times New Roman" w:cs="Times New Roman"/>
                <w:b w:val="0"/>
                <w:bCs w:val="0"/>
                <w:color w:val="auto"/>
                <w:highlight w:val="none"/>
                <w:lang w:val="en-US" w:eastAsia="zh-CN"/>
              </w:rPr>
              <w:t>项目</w:t>
            </w:r>
            <w:r>
              <w:rPr>
                <w:rFonts w:hint="eastAsia" w:cs="Times New Roman"/>
                <w:b w:val="0"/>
                <w:bCs w:val="0"/>
                <w:color w:val="auto"/>
                <w:highlight w:val="none"/>
                <w:lang w:val="en-US" w:eastAsia="zh-CN"/>
              </w:rPr>
              <w:t>设置有调胶间，在内</w:t>
            </w:r>
            <w:r>
              <w:rPr>
                <w:rFonts w:hint="default" w:ascii="Times New Roman" w:hAnsi="Times New Roman" w:cs="Times New Roman"/>
                <w:b w:val="0"/>
                <w:bCs w:val="0"/>
                <w:color w:val="auto"/>
                <w:highlight w:val="none"/>
                <w:lang w:val="en-US" w:eastAsia="zh-CN"/>
              </w:rPr>
              <w:t>利用人工将外购回厂的不饱和聚酯树脂、固化剂、色浆、碳酸钙按比例混合搅拌</w:t>
            </w:r>
            <w:r>
              <w:rPr>
                <w:rFonts w:hint="eastAsia" w:cs="Times New Roman"/>
                <w:b w:val="0"/>
                <w:bCs w:val="0"/>
                <w:color w:val="auto"/>
                <w:highlight w:val="none"/>
                <w:lang w:val="en-US" w:eastAsia="zh-CN"/>
              </w:rPr>
              <w:t>后，</w:t>
            </w:r>
            <w:r>
              <w:rPr>
                <w:rFonts w:hint="default" w:ascii="Times New Roman" w:hAnsi="Times New Roman" w:cs="Times New Roman"/>
                <w:b w:val="0"/>
                <w:bCs w:val="0"/>
                <w:color w:val="auto"/>
                <w:highlight w:val="none"/>
                <w:lang w:val="en-US" w:eastAsia="zh-CN"/>
              </w:rPr>
              <w:t>投入到浸酯槽内，项目</w:t>
            </w:r>
            <w:r>
              <w:rPr>
                <w:rFonts w:hint="eastAsia" w:cs="Times New Roman"/>
                <w:b w:val="0"/>
                <w:bCs w:val="0"/>
                <w:color w:val="auto"/>
                <w:highlight w:val="none"/>
                <w:lang w:val="en-US" w:eastAsia="zh-CN"/>
              </w:rPr>
              <w:t>使</w:t>
            </w:r>
            <w:r>
              <w:rPr>
                <w:rFonts w:hint="default" w:ascii="Times New Roman" w:hAnsi="Times New Roman" w:cs="Times New Roman"/>
                <w:b w:val="0"/>
                <w:bCs w:val="0"/>
                <w:color w:val="auto"/>
                <w:highlight w:val="none"/>
                <w:lang w:val="en-US" w:eastAsia="zh-CN"/>
              </w:rPr>
              <w:t>用手动搅拌机将</w:t>
            </w:r>
            <w:r>
              <w:rPr>
                <w:rFonts w:hint="eastAsia" w:cs="Times New Roman"/>
                <w:b w:val="0"/>
                <w:bCs w:val="0"/>
                <w:color w:val="auto"/>
                <w:highlight w:val="none"/>
                <w:lang w:val="en-US" w:eastAsia="zh-CN"/>
              </w:rPr>
              <w:t>以上</w:t>
            </w:r>
            <w:r>
              <w:rPr>
                <w:rFonts w:hint="default" w:ascii="Times New Roman" w:hAnsi="Times New Roman" w:cs="Times New Roman"/>
                <w:b w:val="0"/>
                <w:bCs w:val="0"/>
                <w:color w:val="auto"/>
                <w:highlight w:val="none"/>
                <w:lang w:val="en-US" w:eastAsia="zh-CN"/>
              </w:rPr>
              <w:t>原料搅拌均匀，搅拌过程中不会发生任何化学反应，仅单纯搅拌，原料常温状态下不会凝固，其中不饱和聚酯树脂、固化剂为液体、色浆为膏状，故无粉尘产生；碳酸钙为粉末状，因此会产生少量粉尘，</w:t>
            </w:r>
            <w:r>
              <w:rPr>
                <w:rFonts w:hint="eastAsia" w:cs="Times New Roman"/>
                <w:b w:val="0"/>
                <w:bCs w:val="0"/>
                <w:color w:val="auto"/>
                <w:highlight w:val="none"/>
                <w:lang w:val="en-US" w:eastAsia="zh-CN"/>
              </w:rPr>
              <w:t>以颗粒物表征；</w:t>
            </w:r>
            <w:r>
              <w:rPr>
                <w:rFonts w:hint="default" w:ascii="Times New Roman" w:hAnsi="Times New Roman" w:cs="Times New Roman"/>
                <w:b w:val="0"/>
                <w:bCs w:val="0"/>
                <w:color w:val="auto"/>
                <w:highlight w:val="none"/>
                <w:lang w:val="en-US" w:eastAsia="zh-CN"/>
              </w:rPr>
              <w:t>由于不饱和聚酯树脂</w:t>
            </w:r>
            <w:r>
              <w:rPr>
                <w:rFonts w:hint="eastAsia" w:cs="Times New Roman"/>
                <w:b w:val="0"/>
                <w:bCs w:val="0"/>
                <w:color w:val="auto"/>
                <w:highlight w:val="none"/>
                <w:lang w:val="en-US" w:eastAsia="zh-CN"/>
              </w:rPr>
              <w:t>、色浆、固化剂</w:t>
            </w:r>
            <w:r>
              <w:rPr>
                <w:rFonts w:hint="default" w:ascii="Times New Roman" w:hAnsi="Times New Roman" w:cs="Times New Roman"/>
                <w:b w:val="0"/>
                <w:bCs w:val="0"/>
                <w:color w:val="auto"/>
                <w:highlight w:val="none"/>
                <w:lang w:val="en-US" w:eastAsia="zh-CN"/>
              </w:rPr>
              <w:t>挥发，同时会产生</w:t>
            </w:r>
            <w:r>
              <w:rPr>
                <w:rFonts w:hint="eastAsia" w:cs="Times New Roman"/>
                <w:b w:val="0"/>
                <w:bCs w:val="0"/>
                <w:color w:val="auto"/>
                <w:highlight w:val="none"/>
                <w:lang w:val="en-US" w:eastAsia="zh-CN"/>
              </w:rPr>
              <w:t>微量</w:t>
            </w:r>
            <w:r>
              <w:rPr>
                <w:rFonts w:hint="default" w:ascii="Times New Roman" w:hAnsi="Times New Roman" w:cs="Times New Roman"/>
                <w:b w:val="0"/>
                <w:bCs w:val="0"/>
                <w:color w:val="auto"/>
                <w:highlight w:val="none"/>
                <w:lang w:val="en-US" w:eastAsia="zh-CN"/>
              </w:rPr>
              <w:t>有机废气（</w:t>
            </w:r>
            <w:r>
              <w:rPr>
                <w:rFonts w:hint="eastAsia" w:cs="Times New Roman"/>
                <w:b w:val="0"/>
                <w:bCs w:val="0"/>
                <w:color w:val="auto"/>
                <w:highlight w:val="none"/>
                <w:lang w:val="en-US" w:eastAsia="zh-CN"/>
              </w:rPr>
              <w:t>其中不饱和聚酯树脂</w:t>
            </w:r>
            <w:r>
              <w:rPr>
                <w:rFonts w:hint="default" w:ascii="Times New Roman" w:hAnsi="Times New Roman" w:cs="Times New Roman"/>
                <w:b w:val="0"/>
                <w:bCs w:val="0"/>
                <w:color w:val="auto"/>
                <w:highlight w:val="none"/>
                <w:lang w:val="en-US" w:eastAsia="zh-CN"/>
              </w:rPr>
              <w:t>主要为苯乙烯）、臭气浓度</w:t>
            </w:r>
            <w:r>
              <w:rPr>
                <w:rFonts w:hint="eastAsia" w:cs="Times New Roman"/>
                <w:b w:val="0"/>
                <w:bCs w:val="0"/>
                <w:color w:val="auto"/>
                <w:highlight w:val="none"/>
                <w:lang w:val="en-US" w:eastAsia="zh-CN"/>
              </w:rPr>
              <w:t>、颗粒物</w:t>
            </w:r>
            <w:r>
              <w:rPr>
                <w:rFonts w:hint="eastAsia"/>
                <w:color w:val="auto"/>
                <w:highlight w:val="none"/>
                <w:lang w:eastAsia="zh-CN"/>
              </w:rPr>
              <w:t>，</w:t>
            </w:r>
            <w:r>
              <w:rPr>
                <w:rFonts w:hint="eastAsia"/>
                <w:color w:val="auto"/>
                <w:highlight w:val="none"/>
                <w:lang w:val="en-US" w:eastAsia="zh-CN"/>
              </w:rPr>
              <w:t>有机废气仅作定性分析</w:t>
            </w:r>
            <w:r>
              <w:rPr>
                <w:rFonts w:hint="eastAsia" w:cs="Times New Roman"/>
                <w:b w:val="0"/>
                <w:bCs w:val="0"/>
                <w:color w:val="auto"/>
                <w:highlight w:val="none"/>
                <w:lang w:val="en-US" w:eastAsia="zh-CN"/>
              </w:rPr>
              <w:t>。</w:t>
            </w:r>
          </w:p>
          <w:p w14:paraId="3C545B4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综上，本工序会产生</w:t>
            </w:r>
            <w:r>
              <w:rPr>
                <w:rFonts w:hint="default" w:ascii="Times New Roman" w:hAnsi="Times New Roman" w:cs="Times New Roman"/>
                <w:b w:val="0"/>
                <w:bCs w:val="0"/>
                <w:color w:val="auto"/>
                <w:highlight w:val="none"/>
                <w:lang w:val="en-US" w:eastAsia="zh-CN"/>
              </w:rPr>
              <w:t>有机废气（主要为苯乙烯）、臭气浓度</w:t>
            </w:r>
            <w:r>
              <w:rPr>
                <w:rFonts w:hint="eastAsia" w:cs="Times New Roman"/>
                <w:b w:val="0"/>
                <w:bCs w:val="0"/>
                <w:color w:val="auto"/>
                <w:highlight w:val="none"/>
                <w:lang w:val="en-US" w:eastAsia="zh-CN"/>
              </w:rPr>
              <w:t>、颗粒物、</w:t>
            </w:r>
            <w:r>
              <w:rPr>
                <w:rFonts w:hint="default" w:ascii="Times New Roman" w:hAnsi="Times New Roman" w:cs="Times New Roman"/>
                <w:b w:val="0"/>
                <w:bCs w:val="0"/>
                <w:color w:val="auto"/>
                <w:highlight w:val="none"/>
                <w:lang w:val="en-US" w:eastAsia="zh-CN"/>
              </w:rPr>
              <w:t>废原料桶（废不饱和聚酯树脂桶、废色浆桶、废固化剂桶）</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废包装材料和设备运行噪声。</w:t>
            </w:r>
          </w:p>
          <w:p w14:paraId="2552E80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备料：</w:t>
            </w:r>
            <w:r>
              <w:rPr>
                <w:rFonts w:hint="default" w:ascii="Times New Roman" w:hAnsi="Times New Roman" w:cs="Times New Roman"/>
                <w:b w:val="0"/>
                <w:bCs w:val="0"/>
                <w:color w:val="auto"/>
                <w:highlight w:val="none"/>
                <w:lang w:val="en-US" w:eastAsia="zh-CN"/>
              </w:rPr>
              <w:t>项目将外购回厂的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铺设在纱架及分纱板上。</w:t>
            </w:r>
          </w:p>
          <w:p w14:paraId="60511C14">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浸酯：</w:t>
            </w:r>
            <w:r>
              <w:rPr>
                <w:rFonts w:hint="default" w:ascii="Times New Roman" w:hAnsi="Times New Roman" w:cs="Times New Roman"/>
                <w:b w:val="0"/>
                <w:bCs w:val="0"/>
                <w:color w:val="auto"/>
                <w:highlight w:val="none"/>
                <w:lang w:val="en-US" w:eastAsia="zh-CN"/>
              </w:rPr>
              <w:t>将外购回厂的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通过浸酯槽均匀沾上配好的原料，从浸酯槽到模具架之间设接酯板，主要将传输时滴落的树脂引回浸酯槽内。该工序由于不饱和聚酯树脂挥发，会产生</w:t>
            </w:r>
            <w:r>
              <w:rPr>
                <w:rFonts w:hint="eastAsia" w:cs="Times New Roman"/>
                <w:b w:val="0"/>
                <w:bCs w:val="0"/>
                <w:color w:val="auto"/>
                <w:highlight w:val="none"/>
                <w:lang w:val="en-US" w:eastAsia="zh-CN"/>
              </w:rPr>
              <w:t>微量</w:t>
            </w:r>
            <w:r>
              <w:rPr>
                <w:rFonts w:hint="default" w:ascii="Times New Roman" w:hAnsi="Times New Roman" w:cs="Times New Roman"/>
                <w:b w:val="0"/>
                <w:bCs w:val="0"/>
                <w:color w:val="auto"/>
                <w:highlight w:val="none"/>
                <w:lang w:val="en-US" w:eastAsia="zh-CN"/>
              </w:rPr>
              <w:t>有机废气，</w:t>
            </w:r>
            <w:r>
              <w:rPr>
                <w:rFonts w:hint="eastAsia"/>
                <w:color w:val="auto"/>
                <w:highlight w:val="none"/>
                <w:lang w:val="en-US" w:eastAsia="zh-CN"/>
              </w:rPr>
              <w:t>有机废气仅作定性分析。</w:t>
            </w:r>
            <w:r>
              <w:rPr>
                <w:rFonts w:hint="default" w:ascii="Times New Roman" w:hAnsi="Times New Roman" w:cs="Times New Roman"/>
                <w:b w:val="0"/>
                <w:bCs w:val="0"/>
                <w:color w:val="auto"/>
                <w:highlight w:val="none"/>
                <w:lang w:val="en-US" w:eastAsia="zh-CN"/>
              </w:rPr>
              <w:t>故该过程产生有机废气（主要为苯乙烯）、臭气浓度。</w:t>
            </w:r>
          </w:p>
          <w:p w14:paraId="20A5B165">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cs="Times New Roman"/>
                <w:b/>
                <w:bCs/>
                <w:color w:val="auto"/>
                <w:highlight w:val="none"/>
                <w:lang w:val="en-US" w:eastAsia="zh-CN"/>
              </w:rPr>
              <w:t>定型：</w:t>
            </w:r>
            <w:r>
              <w:rPr>
                <w:rFonts w:hint="default" w:ascii="Times New Roman" w:hAnsi="Times New Roman" w:cs="Times New Roman"/>
                <w:b w:val="0"/>
                <w:bCs w:val="0"/>
                <w:color w:val="auto"/>
                <w:highlight w:val="none"/>
                <w:lang w:val="en-US" w:eastAsia="zh-CN"/>
              </w:rPr>
              <w:t>将浸泡好的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通过模具加热板（电加热，加热温度约180℃，常压）进行加热固化成型，使搅拌原料与</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在模具压力下成为一体，成型过程中固化剂与不饱和聚酯树脂发生交联反应，使树脂更好固化，工件与模具分离过程，需使用少量</w:t>
            </w:r>
            <w:r>
              <w:rPr>
                <w:rFonts w:hint="eastAsia" w:cs="Times New Roman"/>
                <w:b w:val="0"/>
                <w:bCs w:val="0"/>
                <w:color w:val="auto"/>
                <w:highlight w:val="none"/>
                <w:lang w:val="en-US" w:eastAsia="zh-CN"/>
              </w:rPr>
              <w:t>水性脱模剂</w:t>
            </w:r>
            <w:r>
              <w:rPr>
                <w:rFonts w:hint="eastAsia"/>
                <w:color w:val="auto"/>
                <w:highlight w:val="none"/>
                <w:lang w:eastAsia="zh-CN"/>
              </w:rPr>
              <w:t>，</w:t>
            </w:r>
            <w:r>
              <w:rPr>
                <w:rFonts w:hint="eastAsia"/>
                <w:color w:val="auto"/>
                <w:highlight w:val="none"/>
                <w:lang w:val="en-US" w:eastAsia="zh-CN"/>
              </w:rPr>
              <w:t>会产生有机废气</w:t>
            </w:r>
            <w:r>
              <w:rPr>
                <w:rFonts w:hint="default" w:ascii="Times New Roman" w:hAnsi="Times New Roman" w:cs="Times New Roman"/>
                <w:b w:val="0"/>
                <w:bCs w:val="0"/>
                <w:color w:val="auto"/>
                <w:highlight w:val="none"/>
                <w:lang w:val="en-US" w:eastAsia="zh-CN"/>
              </w:rPr>
              <w:t>。不饱和聚酯树脂分解温度为280℃，项目加热温度为180℃，未达到分解温度，但会挥发少量苯乙烯，同时，根据有关资料，二噁英产生的条件为400-800℃，因此成型过程无二噁英产生，该工序产生有机废气（主要为非甲烷总烃、苯乙烯）、臭气浓度、废脱模剂桶和设备运行噪声。</w:t>
            </w:r>
          </w:p>
          <w:p w14:paraId="55C8B87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根据《苯乙烯在不饱和聚酯树脂固化过程中的作用》（清华大学化工系高分子研究生，北京市，100084，杨睿、汪昆华）、《苯乙烯对不饱和聚酯树脂性能的影响》（哈尔滨庆缘电工材料股份有限公司，黑龙江哈尔滨，1500407，苏东明）。以及相关文献资料可知，不饱和聚酯树脂中苯乙烯作为交联单体，在固化过程中与不饱和聚酯反应，形成网状聚合物，其反应方程式如下：</w:t>
            </w:r>
          </w:p>
          <w:p w14:paraId="2CE3DF98">
            <w:pPr>
              <w:numPr>
                <w:ilvl w:val="0"/>
                <w:numId w:val="0"/>
              </w:numPr>
              <w:tabs>
                <w:tab w:val="left" w:pos="0"/>
              </w:tabs>
              <w:adjustRightInd w:val="0"/>
              <w:snapToGrid w:val="0"/>
              <w:spacing w:line="360" w:lineRule="auto"/>
              <w:ind w:right="120" w:rightChars="50"/>
              <w:jc w:val="center"/>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rPr>
              <w:drawing>
                <wp:inline distT="0" distB="0" distL="0" distR="0">
                  <wp:extent cx="4109720" cy="2675890"/>
                  <wp:effectExtent l="0" t="0" r="5080" b="10160"/>
                  <wp:docPr id="1030" name="图片 1"/>
                  <wp:cNvGraphicFramePr/>
                  <a:graphic xmlns:a="http://schemas.openxmlformats.org/drawingml/2006/main">
                    <a:graphicData uri="http://schemas.openxmlformats.org/drawingml/2006/picture">
                      <pic:pic xmlns:pic="http://schemas.openxmlformats.org/drawingml/2006/picture">
                        <pic:nvPicPr>
                          <pic:cNvPr id="1030" name="图片 1"/>
                          <pic:cNvPicPr/>
                        </pic:nvPicPr>
                        <pic:blipFill>
                          <a:blip r:embed="rId22" cstate="print"/>
                          <a:srcRect/>
                          <a:stretch>
                            <a:fillRect/>
                          </a:stretch>
                        </pic:blipFill>
                        <pic:spPr>
                          <a:xfrm>
                            <a:off x="0" y="0"/>
                            <a:ext cx="4109720" cy="2675890"/>
                          </a:xfrm>
                          <a:prstGeom prst="rect">
                            <a:avLst/>
                          </a:prstGeom>
                          <a:ln>
                            <a:noFill/>
                          </a:ln>
                        </pic:spPr>
                      </pic:pic>
                    </a:graphicData>
                  </a:graphic>
                </wp:inline>
              </w:drawing>
            </w:r>
          </w:p>
          <w:p w14:paraId="72EB70D1">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5.</w:t>
            </w:r>
            <w:r>
              <w:rPr>
                <w:rFonts w:hint="default" w:ascii="Times New Roman" w:hAnsi="Times New Roman" w:cs="Times New Roman"/>
                <w:b/>
                <w:bCs/>
                <w:color w:val="auto"/>
                <w:highlight w:val="none"/>
                <w:lang w:val="en-US" w:eastAsia="zh-CN"/>
              </w:rPr>
              <w:t>冷却：</w:t>
            </w:r>
            <w:r>
              <w:rPr>
                <w:rFonts w:hint="default" w:ascii="Times New Roman" w:hAnsi="Times New Roman" w:cs="Times New Roman"/>
                <w:b w:val="0"/>
                <w:bCs w:val="0"/>
                <w:color w:val="auto"/>
                <w:highlight w:val="none"/>
                <w:lang w:val="en-US" w:eastAsia="zh-CN"/>
              </w:rPr>
              <w:t>脱模后的产品进入冷却区进行自然冷却。此过程会产生有机废气（主要为非甲烷总烃、苯乙烯）</w:t>
            </w:r>
            <w:r>
              <w:rPr>
                <w:rFonts w:hint="eastAsia" w:cs="Times New Roman"/>
                <w:b w:val="0"/>
                <w:bCs w:val="0"/>
                <w:color w:val="auto"/>
                <w:highlight w:val="none"/>
                <w:lang w:val="en-US" w:eastAsia="zh-CN"/>
              </w:rPr>
              <w:t>、臭气浓度，产生量少，仅做定性分析</w:t>
            </w:r>
            <w:r>
              <w:rPr>
                <w:rFonts w:hint="default" w:ascii="Times New Roman" w:hAnsi="Times New Roman" w:cs="Times New Roman"/>
                <w:b w:val="0"/>
                <w:bCs w:val="0"/>
                <w:color w:val="auto"/>
                <w:highlight w:val="none"/>
                <w:lang w:val="en-US" w:eastAsia="zh-CN"/>
              </w:rPr>
              <w:t>。</w:t>
            </w:r>
          </w:p>
          <w:p w14:paraId="48A35FA2">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5.牵引</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val="0"/>
                <w:bCs w:val="0"/>
                <w:color w:val="auto"/>
                <w:highlight w:val="none"/>
                <w:lang w:val="en-US" w:eastAsia="zh-CN"/>
              </w:rPr>
              <w:t>利用牵引机对定型后的工件进行牵引，此工序会产生噪声。</w:t>
            </w:r>
          </w:p>
          <w:p w14:paraId="2347B46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cs="Times New Roman"/>
                <w:b/>
                <w:bCs/>
                <w:color w:val="auto"/>
                <w:highlight w:val="none"/>
                <w:lang w:val="en-US" w:eastAsia="zh-CN"/>
              </w:rPr>
              <w:t>切割：</w:t>
            </w:r>
            <w:r>
              <w:rPr>
                <w:rFonts w:hint="default" w:ascii="Times New Roman" w:hAnsi="Times New Roman" w:cs="Times New Roman"/>
                <w:b w:val="0"/>
                <w:bCs w:val="0"/>
                <w:color w:val="auto"/>
                <w:highlight w:val="none"/>
                <w:lang w:val="en-US" w:eastAsia="zh-CN"/>
              </w:rPr>
              <w:t>项目根据所需尺寸用剪切机将成型后的工件进行切割，切割过程采用“湿法”切割，此过程为湿润状态，故无粉尘产生，此过程会产生切割用水，切割用水循环使用，定期补充，不外排</w:t>
            </w:r>
            <w:r>
              <w:rPr>
                <w:rFonts w:hint="eastAsia" w:cs="Times New Roman"/>
                <w:b w:val="0"/>
                <w:bCs w:val="0"/>
                <w:color w:val="auto"/>
                <w:highlight w:val="none"/>
                <w:lang w:val="en-US" w:eastAsia="zh-CN"/>
              </w:rPr>
              <w:t>。循环水系统设置旁流过滤装置，切割过程产生的细碎屑料经滤料拦截，</w:t>
            </w:r>
            <w:r>
              <w:rPr>
                <w:rFonts w:hint="default" w:ascii="Times New Roman" w:hAnsi="Times New Roman" w:cs="Times New Roman"/>
                <w:b w:val="0"/>
                <w:bCs w:val="0"/>
                <w:color w:val="auto"/>
                <w:highlight w:val="none"/>
                <w:lang w:val="en-US" w:eastAsia="zh-CN"/>
              </w:rPr>
              <w:t>定期</w:t>
            </w:r>
            <w:r>
              <w:rPr>
                <w:rFonts w:hint="eastAsia" w:cs="Times New Roman"/>
                <w:b w:val="0"/>
                <w:bCs w:val="0"/>
                <w:color w:val="auto"/>
                <w:highlight w:val="none"/>
                <w:lang w:val="en-US" w:eastAsia="zh-CN"/>
              </w:rPr>
              <w:t>更换滤料</w:t>
            </w:r>
            <w:r>
              <w:rPr>
                <w:rFonts w:hint="default" w:ascii="Times New Roman" w:hAnsi="Times New Roman" w:cs="Times New Roman"/>
                <w:b w:val="0"/>
                <w:bCs w:val="0"/>
                <w:color w:val="auto"/>
                <w:highlight w:val="none"/>
                <w:lang w:val="en-US" w:eastAsia="zh-CN"/>
              </w:rPr>
              <w:t>，故该工序会产生玻璃纤维边角料、设备运行噪声</w:t>
            </w:r>
            <w:r>
              <w:rPr>
                <w:rFonts w:hint="eastAsia"/>
                <w:color w:val="auto"/>
                <w:highlight w:val="none"/>
                <w:lang w:eastAsia="zh-CN"/>
              </w:rPr>
              <w:t>，</w:t>
            </w:r>
            <w:r>
              <w:rPr>
                <w:rFonts w:hint="eastAsia"/>
                <w:color w:val="auto"/>
                <w:highlight w:val="none"/>
                <w:lang w:val="en-US" w:eastAsia="zh-CN"/>
              </w:rPr>
              <w:t>废滤料</w:t>
            </w:r>
            <w:r>
              <w:rPr>
                <w:rFonts w:hint="default" w:ascii="Times New Roman" w:hAnsi="Times New Roman" w:cs="Times New Roman"/>
                <w:b w:val="0"/>
                <w:bCs w:val="0"/>
                <w:color w:val="auto"/>
                <w:highlight w:val="none"/>
                <w:lang w:val="en-US" w:eastAsia="zh-CN"/>
              </w:rPr>
              <w:t>。</w:t>
            </w:r>
          </w:p>
          <w:p w14:paraId="4B20FA68">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7.</w:t>
            </w:r>
            <w:r>
              <w:rPr>
                <w:rFonts w:hint="default" w:ascii="Times New Roman" w:hAnsi="Times New Roman" w:cs="Times New Roman"/>
                <w:b/>
                <w:bCs/>
                <w:color w:val="auto"/>
                <w:highlight w:val="none"/>
                <w:lang w:val="en-US" w:eastAsia="zh-CN"/>
              </w:rPr>
              <w:t>成品：</w:t>
            </w:r>
            <w:r>
              <w:rPr>
                <w:rFonts w:hint="eastAsia"/>
                <w:color w:val="auto"/>
                <w:highlight w:val="none"/>
                <w:lang w:eastAsia="zh-CN"/>
              </w:rPr>
              <w:t>将制作好的成品放入料架上。该工序不会产生污染物。</w:t>
            </w:r>
          </w:p>
          <w:p w14:paraId="0A3F383D">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2）玻纤布工艺流程</w:t>
            </w:r>
          </w:p>
          <w:p w14:paraId="4142DD19">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0" distR="0">
                  <wp:extent cx="4989195" cy="2480310"/>
                  <wp:effectExtent l="0" t="0" r="0" b="0"/>
                  <wp:docPr id="1031" name="ECB019B1-382A-4266-B25C-5B523AA43C14-2" descr="C:/Users/12604/AppData/Local/Temp/wps.olHQddwps"/>
                  <wp:cNvGraphicFramePr/>
                  <a:graphic xmlns:a="http://schemas.openxmlformats.org/drawingml/2006/main">
                    <a:graphicData uri="http://schemas.openxmlformats.org/drawingml/2006/picture">
                      <pic:pic xmlns:pic="http://schemas.openxmlformats.org/drawingml/2006/picture">
                        <pic:nvPicPr>
                          <pic:cNvPr id="1031" name="ECB019B1-382A-4266-B25C-5B523AA43C14-2" descr="C:/Users/12604/AppData/Local/Temp/wps.olHQddwps"/>
                          <pic:cNvPicPr/>
                        </pic:nvPicPr>
                        <pic:blipFill>
                          <a:blip r:embed="rId23" cstate="print"/>
                          <a:srcRect/>
                          <a:stretch>
                            <a:fillRect/>
                          </a:stretch>
                        </pic:blipFill>
                        <pic:spPr>
                          <a:xfrm>
                            <a:off x="0" y="0"/>
                            <a:ext cx="4989195" cy="2480310"/>
                          </a:xfrm>
                          <a:prstGeom prst="rect">
                            <a:avLst/>
                          </a:prstGeom>
                          <a:ln>
                            <a:noFill/>
                          </a:ln>
                        </pic:spPr>
                      </pic:pic>
                    </a:graphicData>
                  </a:graphic>
                </wp:inline>
              </w:drawing>
            </w:r>
          </w:p>
          <w:p w14:paraId="268FCE51">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玻纤布</w:t>
            </w:r>
            <w:r>
              <w:rPr>
                <w:rFonts w:hint="default" w:ascii="Times New Roman" w:hAnsi="Times New Roman" w:cs="Times New Roman"/>
                <w:b/>
                <w:bCs/>
                <w:color w:val="auto"/>
                <w:sz w:val="24"/>
                <w:szCs w:val="24"/>
                <w:highlight w:val="none"/>
              </w:rPr>
              <w:t>生产工艺流程图</w:t>
            </w:r>
          </w:p>
          <w:p w14:paraId="07FBDAB6">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2810F8B2">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1.</w:t>
            </w:r>
            <w:r>
              <w:rPr>
                <w:rFonts w:hint="default" w:ascii="Times New Roman" w:hAnsi="Times New Roman" w:cs="Times New Roman"/>
                <w:b/>
                <w:bCs/>
                <w:color w:val="auto"/>
                <w:highlight w:val="none"/>
                <w:lang w:val="en-US" w:eastAsia="zh-CN"/>
              </w:rPr>
              <w:t>打纬：</w:t>
            </w:r>
            <w:r>
              <w:rPr>
                <w:rFonts w:hint="default" w:ascii="Times New Roman" w:hAnsi="Times New Roman" w:cs="Times New Roman"/>
                <w:b w:val="0"/>
                <w:bCs w:val="0"/>
                <w:color w:val="auto"/>
                <w:highlight w:val="none"/>
                <w:lang w:val="en-US" w:eastAsia="zh-CN"/>
              </w:rPr>
              <w:t>将外购</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线头牵引至</w:t>
            </w:r>
            <w:r>
              <w:rPr>
                <w:rFonts w:hint="eastAsia" w:cs="Times New Roman"/>
                <w:b w:val="0"/>
                <w:bCs w:val="0"/>
                <w:color w:val="auto"/>
                <w:highlight w:val="none"/>
                <w:lang w:val="en-US" w:eastAsia="zh-CN"/>
              </w:rPr>
              <w:t>织布机载料</w:t>
            </w:r>
            <w:r>
              <w:rPr>
                <w:rFonts w:hint="default" w:ascii="Times New Roman" w:hAnsi="Times New Roman" w:cs="Times New Roman"/>
                <w:b w:val="0"/>
                <w:bCs w:val="0"/>
                <w:color w:val="auto"/>
                <w:highlight w:val="none"/>
                <w:lang w:val="en-US" w:eastAsia="zh-CN"/>
              </w:rPr>
              <w:t>轴承上，以便于下一步整经织布</w:t>
            </w:r>
            <w:r>
              <w:rPr>
                <w:rFonts w:hint="eastAsia" w:ascii="Times New Roman" w:hAnsi="Times New Roman"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此工序会产生噪声。</w:t>
            </w:r>
          </w:p>
          <w:p w14:paraId="449C75C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整经织布：</w:t>
            </w:r>
            <w:r>
              <w:rPr>
                <w:rFonts w:hint="eastAsia" w:cs="Times New Roman"/>
                <w:b w:val="0"/>
                <w:bCs w:val="0"/>
                <w:color w:val="auto"/>
                <w:highlight w:val="none"/>
                <w:lang w:val="en-US" w:eastAsia="zh-CN"/>
              </w:rPr>
              <w:t>原料完成</w:t>
            </w:r>
            <w:r>
              <w:rPr>
                <w:rFonts w:hint="default" w:ascii="Times New Roman" w:hAnsi="Times New Roman" w:cs="Times New Roman"/>
                <w:b w:val="0"/>
                <w:bCs w:val="0"/>
                <w:color w:val="auto"/>
                <w:highlight w:val="none"/>
                <w:lang w:val="en-US" w:eastAsia="zh-CN"/>
              </w:rPr>
              <w:t>整经后，再利用织布机编织成型；此工序会产生</w:t>
            </w:r>
            <w:r>
              <w:rPr>
                <w:rFonts w:hint="eastAsia" w:ascii="Times New Roman" w:hAnsi="Times New Roman" w:cs="Times New Roman"/>
                <w:b w:val="0"/>
                <w:bCs w:val="0"/>
                <w:color w:val="auto"/>
                <w:highlight w:val="none"/>
                <w:lang w:val="en-US" w:eastAsia="zh-CN"/>
              </w:rPr>
              <w:t>粉尘</w:t>
            </w:r>
            <w:r>
              <w:rPr>
                <w:rFonts w:hint="eastAsia" w:cs="Times New Roman"/>
                <w:b w:val="0"/>
                <w:bCs w:val="0"/>
                <w:color w:val="auto"/>
                <w:highlight w:val="none"/>
                <w:lang w:val="en-US" w:eastAsia="zh-CN"/>
              </w:rPr>
              <w:t>、</w:t>
            </w:r>
            <w:r>
              <w:rPr>
                <w:rFonts w:hint="eastAsia" w:ascii="Times New Roman" w:hAnsi="Times New Roman" w:cs="Times New Roman"/>
                <w:b w:val="0"/>
                <w:bCs w:val="0"/>
                <w:color w:val="auto"/>
                <w:highlight w:val="none"/>
                <w:lang w:val="en-US" w:eastAsia="zh-CN"/>
              </w:rPr>
              <w:t>下脚料、不合格品和</w:t>
            </w:r>
            <w:r>
              <w:rPr>
                <w:rFonts w:hint="default" w:ascii="Times New Roman" w:hAnsi="Times New Roman" w:cs="Times New Roman"/>
                <w:b w:val="0"/>
                <w:bCs w:val="0"/>
                <w:color w:val="auto"/>
                <w:highlight w:val="none"/>
                <w:lang w:val="en-US" w:eastAsia="zh-CN"/>
              </w:rPr>
              <w:t>噪声。</w:t>
            </w:r>
          </w:p>
          <w:p w14:paraId="7098D786">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打包：</w:t>
            </w:r>
            <w:r>
              <w:rPr>
                <w:rFonts w:hint="default" w:ascii="Times New Roman" w:hAnsi="Times New Roman" w:cs="Times New Roman"/>
                <w:b w:val="0"/>
                <w:bCs w:val="0"/>
                <w:color w:val="auto"/>
                <w:highlight w:val="none"/>
                <w:lang w:val="en-US" w:eastAsia="zh-CN"/>
              </w:rPr>
              <w:t>将码齐的玻璃纤维布进行打包包装即为成品，然后入库待售。</w:t>
            </w:r>
          </w:p>
          <w:p w14:paraId="1B68613A">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3）塑料配件工艺流程</w:t>
            </w:r>
          </w:p>
          <w:p w14:paraId="1600D0CA">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2644775</wp:posOffset>
                      </wp:positionH>
                      <wp:positionV relativeFrom="paragraph">
                        <wp:posOffset>1210310</wp:posOffset>
                      </wp:positionV>
                      <wp:extent cx="1063625" cy="359410"/>
                      <wp:effectExtent l="0" t="0" r="0" b="0"/>
                      <wp:wrapNone/>
                      <wp:docPr id="37" name="文本框 37"/>
                      <wp:cNvGraphicFramePr/>
                      <a:graphic xmlns:a="http://schemas.openxmlformats.org/drawingml/2006/main">
                        <a:graphicData uri="http://schemas.microsoft.com/office/word/2010/wordprocessingShape">
                          <wps:wsp>
                            <wps:cNvSpPr txBox="1"/>
                            <wps:spPr>
                              <a:xfrm>
                                <a:off x="3667125" y="2082165"/>
                                <a:ext cx="1063625" cy="359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80A37D">
                                  <w:pPr>
                                    <w:jc w:val="right"/>
                                    <w:rPr>
                                      <w:rFonts w:hint="default" w:eastAsia="宋体"/>
                                      <w:b/>
                                      <w:bCs/>
                                      <w:sz w:val="21"/>
                                      <w:szCs w:val="21"/>
                                      <w:lang w:val="en-US" w:eastAsia="zh-CN"/>
                                    </w:rPr>
                                  </w:pPr>
                                  <w:r>
                                    <w:rPr>
                                      <w:rFonts w:hint="eastAsia"/>
                                      <w:b/>
                                      <w:bCs/>
                                      <w:sz w:val="21"/>
                                      <w:szCs w:val="21"/>
                                      <w:lang w:val="en-US" w:eastAsia="zh-CN"/>
                                    </w:rPr>
                                    <w:t>、氨气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25pt;margin-top:95.3pt;height:28.3pt;width:83.75pt;z-index:251676672;mso-width-relative:page;mso-height-relative:page;" filled="f" stroked="f" coordsize="21600,21600" o:gfxdata="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oQjNwAAAALAQAADwAA&#10;AAAAAAABACAAAAAiAAAAZHJzL2Rvd25yZXYueG1sUEsBAhQAFAAAAAgAh07iQAyCAvpLAgAAdAQA&#10;AA4AAAAAAAAAAQAgAAAAKwEAAGRycy9lMm9Eb2MueG1sUEsFBgAAAAAGAAYAWQEAAOgFAAAAAA==&#10;">
                      <v:fill on="f" focussize="0,0"/>
                      <v:stroke on="f" weight="0.5pt"/>
                      <v:imagedata o:title=""/>
                      <o:lock v:ext="edit" aspectratio="f"/>
                      <v:textbox>
                        <w:txbxContent>
                          <w:p w14:paraId="6680A37D">
                            <w:pPr>
                              <w:jc w:val="right"/>
                              <w:rPr>
                                <w:rFonts w:hint="default" w:eastAsia="宋体"/>
                                <w:b/>
                                <w:bCs/>
                                <w:sz w:val="21"/>
                                <w:szCs w:val="21"/>
                                <w:lang w:val="en-US" w:eastAsia="zh-CN"/>
                              </w:rPr>
                            </w:pPr>
                            <w:r>
                              <w:rPr>
                                <w:rFonts w:hint="eastAsia"/>
                                <w:b/>
                                <w:bCs/>
                                <w:sz w:val="21"/>
                                <w:szCs w:val="21"/>
                                <w:lang w:val="en-US" w:eastAsia="zh-CN"/>
                              </w:rPr>
                              <w:t>、氨气</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0" distR="0">
                  <wp:extent cx="4982845" cy="2681605"/>
                  <wp:effectExtent l="0" t="0" r="0" b="0"/>
                  <wp:docPr id="1032" name="ECB019B1-382A-4266-B25C-5B523AA43C14-3" descr="wps"/>
                  <wp:cNvGraphicFramePr/>
                  <a:graphic xmlns:a="http://schemas.openxmlformats.org/drawingml/2006/main">
                    <a:graphicData uri="http://schemas.openxmlformats.org/drawingml/2006/picture">
                      <pic:pic xmlns:pic="http://schemas.openxmlformats.org/drawingml/2006/picture">
                        <pic:nvPicPr>
                          <pic:cNvPr id="1032" name="ECB019B1-382A-4266-B25C-5B523AA43C14-3" descr="wps"/>
                          <pic:cNvPicPr/>
                        </pic:nvPicPr>
                        <pic:blipFill>
                          <a:blip r:embed="rId24" cstate="print"/>
                          <a:srcRect/>
                          <a:stretch>
                            <a:fillRect/>
                          </a:stretch>
                        </pic:blipFill>
                        <pic:spPr>
                          <a:xfrm>
                            <a:off x="0" y="0"/>
                            <a:ext cx="4982845" cy="2681605"/>
                          </a:xfrm>
                          <a:prstGeom prst="rect">
                            <a:avLst/>
                          </a:prstGeom>
                          <a:ln>
                            <a:noFill/>
                          </a:ln>
                        </pic:spPr>
                      </pic:pic>
                    </a:graphicData>
                  </a:graphic>
                </wp:inline>
              </w:drawing>
            </w:r>
          </w:p>
          <w:p w14:paraId="4AF58DF0">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塑料配件</w:t>
            </w:r>
            <w:r>
              <w:rPr>
                <w:rFonts w:hint="default" w:ascii="Times New Roman" w:hAnsi="Times New Roman" w:cs="Times New Roman"/>
                <w:b/>
                <w:bCs/>
                <w:color w:val="auto"/>
                <w:sz w:val="24"/>
                <w:szCs w:val="24"/>
                <w:highlight w:val="none"/>
              </w:rPr>
              <w:t>生产工艺流程图</w:t>
            </w:r>
          </w:p>
          <w:p w14:paraId="13D713D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47690F68">
            <w:pPr>
              <w:pStyle w:val="42"/>
              <w:spacing w:before="0" w:beforeAutospacing="0" w:after="0" w:afterAutospacing="0"/>
              <w:ind w:firstLine="480" w:firstLineChars="200"/>
              <w:rPr>
                <w:rFonts w:hint="eastAsia" w:eastAsia="宋体"/>
                <w:b/>
                <w:color w:val="auto"/>
                <w:highlight w:val="none"/>
                <w:lang w:eastAsia="zh-CN"/>
              </w:rPr>
            </w:pPr>
            <w:r>
              <w:rPr>
                <w:rFonts w:hint="eastAsia"/>
                <w:b/>
                <w:bCs/>
                <w:color w:val="auto"/>
                <w:highlight w:val="none"/>
                <w:lang w:val="en-US" w:eastAsia="zh-CN"/>
              </w:rPr>
              <w:t>1.</w:t>
            </w:r>
            <w:r>
              <w:rPr>
                <w:b/>
                <w:bCs/>
                <w:color w:val="auto"/>
                <w:highlight w:val="none"/>
              </w:rPr>
              <w:t>投料</w:t>
            </w:r>
            <w:r>
              <w:rPr>
                <w:b/>
                <w:color w:val="auto"/>
                <w:highlight w:val="none"/>
              </w:rPr>
              <w:t>：</w:t>
            </w:r>
            <w:r>
              <w:rPr>
                <w:rFonts w:ascii="宋体" w:hAnsi="宋体" w:eastAsia="宋体" w:cs="宋体"/>
                <w:color w:val="auto"/>
                <w:sz w:val="24"/>
                <w:szCs w:val="24"/>
                <w:highlight w:val="none"/>
              </w:rPr>
              <w:t>将原材料塑料颗粒破包后，人工上料投送至</w:t>
            </w:r>
            <w:r>
              <w:rPr>
                <w:rFonts w:hint="eastAsia" w:ascii="宋体" w:hAnsi="宋体" w:eastAsia="宋体" w:cs="宋体"/>
                <w:color w:val="auto"/>
                <w:sz w:val="24"/>
                <w:szCs w:val="24"/>
                <w:highlight w:val="none"/>
                <w:lang w:eastAsia="zh-CN"/>
              </w:rPr>
              <w:t>注塑</w:t>
            </w:r>
            <w:r>
              <w:rPr>
                <w:rFonts w:ascii="宋体" w:hAnsi="宋体" w:eastAsia="宋体" w:cs="宋体"/>
                <w:color w:val="auto"/>
                <w:sz w:val="24"/>
                <w:szCs w:val="24"/>
                <w:highlight w:val="none"/>
              </w:rPr>
              <w:t>机</w:t>
            </w:r>
            <w:r>
              <w:rPr>
                <w:rFonts w:hint="eastAsia" w:ascii="宋体" w:hAnsi="宋体" w:eastAsia="宋体" w:cs="宋体"/>
                <w:color w:val="auto"/>
                <w:sz w:val="24"/>
                <w:szCs w:val="24"/>
                <w:highlight w:val="none"/>
                <w:lang w:eastAsia="zh-CN"/>
              </w:rPr>
              <w:t>投料口处，项目原料塑料颗粒粒径较大，在投料过程不会产生明显粉尘。此工序产生废包装材料和设备运行噪声。</w:t>
            </w:r>
          </w:p>
          <w:p w14:paraId="7F97729F">
            <w:pPr>
              <w:numPr>
                <w:ilvl w:val="0"/>
                <w:numId w:val="0"/>
              </w:numPr>
              <w:tabs>
                <w:tab w:val="left" w:pos="0"/>
              </w:tabs>
              <w:adjustRightInd w:val="0"/>
              <w:snapToGrid w:val="0"/>
              <w:spacing w:line="360" w:lineRule="auto"/>
              <w:ind w:right="120" w:rightChars="50" w:firstLine="420" w:firstLineChars="0"/>
              <w:rPr>
                <w:rFonts w:ascii="宋体" w:hAnsi="宋体" w:eastAsia="宋体" w:cs="宋体"/>
                <w:color w:val="auto"/>
                <w:sz w:val="24"/>
                <w:szCs w:val="24"/>
                <w:highlight w:val="none"/>
              </w:rPr>
            </w:pPr>
            <w:r>
              <w:rPr>
                <w:rFonts w:hint="eastAsia"/>
                <w:b/>
                <w:bCs/>
                <w:color w:val="auto"/>
                <w:highlight w:val="none"/>
                <w:lang w:val="en-US" w:eastAsia="zh-CN"/>
              </w:rPr>
              <w:t>2.</w:t>
            </w:r>
            <w:r>
              <w:rPr>
                <w:b/>
                <w:bCs/>
                <w:color w:val="auto"/>
                <w:highlight w:val="none"/>
              </w:rPr>
              <w:t>注塑</w:t>
            </w:r>
            <w:r>
              <w:rPr>
                <w:rFonts w:hint="eastAsia"/>
                <w:b/>
                <w:bCs/>
                <w:color w:val="auto"/>
                <w:highlight w:val="none"/>
                <w:lang w:eastAsia="zh-CN"/>
              </w:rPr>
              <w:t>成型</w:t>
            </w:r>
            <w:r>
              <w:rPr>
                <w:b/>
                <w:bCs/>
                <w:color w:val="auto"/>
                <w:highlight w:val="none"/>
              </w:rPr>
              <w:t>：</w:t>
            </w:r>
            <w:r>
              <w:rPr>
                <w:rFonts w:hint="eastAsia"/>
                <w:color w:val="auto"/>
                <w:highlight w:val="none"/>
              </w:rPr>
              <w:t>注塑机自带气动上料系统</w:t>
            </w:r>
            <w:r>
              <w:rPr>
                <w:rFonts w:hint="eastAsia"/>
                <w:color w:val="auto"/>
                <w:highlight w:val="none"/>
                <w:lang w:eastAsia="zh-CN"/>
              </w:rPr>
              <w:t>、</w:t>
            </w:r>
            <w:r>
              <w:rPr>
                <w:rFonts w:hint="eastAsia"/>
                <w:color w:val="auto"/>
                <w:highlight w:val="none"/>
                <w:lang w:val="en-US" w:eastAsia="zh-CN"/>
              </w:rPr>
              <w:t>循环冷却系统</w:t>
            </w:r>
            <w:r>
              <w:rPr>
                <w:rFonts w:hint="eastAsia"/>
                <w:color w:val="auto"/>
                <w:highlight w:val="none"/>
                <w:lang w:eastAsia="zh-CN"/>
              </w:rPr>
              <w:t>。</w:t>
            </w:r>
            <w:r>
              <w:rPr>
                <w:rFonts w:hint="eastAsia"/>
                <w:color w:val="auto"/>
                <w:highlight w:val="none"/>
              </w:rPr>
              <w:t>通过气动上料系统自动上料，注塑机将塑料颗粒加热熔融后（加热温度210-220℃，加热时间约30分钟），从注塑机模头处注入模具，经</w:t>
            </w:r>
            <w:r>
              <w:rPr>
                <w:rFonts w:hint="eastAsia"/>
                <w:color w:val="auto"/>
                <w:highlight w:val="none"/>
                <w:lang w:val="en-US" w:eastAsia="zh-CN"/>
              </w:rPr>
              <w:t>循环冷却系统</w:t>
            </w:r>
            <w:r>
              <w:rPr>
                <w:rFonts w:hint="eastAsia"/>
                <w:color w:val="auto"/>
                <w:highlight w:val="none"/>
              </w:rPr>
              <w:t>对模具间接冷却后成型出品，冷却方式为间接冷却，</w:t>
            </w:r>
            <w:r>
              <w:rPr>
                <w:rFonts w:ascii="宋体" w:hAnsi="宋体" w:eastAsia="宋体" w:cs="宋体"/>
                <w:color w:val="auto"/>
                <w:sz w:val="24"/>
                <w:szCs w:val="24"/>
                <w:highlight w:val="none"/>
              </w:rPr>
              <w:t>不接触物料，</w:t>
            </w:r>
            <w:r>
              <w:rPr>
                <w:rFonts w:hint="eastAsia"/>
                <w:color w:val="auto"/>
                <w:highlight w:val="none"/>
                <w:lang w:val="en-US" w:eastAsia="zh-CN"/>
              </w:rPr>
              <w:t>循环冷却系统</w:t>
            </w:r>
            <w:r>
              <w:rPr>
                <w:rFonts w:ascii="宋体" w:hAnsi="宋体" w:eastAsia="宋体" w:cs="宋体"/>
                <w:color w:val="auto"/>
                <w:sz w:val="24"/>
                <w:szCs w:val="24"/>
                <w:highlight w:val="none"/>
              </w:rPr>
              <w:t>自动出水、自动抽水，冷却水循环使用不外排，</w:t>
            </w:r>
            <w:r>
              <w:rPr>
                <w:rFonts w:hint="eastAsia" w:ascii="宋体" w:hAnsi="宋体" w:cs="宋体"/>
                <w:color w:val="auto"/>
                <w:sz w:val="24"/>
                <w:szCs w:val="24"/>
                <w:highlight w:val="none"/>
                <w:lang w:val="en-US" w:eastAsia="zh-CN"/>
              </w:rPr>
              <w:t>设置</w:t>
            </w:r>
            <w:r>
              <w:rPr>
                <w:rFonts w:hint="eastAsia" w:cs="Times New Roman"/>
                <w:b w:val="0"/>
                <w:bCs w:val="0"/>
                <w:color w:val="auto"/>
                <w:highlight w:val="none"/>
                <w:lang w:val="en-US" w:eastAsia="zh-CN"/>
              </w:rPr>
              <w:t>循环水系统设置旁流过滤装置，</w:t>
            </w:r>
            <w:r>
              <w:rPr>
                <w:rFonts w:hint="default" w:ascii="Times New Roman" w:hAnsi="Times New Roman" w:cs="Times New Roman"/>
                <w:b w:val="0"/>
                <w:bCs w:val="0"/>
                <w:color w:val="auto"/>
                <w:highlight w:val="none"/>
                <w:lang w:val="en-US" w:eastAsia="zh-CN"/>
              </w:rPr>
              <w:t>定期</w:t>
            </w:r>
            <w:r>
              <w:rPr>
                <w:rFonts w:hint="eastAsia" w:cs="Times New Roman"/>
                <w:b w:val="0"/>
                <w:bCs w:val="0"/>
                <w:color w:val="auto"/>
                <w:highlight w:val="none"/>
                <w:lang w:val="en-US" w:eastAsia="zh-CN"/>
              </w:rPr>
              <w:t>更换滤料</w:t>
            </w:r>
            <w:r>
              <w:rPr>
                <w:rFonts w:hint="default" w:ascii="Times New Roman" w:hAnsi="Times New Roman" w:cs="Times New Roman"/>
                <w:b w:val="0"/>
                <w:bCs w:val="0"/>
                <w:color w:val="auto"/>
                <w:highlight w:val="none"/>
                <w:lang w:val="en-US" w:eastAsia="zh-CN"/>
              </w:rPr>
              <w:t>。</w:t>
            </w:r>
          </w:p>
          <w:p w14:paraId="04FFD50E">
            <w:pPr>
              <w:numPr>
                <w:ilvl w:val="0"/>
                <w:numId w:val="0"/>
              </w:numPr>
              <w:tabs>
                <w:tab w:val="left" w:pos="0"/>
              </w:tabs>
              <w:adjustRightInd w:val="0"/>
              <w:snapToGrid w:val="0"/>
              <w:spacing w:line="360" w:lineRule="auto"/>
              <w:ind w:right="120" w:rightChars="50" w:firstLine="420" w:firstLineChars="0"/>
              <w:rPr>
                <w:rFonts w:hint="eastAsia" w:ascii="宋体" w:hAnsi="宋体" w:eastAsia="宋体" w:cs="宋体"/>
                <w:color w:val="auto"/>
                <w:sz w:val="24"/>
                <w:szCs w:val="24"/>
                <w:highlight w:val="none"/>
                <w:lang w:eastAsia="zh-CN"/>
              </w:rPr>
            </w:pPr>
            <w:r>
              <w:rPr>
                <w:rFonts w:ascii="宋体" w:hAnsi="宋体" w:eastAsia="宋体" w:cs="宋体"/>
                <w:color w:val="auto"/>
                <w:sz w:val="24"/>
                <w:szCs w:val="24"/>
                <w:highlight w:val="none"/>
              </w:rPr>
              <w:t>此工序会有少量的有机废气挥发</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设备运行</w:t>
            </w:r>
            <w:r>
              <w:rPr>
                <w:rFonts w:ascii="宋体" w:hAnsi="宋体" w:eastAsia="宋体" w:cs="宋体"/>
                <w:color w:val="auto"/>
                <w:sz w:val="24"/>
                <w:szCs w:val="24"/>
                <w:highlight w:val="none"/>
              </w:rPr>
              <w:t>噪声</w:t>
            </w:r>
            <w:r>
              <w:rPr>
                <w:rFonts w:hint="eastAsia" w:ascii="宋体" w:hAnsi="宋体" w:cs="宋体"/>
                <w:color w:val="auto"/>
                <w:sz w:val="24"/>
                <w:szCs w:val="24"/>
                <w:highlight w:val="none"/>
                <w:lang w:val="en-US" w:eastAsia="zh-CN"/>
              </w:rPr>
              <w:t>和废滤料</w:t>
            </w:r>
            <w:r>
              <w:rPr>
                <w:rFonts w:ascii="宋体" w:hAnsi="宋体" w:eastAsia="宋体" w:cs="宋体"/>
                <w:color w:val="auto"/>
                <w:sz w:val="24"/>
                <w:szCs w:val="24"/>
                <w:highlight w:val="none"/>
              </w:rPr>
              <w:t>产生，注塑废气的主要污染因子为非甲烷总烃、臭气浓度。</w:t>
            </w:r>
            <w:r>
              <w:rPr>
                <w:rFonts w:hint="eastAsia" w:ascii="宋体" w:hAnsi="宋体" w:eastAsia="宋体" w:cs="宋体"/>
                <w:color w:val="auto"/>
                <w:sz w:val="24"/>
                <w:szCs w:val="24"/>
                <w:highlight w:val="none"/>
              </w:rPr>
              <w:t>注塑</w:t>
            </w:r>
            <w:r>
              <w:rPr>
                <w:rFonts w:hint="eastAsia" w:ascii="宋体" w:hAnsi="宋体" w:cs="宋体"/>
                <w:color w:val="auto"/>
                <w:sz w:val="24"/>
                <w:szCs w:val="24"/>
                <w:highlight w:val="none"/>
                <w:lang w:val="en-US" w:eastAsia="zh-CN"/>
              </w:rPr>
              <w:t>过程会产生少量</w:t>
            </w:r>
            <w:r>
              <w:rPr>
                <w:rFonts w:hint="eastAsia" w:ascii="宋体" w:hAnsi="宋体" w:eastAsia="宋体" w:cs="宋体"/>
                <w:color w:val="auto"/>
                <w:sz w:val="24"/>
                <w:szCs w:val="24"/>
                <w:highlight w:val="none"/>
              </w:rPr>
              <w:t>氨气游离单体，产生量较少，</w:t>
            </w:r>
            <w:r>
              <w:rPr>
                <w:rFonts w:hint="eastAsia" w:ascii="宋体" w:hAnsi="宋体" w:cs="宋体"/>
                <w:color w:val="auto"/>
                <w:sz w:val="24"/>
                <w:szCs w:val="24"/>
                <w:highlight w:val="none"/>
                <w:lang w:val="en-US" w:eastAsia="zh-CN"/>
              </w:rPr>
              <w:t>仅作</w:t>
            </w:r>
            <w:r>
              <w:rPr>
                <w:rFonts w:hint="eastAsia" w:ascii="宋体" w:hAnsi="宋体" w:eastAsia="宋体" w:cs="宋体"/>
                <w:color w:val="auto"/>
                <w:sz w:val="24"/>
                <w:szCs w:val="24"/>
                <w:highlight w:val="none"/>
              </w:rPr>
              <w:t>定性分析</w:t>
            </w:r>
            <w:r>
              <w:rPr>
                <w:rFonts w:hint="eastAsia" w:ascii="宋体" w:hAnsi="宋体" w:cs="宋体"/>
                <w:color w:val="auto"/>
                <w:sz w:val="24"/>
                <w:szCs w:val="24"/>
                <w:highlight w:val="none"/>
                <w:lang w:eastAsia="zh-CN"/>
              </w:rPr>
              <w:t>。</w:t>
            </w:r>
          </w:p>
          <w:p w14:paraId="191BF4EC">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ascii="宋体" w:hAnsi="宋体" w:cs="宋体"/>
                <w:b/>
                <w:bCs/>
                <w:color w:val="auto"/>
                <w:sz w:val="24"/>
                <w:szCs w:val="24"/>
                <w:highlight w:val="none"/>
                <w:lang w:val="en-US" w:eastAsia="zh-CN"/>
              </w:rPr>
              <w:t>3.</w:t>
            </w:r>
            <w:r>
              <w:rPr>
                <w:rFonts w:ascii="宋体" w:hAnsi="宋体" w:eastAsia="宋体" w:cs="宋体"/>
                <w:b/>
                <w:bCs/>
                <w:color w:val="auto"/>
                <w:sz w:val="24"/>
                <w:szCs w:val="24"/>
                <w:highlight w:val="none"/>
              </w:rPr>
              <w:t>检验：</w:t>
            </w:r>
            <w:r>
              <w:rPr>
                <w:rFonts w:ascii="宋体" w:hAnsi="宋体" w:eastAsia="宋体" w:cs="宋体"/>
                <w:color w:val="auto"/>
                <w:sz w:val="24"/>
                <w:szCs w:val="24"/>
                <w:highlight w:val="none"/>
              </w:rPr>
              <w:t>对注塑成型后的产品进行人工检验，</w:t>
            </w:r>
            <w:r>
              <w:rPr>
                <w:rFonts w:hint="eastAsia"/>
                <w:color w:val="auto"/>
                <w:highlight w:val="none"/>
                <w:lang w:eastAsia="zh-CN"/>
              </w:rPr>
              <w:t>此</w:t>
            </w:r>
            <w:r>
              <w:rPr>
                <w:rFonts w:hint="eastAsia" w:ascii="宋体" w:hAnsi="宋体" w:eastAsia="宋体" w:cs="宋体"/>
                <w:color w:val="auto"/>
                <w:sz w:val="24"/>
                <w:szCs w:val="24"/>
                <w:highlight w:val="none"/>
                <w:lang w:eastAsia="zh-CN"/>
              </w:rPr>
              <w:t>工序产生塑料边角料及不合格品</w:t>
            </w:r>
            <w:r>
              <w:rPr>
                <w:rFonts w:ascii="宋体" w:hAnsi="宋体" w:eastAsia="宋体" w:cs="宋体"/>
                <w:color w:val="auto"/>
                <w:sz w:val="24"/>
                <w:szCs w:val="24"/>
                <w:highlight w:val="none"/>
              </w:rPr>
              <w:t>。</w:t>
            </w:r>
          </w:p>
          <w:p w14:paraId="14AFB995">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（4）生活用品</w:t>
            </w:r>
            <w:r>
              <w:rPr>
                <w:rFonts w:hint="default" w:ascii="Times New Roman" w:hAnsi="Times New Roman" w:eastAsia="宋体" w:cs="Times New Roman"/>
                <w:b/>
                <w:bCs/>
                <w:color w:val="auto"/>
                <w:highlight w:val="none"/>
                <w:lang w:val="en-US" w:eastAsia="zh-CN"/>
              </w:rPr>
              <w:t>工艺流程</w:t>
            </w:r>
          </w:p>
          <w:p w14:paraId="2FDF4BC6">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项目将塑料配件、布匹、金属配件、玻璃纤维增强塑料制品原料在4#车间进行组装后外售，此过程有废包装材料和噪声产生。</w:t>
            </w:r>
          </w:p>
          <w:p w14:paraId="73423463">
            <w:pPr>
              <w:numPr>
                <w:ilvl w:val="0"/>
                <w:numId w:val="9"/>
              </w:numPr>
              <w:tabs>
                <w:tab w:val="left" w:pos="0"/>
              </w:tabs>
              <w:adjustRightInd w:val="0"/>
              <w:snapToGrid w:val="0"/>
              <w:spacing w:line="360" w:lineRule="auto"/>
              <w:ind w:right="120" w:rightChars="50" w:firstLine="420" w:firstLineChars="0"/>
              <w:jc w:val="left"/>
              <w:rPr>
                <w:rFonts w:hint="eastAsia" w:cs="Times New Roman"/>
                <w:b w:val="0"/>
                <w:bCs w:val="0"/>
                <w:color w:val="auto"/>
                <w:highlight w:val="none"/>
                <w:lang w:val="en-US" w:eastAsia="zh-CN"/>
              </w:rPr>
            </w:pPr>
            <w:r>
              <w:rPr>
                <w:rFonts w:hint="eastAsia" w:cs="Times New Roman"/>
                <w:b/>
                <w:bCs/>
                <w:color w:val="auto"/>
                <w:highlight w:val="none"/>
                <w:lang w:val="en-US" w:eastAsia="zh-CN"/>
              </w:rPr>
              <w:t>碳纤维制冲压件工艺</w:t>
            </w:r>
            <w:r>
              <w:rPr>
                <w:rFonts w:hint="default" w:ascii="Times New Roman" w:hAnsi="Times New Roman" w:eastAsia="宋体" w:cs="Times New Roman"/>
                <w:b/>
                <w:bCs/>
                <w:color w:val="auto"/>
                <w:highlight w:val="none"/>
                <w:lang w:val="en-US" w:eastAsia="zh-CN"/>
              </w:rPr>
              <w:t>流程</w:t>
            </w:r>
          </w:p>
          <w:p w14:paraId="736EC761">
            <w:pPr>
              <w:numPr>
                <w:ilvl w:val="0"/>
                <w:numId w:val="0"/>
              </w:numPr>
              <w:tabs>
                <w:tab w:val="left" w:pos="0"/>
              </w:tabs>
              <w:adjustRightInd w:val="0"/>
              <w:snapToGrid w:val="0"/>
              <w:spacing w:line="360" w:lineRule="auto"/>
              <w:ind w:right="120" w:rightChars="50"/>
              <w:jc w:val="center"/>
              <w:rPr>
                <w:rFonts w:hint="eastAsia" w:cs="Times New Roman"/>
                <w:b w:val="0"/>
                <w:bCs w:val="0"/>
                <w:color w:val="auto"/>
                <w:highlight w:val="none"/>
                <w:lang w:val="en-US" w:eastAsia="zh-CN"/>
              </w:rPr>
            </w:pPr>
            <w:r>
              <w:rPr>
                <w:rFonts w:hint="default" w:ascii="Times New Roman" w:hAnsi="Times New Roman" w:eastAsia="宋体" w:cs="Times New Roman"/>
                <w:b/>
                <w:bCs/>
                <w:color w:val="auto"/>
                <w:highlight w:val="none"/>
                <w:lang w:val="en-US" w:eastAsia="zh-CN"/>
              </w:rPr>
              <w:br w:type="textWrapping"/>
            </w:r>
            <w:r>
              <w:rPr>
                <w:color w:val="auto"/>
                <w:sz w:val="24"/>
                <w:highlight w:val="none"/>
              </w:rPr>
              <mc:AlternateContent>
                <mc:Choice Requires="wpc">
                  <w:drawing>
                    <wp:inline distT="0" distB="0" distL="0" distR="0">
                      <wp:extent cx="4963795" cy="4637405"/>
                      <wp:effectExtent l="0" t="0" r="8255" b="10795"/>
                      <wp:docPr id="1033" name="画布 326"/>
                      <wp:cNvGraphicFramePr/>
                      <a:graphic xmlns:a="http://schemas.openxmlformats.org/drawingml/2006/main">
                        <a:graphicData uri="http://schemas.microsoft.com/office/word/2010/wordprocessingCanvas">
                          <wpc:wpc>
                            <wpc:bg/>
                            <wpc:whole/>
                            <pic:pic xmlns:pic="http://schemas.openxmlformats.org/drawingml/2006/picture">
                              <pic:nvPicPr>
                                <pic:cNvPr id="6" name="Image"/>
                                <pic:cNvPicPr/>
                              </pic:nvPicPr>
                              <pic:blipFill>
                                <a:blip r:embed="rId25" cstate="print"/>
                                <a:srcRect/>
                                <a:stretch>
                                  <a:fillRect/>
                                </a:stretch>
                              </pic:blipFill>
                              <pic:spPr>
                                <a:xfrm>
                                  <a:off x="1290955" y="0"/>
                                  <a:ext cx="2669538" cy="4637405"/>
                                </a:xfrm>
                                <a:prstGeom prst="rect">
                                  <a:avLst/>
                                </a:prstGeom>
                                <a:ln>
                                  <a:noFill/>
                                </a:ln>
                              </pic:spPr>
                            </pic:pic>
                            <wpg:wgp>
                              <wpg:cNvPr id="1" name="组合 1"/>
                              <wpg:cNvGrpSpPr/>
                              <wpg:grpSpPr>
                                <a:xfrm>
                                  <a:off x="1287780" y="571500"/>
                                  <a:ext cx="899793" cy="3460750"/>
                                  <a:chOff x="283" y="545"/>
                                  <a:chExt cx="1417" cy="5450"/>
                                </a:xfrm>
                              </wpg:grpSpPr>
                              <wps:wsp>
                                <wps:cNvPr id="2" name="矩形 2"/>
                                <wps:cNvSpPr/>
                                <wps:spPr>
                                  <a:xfrm>
                                    <a:off x="482" y="5586"/>
                                    <a:ext cx="1023" cy="409"/>
                                  </a:xfrm>
                                  <a:prstGeom prst="rect">
                                    <a:avLst/>
                                  </a:prstGeom>
                                  <a:ln w="6350" cap="flat" cmpd="sng">
                                    <a:solidFill>
                                      <a:srgbClr val="000000"/>
                                    </a:solidFill>
                                    <a:prstDash val="solid"/>
                                    <a:round/>
                                    <a:headEnd type="none" w="med" len="med"/>
                                    <a:tailEnd type="none" w="med" len="med"/>
                                  </a:ln>
                                </wps:spPr>
                                <wps:txbx>
                                  <w:txbxContent>
                                    <w:p w14:paraId="7199DF2F"/>
                                  </w:txbxContent>
                                </wps:txbx>
                                <wps:bodyPr vert="horz" wrap="square" lIns="91440" tIns="45720" rIns="91440" bIns="45720" anchor="t">
                                  <a:noAutofit/>
                                </wps:bodyPr>
                              </wps:wsp>
                              <wps:wsp>
                                <wps:cNvPr id="3" name="矩形 3"/>
                                <wps:cNvSpPr/>
                                <wps:spPr>
                                  <a:xfrm>
                                    <a:off x="476" y="4765"/>
                                    <a:ext cx="1023" cy="409"/>
                                  </a:xfrm>
                                  <a:prstGeom prst="rect">
                                    <a:avLst/>
                                  </a:prstGeom>
                                  <a:ln w="6350" cap="flat" cmpd="sng">
                                    <a:solidFill>
                                      <a:srgbClr val="000000"/>
                                    </a:solidFill>
                                    <a:prstDash val="solid"/>
                                    <a:round/>
                                    <a:headEnd type="none" w="med" len="med"/>
                                    <a:tailEnd type="none" w="med" len="med"/>
                                  </a:ln>
                                </wps:spPr>
                                <wps:txbx>
                                  <w:txbxContent>
                                    <w:p w14:paraId="0875D954"/>
                                  </w:txbxContent>
                                </wps:txbx>
                                <wps:bodyPr vert="horz" wrap="square" lIns="91440" tIns="45720" rIns="91440" bIns="45720" anchor="t">
                                  <a:noAutofit/>
                                </wps:bodyPr>
                              </wps:wsp>
                              <wps:wsp>
                                <wps:cNvPr id="4" name="矩形 4"/>
                                <wps:cNvSpPr/>
                                <wps:spPr>
                                  <a:xfrm>
                                    <a:off x="485" y="3077"/>
                                    <a:ext cx="1023" cy="409"/>
                                  </a:xfrm>
                                  <a:prstGeom prst="rect">
                                    <a:avLst/>
                                  </a:prstGeom>
                                  <a:ln w="6350" cap="flat" cmpd="sng">
                                    <a:solidFill>
                                      <a:srgbClr val="000000"/>
                                    </a:solidFill>
                                    <a:prstDash val="solid"/>
                                    <a:round/>
                                    <a:headEnd type="none" w="med" len="med"/>
                                    <a:tailEnd type="none" w="med" len="med"/>
                                  </a:ln>
                                </wps:spPr>
                                <wps:txbx>
                                  <w:txbxContent>
                                    <w:p w14:paraId="416A153C"/>
                                  </w:txbxContent>
                                </wps:txbx>
                                <wps:bodyPr vert="horz" wrap="square" lIns="91440" tIns="45720" rIns="91440" bIns="45720" anchor="t">
                                  <a:noAutofit/>
                                </wps:bodyPr>
                              </wps:wsp>
                              <wps:wsp>
                                <wps:cNvPr id="5" name="矩形 5"/>
                                <wps:cNvSpPr/>
                                <wps:spPr>
                                  <a:xfrm>
                                    <a:off x="425" y="545"/>
                                    <a:ext cx="1118" cy="409"/>
                                  </a:xfrm>
                                  <a:prstGeom prst="rect">
                                    <a:avLst/>
                                  </a:prstGeom>
                                  <a:ln w="6350" cap="flat" cmpd="sng">
                                    <a:solidFill>
                                      <a:srgbClr val="000000"/>
                                    </a:solidFill>
                                    <a:prstDash val="solid"/>
                                    <a:round/>
                                    <a:headEnd type="none" w="med" len="med"/>
                                    <a:tailEnd type="none" w="med" len="med"/>
                                  </a:ln>
                                </wps:spPr>
                                <wps:txbx>
                                  <w:txbxContent>
                                    <w:p w14:paraId="2F6BD229"/>
                                  </w:txbxContent>
                                </wps:txbx>
                                <wps:bodyPr vert="horz" wrap="square" lIns="91440" tIns="45720" rIns="91440" bIns="45720" anchor="t">
                                  <a:noAutofit/>
                                </wps:bodyPr>
                              </wps:wsp>
                              <wps:wsp>
                                <wps:cNvPr id="7" name="矩形 7"/>
                                <wps:cNvSpPr/>
                                <wps:spPr>
                                  <a:xfrm>
                                    <a:off x="283" y="1434"/>
                                    <a:ext cx="1417" cy="409"/>
                                  </a:xfrm>
                                  <a:prstGeom prst="rect">
                                    <a:avLst/>
                                  </a:prstGeom>
                                  <a:ln w="6350" cap="flat" cmpd="sng">
                                    <a:solidFill>
                                      <a:srgbClr val="000000"/>
                                    </a:solidFill>
                                    <a:prstDash val="solid"/>
                                    <a:round/>
                                    <a:headEnd type="none" w="med" len="med"/>
                                    <a:tailEnd type="none" w="med" len="med"/>
                                  </a:ln>
                                </wps:spPr>
                                <wps:txbx>
                                  <w:txbxContent>
                                    <w:p w14:paraId="101928A5"/>
                                  </w:txbxContent>
                                </wps:txbx>
                                <wps:bodyPr vert="horz" wrap="square" lIns="91440" tIns="45720" rIns="91440" bIns="45720" anchor="t">
                                  <a:noAutofit/>
                                </wps:bodyPr>
                              </wps:wsp>
                              <wps:wsp>
                                <wps:cNvPr id="8" name="矩形 8"/>
                                <wps:cNvSpPr/>
                                <wps:spPr>
                                  <a:xfrm>
                                    <a:off x="491" y="2260"/>
                                    <a:ext cx="1062" cy="409"/>
                                  </a:xfrm>
                                  <a:prstGeom prst="rect">
                                    <a:avLst/>
                                  </a:prstGeom>
                                  <a:ln w="6350" cap="flat" cmpd="sng">
                                    <a:solidFill>
                                      <a:srgbClr val="000000"/>
                                    </a:solidFill>
                                    <a:prstDash val="solid"/>
                                    <a:round/>
                                    <a:headEnd type="none" w="med" len="med"/>
                                    <a:tailEnd type="none" w="med" len="med"/>
                                  </a:ln>
                                </wps:spPr>
                                <wps:txbx>
                                  <w:txbxContent>
                                    <w:p w14:paraId="31AF4FF5"/>
                                  </w:txbxContent>
                                </wps:txbx>
                                <wps:bodyPr vert="horz" wrap="square" lIns="91440" tIns="45720" rIns="91440" bIns="45720" anchor="t">
                                  <a:noAutofit/>
                                </wps:bodyPr>
                              </wps:wsp>
                              <wps:wsp>
                                <wps:cNvPr id="9" name="矩形 9"/>
                                <wps:cNvSpPr/>
                                <wps:spPr>
                                  <a:xfrm>
                                    <a:off x="450" y="3938"/>
                                    <a:ext cx="1023" cy="409"/>
                                  </a:xfrm>
                                  <a:prstGeom prst="rect">
                                    <a:avLst/>
                                  </a:prstGeom>
                                  <a:ln w="6350" cap="flat" cmpd="sng">
                                    <a:solidFill>
                                      <a:srgbClr val="000000"/>
                                    </a:solidFill>
                                    <a:prstDash val="solid"/>
                                    <a:round/>
                                    <a:headEnd type="none" w="med" len="med"/>
                                    <a:tailEnd type="none" w="med" len="med"/>
                                  </a:ln>
                                </wps:spPr>
                                <wps:txbx>
                                  <w:txbxContent>
                                    <w:p w14:paraId="0CDA5FD0"/>
                                  </w:txbxContent>
                                </wps:txbx>
                                <wps:bodyPr vert="horz" wrap="square" lIns="91440" tIns="45720" rIns="91440" bIns="45720" anchor="t">
                                  <a:noAutofit/>
                                </wps:bodyPr>
                              </wps:wsp>
                            </wpg:wgp>
                            <wps:wsp>
                              <wps:cNvPr id="10" name="矩形 10"/>
                              <wps:cNvSpPr/>
                              <wps:spPr>
                                <a:xfrm>
                                  <a:off x="0" y="0"/>
                                  <a:ext cx="4924423" cy="467360"/>
                                </a:xfrm>
                                <a:prstGeom prst="rect">
                                  <a:avLst/>
                                </a:prstGeom>
                                <a:solidFill>
                                  <a:srgbClr val="FFFFFF"/>
                                </a:solidFill>
                                <a:ln>
                                  <a:noFill/>
                                </a:ln>
                              </wps:spPr>
                              <wps:txbx>
                                <w:txbxContent>
                                  <w:p w14:paraId="1247032F">
                                    <w:pPr>
                                      <w:ind w:firstLine="723" w:firstLineChars="300"/>
                                      <w:rPr>
                                        <w:rFonts w:hint="default" w:eastAsia="宋体"/>
                                        <w:b/>
                                        <w:bCs/>
                                        <w:lang w:val="en-US" w:eastAsia="zh-CN"/>
                                      </w:rPr>
                                    </w:pPr>
                                    <w:r>
                                      <w:rPr>
                                        <w:rFonts w:hint="eastAsia"/>
                                        <w:b/>
                                        <w:bCs/>
                                        <w:lang w:val="en-US" w:eastAsia="zh-CN"/>
                                      </w:rPr>
                                      <w:t xml:space="preserve">原料        工艺         产污                            </w:t>
                                    </w:r>
                                  </w:p>
                                </w:txbxContent>
                              </wps:txbx>
                              <wps:bodyPr vert="horz" wrap="square" lIns="91440" tIns="45720" rIns="91440" bIns="45720" anchor="t">
                                <a:noAutofit/>
                              </wps:bodyPr>
                            </wps:wsp>
                            <wpg:wgp>
                              <wpg:cNvPr id="11" name="组合 11"/>
                              <wpg:cNvGrpSpPr/>
                              <wpg:grpSpPr>
                                <a:xfrm>
                                  <a:off x="482598" y="482600"/>
                                  <a:ext cx="853438" cy="726440"/>
                                  <a:chOff x="0" y="950"/>
                                  <a:chExt cx="1344" cy="1144"/>
                                </a:xfrm>
                              </wpg:grpSpPr>
                              <wps:wsp>
                                <wps:cNvPr id="12" name="矩形 12"/>
                                <wps:cNvSpPr/>
                                <wps:spPr>
                                  <a:xfrm>
                                    <a:off x="0" y="950"/>
                                    <a:ext cx="1066" cy="1144"/>
                                  </a:xfrm>
                                  <a:prstGeom prst="rect">
                                    <a:avLst/>
                                  </a:prstGeom>
                                  <a:ln>
                                    <a:noFill/>
                                  </a:ln>
                                </wps:spPr>
                                <wps:txbx>
                                  <w:txbxContent>
                                    <w:p w14:paraId="60DC873F">
                                      <w:pPr>
                                        <w:spacing w:line="240" w:lineRule="auto"/>
                                        <w:rPr>
                                          <w:rFonts w:hint="default" w:eastAsia="宋体"/>
                                          <w:sz w:val="21"/>
                                          <w:szCs w:val="21"/>
                                          <w:lang w:val="en-US" w:eastAsia="zh-CN"/>
                                        </w:rPr>
                                      </w:pPr>
                                      <w:r>
                                        <w:rPr>
                                          <w:rFonts w:hint="eastAsia"/>
                                          <w:sz w:val="21"/>
                                          <w:szCs w:val="21"/>
                                          <w:lang w:val="en-US" w:eastAsia="zh-CN"/>
                                        </w:rPr>
                                        <w:t>预浸碳纤维预浸料</w:t>
                                      </w:r>
                                    </w:p>
                                  </w:txbxContent>
                                </wps:txbx>
                                <wps:bodyPr vert="horz" wrap="square" lIns="91440" tIns="45720" rIns="91440" bIns="45720" anchor="t">
                                  <a:noAutofit/>
                                </wps:bodyPr>
                              </wps:wsp>
                              <wps:wsp>
                                <wps:cNvPr id="13" name="直接箭头连接符 13"/>
                                <wps:cNvCnPr/>
                                <wps:spPr>
                                  <a:xfrm flipV="1">
                                    <a:off x="1004" y="1236"/>
                                    <a:ext cx="340" cy="0"/>
                                  </a:xfrm>
                                  <a:prstGeom prst="straightConnector1">
                                    <a:avLst/>
                                  </a:prstGeom>
                                  <a:ln w="3175" cap="flat" cmpd="sng">
                                    <a:solidFill>
                                      <a:srgbClr val="000000"/>
                                    </a:solidFill>
                                    <a:prstDash val="solid"/>
                                    <a:miter/>
                                    <a:headEnd type="none" w="med" len="med"/>
                                    <a:tailEnd type="arrow" w="med" len="med"/>
                                  </a:ln>
                                </wps:spPr>
                                <wps:bodyPr/>
                              </wps:wsp>
                            </wpg:wgp>
                            <wps:wsp>
                              <wps:cNvPr id="14" name="矩形 14"/>
                              <wps:cNvSpPr/>
                              <wps:spPr>
                                <a:xfrm>
                                  <a:off x="2282188" y="3133090"/>
                                  <a:ext cx="1585595" cy="380365"/>
                                </a:xfrm>
                                <a:prstGeom prst="rect">
                                  <a:avLst/>
                                </a:prstGeom>
                                <a:solidFill>
                                  <a:srgbClr val="FFFFFF"/>
                                </a:solidFill>
                                <a:ln>
                                  <a:noFill/>
                                </a:ln>
                              </wps:spPr>
                              <wps:txbx>
                                <w:txbxContent>
                                  <w:p w14:paraId="6808EA5D">
                                    <w:pPr>
                                      <w:rPr>
                                        <w:rFonts w:hint="eastAsia" w:eastAsia="宋体"/>
                                        <w:sz w:val="20"/>
                                        <w:szCs w:val="20"/>
                                        <w:lang w:val="en-US" w:eastAsia="zh-CN"/>
                                      </w:rPr>
                                    </w:pPr>
                                    <w:r>
                                      <w:rPr>
                                        <w:rFonts w:hint="eastAsia"/>
                                        <w:sz w:val="20"/>
                                        <w:szCs w:val="20"/>
                                        <w:lang w:val="en-US" w:eastAsia="zh-CN"/>
                                      </w:rPr>
                                      <w:t>粉尘、噪声、固废）</w:t>
                                    </w:r>
                                  </w:p>
                                </w:txbxContent>
                              </wps:txbx>
                              <wps:bodyPr vert="horz" wrap="square" lIns="0" tIns="45720" rIns="91440" bIns="45720" anchor="t">
                                <a:noAutofit/>
                              </wps:bodyPr>
                            </wps:wsp>
                            <wps:wsp>
                              <wps:cNvPr id="15" name="矩形 15"/>
                              <wps:cNvSpPr/>
                              <wps:spPr>
                                <a:xfrm>
                                  <a:off x="2298063" y="513715"/>
                                  <a:ext cx="1585595" cy="380365"/>
                                </a:xfrm>
                                <a:prstGeom prst="rect">
                                  <a:avLst/>
                                </a:prstGeom>
                                <a:solidFill>
                                  <a:srgbClr val="FFFFFF"/>
                                </a:solidFill>
                                <a:ln>
                                  <a:noFill/>
                                </a:ln>
                              </wps:spPr>
                              <wps:txbx>
                                <w:txbxContent>
                                  <w:p w14:paraId="00B13373">
                                    <w:pPr>
                                      <w:rPr>
                                        <w:rFonts w:hint="eastAsia" w:eastAsia="宋体"/>
                                        <w:sz w:val="20"/>
                                        <w:szCs w:val="20"/>
                                        <w:lang w:val="en-US" w:eastAsia="zh-CN"/>
                                      </w:rPr>
                                    </w:pPr>
                                    <w:r>
                                      <w:rPr>
                                        <w:rFonts w:hint="eastAsia"/>
                                        <w:sz w:val="20"/>
                                        <w:szCs w:val="20"/>
                                        <w:lang w:val="en-US" w:eastAsia="zh-CN"/>
                                      </w:rPr>
                                      <w:t>粉尘、噪声、固废）</w:t>
                                    </w:r>
                                  </w:p>
                                </w:txbxContent>
                              </wps:txbx>
                              <wps:bodyPr vert="horz" wrap="square" lIns="0" tIns="45720" rIns="91440" bIns="45720" anchor="t">
                                <a:noAutofit/>
                              </wps:bodyPr>
                            </wps:wsp>
                            <wps:wsp>
                              <wps:cNvPr id="16" name="矩形 16"/>
                              <wps:cNvSpPr/>
                              <wps:spPr>
                                <a:xfrm>
                                  <a:off x="2361563" y="1568450"/>
                                  <a:ext cx="1585595" cy="380364"/>
                                </a:xfrm>
                                <a:prstGeom prst="rect">
                                  <a:avLst/>
                                </a:prstGeom>
                                <a:solidFill>
                                  <a:srgbClr val="FFFFFF"/>
                                </a:solidFill>
                                <a:ln>
                                  <a:noFill/>
                                </a:ln>
                              </wps:spPr>
                              <wps:txbx>
                                <w:txbxContent>
                                  <w:p w14:paraId="29520864">
                                    <w:pPr>
                                      <w:rPr>
                                        <w:rFonts w:hint="eastAsia" w:eastAsia="宋体"/>
                                        <w:sz w:val="20"/>
                                        <w:szCs w:val="20"/>
                                        <w:lang w:val="en-US" w:eastAsia="zh-CN"/>
                                      </w:rPr>
                                    </w:pPr>
                                    <w:r>
                                      <w:rPr>
                                        <w:rFonts w:hint="eastAsia"/>
                                        <w:sz w:val="20"/>
                                        <w:szCs w:val="20"/>
                                        <w:lang w:val="en-US" w:eastAsia="zh-CN"/>
                                      </w:rPr>
                                      <w:t>有机废气、噪声、固废）</w:t>
                                    </w:r>
                                  </w:p>
                                </w:txbxContent>
                              </wps:txbx>
                              <wps:bodyPr vert="horz" wrap="square" lIns="0" tIns="45720" rIns="91440" bIns="45720" anchor="t">
                                <a:noAutofit/>
                              </wps:bodyPr>
                            </wps:wsp>
                            <wpg:wgp>
                              <wpg:cNvPr id="17" name="组合 17"/>
                              <wpg:cNvGrpSpPr/>
                              <wpg:grpSpPr>
                                <a:xfrm>
                                  <a:off x="387985" y="1651000"/>
                                  <a:ext cx="853440" cy="675640"/>
                                  <a:chOff x="0" y="1030"/>
                                  <a:chExt cx="1344" cy="1064"/>
                                </a:xfrm>
                              </wpg:grpSpPr>
                              <wps:wsp>
                                <wps:cNvPr id="18" name="矩形 12"/>
                                <wps:cNvSpPr/>
                                <wps:spPr>
                                  <a:xfrm>
                                    <a:off x="0" y="1030"/>
                                    <a:ext cx="1066" cy="1064"/>
                                  </a:xfrm>
                                  <a:prstGeom prst="rect">
                                    <a:avLst/>
                                  </a:prstGeom>
                                  <a:ln>
                                    <a:noFill/>
                                  </a:ln>
                                </wps:spPr>
                                <wps:txbx>
                                  <w:txbxContent>
                                    <w:p w14:paraId="14D9199F">
                                      <w:pPr>
                                        <w:spacing w:line="240" w:lineRule="auto"/>
                                        <w:rPr>
                                          <w:rFonts w:hint="default" w:eastAsia="宋体"/>
                                          <w:sz w:val="21"/>
                                          <w:szCs w:val="21"/>
                                          <w:lang w:val="en-US" w:eastAsia="zh-CN"/>
                                        </w:rPr>
                                      </w:pPr>
                                      <w:r>
                                        <w:rPr>
                                          <w:rFonts w:hint="eastAsia"/>
                                          <w:sz w:val="21"/>
                                          <w:szCs w:val="21"/>
                                          <w:lang w:val="en-US" w:eastAsia="zh-CN"/>
                                        </w:rPr>
                                        <w:t>脱模剂</w:t>
                                      </w:r>
                                    </w:p>
                                  </w:txbxContent>
                                </wps:txbx>
                                <wps:bodyPr vert="horz" wrap="square" lIns="91440" tIns="45720" rIns="91440" bIns="45720" anchor="t">
                                  <a:noAutofit/>
                                </wps:bodyPr>
                              </wps:wsp>
                              <wps:wsp>
                                <wps:cNvPr id="19" name="直接箭头连接符 13"/>
                                <wps:cNvCnPr/>
                                <wps:spPr>
                                  <a:xfrm flipV="1">
                                    <a:off x="1004" y="1236"/>
                                    <a:ext cx="340" cy="0"/>
                                  </a:xfrm>
                                  <a:prstGeom prst="straightConnector1">
                                    <a:avLst/>
                                  </a:prstGeom>
                                  <a:ln w="3175" cap="flat" cmpd="sng">
                                    <a:solidFill>
                                      <a:srgbClr val="000000"/>
                                    </a:solidFill>
                                    <a:prstDash val="solid"/>
                                    <a:miter/>
                                    <a:headEnd type="none" w="med" len="med"/>
                                    <a:tailEnd type="arrow" w="med" len="med"/>
                                  </a:ln>
                                </wps:spPr>
                                <wps:bodyPr/>
                              </wps:wsp>
                            </wpg:wgp>
                          </wpc:wpc>
                        </a:graphicData>
                      </a:graphic>
                    </wp:inline>
                  </w:drawing>
                </mc:Choice>
                <mc:Fallback>
                  <w:pict>
                    <v:group id="画布 326" o:spid="_x0000_s1026" o:spt="203" style="height:365.15pt;width:390.85pt;" coordsize="4963795,4637405" editas="canvas" o:gfxdata="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">
                      <o:lock v:ext="edit" aspectratio="f"/>
                      <v:shape id="画布 326" o:spid="_x0000_s1026" style="position:absolute;left:0;top:0;height:4637405;width:4963795;" filled="f" stroked="f" coordsize="21600,21600" o:gfxdata="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">
                        <v:fill on="f" focussize="0,0"/>
                        <v:stroke on="f"/>
                        <v:imagedata o:title=""/>
                        <o:lock v:ext="edit" aspectratio="f"/>
                      </v:shape>
                      <v:shape id="Image" o:spid="_x0000_s1026" o:spt="75" type="#_x0000_t75" style="position:absolute;left:1290955;top:0;height:4637405;width:2669538;" filled="f" o:preferrelative="t" stroked="f" coordsize="21600,21600" o:gfxdata="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">
                        <v:fill on="f" focussize="0,0"/>
                        <v:stroke on="f"/>
                        <v:imagedata r:id="rId25" o:title=""/>
                        <o:lock v:ext="edit" aspectratio="f"/>
                      </v:shape>
                      <v:group id="_x0000_s1026" o:spid="_x0000_s1026" o:spt="203" style="position:absolute;left:1287780;top:571500;height:3460750;width:899793;" coordorigin="283,545" coordsize="1417,5450"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EFVzKjW&#10;AAAABQEAAA8AAAAAAAAAAQAgAAAAIgAAAGRycy9kb3ducmV2LnhtbFBLAQIUABQAAAAIAIdO4kDO&#10;DBwveAMAAIEUAAAOAAAAAAAAAAEAIAAAACUBAABkcnMvZTJvRG9jLnhtbFBLBQYAAAAABgAGAFkB&#10;AAAPBwAAAAA=&#10;">
                        <o:lock v:ext="edit" aspectratio="f"/>
                        <v:rect id="_x0000_s1026" o:spid="_x0000_s1026" o:spt="1" style="position:absolute;left:482;top:5586;height:409;width:1023;" filled="f" stroked="t" coordsize="21600,21600" o:gfxdata="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RVXcugAAANo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textbox>
                            <w:txbxContent>
                              <w:p w14:paraId="7199DF2F"/>
                            </w:txbxContent>
                          </v:textbox>
                        </v:rect>
                        <v:rect id="_x0000_s1026" o:spid="_x0000_s1026" o:spt="1" style="position:absolute;left:476;top:4765;height:409;width:1023;" filled="f" stroked="t" coordsize="21600,21600" o:gfxdata="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kJ8Ee5AAAA2g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textbox>
                            <w:txbxContent>
                              <w:p w14:paraId="0875D954"/>
                            </w:txbxContent>
                          </v:textbox>
                        </v:rect>
                        <v:rect id="_x0000_s1026" o:spid="_x0000_s1026" o:spt="1" style="position:absolute;left:485;top:3077;height:409;width:1023;" filled="f" stroked="t" coordsize="21600,21600" o:gfxdata="UEsDBAoAAAAAAIdO4kAAAAAAAAAAAAAAAAAEAAAAZHJzL1BLAwQUAAAACACHTuJAxuBoM7sAAADa&#10;AAAADwAAAGRycy9kb3ducmV2LnhtbEWPzWrDMBCE74G+g9hCL6GRf0o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BoM7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416A153C"/>
                            </w:txbxContent>
                          </v:textbox>
                        </v:rect>
                        <v:rect id="_x0000_s1026" o:spid="_x0000_s1026" o:spt="1" style="position:absolute;left:425;top:545;height:409;width:1118;" filled="f" stroked="t" coordsize="21600,21600" o:gfxdata="UEsDBAoAAAAAAIdO4kAAAAAAAAAAAAAAAAAEAAAAZHJzL1BLAwQUAAAACACHTuJAqazNqLsAAADa&#10;AAAADwAAAGRycy9kb3ducmV2LnhtbEWPzWrDMBCE74G+g9hCL6GRf2g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zNqL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2F6BD229"/>
                            </w:txbxContent>
                          </v:textbox>
                        </v:rect>
                        <v:rect id="_x0000_s1026" o:spid="_x0000_s1026" o:spt="1" style="position:absolute;left:283;top:1434;height:409;width:1417;" filled="f" stroked="t" coordsize="21600,21600" o:gfxdata="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jL2RL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101928A5"/>
                            </w:txbxContent>
                          </v:textbox>
                        </v:rect>
                        <v:rect id="_x0000_s1026" o:spid="_x0000_s1026" o:spt="1" style="position:absolute;left:491;top:2260;height:409;width:1062;" filled="f" stroked="t" coordsize="21600,21600" o:gfxdata="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rWI2twAAANoAAAAP&#10;AAAAAAAAAAEAIAAAACIAAABkcnMvZG93bnJldi54bWxQSwECFAAUAAAACACHTuJAMy8FnjsAAAA5&#10;AAAAEAAAAAAAAAABACAAAAAGAQAAZHJzL3NoYXBleG1sLnhtbFBLBQYAAAAABgAGAFsBAACwAwAA&#10;AAA=&#10;">
                          <v:fill on="f" focussize="0,0"/>
                          <v:stroke weight="0.5pt" color="#000000" joinstyle="round"/>
                          <v:imagedata o:title=""/>
                          <o:lock v:ext="edit" aspectratio="f"/>
                          <v:textbox>
                            <w:txbxContent>
                              <w:p w14:paraId="31AF4FF5"/>
                            </w:txbxContent>
                          </v:textbox>
                        </v:rect>
                        <v:rect id="_x0000_s1026" o:spid="_x0000_s1026" o:spt="1" style="position:absolute;left:450;top:3938;height:409;width:1023;" filled="f" stroked="t" coordsize="21600,21600" o:gfxdata="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OHHrb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0CDA5FD0"/>
                            </w:txbxContent>
                          </v:textbox>
                        </v:rect>
                      </v:group>
                      <v:rect id="_x0000_s1026" o:spid="_x0000_s1026" o:spt="1" style="position:absolute;left:0;top:0;height:467360;width:4924423;" fillcolor="#FFFFFF" filled="t" stroked="f" coordsize="21600,21600" o:gfxdata="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ddY&#10;WNQAAAAFAQAADwAAAAAAAAABACAAAAAiAAAAZHJzL2Rvd25yZXYueG1sUEsBAhQAFAAAAAgAh07i&#10;QKCwZr7tAQAA0wMAAA4AAAAAAAAAAQAgAAAAIwEAAGRycy9lMm9Eb2MueG1sUEsFBgAAAAAGAAYA&#10;WQEAAIIFAAAAAA==&#10;">
                        <v:fill on="t" focussize="0,0"/>
                        <v:stroke on="f"/>
                        <v:imagedata o:title=""/>
                        <o:lock v:ext="edit" aspectratio="f"/>
                        <v:textbox>
                          <w:txbxContent>
                            <w:p w14:paraId="1247032F">
                              <w:pPr>
                                <w:ind w:firstLine="723" w:firstLineChars="300"/>
                                <w:rPr>
                                  <w:rFonts w:hint="default" w:eastAsia="宋体"/>
                                  <w:b/>
                                  <w:bCs/>
                                  <w:lang w:val="en-US" w:eastAsia="zh-CN"/>
                                </w:rPr>
                              </w:pPr>
                              <w:r>
                                <w:rPr>
                                  <w:rFonts w:hint="eastAsia"/>
                                  <w:b/>
                                  <w:bCs/>
                                  <w:lang w:val="en-US" w:eastAsia="zh-CN"/>
                                </w:rPr>
                                <w:t xml:space="preserve">原料        工艺         产污                            </w:t>
                              </w:r>
                            </w:p>
                          </w:txbxContent>
                        </v:textbox>
                      </v:rect>
                      <v:group id="_x0000_s1026" o:spid="_x0000_s1026" o:spt="203" style="position:absolute;left:482598;top:482600;height:726440;width:853438;" coordorigin="0,950" coordsize="1344,1144"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EFVzKjWAAAABQEAAA8AAAAAAAAAAQAgAAAAIgAAAGRycy9kb3ducmV2Lnht&#10;bFBLAQIUABQAAAAIAIdO4kCJebtZGAMAAPoGAAAOAAAAAAAAAAEAIAAAACUBAABkcnMvZTJvRG9j&#10;LnhtbFBLBQYAAAAABgAGAFkBAACvBgAAAAA=&#10;">
                        <o:lock v:ext="edit" aspectratio="f"/>
                        <v:rect id="_x0000_s1026" o:spid="_x0000_s1026" o:spt="1" style="position:absolute;left:0;top:950;height:1144;width:1066;" filled="f" stroked="f" coordsize="21600,21600" o:gfxdata="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oZ/8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60DC873F">
                                <w:pPr>
                                  <w:spacing w:line="240" w:lineRule="auto"/>
                                  <w:rPr>
                                    <w:rFonts w:hint="default" w:eastAsia="宋体"/>
                                    <w:sz w:val="21"/>
                                    <w:szCs w:val="21"/>
                                    <w:lang w:val="en-US" w:eastAsia="zh-CN"/>
                                  </w:rPr>
                                </w:pPr>
                                <w:r>
                                  <w:rPr>
                                    <w:rFonts w:hint="eastAsia"/>
                                    <w:sz w:val="21"/>
                                    <w:szCs w:val="21"/>
                                    <w:lang w:val="en-US" w:eastAsia="zh-CN"/>
                                  </w:rPr>
                                  <w:t>预浸碳纤维预浸料</w:t>
                                </w:r>
                              </w:p>
                            </w:txbxContent>
                          </v:textbox>
                        </v:rect>
                        <v:shape id="_x0000_s1026" o:spid="_x0000_s1026" o:spt="32" type="#_x0000_t32" style="position:absolute;left:1004;top:1236;flip:y;height:0;width:340;" filled="f" stroked="t" coordsize="21600,21600" o:gfxdata="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ZNRx25AAAA2wAA&#10;AA8AAAAAAAAAAQAgAAAAIgAAAGRycy9kb3ducmV2LnhtbFBLAQIUABQAAAAIAIdO4kAzLwWeOwAA&#10;ADkAAAAQAAAAAAAAAAEAIAAAAAgBAABkcnMvc2hhcGV4bWwueG1sUEsFBgAAAAAGAAYAWwEAALID&#10;AAAAAA==&#10;">
                          <v:fill on="f" focussize="0,0"/>
                          <v:stroke weight="0.25pt" color="#000000" joinstyle="miter" endarrow="open"/>
                          <v:imagedata o:title=""/>
                          <o:lock v:ext="edit" aspectratio="f"/>
                        </v:shape>
                      </v:group>
                      <v:rect id="_x0000_s1026" o:spid="_x0000_s1026" o:spt="1" style="position:absolute;left:2282188;top:3133090;height:380365;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txtA1AAAAAUBAAAPAAAAAAAAAAEAIAAAACIAAABkcnMvZG93bnJldi54bWxQSwEC&#10;FAAUAAAACACHTuJAJllGdPgBAADbAwAADgAAAAAAAAABACAAAAAjAQAAZHJzL2Uyb0RvYy54bWxQ&#10;SwUGAAAAAAYABgBZAQAAjQUAAAAA&#10;">
                        <v:fill on="t" focussize="0,0"/>
                        <v:stroke on="f"/>
                        <v:imagedata o:title=""/>
                        <o:lock v:ext="edit" aspectratio="f"/>
                        <v:textbox inset="0mm,1.27mm,2.54mm,1.27mm">
                          <w:txbxContent>
                            <w:p w14:paraId="6808EA5D">
                              <w:pPr>
                                <w:rPr>
                                  <w:rFonts w:hint="eastAsia" w:eastAsia="宋体"/>
                                  <w:sz w:val="20"/>
                                  <w:szCs w:val="20"/>
                                  <w:lang w:val="en-US" w:eastAsia="zh-CN"/>
                                </w:rPr>
                              </w:pPr>
                              <w:r>
                                <w:rPr>
                                  <w:rFonts w:hint="eastAsia"/>
                                  <w:sz w:val="20"/>
                                  <w:szCs w:val="20"/>
                                  <w:lang w:val="en-US" w:eastAsia="zh-CN"/>
                                </w:rPr>
                                <w:t>粉尘、噪声、固废）</w:t>
                              </w:r>
                            </w:p>
                          </w:txbxContent>
                        </v:textbox>
                      </v:rect>
                      <v:rect id="_x0000_s1026" o:spid="_x0000_s1026" o:spt="1" style="position:absolute;left:2298063;top:513715;height:380365;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q3G0DUAAAABQEAAA8AAAAAAAAAAQAgAAAAIgAAAGRycy9kb3ducmV2LnhtbFBL&#10;AQIUABQAAAAIAIdO4kDX3g5h+gEAANoDAAAOAAAAAAAAAAEAIAAAACMBAABkcnMvZTJvRG9jLnht&#10;bFBLBQYAAAAABgAGAFkBAACPBQAAAAA=&#10;">
                        <v:fill on="t" focussize="0,0"/>
                        <v:stroke on="f"/>
                        <v:imagedata o:title=""/>
                        <o:lock v:ext="edit" aspectratio="f"/>
                        <v:textbox inset="0mm,1.27mm,2.54mm,1.27mm">
                          <w:txbxContent>
                            <w:p w14:paraId="00B13373">
                              <w:pPr>
                                <w:rPr>
                                  <w:rFonts w:hint="eastAsia" w:eastAsia="宋体"/>
                                  <w:sz w:val="20"/>
                                  <w:szCs w:val="20"/>
                                  <w:lang w:val="en-US" w:eastAsia="zh-CN"/>
                                </w:rPr>
                              </w:pPr>
                              <w:r>
                                <w:rPr>
                                  <w:rFonts w:hint="eastAsia"/>
                                  <w:sz w:val="20"/>
                                  <w:szCs w:val="20"/>
                                  <w:lang w:val="en-US" w:eastAsia="zh-CN"/>
                                </w:rPr>
                                <w:t>粉尘、噪声、固废）</w:t>
                              </w:r>
                            </w:p>
                          </w:txbxContent>
                        </v:textbox>
                      </v:rect>
                      <v:rect id="_x0000_s1026" o:spid="_x0000_s1026" o:spt="1" style="position:absolute;left:2361563;top:1568450;height:380364;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txtA1AAAAAUBAAAPAAAAAAAAAAEAIAAAACIAAABkcnMvZG93bnJldi54bWxQSwEC&#10;FAAUAAAACACHTuJARImG9/gBAADbAwAADgAAAAAAAAABACAAAAAjAQAAZHJzL2Uyb0RvYy54bWxQ&#10;SwUGAAAAAAYABgBZAQAAjQUAAAAA&#10;">
                        <v:fill on="t" focussize="0,0"/>
                        <v:stroke on="f"/>
                        <v:imagedata o:title=""/>
                        <o:lock v:ext="edit" aspectratio="f"/>
                        <v:textbox inset="0mm,1.27mm,2.54mm,1.27mm">
                          <w:txbxContent>
                            <w:p w14:paraId="29520864">
                              <w:pPr>
                                <w:rPr>
                                  <w:rFonts w:hint="eastAsia" w:eastAsia="宋体"/>
                                  <w:sz w:val="20"/>
                                  <w:szCs w:val="20"/>
                                  <w:lang w:val="en-US" w:eastAsia="zh-CN"/>
                                </w:rPr>
                              </w:pPr>
                              <w:r>
                                <w:rPr>
                                  <w:rFonts w:hint="eastAsia"/>
                                  <w:sz w:val="20"/>
                                  <w:szCs w:val="20"/>
                                  <w:lang w:val="en-US" w:eastAsia="zh-CN"/>
                                </w:rPr>
                                <w:t>有机废气、噪声、固废）</w:t>
                              </w:r>
                            </w:p>
                          </w:txbxContent>
                        </v:textbox>
                      </v:rect>
                      <v:group id="_x0000_s1026" o:spid="_x0000_s1026" o:spt="203" style="position:absolute;left:387985;top:1651000;height:675640;width:853440;" coordorigin="0,1030" coordsize="1344,1064"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BBVcyo1gAAAAUBAAAPAAAAAAAAAAEAIAAAACIAAABkcnMvZG93bnJldi54bWxQ&#10;SwECFAAUAAAACACHTuJAUjbM5xYDAAD9BgAADgAAAAAAAAABACAAAAAlAQAAZHJzL2Uyb0RvYy54&#10;bWxQSwUGAAAAAAYABgBZAQAArQYAAAAA&#10;">
                        <o:lock v:ext="edit" aspectratio="f"/>
                        <v:rect id="矩形 12" o:spid="_x0000_s1026" o:spt="1" style="position:absolute;left:0;top:1030;height:1064;width:1066;" filled="f" stroked="f" coordsize="21600,21600" o:gfxdata="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Sag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4D9199F">
                                <w:pPr>
                                  <w:spacing w:line="240" w:lineRule="auto"/>
                                  <w:rPr>
                                    <w:rFonts w:hint="default" w:eastAsia="宋体"/>
                                    <w:sz w:val="21"/>
                                    <w:szCs w:val="21"/>
                                    <w:lang w:val="en-US" w:eastAsia="zh-CN"/>
                                  </w:rPr>
                                </w:pPr>
                                <w:r>
                                  <w:rPr>
                                    <w:rFonts w:hint="eastAsia"/>
                                    <w:sz w:val="21"/>
                                    <w:szCs w:val="21"/>
                                    <w:lang w:val="en-US" w:eastAsia="zh-CN"/>
                                  </w:rPr>
                                  <w:t>脱模剂</w:t>
                                </w:r>
                              </w:p>
                            </w:txbxContent>
                          </v:textbox>
                        </v:rect>
                        <v:shape id="直接箭头连接符 13" o:spid="_x0000_s1026" o:spt="32" type="#_x0000_t32" style="position:absolute;left:1004;top:1236;flip:y;height:0;width:340;" filled="f" stroked="t" coordsize="21600,21600" o:gfxdata="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pXD3ugAAANsA&#10;AAAPAAAAAAAAAAEAIAAAACIAAABkcnMvZG93bnJldi54bWxQSwECFAAUAAAACACHTuJAMy8FnjsA&#10;AAA5AAAAEAAAAAAAAAABACAAAAAJAQAAZHJzL3NoYXBleG1sLnhtbFBLBQYAAAAABgAGAFsBAACz&#10;AwAAAAA=&#10;">
                          <v:fill on="f" focussize="0,0"/>
                          <v:stroke weight="0.25pt" color="#000000" joinstyle="miter" endarrow="open"/>
                          <v:imagedata o:title=""/>
                          <o:lock v:ext="edit" aspectratio="f"/>
                        </v:shape>
                      </v:group>
                      <w10:wrap type="none"/>
                      <w10:anchorlock/>
                    </v:group>
                  </w:pict>
                </mc:Fallback>
              </mc:AlternateContent>
            </w:r>
          </w:p>
          <w:p w14:paraId="45BD04B3">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碳纤维冲压件</w:t>
            </w:r>
            <w:r>
              <w:rPr>
                <w:rFonts w:hint="default" w:ascii="Times New Roman" w:hAnsi="Times New Roman" w:cs="Times New Roman"/>
                <w:b/>
                <w:bCs/>
                <w:color w:val="auto"/>
                <w:sz w:val="24"/>
                <w:szCs w:val="24"/>
                <w:highlight w:val="none"/>
              </w:rPr>
              <w:t>生产工艺流程图</w:t>
            </w:r>
          </w:p>
          <w:p w14:paraId="65E0529B">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工艺流程简述：</w:t>
            </w:r>
          </w:p>
          <w:p w14:paraId="2EDBA1FA">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本项目采用碳纤维预浸料模压成型工艺制备碳纤维冲压件。碳纤维冲压件成品一部分直接外售，另一部分需进行喷漆，其后续生产工序与碳纤维管产品生产一致，见碳纤维管生产工序，在此不赘述。以外购碳纤维预浸料为原料，经裁剪、叠层、预成型后，放入加热模具中，在高温（120～150℃）和高压（5～30 MPa）下一次压制成型，使树脂交联固化，获得高尺寸精度、高强度的结构件。该工艺具有成型周期短、适合批量生产、力学性能优异等特点，广泛应用于汽车、电子、体育器材等领域。全过程以物理加压与热固化为主，无化学合成反应。</w:t>
            </w:r>
          </w:p>
          <w:p w14:paraId="2A655095">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1. 裁剪下料</w:t>
            </w:r>
          </w:p>
          <w:p w14:paraId="18C23755">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外购碳纤维预浸料，使用自动裁布机将预浸料按相应尺寸裁剪开。此过程产生微量粉尘、设备噪声、碳纤维预浸料边角料。粉尘产生量少，仅做定性分析。</w:t>
            </w:r>
          </w:p>
          <w:p w14:paraId="4B422FF2">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2. 叠层铺放</w:t>
            </w:r>
          </w:p>
          <w:p w14:paraId="70691EFA">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将多层裁剪好的预浸料按设计角度手工叠放于托盘。无显著污染物产生（仅轻微挥发，可忽略）。</w:t>
            </w:r>
          </w:p>
          <w:p w14:paraId="0C43C816">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3. 预成型</w:t>
            </w:r>
          </w:p>
          <w:p w14:paraId="27CFCDBE">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sz w:val="24"/>
                <w:szCs w:val="24"/>
                <w:highlight w:val="none"/>
                <w:lang w:val="en-US" w:eastAsia="zh-CN"/>
              </w:rPr>
            </w:pPr>
            <w:r>
              <w:rPr>
                <w:rFonts w:hint="eastAsia" w:ascii="Times New Roman" w:hAnsi="Times New Roman" w:cs="Times New Roman"/>
                <w:b w:val="0"/>
                <w:bCs w:val="0"/>
                <w:color w:val="auto"/>
                <w:highlight w:val="none"/>
                <w:lang w:val="en-US" w:eastAsia="zh-CN"/>
              </w:rPr>
              <w:t>碳纤</w:t>
            </w:r>
            <w:r>
              <w:rPr>
                <w:rFonts w:hint="eastAsia" w:ascii="Times New Roman" w:hAnsi="Times New Roman" w:cs="Times New Roman"/>
                <w:b w:val="0"/>
                <w:bCs w:val="0"/>
                <w:color w:val="auto"/>
                <w:sz w:val="24"/>
                <w:szCs w:val="24"/>
                <w:highlight w:val="none"/>
                <w:lang w:val="en-US" w:eastAsia="zh-CN"/>
              </w:rPr>
              <w:t>维预浸料先在低温（65℃）模具中进行预压定型，便于后续入模。此过程主要产生有机废气、设备</w:t>
            </w:r>
            <w:r>
              <w:rPr>
                <w:rFonts w:hint="eastAsia" w:cs="Times New Roman"/>
                <w:b w:val="0"/>
                <w:bCs w:val="0"/>
                <w:color w:val="auto"/>
                <w:sz w:val="24"/>
                <w:szCs w:val="24"/>
                <w:highlight w:val="none"/>
                <w:lang w:val="en-US" w:eastAsia="zh-CN"/>
              </w:rPr>
              <w:t>运行噪声和废包装桶。</w:t>
            </w:r>
          </w:p>
          <w:p w14:paraId="347DF31E">
            <w:pPr>
              <w:keepNext w:val="0"/>
              <w:keepLines w:val="0"/>
              <w:pageBreakBefore w:val="0"/>
              <w:widowControl w:val="0"/>
              <w:numPr>
                <w:ilvl w:val="0"/>
                <w:numId w:val="1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热压成型</w:t>
            </w:r>
          </w:p>
          <w:p w14:paraId="4B16A46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将叠层料放入金属模具中，合模加压并保温保压（130℃、10 MPa、5～10 min），完成固化。此过程主要产生有机废气、设备运行噪声。</w:t>
            </w:r>
          </w:p>
          <w:p w14:paraId="15EC92D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 脱模取件</w:t>
            </w:r>
          </w:p>
          <w:p w14:paraId="5479F3E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开模后人工取出成品，模具清理后复用。</w:t>
            </w:r>
          </w:p>
          <w:p w14:paraId="42D9F78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 修边/冲孔（二次加工）</w:t>
            </w:r>
          </w:p>
          <w:p w14:paraId="069504F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使用CNC或冲床对制品边缘、孔位进行精整。此过程产生微量粉尘（仅做定性分析）、一般固废边角料以及设备运行噪声。</w:t>
            </w:r>
          </w:p>
          <w:p w14:paraId="25C8DC0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 检验包装</w:t>
            </w:r>
          </w:p>
          <w:p w14:paraId="72EDAD8D">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外观、尺寸检验，合格品装箱入库。产污环节：一般工业固废：不合格品、废包装材料；噪声：打包机运行噪声。</w:t>
            </w:r>
          </w:p>
          <w:p w14:paraId="4A1A248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 成品</w:t>
            </w:r>
          </w:p>
          <w:p w14:paraId="463FA1FE">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入库待售。</w:t>
            </w:r>
          </w:p>
          <w:p w14:paraId="3A4925BF">
            <w:pPr>
              <w:numPr>
                <w:ilvl w:val="0"/>
                <w:numId w:val="0"/>
              </w:numPr>
              <w:tabs>
                <w:tab w:val="left" w:pos="0"/>
              </w:tabs>
              <w:adjustRightInd w:val="0"/>
              <w:snapToGrid w:val="0"/>
              <w:spacing w:line="360" w:lineRule="auto"/>
              <w:ind w:right="120" w:rightChars="50" w:firstLine="480" w:firstLineChars="200"/>
              <w:rPr>
                <w:rFonts w:hint="eastAsia" w:cs="Times New Roman"/>
                <w:b/>
                <w:bCs/>
                <w:color w:val="auto"/>
                <w:highlight w:val="none"/>
                <w:lang w:val="en-US" w:eastAsia="zh-CN"/>
              </w:rPr>
            </w:pPr>
            <w:r>
              <w:rPr>
                <w:rFonts w:hint="eastAsia" w:cs="Times New Roman"/>
                <w:b/>
                <w:bCs/>
                <w:color w:val="auto"/>
                <w:highlight w:val="none"/>
                <w:lang w:val="en-US" w:eastAsia="zh-CN"/>
              </w:rPr>
              <w:t>（6）碳纤维管工艺流程</w:t>
            </w:r>
          </w:p>
          <w:p w14:paraId="5CBB36B5">
            <w:pPr>
              <w:pStyle w:val="16"/>
              <w:pageBreakBefore w:val="0"/>
              <w:kinsoku/>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6" o:spt="75" type="#_x0000_t75" style="height:510pt;width:300pt;" o:ole="t" filled="f" o:preferrelative="t" stroked="f" coordsize="21600,21600">
                  <v:path/>
                  <v:fill on="f" focussize="0,0"/>
                  <v:stroke on="f"/>
                  <v:imagedata r:id="rId27" o:title=""/>
                  <o:lock v:ext="edit" aspectratio="t"/>
                  <w10:wrap type="none"/>
                  <w10:anchorlock/>
                </v:shape>
                <o:OLEObject Type="Embed" ProgID="Visio.Drawing.11" ShapeID="_x0000_i1026" DrawAspect="Content" ObjectID="_1468075726" r:id="rId26">
                  <o:LockedField>false</o:LockedField>
                </o:OLEObject>
              </w:object>
            </w:r>
          </w:p>
          <w:p w14:paraId="73C83C56">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碳纤维管</w:t>
            </w:r>
            <w:r>
              <w:rPr>
                <w:rFonts w:hint="default" w:ascii="Times New Roman" w:hAnsi="Times New Roman" w:cs="Times New Roman"/>
                <w:b/>
                <w:bCs/>
                <w:color w:val="auto"/>
                <w:sz w:val="24"/>
                <w:szCs w:val="24"/>
                <w:highlight w:val="none"/>
              </w:rPr>
              <w:t>生产工艺流程图</w:t>
            </w:r>
          </w:p>
          <w:p w14:paraId="05817B01">
            <w:pPr>
              <w:pStyle w:val="16"/>
              <w:pageBreakBefore w:val="0"/>
              <w:kinsoku/>
              <w:overflowPunct/>
              <w:topLinePunct w:val="0"/>
              <w:bidi w:val="0"/>
              <w:snapToGrid/>
              <w:spacing w:line="360" w:lineRule="auto"/>
              <w:jc w:val="left"/>
              <w:outlineLvl w:val="9"/>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 xml:space="preserve">    工艺流程说明：</w:t>
            </w:r>
          </w:p>
          <w:p w14:paraId="6254F9CB">
            <w:pPr>
              <w:pStyle w:val="16"/>
              <w:pageBreakBefore w:val="0"/>
              <w:kinsoku/>
              <w:overflowPunct/>
              <w:topLinePunct w:val="0"/>
              <w:bidi w:val="0"/>
              <w:snapToGrid/>
              <w:spacing w:line="360" w:lineRule="auto"/>
              <w:ind w:firstLine="480" w:firstLineChars="200"/>
              <w:jc w:val="left"/>
              <w:outlineLvl w:val="9"/>
              <w:rPr>
                <w:rFonts w:hint="eastAsia" w:cs="Times New Roman"/>
                <w:b w:val="0"/>
                <w:bCs w:val="0"/>
                <w:color w:val="auto"/>
                <w:highlight w:val="none"/>
                <w:lang w:val="en-US" w:eastAsia="zh-CN"/>
              </w:rPr>
            </w:pPr>
            <w:r>
              <w:rPr>
                <w:rFonts w:hint="eastAsia" w:cs="Times New Roman"/>
                <w:b w:val="0"/>
                <w:bCs w:val="0"/>
                <w:color w:val="auto"/>
                <w:sz w:val="24"/>
                <w:szCs w:val="24"/>
                <w:highlight w:val="none"/>
                <w:lang w:val="en-US" w:eastAsia="zh-CN"/>
              </w:rPr>
              <w:t>本项目采用预浸料螺旋卷绕热固化成型工艺。以外购碳纤维预浸料为原料，通过数控缠绕机将预浸料按设计角度（0°/±45°）螺旋缠绕于钢芯上，形成管状坯体；在120～150℃烘箱中加热固化，使环氧树脂交联硬化；后续经水磨抛光、喷漆等后处理提升表面质量与耐候性。全过程为物理成型+热固化，无化学合成反应，污染物主要源于机械加工、辅助材料使用及树脂热解挥发。</w:t>
            </w:r>
          </w:p>
          <w:p w14:paraId="318532C8">
            <w:pPr>
              <w:numPr>
                <w:ilvl w:val="0"/>
                <w:numId w:val="0"/>
              </w:numPr>
              <w:tabs>
                <w:tab w:val="left" w:pos="0"/>
              </w:tabs>
              <w:adjustRightInd w:val="0"/>
              <w:snapToGrid w:val="0"/>
              <w:spacing w:line="360" w:lineRule="auto"/>
              <w:ind w:right="120" w:rightChars="50" w:firstLine="480" w:firstLineChars="200"/>
              <w:rPr>
                <w:rFonts w:hint="eastAsia" w:cs="Times New Roman"/>
                <w:b/>
                <w:bCs/>
                <w:color w:val="auto"/>
                <w:highlight w:val="none"/>
                <w:lang w:val="en-US" w:eastAsia="zh-CN"/>
              </w:rPr>
            </w:pPr>
            <w:r>
              <w:rPr>
                <w:rFonts w:hint="eastAsia" w:cs="Times New Roman"/>
                <w:b/>
                <w:bCs/>
                <w:color w:val="auto"/>
                <w:highlight w:val="none"/>
                <w:lang w:val="en-US" w:eastAsia="zh-CN"/>
              </w:rPr>
              <w:t>工艺流程简述：</w:t>
            </w:r>
          </w:p>
          <w:p w14:paraId="1E51A816">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w:t>
            </w:r>
            <w:r>
              <w:rPr>
                <w:rFonts w:hint="default" w:cs="Times New Roman"/>
                <w:b/>
                <w:bCs/>
                <w:color w:val="auto"/>
                <w:highlight w:val="none"/>
                <w:lang w:val="en-US" w:eastAsia="zh-CN"/>
              </w:rPr>
              <w:t>裁</w:t>
            </w:r>
            <w:r>
              <w:rPr>
                <w:rFonts w:hint="eastAsia" w:cs="Times New Roman"/>
                <w:b/>
                <w:bCs/>
                <w:color w:val="auto"/>
                <w:highlight w:val="none"/>
                <w:lang w:val="en-US" w:eastAsia="zh-CN"/>
              </w:rPr>
              <w:t>布</w:t>
            </w:r>
          </w:p>
          <w:p w14:paraId="6428982E">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把碳纤维</w:t>
            </w:r>
            <w:r>
              <w:rPr>
                <w:rFonts w:hint="eastAsia" w:cs="Times New Roman"/>
                <w:b w:val="0"/>
                <w:bCs w:val="0"/>
                <w:color w:val="auto"/>
                <w:highlight w:val="none"/>
                <w:lang w:val="en-US" w:eastAsia="zh-CN"/>
              </w:rPr>
              <w:t>预浸料</w:t>
            </w:r>
            <w:r>
              <w:rPr>
                <w:rFonts w:hint="default" w:cs="Times New Roman"/>
                <w:b w:val="0"/>
                <w:bCs w:val="0"/>
                <w:color w:val="auto"/>
                <w:highlight w:val="none"/>
                <w:lang w:val="en-US" w:eastAsia="zh-CN"/>
              </w:rPr>
              <w:t>按照设计的尺寸进行裁剪。</w:t>
            </w:r>
            <w:r>
              <w:rPr>
                <w:rFonts w:hint="eastAsia" w:cs="Times New Roman"/>
                <w:b w:val="0"/>
                <w:bCs w:val="0"/>
                <w:color w:val="auto"/>
                <w:highlight w:val="none"/>
                <w:lang w:val="en-US" w:eastAsia="zh-CN"/>
              </w:rPr>
              <w:t>此过程主要产生</w:t>
            </w:r>
            <w:r>
              <w:rPr>
                <w:rFonts w:hint="eastAsia"/>
                <w:color w:val="auto"/>
                <w:highlight w:val="none"/>
                <w:lang w:val="en-US" w:eastAsia="zh-CN"/>
              </w:rPr>
              <w:t>微量裁布粉尘（产生量少，仅定性分析），设备</w:t>
            </w:r>
            <w:r>
              <w:rPr>
                <w:rFonts w:hint="eastAsia" w:cs="Times New Roman"/>
                <w:b w:val="0"/>
                <w:bCs w:val="0"/>
                <w:color w:val="auto"/>
                <w:highlight w:val="none"/>
                <w:lang w:val="en-US" w:eastAsia="zh-CN"/>
              </w:rPr>
              <w:t>噪声，</w:t>
            </w:r>
            <w:r>
              <w:rPr>
                <w:rFonts w:hint="default" w:cs="Times New Roman"/>
                <w:b w:val="0"/>
                <w:bCs w:val="0"/>
                <w:color w:val="auto"/>
                <w:highlight w:val="none"/>
                <w:lang w:val="en-US" w:eastAsia="zh-CN"/>
              </w:rPr>
              <w:t>废边角料。</w:t>
            </w:r>
          </w:p>
          <w:p w14:paraId="283F273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2.烫芯</w:t>
            </w:r>
          </w:p>
          <w:p w14:paraId="07BDC7E6">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sz w:val="24"/>
                <w:szCs w:val="24"/>
                <w:highlight w:val="none"/>
                <w:lang w:val="en-US" w:eastAsia="zh-CN"/>
              </w:rPr>
            </w:pPr>
            <w:r>
              <w:rPr>
                <w:rFonts w:hint="default" w:cs="Times New Roman"/>
                <w:b w:val="0"/>
                <w:bCs w:val="0"/>
                <w:color w:val="auto"/>
                <w:sz w:val="24"/>
                <w:szCs w:val="24"/>
                <w:highlight w:val="none"/>
                <w:lang w:val="en-US" w:eastAsia="zh-CN"/>
              </w:rPr>
              <w:t>用电烙铁把布烫到钢芯上。</w:t>
            </w:r>
            <w:r>
              <w:rPr>
                <w:rFonts w:hint="eastAsia" w:cs="Times New Roman"/>
                <w:b w:val="0"/>
                <w:bCs w:val="0"/>
                <w:color w:val="auto"/>
                <w:sz w:val="24"/>
                <w:szCs w:val="24"/>
                <w:highlight w:val="none"/>
                <w:lang w:val="en-US" w:eastAsia="zh-CN"/>
              </w:rPr>
              <w:t>此过程主要产生有机废气和设备运行噪声。</w:t>
            </w:r>
          </w:p>
          <w:p w14:paraId="72BB627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sz w:val="24"/>
                <w:szCs w:val="24"/>
                <w:highlight w:val="none"/>
                <w:lang w:val="en-US" w:eastAsia="zh-CN"/>
              </w:rPr>
            </w:pPr>
            <w:r>
              <w:rPr>
                <w:rFonts w:hint="default" w:cs="Times New Roman"/>
                <w:b w:val="0"/>
                <w:bCs w:val="0"/>
                <w:color w:val="auto"/>
                <w:sz w:val="24"/>
                <w:szCs w:val="24"/>
                <w:highlight w:val="none"/>
                <w:lang w:val="en-US" w:eastAsia="zh-CN"/>
              </w:rPr>
              <w:t>在电烙铁加热过程中，加热会产生有机废气，烫芯</w:t>
            </w:r>
            <w:r>
              <w:rPr>
                <w:rFonts w:hint="eastAsia" w:cs="Times New Roman"/>
                <w:b w:val="0"/>
                <w:bCs w:val="0"/>
                <w:color w:val="auto"/>
                <w:sz w:val="24"/>
                <w:szCs w:val="24"/>
                <w:highlight w:val="none"/>
                <w:lang w:val="en-US" w:eastAsia="zh-CN"/>
              </w:rPr>
              <w:t>机为密闭设备，设备顶部排口与废气收集管直接相连，</w:t>
            </w:r>
            <w:r>
              <w:rPr>
                <w:rFonts w:hint="default" w:cs="Times New Roman"/>
                <w:b w:val="0"/>
                <w:bCs w:val="0"/>
                <w:color w:val="auto"/>
                <w:sz w:val="24"/>
                <w:szCs w:val="24"/>
                <w:highlight w:val="none"/>
                <w:lang w:val="en-US" w:eastAsia="zh-CN"/>
              </w:rPr>
              <w:t>将烫芯废气收集引入</w:t>
            </w:r>
            <w:r>
              <w:rPr>
                <w:rFonts w:hint="eastAsia" w:cs="Times New Roman"/>
                <w:b w:val="0"/>
                <w:bCs w:val="0"/>
                <w:color w:val="auto"/>
                <w:sz w:val="24"/>
                <w:szCs w:val="24"/>
                <w:highlight w:val="none"/>
                <w:lang w:val="en-US" w:eastAsia="zh-CN"/>
              </w:rPr>
              <w:t>废气处理</w:t>
            </w:r>
            <w:r>
              <w:rPr>
                <w:rFonts w:hint="default" w:cs="Times New Roman"/>
                <w:b w:val="0"/>
                <w:bCs w:val="0"/>
                <w:color w:val="auto"/>
                <w:sz w:val="24"/>
                <w:szCs w:val="24"/>
                <w:highlight w:val="none"/>
                <w:lang w:val="en-US" w:eastAsia="zh-CN"/>
              </w:rPr>
              <w:t>装置进行处理，最后通过15m 高排气筒排放</w:t>
            </w:r>
            <w:r>
              <w:rPr>
                <w:rFonts w:hint="eastAsia" w:cs="Times New Roman"/>
                <w:b w:val="0"/>
                <w:bCs w:val="0"/>
                <w:color w:val="auto"/>
                <w:sz w:val="24"/>
                <w:szCs w:val="24"/>
                <w:highlight w:val="none"/>
                <w:lang w:val="en-US" w:eastAsia="zh-CN"/>
              </w:rPr>
              <w:t>。</w:t>
            </w:r>
          </w:p>
          <w:p w14:paraId="5563743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3.卷管</w:t>
            </w:r>
          </w:p>
          <w:p w14:paraId="3268A3BA">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76" w:firstLineChars="200"/>
              <w:textAlignment w:val="auto"/>
              <w:rPr>
                <w:rFonts w:hint="default" w:cs="Times New Roman"/>
                <w:b w:val="0"/>
                <w:bCs w:val="0"/>
                <w:color w:val="auto"/>
                <w:highlight w:val="none"/>
                <w:lang w:val="en-US" w:eastAsia="zh-CN"/>
              </w:rPr>
            </w:pPr>
            <w:r>
              <w:rPr>
                <w:color w:val="auto"/>
                <w:spacing w:val="-1"/>
                <w:highlight w:val="none"/>
              </w:rPr>
              <w:t>利用卷管机将</w:t>
            </w:r>
            <w:r>
              <w:rPr>
                <w:rFonts w:hint="eastAsia"/>
                <w:color w:val="auto"/>
                <w:spacing w:val="-1"/>
                <w:highlight w:val="none"/>
                <w:lang w:eastAsia="zh-CN"/>
              </w:rPr>
              <w:t>碳纤维预浸料</w:t>
            </w:r>
            <w:r>
              <w:rPr>
                <w:color w:val="auto"/>
                <w:spacing w:val="-1"/>
                <w:highlight w:val="none"/>
              </w:rPr>
              <w:t>卷到模具上</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此过程主要为设备运行噪声</w:t>
            </w:r>
            <w:r>
              <w:rPr>
                <w:rFonts w:hint="default" w:cs="Times New Roman"/>
                <w:b w:val="0"/>
                <w:bCs w:val="0"/>
                <w:color w:val="auto"/>
                <w:highlight w:val="none"/>
                <w:lang w:val="en-US" w:eastAsia="zh-CN"/>
              </w:rPr>
              <w:t>。</w:t>
            </w:r>
          </w:p>
          <w:p w14:paraId="4AAA87F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4.缠带</w:t>
            </w:r>
          </w:p>
          <w:p w14:paraId="69E37D3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将卷上布的模具放到缠带机上缠</w:t>
            </w:r>
            <w:r>
              <w:rPr>
                <w:rFonts w:hint="eastAsia" w:cs="Times New Roman"/>
                <w:b w:val="0"/>
                <w:bCs w:val="0"/>
                <w:color w:val="auto"/>
                <w:highlight w:val="none"/>
                <w:lang w:val="en-US" w:eastAsia="zh-CN"/>
              </w:rPr>
              <w:t>BOPP</w:t>
            </w:r>
            <w:r>
              <w:rPr>
                <w:rFonts w:hint="default" w:cs="Times New Roman"/>
                <w:b w:val="0"/>
                <w:bCs w:val="0"/>
                <w:color w:val="auto"/>
                <w:highlight w:val="none"/>
                <w:lang w:val="en-US" w:eastAsia="zh-CN"/>
              </w:rPr>
              <w:t>带。</w:t>
            </w:r>
          </w:p>
          <w:p w14:paraId="232AA53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5.</w:t>
            </w:r>
            <w:r>
              <w:rPr>
                <w:rFonts w:hint="default" w:cs="Times New Roman"/>
                <w:b/>
                <w:bCs/>
                <w:color w:val="auto"/>
                <w:highlight w:val="none"/>
                <w:lang w:val="en-US" w:eastAsia="zh-CN"/>
              </w:rPr>
              <w:t>固化</w:t>
            </w:r>
          </w:p>
          <w:p w14:paraId="4D0CC46D">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highlight w:val="none"/>
                <w:lang w:val="en-US" w:eastAsia="zh-CN"/>
              </w:rPr>
            </w:pPr>
            <w:r>
              <w:rPr>
                <w:rFonts w:hint="default" w:cs="Times New Roman"/>
                <w:b w:val="0"/>
                <w:bCs w:val="0"/>
                <w:color w:val="auto"/>
                <w:highlight w:val="none"/>
                <w:lang w:val="en-US" w:eastAsia="zh-CN"/>
              </w:rPr>
              <w:t>把模具缠好带后放到固化炉中固化，固化炉采用电加热温度在80℃到130℃之间， 3小时左右</w:t>
            </w:r>
            <w:r>
              <w:rPr>
                <w:rFonts w:hint="eastAsia" w:cs="Times New Roman"/>
                <w:b w:val="0"/>
                <w:bCs w:val="0"/>
                <w:color w:val="auto"/>
                <w:highlight w:val="none"/>
                <w:lang w:val="en-US" w:eastAsia="zh-CN"/>
              </w:rPr>
              <w:t>，此过程产生</w:t>
            </w:r>
            <w:r>
              <w:rPr>
                <w:rFonts w:hint="default" w:cs="Times New Roman"/>
                <w:b w:val="0"/>
                <w:bCs w:val="0"/>
                <w:color w:val="auto"/>
                <w:highlight w:val="none"/>
                <w:lang w:val="en-US" w:eastAsia="zh-CN"/>
              </w:rPr>
              <w:t>有机废气</w:t>
            </w:r>
            <w:r>
              <w:rPr>
                <w:rFonts w:hint="eastAsia" w:cs="Times New Roman"/>
                <w:b w:val="0"/>
                <w:bCs w:val="0"/>
                <w:color w:val="auto"/>
                <w:highlight w:val="none"/>
                <w:lang w:val="en-US" w:eastAsia="zh-CN"/>
              </w:rPr>
              <w:t>和设备噪声。</w:t>
            </w:r>
          </w:p>
          <w:p w14:paraId="729D60A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固化炉为密闭式，加热完成后，开启瞬间会排出有机废气。在固化炉</w:t>
            </w:r>
            <w:r>
              <w:rPr>
                <w:rFonts w:hint="eastAsia" w:cs="Times New Roman"/>
                <w:b w:val="0"/>
                <w:bCs w:val="0"/>
                <w:color w:val="auto"/>
                <w:highlight w:val="none"/>
                <w:lang w:val="en-US" w:eastAsia="zh-CN"/>
              </w:rPr>
              <w:t>顶部设排口与废气收集管道直连</w:t>
            </w:r>
            <w:r>
              <w:rPr>
                <w:rFonts w:hint="default" w:cs="Times New Roman"/>
                <w:b w:val="0"/>
                <w:bCs w:val="0"/>
                <w:color w:val="auto"/>
                <w:highlight w:val="none"/>
                <w:lang w:val="en-US" w:eastAsia="zh-CN"/>
              </w:rPr>
              <w:t>，将固化废气收集引入</w:t>
            </w:r>
            <w:r>
              <w:rPr>
                <w:rFonts w:hint="eastAsia" w:cs="Times New Roman"/>
                <w:b w:val="0"/>
                <w:bCs w:val="0"/>
                <w:color w:val="auto"/>
                <w:highlight w:val="none"/>
                <w:lang w:val="en-US" w:eastAsia="zh-CN"/>
              </w:rPr>
              <w:t>废气处理</w:t>
            </w:r>
            <w:r>
              <w:rPr>
                <w:rFonts w:hint="default" w:cs="Times New Roman"/>
                <w:b w:val="0"/>
                <w:bCs w:val="0"/>
                <w:color w:val="auto"/>
                <w:highlight w:val="none"/>
                <w:lang w:val="en-US" w:eastAsia="zh-CN"/>
              </w:rPr>
              <w:t>装置进行处理，最后通过15m高排气筒排放。用热缩管包裹卷绕好的杆件，提高密实度，使用热风枪或热缩炉加热收缩。</w:t>
            </w:r>
          </w:p>
          <w:p w14:paraId="30719D45">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6.脱芯</w:t>
            </w:r>
          </w:p>
          <w:p w14:paraId="39847DBF">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color w:val="auto"/>
                <w:highlight w:val="none"/>
              </w:rPr>
              <w:t>将固化完成后的产品利用脱芯机把模具取下，形成裸</w:t>
            </w:r>
            <w:r>
              <w:rPr>
                <w:rFonts w:hint="eastAsia"/>
                <w:color w:val="auto"/>
                <w:spacing w:val="-1"/>
                <w:highlight w:val="none"/>
                <w:lang w:val="en-US" w:eastAsia="zh-CN"/>
              </w:rPr>
              <w:t>杆</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此过程主要产生设备噪声</w:t>
            </w:r>
            <w:r>
              <w:rPr>
                <w:rFonts w:hint="default" w:cs="Times New Roman"/>
                <w:b w:val="0"/>
                <w:bCs w:val="0"/>
                <w:color w:val="auto"/>
                <w:highlight w:val="none"/>
                <w:lang w:val="en-US" w:eastAsia="zh-CN"/>
              </w:rPr>
              <w:t>。</w:t>
            </w:r>
          </w:p>
          <w:p w14:paraId="0883098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7.脱BOPP带</w:t>
            </w:r>
          </w:p>
          <w:p w14:paraId="06B7504F">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将脱芯后的</w:t>
            </w:r>
            <w:r>
              <w:rPr>
                <w:rFonts w:hint="eastAsia" w:cs="Times New Roman"/>
                <w:b w:val="0"/>
                <w:bCs w:val="0"/>
                <w:color w:val="auto"/>
                <w:highlight w:val="none"/>
                <w:lang w:val="en-US" w:eastAsia="zh-CN"/>
              </w:rPr>
              <w:t>裸杆</w:t>
            </w:r>
            <w:r>
              <w:rPr>
                <w:rFonts w:hint="default" w:cs="Times New Roman"/>
                <w:b w:val="0"/>
                <w:bCs w:val="0"/>
                <w:color w:val="auto"/>
                <w:highlight w:val="none"/>
                <w:lang w:val="en-US" w:eastAsia="zh-CN"/>
              </w:rPr>
              <w:t>外层的</w:t>
            </w:r>
            <w:r>
              <w:rPr>
                <w:rFonts w:hint="eastAsia" w:cs="Times New Roman"/>
                <w:b w:val="0"/>
                <w:bCs w:val="0"/>
                <w:color w:val="auto"/>
                <w:highlight w:val="none"/>
                <w:lang w:val="en-US" w:eastAsia="zh-CN"/>
              </w:rPr>
              <w:t>BOPP</w:t>
            </w:r>
            <w:r>
              <w:rPr>
                <w:rFonts w:hint="default" w:cs="Times New Roman"/>
                <w:b w:val="0"/>
                <w:bCs w:val="0"/>
                <w:color w:val="auto"/>
                <w:highlight w:val="none"/>
                <w:lang w:val="en-US" w:eastAsia="zh-CN"/>
              </w:rPr>
              <w:t>带取下。</w:t>
            </w:r>
            <w:r>
              <w:rPr>
                <w:rFonts w:hint="eastAsia" w:cs="Times New Roman"/>
                <w:b w:val="0"/>
                <w:bCs w:val="0"/>
                <w:color w:val="auto"/>
                <w:highlight w:val="none"/>
                <w:lang w:val="en-US" w:eastAsia="zh-CN"/>
              </w:rPr>
              <w:t>此过程主要</w:t>
            </w:r>
            <w:r>
              <w:rPr>
                <w:rFonts w:hint="default" w:cs="Times New Roman"/>
                <w:b w:val="0"/>
                <w:bCs w:val="0"/>
                <w:color w:val="auto"/>
                <w:highlight w:val="none"/>
                <w:lang w:val="en-US" w:eastAsia="zh-CN"/>
              </w:rPr>
              <w:t>废</w:t>
            </w:r>
            <w:r>
              <w:rPr>
                <w:rFonts w:hint="eastAsia" w:cs="Times New Roman"/>
                <w:b w:val="0"/>
                <w:bCs w:val="0"/>
                <w:color w:val="auto"/>
                <w:highlight w:val="none"/>
                <w:lang w:val="en-US" w:eastAsia="zh-CN"/>
              </w:rPr>
              <w:t>BOPP膜</w:t>
            </w:r>
            <w:r>
              <w:rPr>
                <w:rFonts w:hint="default" w:cs="Times New Roman"/>
                <w:b w:val="0"/>
                <w:bCs w:val="0"/>
                <w:color w:val="auto"/>
                <w:highlight w:val="none"/>
                <w:lang w:val="en-US" w:eastAsia="zh-CN"/>
              </w:rPr>
              <w:t>。</w:t>
            </w:r>
          </w:p>
          <w:p w14:paraId="53A7D9B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8.切断</w:t>
            </w:r>
          </w:p>
          <w:p w14:paraId="2799776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olor w:val="auto"/>
                <w:highlight w:val="none"/>
                <w:lang w:val="en-US"/>
              </w:rPr>
            </w:pPr>
            <w:r>
              <w:rPr>
                <w:rFonts w:hint="default" w:cs="Times New Roman"/>
                <w:b w:val="0"/>
                <w:bCs w:val="0"/>
                <w:color w:val="auto"/>
                <w:highlight w:val="none"/>
                <w:lang w:val="en-US" w:eastAsia="zh-CN"/>
              </w:rPr>
              <w:t>按照原本设计的尺寸，将多余的部分用切断机切断。</w:t>
            </w:r>
            <w:r>
              <w:rPr>
                <w:rFonts w:hint="eastAsia" w:cs="Times New Roman"/>
                <w:b w:val="0"/>
                <w:bCs w:val="0"/>
                <w:color w:val="auto"/>
                <w:highlight w:val="none"/>
                <w:lang w:val="en-US" w:eastAsia="zh-CN"/>
              </w:rPr>
              <w:t>主要产生微量粉尘、</w:t>
            </w:r>
            <w:r>
              <w:rPr>
                <w:rFonts w:hint="default" w:cs="Times New Roman"/>
                <w:b w:val="0"/>
                <w:bCs w:val="0"/>
                <w:color w:val="auto"/>
                <w:highlight w:val="none"/>
                <w:lang w:val="en-US" w:eastAsia="zh-CN"/>
              </w:rPr>
              <w:t>废边角料</w:t>
            </w:r>
            <w:r>
              <w:rPr>
                <w:rFonts w:hint="eastAsia" w:cs="Times New Roman"/>
                <w:b w:val="0"/>
                <w:bCs w:val="0"/>
                <w:color w:val="auto"/>
                <w:highlight w:val="none"/>
                <w:lang w:val="en-US" w:eastAsia="zh-CN"/>
              </w:rPr>
              <w:t>、设备噪声</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粉尘产生量少，仅作定性分析。</w:t>
            </w:r>
          </w:p>
          <w:p w14:paraId="47358301">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9.水磨、精磨</w:t>
            </w:r>
          </w:p>
          <w:p w14:paraId="2075EB4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对裸</w:t>
            </w:r>
            <w:r>
              <w:rPr>
                <w:rFonts w:hint="eastAsia" w:cs="Times New Roman"/>
                <w:b w:val="0"/>
                <w:bCs w:val="0"/>
                <w:color w:val="auto"/>
                <w:highlight w:val="none"/>
                <w:lang w:val="en-US" w:eastAsia="zh-CN"/>
              </w:rPr>
              <w:t>杆</w:t>
            </w:r>
            <w:r>
              <w:rPr>
                <w:rFonts w:hint="default" w:cs="Times New Roman"/>
                <w:b w:val="0"/>
                <w:bCs w:val="0"/>
                <w:color w:val="auto"/>
                <w:highlight w:val="none"/>
                <w:lang w:val="en-US" w:eastAsia="zh-CN"/>
              </w:rPr>
              <w:t>进行打磨，用水磨机打磨使其光滑，对光滑度要求高的，再采用精磨机进一步打磨。水磨和精磨过程均使用水，降温抑尘，磨杆水经沉淀后循环使用。</w:t>
            </w:r>
            <w:r>
              <w:rPr>
                <w:rFonts w:hint="eastAsia" w:cs="Times New Roman"/>
                <w:b w:val="0"/>
                <w:bCs w:val="0"/>
                <w:color w:val="auto"/>
                <w:highlight w:val="none"/>
                <w:lang w:val="en-US" w:eastAsia="zh-CN"/>
              </w:rPr>
              <w:t>主要产生沉淀滤渣、设备噪声</w:t>
            </w:r>
            <w:r>
              <w:rPr>
                <w:rFonts w:hint="default" w:cs="Times New Roman"/>
                <w:b w:val="0"/>
                <w:bCs w:val="0"/>
                <w:color w:val="auto"/>
                <w:highlight w:val="none"/>
                <w:lang w:val="en-US" w:eastAsia="zh-CN"/>
              </w:rPr>
              <w:t>。</w:t>
            </w:r>
          </w:p>
          <w:p w14:paraId="2137BD51">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10.喷漆、抽漆</w:t>
            </w:r>
          </w:p>
          <w:p w14:paraId="4BAA823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在密闭喷漆房内</w:t>
            </w:r>
            <w:r>
              <w:rPr>
                <w:rFonts w:hint="eastAsia" w:cs="Times New Roman"/>
                <w:b w:val="0"/>
                <w:bCs w:val="0"/>
                <w:color w:val="auto"/>
                <w:highlight w:val="none"/>
                <w:lang w:val="en-US" w:eastAsia="zh-CN"/>
              </w:rPr>
              <w:t>进行喷漆、抽漆。</w:t>
            </w:r>
            <w:r>
              <w:rPr>
                <w:color w:val="auto"/>
                <w:spacing w:val="-4"/>
                <w:highlight w:val="none"/>
              </w:rPr>
              <w:t>将漆料放置于一个抽漆的容器中，容器的其中一面有一片橡胶皮，皮上则有小于</w:t>
            </w:r>
            <w:r>
              <w:rPr>
                <w:color w:val="auto"/>
                <w:spacing w:val="-3"/>
                <w:highlight w:val="none"/>
              </w:rPr>
              <w:t>竿子直径的圆孔，将</w:t>
            </w:r>
            <w:r>
              <w:rPr>
                <w:rFonts w:hint="eastAsia"/>
                <w:color w:val="auto"/>
                <w:spacing w:val="-3"/>
                <w:highlight w:val="none"/>
                <w:lang w:eastAsia="zh-CN"/>
              </w:rPr>
              <w:t>裸杆</w:t>
            </w:r>
            <w:r>
              <w:rPr>
                <w:color w:val="auto"/>
                <w:spacing w:val="-3"/>
                <w:highlight w:val="none"/>
              </w:rPr>
              <w:t>浸入漆模，一端穿过圆孔并将其抽出，使漆均匀的涂于</w:t>
            </w:r>
            <w:r>
              <w:rPr>
                <w:rFonts w:hint="eastAsia"/>
                <w:color w:val="auto"/>
                <w:spacing w:val="-3"/>
                <w:highlight w:val="none"/>
                <w:lang w:eastAsia="zh-CN"/>
              </w:rPr>
              <w:t>裸杆</w:t>
            </w:r>
            <w:r>
              <w:rPr>
                <w:color w:val="auto"/>
                <w:spacing w:val="20"/>
                <w:highlight w:val="none"/>
              </w:rPr>
              <w:t>之上</w:t>
            </w:r>
            <w:r>
              <w:rPr>
                <w:rFonts w:hint="eastAsia"/>
                <w:color w:val="auto"/>
                <w:spacing w:val="20"/>
                <w:highlight w:val="none"/>
                <w:lang w:eastAsia="zh-CN"/>
              </w:rPr>
              <w:t>。</w:t>
            </w:r>
            <w:r>
              <w:rPr>
                <w:color w:val="auto"/>
                <w:highlight w:val="none"/>
              </w:rPr>
              <w:t>对</w:t>
            </w:r>
            <w:r>
              <w:rPr>
                <w:rFonts w:hint="eastAsia"/>
                <w:color w:val="auto"/>
                <w:highlight w:val="none"/>
                <w:lang w:eastAsia="zh-CN"/>
              </w:rPr>
              <w:t>裸杆</w:t>
            </w:r>
            <w:r>
              <w:rPr>
                <w:color w:val="auto"/>
                <w:highlight w:val="none"/>
              </w:rPr>
              <w:t>或拉漆后的鱼竿进行喷漆，在喷漆过程中人工在喷漆台</w:t>
            </w:r>
            <w:r>
              <w:rPr>
                <w:color w:val="auto"/>
                <w:spacing w:val="-1"/>
                <w:highlight w:val="none"/>
              </w:rPr>
              <w:t>上作业，喷漆台左</w:t>
            </w:r>
            <w:r>
              <w:rPr>
                <w:rFonts w:hint="eastAsia"/>
                <w:color w:val="auto"/>
                <w:spacing w:val="-1"/>
                <w:highlight w:val="none"/>
              </w:rPr>
              <w:t>右及上方均设置防护罩，采用小喷枪进行喷涂。</w:t>
            </w:r>
            <w:r>
              <w:rPr>
                <w:rFonts w:hint="eastAsia"/>
                <w:color w:val="auto"/>
                <w:spacing w:val="-1"/>
                <w:highlight w:val="none"/>
                <w:lang w:val="en-US" w:eastAsia="zh-CN"/>
              </w:rPr>
              <w:t>此过程主要产生</w:t>
            </w:r>
            <w:r>
              <w:rPr>
                <w:rFonts w:hint="default" w:cs="Times New Roman"/>
                <w:b w:val="0"/>
                <w:bCs w:val="0"/>
                <w:color w:val="auto"/>
                <w:highlight w:val="none"/>
                <w:lang w:val="en-US" w:eastAsia="zh-CN"/>
              </w:rPr>
              <w:t>VOCs与漆雾</w:t>
            </w:r>
            <w:r>
              <w:rPr>
                <w:rFonts w:hint="eastAsia"/>
                <w:color w:val="auto"/>
                <w:highlight w:val="none"/>
                <w:lang w:eastAsia="zh-CN"/>
              </w:rPr>
              <w:t>、</w:t>
            </w:r>
            <w:r>
              <w:rPr>
                <w:rFonts w:hint="eastAsia"/>
                <w:color w:val="auto"/>
                <w:highlight w:val="none"/>
                <w:lang w:val="en-US" w:eastAsia="zh-CN"/>
              </w:rPr>
              <w:t>臭气浓度</w:t>
            </w:r>
            <w:r>
              <w:rPr>
                <w:rFonts w:hint="default" w:cs="Times New Roman"/>
                <w:b w:val="0"/>
                <w:bCs w:val="0"/>
                <w:color w:val="auto"/>
                <w:highlight w:val="none"/>
                <w:lang w:val="en-US" w:eastAsia="zh-CN"/>
              </w:rPr>
              <w:t>；固废：废漆渣；废过滤棉；废油漆桶</w:t>
            </w:r>
            <w:r>
              <w:rPr>
                <w:rFonts w:hint="eastAsia" w:cs="Times New Roman"/>
                <w:b w:val="0"/>
                <w:bCs w:val="0"/>
                <w:color w:val="auto"/>
                <w:highlight w:val="none"/>
                <w:lang w:val="en-US" w:eastAsia="zh-CN"/>
              </w:rPr>
              <w:t>、喷淋废液、喷枪清洗废液，设备运行</w:t>
            </w:r>
            <w:r>
              <w:rPr>
                <w:rFonts w:hint="default" w:cs="Times New Roman"/>
                <w:b w:val="0"/>
                <w:bCs w:val="0"/>
                <w:color w:val="auto"/>
                <w:highlight w:val="none"/>
                <w:lang w:val="en-US" w:eastAsia="zh-CN"/>
              </w:rPr>
              <w:t>噪声。</w:t>
            </w:r>
          </w:p>
          <w:p w14:paraId="23E7E16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11.</w:t>
            </w:r>
            <w:r>
              <w:rPr>
                <w:rFonts w:hint="default" w:cs="Times New Roman"/>
                <w:b/>
                <w:bCs/>
                <w:color w:val="auto"/>
                <w:highlight w:val="none"/>
                <w:lang w:val="en-US" w:eastAsia="zh-CN"/>
              </w:rPr>
              <w:t>烘干固化</w:t>
            </w:r>
          </w:p>
          <w:p w14:paraId="282D8C4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w:t>
            </w:r>
            <w:r>
              <w:rPr>
                <w:rFonts w:hint="eastAsia" w:cs="Times New Roman"/>
                <w:b w:val="0"/>
                <w:bCs w:val="0"/>
                <w:color w:val="auto"/>
                <w:highlight w:val="none"/>
                <w:lang w:val="en-US" w:eastAsia="zh-CN"/>
              </w:rPr>
              <w:t>漆件</w:t>
            </w:r>
            <w:r>
              <w:rPr>
                <w:rFonts w:hint="default" w:cs="Times New Roman"/>
                <w:b w:val="0"/>
                <w:bCs w:val="0"/>
                <w:color w:val="auto"/>
                <w:highlight w:val="none"/>
                <w:lang w:val="en-US" w:eastAsia="zh-CN"/>
              </w:rPr>
              <w:t>放置到密闭烘干室进行烘干，烘干室采用电空调控温，</w:t>
            </w:r>
            <w:r>
              <w:rPr>
                <w:rFonts w:hint="eastAsia" w:cs="Times New Roman"/>
                <w:b w:val="0"/>
                <w:bCs w:val="0"/>
                <w:color w:val="auto"/>
                <w:highlight w:val="none"/>
                <w:lang w:val="en-US" w:eastAsia="zh-CN"/>
              </w:rPr>
              <w:t>温度控制在60℃~</w:t>
            </w:r>
            <w:r>
              <w:rPr>
                <w:rFonts w:hint="default" w:cs="Times New Roman"/>
                <w:b w:val="0"/>
                <w:bCs w:val="0"/>
                <w:color w:val="auto"/>
                <w:highlight w:val="none"/>
                <w:lang w:val="en-US" w:eastAsia="zh-CN"/>
              </w:rPr>
              <w:t>80℃左右</w:t>
            </w:r>
            <w:r>
              <w:rPr>
                <w:rFonts w:hint="eastAsia" w:cs="Times New Roman"/>
                <w:b w:val="0"/>
                <w:bCs w:val="0"/>
                <w:color w:val="auto"/>
                <w:highlight w:val="none"/>
                <w:lang w:val="en-US" w:eastAsia="zh-CN"/>
              </w:rPr>
              <w:t>。</w:t>
            </w:r>
            <w:r>
              <w:rPr>
                <w:rFonts w:hint="default" w:cs="Times New Roman"/>
                <w:b w:val="0"/>
                <w:bCs w:val="0"/>
                <w:color w:val="auto"/>
                <w:highlight w:val="none"/>
                <w:lang w:val="en-US" w:eastAsia="zh-CN"/>
              </w:rPr>
              <w:t>产污环节：烘干过程中产生有机废气。</w:t>
            </w:r>
          </w:p>
          <w:p w14:paraId="44C93D1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有机废气经</w:t>
            </w:r>
            <w:r>
              <w:rPr>
                <w:rFonts w:hint="eastAsia" w:cs="Times New Roman"/>
                <w:b w:val="0"/>
                <w:bCs w:val="0"/>
                <w:color w:val="auto"/>
                <w:highlight w:val="none"/>
                <w:lang w:val="en-US" w:eastAsia="zh-CN"/>
              </w:rPr>
              <w:t>废气处理</w:t>
            </w:r>
            <w:r>
              <w:rPr>
                <w:rFonts w:hint="default" w:cs="Times New Roman"/>
                <w:b w:val="0"/>
                <w:bCs w:val="0"/>
                <w:color w:val="auto"/>
                <w:highlight w:val="none"/>
                <w:lang w:val="en-US" w:eastAsia="zh-CN"/>
              </w:rPr>
              <w:t>装置净化处理后15 m高排气筒排放。</w:t>
            </w:r>
          </w:p>
          <w:p w14:paraId="712C675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12.</w:t>
            </w:r>
            <w:r>
              <w:rPr>
                <w:rFonts w:hint="default" w:cs="Times New Roman"/>
                <w:b/>
                <w:bCs/>
                <w:color w:val="auto"/>
                <w:highlight w:val="none"/>
                <w:lang w:val="en-US" w:eastAsia="zh-CN"/>
              </w:rPr>
              <w:t>检验包装</w:t>
            </w:r>
          </w:p>
          <w:p w14:paraId="4759F6B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default" w:cs="Times New Roman"/>
                <w:b w:val="0"/>
                <w:bCs w:val="0"/>
                <w:color w:val="auto"/>
                <w:highlight w:val="none"/>
                <w:lang w:val="en-US" w:eastAsia="zh-CN"/>
              </w:rPr>
              <w:t>对成品进行外观、尺寸检验，合格品包装入库。</w:t>
            </w:r>
            <w:r>
              <w:rPr>
                <w:rFonts w:hint="eastAsia" w:cs="Times New Roman"/>
                <w:b w:val="0"/>
                <w:bCs w:val="0"/>
                <w:color w:val="auto"/>
                <w:highlight w:val="none"/>
                <w:lang w:val="en-US" w:eastAsia="zh-CN"/>
              </w:rPr>
              <w:t>主要产生</w:t>
            </w:r>
            <w:r>
              <w:rPr>
                <w:rFonts w:hint="default" w:cs="Times New Roman"/>
                <w:b w:val="0"/>
                <w:bCs w:val="0"/>
                <w:color w:val="auto"/>
                <w:highlight w:val="none"/>
                <w:lang w:val="en-US" w:eastAsia="zh-CN"/>
              </w:rPr>
              <w:t>不合格品（一般固废）、废包装材料</w:t>
            </w:r>
            <w:r>
              <w:rPr>
                <w:rFonts w:hint="eastAsia" w:cs="Times New Roman"/>
                <w:b w:val="0"/>
                <w:bCs w:val="0"/>
                <w:color w:val="auto"/>
                <w:highlight w:val="none"/>
                <w:lang w:val="en-US" w:eastAsia="zh-CN"/>
              </w:rPr>
              <w:t>和设备</w:t>
            </w:r>
            <w:r>
              <w:rPr>
                <w:rFonts w:hint="default" w:cs="Times New Roman"/>
                <w:b w:val="0"/>
                <w:bCs w:val="0"/>
                <w:color w:val="auto"/>
                <w:highlight w:val="none"/>
                <w:lang w:val="en-US" w:eastAsia="zh-CN"/>
              </w:rPr>
              <w:t>运行噪声。</w:t>
            </w:r>
          </w:p>
          <w:p w14:paraId="40CD9A5D">
            <w:pPr>
              <w:pStyle w:val="16"/>
              <w:pageBreakBefore w:val="0"/>
              <w:kinsoku/>
              <w:overflowPunct/>
              <w:topLinePunct w:val="0"/>
              <w:bidi w:val="0"/>
              <w:snapToGrid/>
              <w:ind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D2676C7">
            <w:pPr>
              <w:pStyle w:val="16"/>
              <w:pageBreakBefore w:val="0"/>
              <w:kinsoku/>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10</w:t>
            </w:r>
            <w:r>
              <w:rPr>
                <w:rFonts w:hint="default" w:ascii="Times New Roman" w:hAnsi="Times New Roman" w:cs="Times New Roman"/>
                <w:b/>
                <w:bCs/>
                <w:color w:val="auto"/>
                <w:highlight w:val="none"/>
              </w:rPr>
              <w:t xml:space="preserve"> </w:t>
            </w:r>
            <w:r>
              <w:rPr>
                <w:rStyle w:val="61"/>
                <w:rFonts w:hint="default" w:ascii="Times New Roman" w:hAnsi="Times New Roman" w:cs="Times New Roman"/>
                <w:b/>
                <w:bCs/>
                <w:color w:val="auto"/>
                <w:highlight w:val="none"/>
                <w:lang w:val="zh-CN"/>
              </w:rPr>
              <w:t>主要污染节点分析一览表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1"/>
              <w:gridCol w:w="768"/>
              <w:gridCol w:w="1719"/>
              <w:gridCol w:w="1338"/>
              <w:gridCol w:w="1776"/>
              <w:gridCol w:w="1856"/>
            </w:tblGrid>
            <w:tr w14:paraId="2CC0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tcBorders>
                    <w:tl2br w:val="nil"/>
                    <w:tr2bl w:val="nil"/>
                  </w:tcBorders>
                  <w:shd w:val="clear" w:color="000000" w:fill="FFFFFF"/>
                  <w:noWrap/>
                  <w:vAlign w:val="center"/>
                </w:tcPr>
                <w:p w14:paraId="7B23D0B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584" w:type="pct"/>
                  <w:gridSpan w:val="2"/>
                  <w:tcBorders>
                    <w:tl2br w:val="nil"/>
                    <w:tr2bl w:val="nil"/>
                  </w:tcBorders>
                  <w:shd w:val="clear" w:color="000000" w:fill="FFFFFF"/>
                  <w:noWrap/>
                  <w:vAlign w:val="center"/>
                </w:tcPr>
                <w:p w14:paraId="3DE6E51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852" w:type="pct"/>
                  <w:tcBorders>
                    <w:tl2br w:val="nil"/>
                    <w:tr2bl w:val="nil"/>
                  </w:tcBorders>
                  <w:shd w:val="clear" w:color="000000" w:fill="FFFFFF"/>
                  <w:noWrap/>
                  <w:vAlign w:val="center"/>
                </w:tcPr>
                <w:p w14:paraId="77181F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产生工序</w:t>
                  </w:r>
                </w:p>
              </w:tc>
              <w:tc>
                <w:tcPr>
                  <w:tcW w:w="1131" w:type="pct"/>
                  <w:tcBorders>
                    <w:tl2br w:val="nil"/>
                    <w:tr2bl w:val="nil"/>
                  </w:tcBorders>
                  <w:shd w:val="clear" w:color="000000" w:fill="FFFFFF"/>
                  <w:noWrap/>
                  <w:vAlign w:val="center"/>
                </w:tcPr>
                <w:p w14:paraId="1352992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污染因子</w:t>
                  </w:r>
                </w:p>
              </w:tc>
              <w:tc>
                <w:tcPr>
                  <w:tcW w:w="1182" w:type="pct"/>
                  <w:tcBorders>
                    <w:tl2br w:val="nil"/>
                    <w:tr2bl w:val="nil"/>
                  </w:tcBorders>
                  <w:shd w:val="clear" w:color="000000" w:fill="FFFFFF"/>
                  <w:noWrap/>
                  <w:vAlign w:val="center"/>
                </w:tcPr>
                <w:p w14:paraId="161605B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排放去向</w:t>
                  </w:r>
                </w:p>
              </w:tc>
            </w:tr>
            <w:tr w14:paraId="4797A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49" w:type="pct"/>
                  <w:vMerge w:val="restart"/>
                  <w:tcBorders>
                    <w:tl2br w:val="nil"/>
                    <w:tr2bl w:val="nil"/>
                  </w:tcBorders>
                  <w:shd w:val="clear" w:color="000000" w:fill="FFFFFF"/>
                  <w:noWrap/>
                  <w:vAlign w:val="center"/>
                </w:tcPr>
                <w:p w14:paraId="794508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1584" w:type="pct"/>
                  <w:gridSpan w:val="2"/>
                  <w:tcBorders>
                    <w:tl2br w:val="nil"/>
                    <w:tr2bl w:val="nil"/>
                  </w:tcBorders>
                  <w:shd w:val="clear" w:color="000000" w:fill="FFFFFF"/>
                  <w:noWrap/>
                  <w:vAlign w:val="center"/>
                </w:tcPr>
                <w:p w14:paraId="36E6191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w:t>
                  </w:r>
                  <w:r>
                    <w:rPr>
                      <w:rFonts w:hint="default" w:ascii="Times New Roman" w:hAnsi="Times New Roman" w:cs="Times New Roman"/>
                      <w:color w:val="auto"/>
                      <w:sz w:val="21"/>
                      <w:szCs w:val="21"/>
                      <w:highlight w:val="none"/>
                    </w:rPr>
                    <w:t>废气</w:t>
                  </w:r>
                </w:p>
              </w:tc>
              <w:tc>
                <w:tcPr>
                  <w:tcW w:w="852" w:type="pct"/>
                  <w:tcBorders>
                    <w:tl2br w:val="nil"/>
                    <w:tr2bl w:val="nil"/>
                  </w:tcBorders>
                  <w:shd w:val="clear" w:color="000000" w:fill="FFFFFF"/>
                  <w:noWrap/>
                  <w:vAlign w:val="center"/>
                </w:tcPr>
                <w:p w14:paraId="61DE78E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w:t>
                  </w:r>
                </w:p>
              </w:tc>
              <w:tc>
                <w:tcPr>
                  <w:tcW w:w="1131" w:type="pct"/>
                  <w:tcBorders>
                    <w:tl2br w:val="nil"/>
                    <w:tr2bl w:val="nil"/>
                  </w:tcBorders>
                  <w:shd w:val="clear" w:color="000000" w:fill="FFFFFF"/>
                  <w:noWrap/>
                  <w:vAlign w:val="center"/>
                </w:tcPr>
                <w:p w14:paraId="22F6E1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r>
                    <w:rPr>
                      <w:rFonts w:hint="eastAsia"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苯乙烯、臭气浓度</w:t>
                  </w:r>
                </w:p>
              </w:tc>
              <w:tc>
                <w:tcPr>
                  <w:tcW w:w="1182" w:type="pct"/>
                  <w:tcBorders>
                    <w:tl2br w:val="nil"/>
                    <w:tr2bl w:val="nil"/>
                  </w:tcBorders>
                  <w:shd w:val="clear" w:color="000000" w:fill="FFFFFF"/>
                  <w:vAlign w:val="center"/>
                </w:tcPr>
                <w:p w14:paraId="313B7F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车间内无组织排放</w:t>
                  </w:r>
                </w:p>
              </w:tc>
            </w:tr>
            <w:tr w14:paraId="6D754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9" w:hRule="atLeast"/>
                <w:jc w:val="center"/>
              </w:trPr>
              <w:tc>
                <w:tcPr>
                  <w:tcW w:w="249" w:type="pct"/>
                  <w:vMerge w:val="continue"/>
                  <w:tcBorders>
                    <w:tl2br w:val="nil"/>
                    <w:tr2bl w:val="nil"/>
                  </w:tcBorders>
                  <w:shd w:val="clear" w:color="000000" w:fill="FFFFFF"/>
                  <w:noWrap/>
                  <w:vAlign w:val="center"/>
                </w:tcPr>
                <w:p w14:paraId="5E67D6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EEF0F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定型</w:t>
                  </w:r>
                  <w:r>
                    <w:rPr>
                      <w:rFonts w:hint="default" w:ascii="Times New Roman" w:hAnsi="Times New Roman" w:cs="Times New Roman"/>
                      <w:color w:val="auto"/>
                      <w:sz w:val="21"/>
                      <w:szCs w:val="21"/>
                      <w:highlight w:val="none"/>
                    </w:rPr>
                    <w:t>废气</w:t>
                  </w:r>
                </w:p>
              </w:tc>
              <w:tc>
                <w:tcPr>
                  <w:tcW w:w="852" w:type="pct"/>
                  <w:tcBorders>
                    <w:tl2br w:val="nil"/>
                    <w:tr2bl w:val="nil"/>
                  </w:tcBorders>
                  <w:shd w:val="clear" w:color="000000" w:fill="FFFFFF"/>
                  <w:noWrap/>
                  <w:vAlign w:val="center"/>
                </w:tcPr>
                <w:p w14:paraId="12BD555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定型</w:t>
                  </w:r>
                </w:p>
              </w:tc>
              <w:tc>
                <w:tcPr>
                  <w:tcW w:w="1131" w:type="pct"/>
                  <w:tcBorders>
                    <w:tl2br w:val="nil"/>
                    <w:tr2bl w:val="nil"/>
                  </w:tcBorders>
                  <w:shd w:val="clear" w:color="000000" w:fill="FFFFFF"/>
                  <w:noWrap/>
                  <w:vAlign w:val="center"/>
                </w:tcPr>
                <w:p w14:paraId="586ACF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NMHC、苯乙烯、臭气浓度</w:t>
                  </w:r>
                </w:p>
              </w:tc>
              <w:tc>
                <w:tcPr>
                  <w:tcW w:w="1182" w:type="pct"/>
                  <w:vMerge w:val="restart"/>
                  <w:tcBorders>
                    <w:tl2br w:val="nil"/>
                    <w:tr2bl w:val="nil"/>
                  </w:tcBorders>
                  <w:shd w:val="clear" w:color="000000" w:fill="FFFFFF"/>
                  <w:vAlign w:val="center"/>
                </w:tcPr>
                <w:p w14:paraId="48F9FF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集气罩收集后</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干式过滤器+二级活性炭”装置处理后</w:t>
                  </w:r>
                  <w:r>
                    <w:rPr>
                      <w:rFonts w:hint="default" w:ascii="Times New Roman" w:hAnsi="Times New Roman" w:cs="Times New Roman"/>
                      <w:color w:val="auto"/>
                      <w:sz w:val="21"/>
                      <w:szCs w:val="21"/>
                      <w:highlight w:val="none"/>
                    </w:rPr>
                    <w:t>，由一根15m排气筒DA00</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高空排放</w:t>
                  </w:r>
                </w:p>
              </w:tc>
            </w:tr>
            <w:tr w14:paraId="34269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4C8005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473768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注塑废气</w:t>
                  </w:r>
                </w:p>
              </w:tc>
              <w:tc>
                <w:tcPr>
                  <w:tcW w:w="852" w:type="pct"/>
                  <w:tcBorders>
                    <w:tl2br w:val="nil"/>
                    <w:tr2bl w:val="nil"/>
                  </w:tcBorders>
                  <w:shd w:val="clear" w:color="000000" w:fill="FFFFFF"/>
                  <w:noWrap/>
                  <w:vAlign w:val="center"/>
                </w:tcPr>
                <w:p w14:paraId="50915D4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c>
                <w:tcPr>
                  <w:tcW w:w="1131" w:type="pct"/>
                  <w:tcBorders>
                    <w:tl2br w:val="nil"/>
                    <w:tr2bl w:val="nil"/>
                  </w:tcBorders>
                  <w:shd w:val="clear" w:color="000000" w:fill="FFFFFF"/>
                  <w:noWrap/>
                  <w:vAlign w:val="center"/>
                </w:tcPr>
                <w:p w14:paraId="2E324CB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、臭气浓度</w:t>
                  </w:r>
                </w:p>
              </w:tc>
              <w:tc>
                <w:tcPr>
                  <w:tcW w:w="1182" w:type="pct"/>
                  <w:vMerge w:val="continue"/>
                  <w:tcBorders>
                    <w:tl2br w:val="nil"/>
                    <w:tr2bl w:val="nil"/>
                  </w:tcBorders>
                  <w:shd w:val="clear" w:color="000000" w:fill="FFFFFF"/>
                  <w:vAlign w:val="center"/>
                </w:tcPr>
                <w:p w14:paraId="09B2002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77D3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1713E5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75DAB8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织布废气</w:t>
                  </w:r>
                </w:p>
              </w:tc>
              <w:tc>
                <w:tcPr>
                  <w:tcW w:w="852" w:type="pct"/>
                  <w:tcBorders>
                    <w:tl2br w:val="nil"/>
                    <w:tr2bl w:val="nil"/>
                  </w:tcBorders>
                  <w:shd w:val="clear" w:color="000000" w:fill="FFFFFF"/>
                  <w:noWrap/>
                  <w:vAlign w:val="center"/>
                </w:tcPr>
                <w:p w14:paraId="4F7B29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w:t>
                  </w:r>
                </w:p>
              </w:tc>
              <w:tc>
                <w:tcPr>
                  <w:tcW w:w="1131" w:type="pct"/>
                  <w:tcBorders>
                    <w:tl2br w:val="nil"/>
                    <w:tr2bl w:val="nil"/>
                  </w:tcBorders>
                  <w:shd w:val="clear" w:color="000000" w:fill="FFFFFF"/>
                  <w:noWrap/>
                  <w:vAlign w:val="center"/>
                </w:tcPr>
                <w:p w14:paraId="1013A4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182" w:type="pct"/>
                  <w:tcBorders>
                    <w:tl2br w:val="nil"/>
                    <w:tr2bl w:val="nil"/>
                  </w:tcBorders>
                  <w:shd w:val="clear" w:color="000000" w:fill="FFFFFF"/>
                  <w:vAlign w:val="center"/>
                </w:tcPr>
                <w:p w14:paraId="633C5A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车间内无组织排放</w:t>
                  </w:r>
                </w:p>
              </w:tc>
            </w:tr>
            <w:tr w14:paraId="1F78B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69EEA2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1C6A43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裁布、冲孔修边、切断</w:t>
                  </w:r>
                </w:p>
              </w:tc>
              <w:tc>
                <w:tcPr>
                  <w:tcW w:w="852" w:type="pct"/>
                  <w:tcBorders>
                    <w:tl2br w:val="nil"/>
                    <w:tr2bl w:val="nil"/>
                  </w:tcBorders>
                  <w:shd w:val="clear" w:color="000000" w:fill="FFFFFF"/>
                  <w:noWrap/>
                  <w:vAlign w:val="center"/>
                </w:tcPr>
                <w:p w14:paraId="567EE8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裁布、冲孔修边、切断</w:t>
                  </w:r>
                </w:p>
              </w:tc>
              <w:tc>
                <w:tcPr>
                  <w:tcW w:w="1131" w:type="pct"/>
                  <w:tcBorders>
                    <w:tl2br w:val="nil"/>
                    <w:tr2bl w:val="nil"/>
                  </w:tcBorders>
                  <w:shd w:val="clear" w:color="000000" w:fill="FFFFFF"/>
                  <w:noWrap/>
                  <w:vAlign w:val="center"/>
                </w:tcPr>
                <w:p w14:paraId="63C2F8D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颗粒物、NMHC、臭气浓度</w:t>
                  </w:r>
                </w:p>
              </w:tc>
              <w:tc>
                <w:tcPr>
                  <w:tcW w:w="1182" w:type="pct"/>
                  <w:tcBorders>
                    <w:tl2br w:val="nil"/>
                    <w:tr2bl w:val="nil"/>
                  </w:tcBorders>
                  <w:shd w:val="clear" w:color="000000" w:fill="FFFFFF"/>
                  <w:vAlign w:val="center"/>
                </w:tcPr>
                <w:p w14:paraId="0B5917C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车间内无组织排放</w:t>
                  </w:r>
                </w:p>
              </w:tc>
            </w:tr>
            <w:tr w14:paraId="5D70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52BB195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1C4D7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烫芯、热压、固化废气</w:t>
                  </w:r>
                </w:p>
              </w:tc>
              <w:tc>
                <w:tcPr>
                  <w:tcW w:w="852" w:type="pct"/>
                  <w:tcBorders>
                    <w:tl2br w:val="nil"/>
                    <w:tr2bl w:val="nil"/>
                  </w:tcBorders>
                  <w:shd w:val="clear" w:color="000000" w:fill="FFFFFF"/>
                  <w:noWrap/>
                  <w:vAlign w:val="center"/>
                </w:tcPr>
                <w:p w14:paraId="6B1731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烫芯、热压、固化</w:t>
                  </w:r>
                </w:p>
              </w:tc>
              <w:tc>
                <w:tcPr>
                  <w:tcW w:w="1131" w:type="pct"/>
                  <w:tcBorders>
                    <w:tl2br w:val="nil"/>
                    <w:tr2bl w:val="nil"/>
                  </w:tcBorders>
                  <w:shd w:val="clear" w:color="000000" w:fill="FFFFFF"/>
                  <w:noWrap/>
                  <w:vAlign w:val="center"/>
                </w:tcPr>
                <w:p w14:paraId="5DBDF8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、臭气浓度</w:t>
                  </w:r>
                </w:p>
              </w:tc>
              <w:tc>
                <w:tcPr>
                  <w:tcW w:w="1182" w:type="pct"/>
                  <w:vMerge w:val="restart"/>
                  <w:tcBorders>
                    <w:tl2br w:val="nil"/>
                    <w:tr2bl w:val="nil"/>
                  </w:tcBorders>
                  <w:shd w:val="clear" w:color="000000" w:fill="FFFFFF"/>
                  <w:vAlign w:val="center"/>
                </w:tcPr>
                <w:p w14:paraId="046091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集气罩收集后</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干式过滤器+二级活性炭”装置处理后</w:t>
                  </w:r>
                  <w:r>
                    <w:rPr>
                      <w:rFonts w:hint="default" w:ascii="Times New Roman" w:hAnsi="Times New Roman" w:cs="Times New Roman"/>
                      <w:color w:val="auto"/>
                      <w:sz w:val="21"/>
                      <w:szCs w:val="21"/>
                      <w:highlight w:val="none"/>
                    </w:rPr>
                    <w:t>，由一根15m排气筒</w:t>
                  </w:r>
                  <w:r>
                    <w:rPr>
                      <w:rFonts w:hint="eastAsia" w:cs="Times New Roman"/>
                      <w:color w:val="auto"/>
                      <w:sz w:val="21"/>
                      <w:szCs w:val="21"/>
                      <w:highlight w:val="none"/>
                      <w:lang w:eastAsia="zh-CN"/>
                    </w:rPr>
                    <w:t>DA001</w:t>
                  </w:r>
                  <w:r>
                    <w:rPr>
                      <w:rFonts w:hint="default" w:ascii="Times New Roman" w:hAnsi="Times New Roman" w:cs="Times New Roman"/>
                      <w:color w:val="auto"/>
                      <w:sz w:val="21"/>
                      <w:szCs w:val="21"/>
                      <w:highlight w:val="none"/>
                    </w:rPr>
                    <w:t>高空排放</w:t>
                  </w:r>
                </w:p>
              </w:tc>
            </w:tr>
            <w:tr w14:paraId="1B764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75C93CD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0B4DB5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喷漆房、烘干房废气</w:t>
                  </w:r>
                </w:p>
              </w:tc>
              <w:tc>
                <w:tcPr>
                  <w:tcW w:w="852" w:type="pct"/>
                  <w:tcBorders>
                    <w:tl2br w:val="nil"/>
                    <w:tr2bl w:val="nil"/>
                  </w:tcBorders>
                  <w:shd w:val="clear" w:color="000000" w:fill="FFFFFF"/>
                  <w:noWrap/>
                  <w:vAlign w:val="center"/>
                </w:tcPr>
                <w:p w14:paraId="35D8DAD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喷漆</w:t>
                  </w:r>
                  <w:r>
                    <w:rPr>
                      <w:rFonts w:hint="eastAsia" w:cs="Times New Roman"/>
                      <w:color w:val="auto"/>
                      <w:sz w:val="21"/>
                      <w:szCs w:val="21"/>
                      <w:highlight w:val="none"/>
                      <w:lang w:val="en-US" w:eastAsia="zh-CN"/>
                    </w:rPr>
                    <w:t>、抽漆</w:t>
                  </w:r>
                  <w:r>
                    <w:rPr>
                      <w:rFonts w:hint="default" w:ascii="Times New Roman" w:hAnsi="Times New Roman" w:cs="Times New Roman"/>
                      <w:color w:val="auto"/>
                      <w:sz w:val="21"/>
                      <w:szCs w:val="21"/>
                      <w:highlight w:val="none"/>
                      <w:lang w:val="en-US" w:eastAsia="zh-CN"/>
                    </w:rPr>
                    <w:t>、烘干</w:t>
                  </w:r>
                </w:p>
              </w:tc>
              <w:tc>
                <w:tcPr>
                  <w:tcW w:w="1131" w:type="pct"/>
                  <w:tcBorders>
                    <w:tl2br w:val="nil"/>
                    <w:tr2bl w:val="nil"/>
                  </w:tcBorders>
                  <w:shd w:val="clear" w:color="000000" w:fill="FFFFFF"/>
                  <w:noWrap/>
                  <w:vAlign w:val="center"/>
                </w:tcPr>
                <w:p w14:paraId="00645F4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漆雾、</w:t>
                  </w: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w:t>
                  </w:r>
                  <w:r>
                    <w:rPr>
                      <w:rFonts w:hint="eastAsia"/>
                      <w:color w:val="auto"/>
                      <w:sz w:val="21"/>
                      <w:szCs w:val="21"/>
                      <w:highlight w:val="none"/>
                      <w:lang w:val="en-US" w:eastAsia="zh-CN"/>
                    </w:rPr>
                    <w:t>苯系物、臭气浓度</w:t>
                  </w:r>
                </w:p>
              </w:tc>
              <w:tc>
                <w:tcPr>
                  <w:tcW w:w="1182" w:type="pct"/>
                  <w:vMerge w:val="continue"/>
                  <w:tcBorders>
                    <w:tl2br w:val="nil"/>
                    <w:tr2bl w:val="nil"/>
                  </w:tcBorders>
                  <w:shd w:val="clear" w:color="000000" w:fill="FFFFFF"/>
                  <w:vAlign w:val="center"/>
                </w:tcPr>
                <w:p w14:paraId="6B156B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p>
              </w:tc>
            </w:tr>
            <w:tr w14:paraId="601E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restart"/>
                  <w:tcBorders>
                    <w:tl2br w:val="nil"/>
                    <w:tr2bl w:val="nil"/>
                  </w:tcBorders>
                  <w:shd w:val="clear" w:color="000000" w:fill="FFFFFF"/>
                  <w:noWrap/>
                  <w:vAlign w:val="center"/>
                </w:tcPr>
                <w:p w14:paraId="26BFA5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584" w:type="pct"/>
                  <w:gridSpan w:val="2"/>
                  <w:tcBorders>
                    <w:tl2br w:val="nil"/>
                    <w:tr2bl w:val="nil"/>
                  </w:tcBorders>
                  <w:shd w:val="clear" w:color="000000" w:fill="FFFFFF"/>
                  <w:noWrap/>
                  <w:vAlign w:val="center"/>
                </w:tcPr>
                <w:p w14:paraId="49D4B2B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852" w:type="pct"/>
                  <w:tcBorders>
                    <w:tl2br w:val="nil"/>
                    <w:tr2bl w:val="nil"/>
                  </w:tcBorders>
                  <w:shd w:val="clear" w:color="000000" w:fill="FFFFFF"/>
                  <w:noWrap/>
                  <w:vAlign w:val="center"/>
                </w:tcPr>
                <w:p w14:paraId="3B39A13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职工生活</w:t>
                  </w:r>
                </w:p>
              </w:tc>
              <w:tc>
                <w:tcPr>
                  <w:tcW w:w="1131" w:type="pct"/>
                  <w:tcBorders>
                    <w:tl2br w:val="nil"/>
                    <w:tr2bl w:val="nil"/>
                  </w:tcBorders>
                  <w:shd w:val="clear" w:color="000000" w:fill="FFFFFF"/>
                  <w:noWrap/>
                  <w:vAlign w:val="center"/>
                </w:tcPr>
                <w:p w14:paraId="48F1607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瓜果、纸等</w:t>
                  </w:r>
                </w:p>
              </w:tc>
              <w:tc>
                <w:tcPr>
                  <w:tcW w:w="1182" w:type="pct"/>
                  <w:tcBorders>
                    <w:tl2br w:val="nil"/>
                    <w:tr2bl w:val="nil"/>
                  </w:tcBorders>
                  <w:shd w:val="clear" w:color="000000" w:fill="FFFFFF"/>
                  <w:vAlign w:val="center"/>
                </w:tcPr>
                <w:p w14:paraId="4F7FCD1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交由环卫部门处理</w:t>
                  </w:r>
                </w:p>
              </w:tc>
            </w:tr>
            <w:tr w14:paraId="5C52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182D8B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BFB757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废包装材料</w:t>
                  </w:r>
                </w:p>
              </w:tc>
              <w:tc>
                <w:tcPr>
                  <w:tcW w:w="852" w:type="pct"/>
                  <w:tcBorders>
                    <w:tl2br w:val="nil"/>
                    <w:tr2bl w:val="nil"/>
                  </w:tcBorders>
                  <w:shd w:val="clear" w:color="000000" w:fill="FFFFFF"/>
                  <w:noWrap/>
                  <w:vAlign w:val="center"/>
                </w:tcPr>
                <w:p w14:paraId="77847FF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原料拆包</w:t>
                  </w:r>
                </w:p>
              </w:tc>
              <w:tc>
                <w:tcPr>
                  <w:tcW w:w="1131" w:type="pct"/>
                  <w:tcBorders>
                    <w:tl2br w:val="nil"/>
                    <w:tr2bl w:val="nil"/>
                  </w:tcBorders>
                  <w:shd w:val="clear" w:color="000000" w:fill="FFFFFF"/>
                  <w:noWrap/>
                  <w:vAlign w:val="center"/>
                </w:tcPr>
                <w:p w14:paraId="17A757B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塑料袋</w:t>
                  </w:r>
                </w:p>
              </w:tc>
              <w:tc>
                <w:tcPr>
                  <w:tcW w:w="1182" w:type="pct"/>
                  <w:tcBorders>
                    <w:tl2br w:val="nil"/>
                    <w:tr2bl w:val="nil"/>
                  </w:tcBorders>
                  <w:shd w:val="clear" w:color="000000" w:fill="FFFFFF"/>
                  <w:vAlign w:val="center"/>
                </w:tcPr>
                <w:p w14:paraId="0037577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54719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7B7D5C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5103F5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玻璃纤维边角料</w:t>
                  </w:r>
                </w:p>
              </w:tc>
              <w:tc>
                <w:tcPr>
                  <w:tcW w:w="852" w:type="pct"/>
                  <w:tcBorders>
                    <w:tl2br w:val="nil"/>
                    <w:tr2bl w:val="nil"/>
                  </w:tcBorders>
                  <w:shd w:val="clear" w:color="000000" w:fill="FFFFFF"/>
                  <w:noWrap/>
                  <w:vAlign w:val="center"/>
                </w:tcPr>
                <w:p w14:paraId="3F381F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切割</w:t>
                  </w:r>
                </w:p>
              </w:tc>
              <w:tc>
                <w:tcPr>
                  <w:tcW w:w="1131" w:type="pct"/>
                  <w:tcBorders>
                    <w:tl2br w:val="nil"/>
                    <w:tr2bl w:val="nil"/>
                  </w:tcBorders>
                  <w:shd w:val="clear" w:color="000000" w:fill="FFFFFF"/>
                  <w:noWrap/>
                  <w:vAlign w:val="center"/>
                </w:tcPr>
                <w:p w14:paraId="663D502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3572B7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交由专业单位处理</w:t>
                  </w:r>
                </w:p>
              </w:tc>
            </w:tr>
            <w:tr w14:paraId="49AD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965BB1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836AA7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塑料边角料及不合格品</w:t>
                  </w:r>
                </w:p>
              </w:tc>
              <w:tc>
                <w:tcPr>
                  <w:tcW w:w="852" w:type="pct"/>
                  <w:tcBorders>
                    <w:tl2br w:val="nil"/>
                    <w:tr2bl w:val="nil"/>
                  </w:tcBorders>
                  <w:shd w:val="clear" w:color="000000" w:fill="FFFFFF"/>
                  <w:noWrap/>
                  <w:vAlign w:val="center"/>
                </w:tcPr>
                <w:p w14:paraId="50374A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注塑</w:t>
                  </w:r>
                </w:p>
              </w:tc>
              <w:tc>
                <w:tcPr>
                  <w:tcW w:w="1131" w:type="pct"/>
                  <w:tcBorders>
                    <w:tl2br w:val="nil"/>
                    <w:tr2bl w:val="nil"/>
                  </w:tcBorders>
                  <w:shd w:val="clear" w:color="000000" w:fill="FFFFFF"/>
                  <w:noWrap/>
                  <w:vAlign w:val="center"/>
                </w:tcPr>
                <w:p w14:paraId="2DF3CFD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塑料</w:t>
                  </w:r>
                </w:p>
              </w:tc>
              <w:tc>
                <w:tcPr>
                  <w:tcW w:w="1182" w:type="pct"/>
                  <w:tcBorders>
                    <w:tl2br w:val="nil"/>
                    <w:tr2bl w:val="nil"/>
                  </w:tcBorders>
                  <w:shd w:val="clear" w:color="000000" w:fill="FFFFFF"/>
                  <w:vAlign w:val="center"/>
                </w:tcPr>
                <w:p w14:paraId="6487B78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26B97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EBAFD8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70EE0F4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碳纤维边角料及不合格品</w:t>
                  </w:r>
                </w:p>
              </w:tc>
              <w:tc>
                <w:tcPr>
                  <w:tcW w:w="852" w:type="pct"/>
                  <w:tcBorders>
                    <w:tl2br w:val="nil"/>
                    <w:tr2bl w:val="nil"/>
                  </w:tcBorders>
                  <w:shd w:val="clear" w:color="000000" w:fill="FFFFFF"/>
                  <w:noWrap/>
                  <w:vAlign w:val="center"/>
                </w:tcPr>
                <w:p w14:paraId="7C19F1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裁布、切割</w:t>
                  </w:r>
                </w:p>
              </w:tc>
              <w:tc>
                <w:tcPr>
                  <w:tcW w:w="1131" w:type="pct"/>
                  <w:tcBorders>
                    <w:tl2br w:val="nil"/>
                    <w:tr2bl w:val="nil"/>
                  </w:tcBorders>
                  <w:shd w:val="clear" w:color="000000" w:fill="FFFFFF"/>
                  <w:noWrap/>
                  <w:vAlign w:val="center"/>
                </w:tcPr>
                <w:p w14:paraId="70BAEB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w:t>
                  </w:r>
                </w:p>
              </w:tc>
              <w:tc>
                <w:tcPr>
                  <w:tcW w:w="1182" w:type="pct"/>
                  <w:tcBorders>
                    <w:tl2br w:val="nil"/>
                    <w:tr2bl w:val="nil"/>
                  </w:tcBorders>
                  <w:shd w:val="clear" w:color="000000" w:fill="FFFFFF"/>
                  <w:vAlign w:val="center"/>
                </w:tcPr>
                <w:p w14:paraId="4302A8B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4CF1D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3D9E5DA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72541A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下脚料</w:t>
                  </w:r>
                </w:p>
              </w:tc>
              <w:tc>
                <w:tcPr>
                  <w:tcW w:w="852" w:type="pct"/>
                  <w:tcBorders>
                    <w:tl2br w:val="nil"/>
                    <w:tr2bl w:val="nil"/>
                  </w:tcBorders>
                  <w:shd w:val="clear" w:color="000000" w:fill="FFFFFF"/>
                  <w:noWrap/>
                  <w:vAlign w:val="center"/>
                </w:tcPr>
                <w:p w14:paraId="0C7D8B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织布</w:t>
                  </w:r>
                </w:p>
              </w:tc>
              <w:tc>
                <w:tcPr>
                  <w:tcW w:w="1131" w:type="pct"/>
                  <w:tcBorders>
                    <w:tl2br w:val="nil"/>
                    <w:tr2bl w:val="nil"/>
                  </w:tcBorders>
                  <w:shd w:val="clear" w:color="000000" w:fill="FFFFFF"/>
                  <w:noWrap/>
                  <w:vAlign w:val="center"/>
                </w:tcPr>
                <w:p w14:paraId="3BBC48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309D56C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1A9FF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06CEF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68332C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不合格品</w:t>
                  </w:r>
                </w:p>
              </w:tc>
              <w:tc>
                <w:tcPr>
                  <w:tcW w:w="852" w:type="pct"/>
                  <w:tcBorders>
                    <w:tl2br w:val="nil"/>
                    <w:tr2bl w:val="nil"/>
                  </w:tcBorders>
                  <w:shd w:val="clear" w:color="000000" w:fill="FFFFFF"/>
                  <w:noWrap/>
                  <w:vAlign w:val="center"/>
                </w:tcPr>
                <w:p w14:paraId="7EAE30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织布</w:t>
                  </w:r>
                </w:p>
              </w:tc>
              <w:tc>
                <w:tcPr>
                  <w:tcW w:w="1131" w:type="pct"/>
                  <w:tcBorders>
                    <w:tl2br w:val="nil"/>
                    <w:tr2bl w:val="nil"/>
                  </w:tcBorders>
                  <w:shd w:val="clear" w:color="000000" w:fill="FFFFFF"/>
                  <w:noWrap/>
                  <w:vAlign w:val="center"/>
                </w:tcPr>
                <w:p w14:paraId="6186E4B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484481C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2C12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73CDC1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CE90B0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废BOPP膜</w:t>
                  </w:r>
                </w:p>
              </w:tc>
              <w:tc>
                <w:tcPr>
                  <w:tcW w:w="852" w:type="pct"/>
                  <w:tcBorders>
                    <w:tl2br w:val="nil"/>
                    <w:tr2bl w:val="nil"/>
                  </w:tcBorders>
                  <w:shd w:val="clear" w:color="000000" w:fill="FFFFFF"/>
                  <w:noWrap/>
                  <w:vAlign w:val="center"/>
                </w:tcPr>
                <w:p w14:paraId="1E3BD4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脱膜</w:t>
                  </w:r>
                </w:p>
              </w:tc>
              <w:tc>
                <w:tcPr>
                  <w:tcW w:w="1131" w:type="pct"/>
                  <w:tcBorders>
                    <w:tl2br w:val="nil"/>
                    <w:tr2bl w:val="nil"/>
                  </w:tcBorders>
                  <w:shd w:val="clear" w:color="000000" w:fill="FFFFFF"/>
                  <w:noWrap/>
                  <w:vAlign w:val="center"/>
                </w:tcPr>
                <w:p w14:paraId="24386F9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BOPP膜</w:t>
                  </w:r>
                </w:p>
              </w:tc>
              <w:tc>
                <w:tcPr>
                  <w:tcW w:w="1182" w:type="pct"/>
                  <w:tcBorders>
                    <w:tl2br w:val="nil"/>
                    <w:tr2bl w:val="nil"/>
                  </w:tcBorders>
                  <w:shd w:val="clear" w:color="000000" w:fill="FFFFFF"/>
                  <w:vAlign w:val="center"/>
                </w:tcPr>
                <w:p w14:paraId="62E706C9">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03F29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5BAAD1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0EBA6C77">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沉淀滤渣</w:t>
                  </w:r>
                </w:p>
              </w:tc>
              <w:tc>
                <w:tcPr>
                  <w:tcW w:w="852" w:type="pct"/>
                  <w:tcBorders>
                    <w:tl2br w:val="nil"/>
                    <w:tr2bl w:val="nil"/>
                  </w:tcBorders>
                  <w:shd w:val="clear" w:color="000000" w:fill="FFFFFF"/>
                  <w:noWrap/>
                  <w:vAlign w:val="center"/>
                </w:tcPr>
                <w:p w14:paraId="3555BC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废水沉淀池</w:t>
                  </w:r>
                </w:p>
              </w:tc>
              <w:tc>
                <w:tcPr>
                  <w:tcW w:w="1131" w:type="pct"/>
                  <w:tcBorders>
                    <w:tl2br w:val="nil"/>
                    <w:tr2bl w:val="nil"/>
                  </w:tcBorders>
                  <w:shd w:val="clear" w:color="000000" w:fill="FFFFFF"/>
                  <w:noWrap/>
                  <w:vAlign w:val="center"/>
                </w:tcPr>
                <w:p w14:paraId="678A7A0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碳纤维</w:t>
                  </w:r>
                </w:p>
              </w:tc>
              <w:tc>
                <w:tcPr>
                  <w:tcW w:w="1182" w:type="pct"/>
                  <w:tcBorders>
                    <w:tl2br w:val="nil"/>
                    <w:tr2bl w:val="nil"/>
                  </w:tcBorders>
                  <w:shd w:val="clear" w:color="000000" w:fill="FFFFFF"/>
                  <w:vAlign w:val="center"/>
                </w:tcPr>
                <w:p w14:paraId="3D17562C">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6526B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D59A58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786914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废滤料</w:t>
                  </w:r>
                </w:p>
              </w:tc>
              <w:tc>
                <w:tcPr>
                  <w:tcW w:w="852" w:type="pct"/>
                  <w:tcBorders>
                    <w:tl2br w:val="nil"/>
                    <w:tr2bl w:val="nil"/>
                  </w:tcBorders>
                  <w:shd w:val="clear" w:color="000000" w:fill="FFFFFF"/>
                  <w:noWrap/>
                  <w:vAlign w:val="center"/>
                </w:tcPr>
                <w:p w14:paraId="68AD09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旁滤装置</w:t>
                  </w:r>
                </w:p>
              </w:tc>
              <w:tc>
                <w:tcPr>
                  <w:tcW w:w="1131" w:type="pct"/>
                  <w:tcBorders>
                    <w:tl2br w:val="nil"/>
                    <w:tr2bl w:val="nil"/>
                  </w:tcBorders>
                  <w:shd w:val="clear" w:color="000000" w:fill="FFFFFF"/>
                  <w:noWrap/>
                  <w:vAlign w:val="center"/>
                </w:tcPr>
                <w:p w14:paraId="69C28B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石英砂杂质、废RO膜等</w:t>
                  </w:r>
                </w:p>
              </w:tc>
              <w:tc>
                <w:tcPr>
                  <w:tcW w:w="1182" w:type="pct"/>
                  <w:tcBorders>
                    <w:tl2br w:val="nil"/>
                    <w:tr2bl w:val="nil"/>
                  </w:tcBorders>
                  <w:shd w:val="clear" w:color="000000" w:fill="FFFFFF"/>
                  <w:vAlign w:val="center"/>
                </w:tcPr>
                <w:p w14:paraId="6C541461">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68EB3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408DE9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restart"/>
                  <w:tcBorders>
                    <w:tl2br w:val="nil"/>
                    <w:tr2bl w:val="nil"/>
                  </w:tcBorders>
                  <w:shd w:val="clear" w:color="000000" w:fill="FFFFFF"/>
                  <w:noWrap/>
                  <w:vAlign w:val="center"/>
                </w:tcPr>
                <w:p w14:paraId="376A5F7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废原料桶</w:t>
                  </w:r>
                </w:p>
              </w:tc>
              <w:tc>
                <w:tcPr>
                  <w:tcW w:w="1095" w:type="pct"/>
                  <w:tcBorders>
                    <w:tl2br w:val="nil"/>
                    <w:tr2bl w:val="nil"/>
                  </w:tcBorders>
                  <w:shd w:val="clear" w:color="000000" w:fill="FFFFFF"/>
                  <w:noWrap/>
                  <w:vAlign w:val="center"/>
                </w:tcPr>
                <w:p w14:paraId="068B041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废不饱和聚酯树脂桶</w:t>
                  </w:r>
                </w:p>
              </w:tc>
              <w:tc>
                <w:tcPr>
                  <w:tcW w:w="852" w:type="pct"/>
                  <w:tcBorders>
                    <w:tl2br w:val="nil"/>
                    <w:tr2bl w:val="nil"/>
                  </w:tcBorders>
                  <w:shd w:val="clear" w:color="000000" w:fill="FFFFFF"/>
                  <w:noWrap/>
                  <w:vAlign w:val="center"/>
                </w:tcPr>
                <w:p w14:paraId="3D6302C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09109C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1182" w:type="pct"/>
                  <w:tcBorders>
                    <w:tl2br w:val="nil"/>
                    <w:tr2bl w:val="nil"/>
                  </w:tcBorders>
                  <w:shd w:val="clear" w:color="000000" w:fill="FFFFFF"/>
                  <w:vAlign w:val="center"/>
                </w:tcPr>
                <w:p w14:paraId="4838A99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4046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63EDDD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41E019E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3081731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废色浆桶</w:t>
                  </w:r>
                </w:p>
              </w:tc>
              <w:tc>
                <w:tcPr>
                  <w:tcW w:w="852" w:type="pct"/>
                  <w:tcBorders>
                    <w:tl2br w:val="nil"/>
                    <w:tr2bl w:val="nil"/>
                  </w:tcBorders>
                  <w:shd w:val="clear" w:color="000000" w:fill="FFFFFF"/>
                  <w:noWrap/>
                  <w:vAlign w:val="center"/>
                </w:tcPr>
                <w:p w14:paraId="2C6007E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14EBB2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色浆</w:t>
                  </w:r>
                </w:p>
              </w:tc>
              <w:tc>
                <w:tcPr>
                  <w:tcW w:w="1182" w:type="pct"/>
                  <w:tcBorders>
                    <w:tl2br w:val="nil"/>
                    <w:tr2bl w:val="nil"/>
                  </w:tcBorders>
                  <w:shd w:val="clear" w:color="000000" w:fill="FFFFFF"/>
                  <w:vAlign w:val="center"/>
                </w:tcPr>
                <w:p w14:paraId="74BA3DB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B944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3A1528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4D34154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406D71E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废固化剂桶</w:t>
                  </w:r>
                </w:p>
              </w:tc>
              <w:tc>
                <w:tcPr>
                  <w:tcW w:w="852" w:type="pct"/>
                  <w:tcBorders>
                    <w:tl2br w:val="nil"/>
                    <w:tr2bl w:val="nil"/>
                  </w:tcBorders>
                  <w:shd w:val="clear" w:color="000000" w:fill="FFFFFF"/>
                  <w:noWrap/>
                  <w:vAlign w:val="center"/>
                </w:tcPr>
                <w:p w14:paraId="58469AF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105F757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固化剂</w:t>
                  </w:r>
                </w:p>
              </w:tc>
              <w:tc>
                <w:tcPr>
                  <w:tcW w:w="1182" w:type="pct"/>
                  <w:tcBorders>
                    <w:tl2br w:val="nil"/>
                    <w:tr2bl w:val="nil"/>
                  </w:tcBorders>
                  <w:shd w:val="clear" w:color="000000" w:fill="FFFFFF"/>
                  <w:vAlign w:val="center"/>
                </w:tcPr>
                <w:p w14:paraId="2B96954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358D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FCD9B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0782A0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298B89E8">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废漆桶</w:t>
                  </w:r>
                </w:p>
              </w:tc>
              <w:tc>
                <w:tcPr>
                  <w:tcW w:w="852" w:type="pct"/>
                  <w:tcBorders>
                    <w:tl2br w:val="nil"/>
                    <w:tr2bl w:val="nil"/>
                  </w:tcBorders>
                  <w:shd w:val="clear" w:color="000000" w:fill="FFFFFF"/>
                  <w:noWrap/>
                  <w:vAlign w:val="center"/>
                </w:tcPr>
                <w:p w14:paraId="333706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原料使用</w:t>
                  </w:r>
                </w:p>
              </w:tc>
              <w:tc>
                <w:tcPr>
                  <w:tcW w:w="1131" w:type="pct"/>
                  <w:tcBorders>
                    <w:tl2br w:val="nil"/>
                    <w:tr2bl w:val="nil"/>
                  </w:tcBorders>
                  <w:shd w:val="clear" w:color="000000" w:fill="FFFFFF"/>
                  <w:noWrap/>
                  <w:vAlign w:val="center"/>
                </w:tcPr>
                <w:p w14:paraId="7BFDE1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油漆</w:t>
                  </w:r>
                </w:p>
              </w:tc>
              <w:tc>
                <w:tcPr>
                  <w:tcW w:w="1182" w:type="pct"/>
                  <w:tcBorders>
                    <w:tl2br w:val="nil"/>
                    <w:tr2bl w:val="nil"/>
                  </w:tcBorders>
                  <w:shd w:val="clear" w:color="000000" w:fill="FFFFFF"/>
                  <w:vAlign w:val="center"/>
                </w:tcPr>
                <w:p w14:paraId="762B1BD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委托有资质单位处置</w:t>
                  </w:r>
                </w:p>
              </w:tc>
            </w:tr>
            <w:tr w14:paraId="5595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ACCE9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105A75D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6A0F58E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废脱模剂桶</w:t>
                  </w:r>
                </w:p>
              </w:tc>
              <w:tc>
                <w:tcPr>
                  <w:tcW w:w="852" w:type="pct"/>
                  <w:tcBorders>
                    <w:tl2br w:val="nil"/>
                    <w:tr2bl w:val="nil"/>
                  </w:tcBorders>
                  <w:shd w:val="clear" w:color="000000" w:fill="FFFFFF"/>
                  <w:noWrap/>
                  <w:vAlign w:val="center"/>
                </w:tcPr>
                <w:p w14:paraId="6F39DF5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776703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脱模剂</w:t>
                  </w:r>
                </w:p>
              </w:tc>
              <w:tc>
                <w:tcPr>
                  <w:tcW w:w="1182" w:type="pct"/>
                  <w:tcBorders>
                    <w:tl2br w:val="nil"/>
                    <w:tr2bl w:val="nil"/>
                  </w:tcBorders>
                  <w:shd w:val="clear" w:color="000000" w:fill="FFFFFF"/>
                  <w:vAlign w:val="center"/>
                </w:tcPr>
                <w:p w14:paraId="5DFBB40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6F4C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938A11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F233B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color w:val="auto"/>
                      <w:sz w:val="21"/>
                      <w:szCs w:val="21"/>
                      <w:highlight w:val="none"/>
                      <w:lang w:val="en-US" w:eastAsia="zh-CN"/>
                    </w:rPr>
                    <w:t>机</w:t>
                  </w:r>
                  <w:r>
                    <w:rPr>
                      <w:rFonts w:hint="default" w:ascii="Times New Roman" w:hAnsi="Times New Roman" w:cs="Times New Roman"/>
                      <w:color w:val="auto"/>
                      <w:sz w:val="21"/>
                      <w:szCs w:val="21"/>
                      <w:highlight w:val="none"/>
                    </w:rPr>
                    <w:t>油</w:t>
                  </w:r>
                  <w:r>
                    <w:rPr>
                      <w:rFonts w:hint="default" w:ascii="Times New Roman" w:hAnsi="Times New Roman" w:cs="Times New Roman"/>
                      <w:color w:val="auto"/>
                      <w:sz w:val="21"/>
                      <w:szCs w:val="21"/>
                      <w:highlight w:val="none"/>
                      <w:lang w:eastAsia="zh-CN"/>
                    </w:rPr>
                    <w:t>及</w:t>
                  </w:r>
                  <w:r>
                    <w:rPr>
                      <w:rFonts w:hint="default" w:ascii="Times New Roman" w:hAnsi="Times New Roman" w:cs="Times New Roman"/>
                      <w:color w:val="auto"/>
                      <w:sz w:val="21"/>
                      <w:szCs w:val="21"/>
                      <w:highlight w:val="none"/>
                    </w:rPr>
                    <w:t>桶</w:t>
                  </w:r>
                </w:p>
              </w:tc>
              <w:tc>
                <w:tcPr>
                  <w:tcW w:w="852" w:type="pct"/>
                  <w:tcBorders>
                    <w:tl2br w:val="nil"/>
                    <w:tr2bl w:val="nil"/>
                  </w:tcBorders>
                  <w:shd w:val="clear" w:color="000000" w:fill="FFFFFF"/>
                  <w:noWrap/>
                  <w:vAlign w:val="center"/>
                </w:tcPr>
                <w:p w14:paraId="5B0B56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设备保养</w:t>
                  </w:r>
                </w:p>
              </w:tc>
              <w:tc>
                <w:tcPr>
                  <w:tcW w:w="1131" w:type="pct"/>
                  <w:tcBorders>
                    <w:tl2br w:val="nil"/>
                    <w:tr2bl w:val="nil"/>
                  </w:tcBorders>
                  <w:shd w:val="clear" w:color="000000" w:fill="FFFFFF"/>
                  <w:noWrap/>
                  <w:vAlign w:val="center"/>
                </w:tcPr>
                <w:p w14:paraId="3C9FE0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矿物油</w:t>
                  </w:r>
                </w:p>
              </w:tc>
              <w:tc>
                <w:tcPr>
                  <w:tcW w:w="1182" w:type="pct"/>
                  <w:tcBorders>
                    <w:tl2br w:val="nil"/>
                    <w:tr2bl w:val="nil"/>
                  </w:tcBorders>
                  <w:shd w:val="clear" w:color="000000" w:fill="FFFFFF"/>
                  <w:vAlign w:val="center"/>
                </w:tcPr>
                <w:p w14:paraId="1115349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5400C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BBA48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AFC65D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废含油抹布及手套</w:t>
                  </w:r>
                </w:p>
              </w:tc>
              <w:tc>
                <w:tcPr>
                  <w:tcW w:w="852" w:type="pct"/>
                  <w:tcBorders>
                    <w:tl2br w:val="nil"/>
                    <w:tr2bl w:val="nil"/>
                  </w:tcBorders>
                  <w:shd w:val="clear" w:color="000000" w:fill="FFFFFF"/>
                  <w:noWrap/>
                  <w:vAlign w:val="center"/>
                </w:tcPr>
                <w:p w14:paraId="561A0D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设备保养</w:t>
                  </w:r>
                </w:p>
              </w:tc>
              <w:tc>
                <w:tcPr>
                  <w:tcW w:w="1131" w:type="pct"/>
                  <w:tcBorders>
                    <w:tl2br w:val="nil"/>
                    <w:tr2bl w:val="nil"/>
                  </w:tcBorders>
                  <w:shd w:val="clear" w:color="000000" w:fill="FFFFFF"/>
                  <w:noWrap/>
                  <w:vAlign w:val="center"/>
                </w:tcPr>
                <w:p w14:paraId="04B65F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182" w:type="pct"/>
                  <w:tcBorders>
                    <w:tl2br w:val="nil"/>
                    <w:tr2bl w:val="nil"/>
                  </w:tcBorders>
                  <w:shd w:val="clear" w:color="000000" w:fill="FFFFFF"/>
                  <w:vAlign w:val="center"/>
                </w:tcPr>
                <w:p w14:paraId="41F5ED2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B0C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4BA52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B15C4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废过滤棉</w:t>
                  </w:r>
                </w:p>
              </w:tc>
              <w:tc>
                <w:tcPr>
                  <w:tcW w:w="852" w:type="pct"/>
                  <w:tcBorders>
                    <w:tl2br w:val="nil"/>
                    <w:tr2bl w:val="nil"/>
                  </w:tcBorders>
                  <w:shd w:val="clear" w:color="000000" w:fill="FFFFFF"/>
                  <w:noWrap/>
                  <w:vAlign w:val="center"/>
                </w:tcPr>
                <w:p w14:paraId="4A8F735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废气处理</w:t>
                  </w:r>
                </w:p>
              </w:tc>
              <w:tc>
                <w:tcPr>
                  <w:tcW w:w="1131" w:type="pct"/>
                  <w:tcBorders>
                    <w:tl2br w:val="nil"/>
                    <w:tr2bl w:val="nil"/>
                  </w:tcBorders>
                  <w:shd w:val="clear" w:color="000000" w:fill="FFFFFF"/>
                  <w:noWrap/>
                  <w:vAlign w:val="center"/>
                </w:tcPr>
                <w:p w14:paraId="6B07B9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有机</w:t>
                  </w:r>
                  <w:r>
                    <w:rPr>
                      <w:rFonts w:hint="default" w:ascii="Times New Roman" w:hAnsi="Times New Roman" w:cs="Times New Roman"/>
                      <w:color w:val="auto"/>
                      <w:sz w:val="21"/>
                      <w:szCs w:val="21"/>
                      <w:highlight w:val="none"/>
                      <w:lang w:val="en-US" w:eastAsia="zh-CN"/>
                    </w:rPr>
                    <w:t>废气</w:t>
                  </w:r>
                </w:p>
              </w:tc>
              <w:tc>
                <w:tcPr>
                  <w:tcW w:w="1182" w:type="pct"/>
                  <w:tcBorders>
                    <w:tl2br w:val="nil"/>
                    <w:tr2bl w:val="nil"/>
                  </w:tcBorders>
                  <w:shd w:val="clear" w:color="000000" w:fill="FFFFFF"/>
                  <w:vAlign w:val="center"/>
                </w:tcPr>
                <w:p w14:paraId="18B2431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7209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174C8D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77C10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废活性炭</w:t>
                  </w:r>
                </w:p>
              </w:tc>
              <w:tc>
                <w:tcPr>
                  <w:tcW w:w="852" w:type="pct"/>
                  <w:tcBorders>
                    <w:tl2br w:val="nil"/>
                    <w:tr2bl w:val="nil"/>
                  </w:tcBorders>
                  <w:shd w:val="clear" w:color="000000" w:fill="FFFFFF"/>
                  <w:noWrap/>
                  <w:vAlign w:val="center"/>
                </w:tcPr>
                <w:p w14:paraId="3346FF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废气处理</w:t>
                  </w:r>
                </w:p>
              </w:tc>
              <w:tc>
                <w:tcPr>
                  <w:tcW w:w="1131" w:type="pct"/>
                  <w:tcBorders>
                    <w:tl2br w:val="nil"/>
                    <w:tr2bl w:val="nil"/>
                  </w:tcBorders>
                  <w:shd w:val="clear" w:color="000000" w:fill="FFFFFF"/>
                  <w:noWrap/>
                  <w:vAlign w:val="center"/>
                </w:tcPr>
                <w:p w14:paraId="0319C4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活性炭、有机</w:t>
                  </w:r>
                  <w:r>
                    <w:rPr>
                      <w:rFonts w:hint="default" w:ascii="Times New Roman" w:hAnsi="Times New Roman" w:cs="Times New Roman"/>
                      <w:color w:val="auto"/>
                      <w:sz w:val="21"/>
                      <w:szCs w:val="21"/>
                      <w:highlight w:val="none"/>
                      <w:lang w:val="en-US" w:eastAsia="zh-CN"/>
                    </w:rPr>
                    <w:t>废气</w:t>
                  </w:r>
                </w:p>
              </w:tc>
              <w:tc>
                <w:tcPr>
                  <w:tcW w:w="1182" w:type="pct"/>
                  <w:tcBorders>
                    <w:tl2br w:val="nil"/>
                    <w:tr2bl w:val="nil"/>
                  </w:tcBorders>
                  <w:shd w:val="clear" w:color="000000" w:fill="FFFFFF"/>
                  <w:vAlign w:val="center"/>
                </w:tcPr>
                <w:p w14:paraId="7504AA2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委托有资质的单位处置</w:t>
                  </w:r>
                </w:p>
              </w:tc>
            </w:tr>
            <w:tr w14:paraId="6033B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A9D92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3AEA9D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废漆渣</w:t>
                  </w:r>
                </w:p>
              </w:tc>
              <w:tc>
                <w:tcPr>
                  <w:tcW w:w="852" w:type="pct"/>
                  <w:tcBorders>
                    <w:tl2br w:val="nil"/>
                    <w:tr2bl w:val="nil"/>
                  </w:tcBorders>
                  <w:shd w:val="clear" w:color="000000" w:fill="FFFFFF"/>
                  <w:noWrap/>
                  <w:vAlign w:val="center"/>
                </w:tcPr>
                <w:p w14:paraId="63AB3A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废气处理</w:t>
                  </w:r>
                </w:p>
              </w:tc>
              <w:tc>
                <w:tcPr>
                  <w:tcW w:w="1131" w:type="pct"/>
                  <w:tcBorders>
                    <w:tl2br w:val="nil"/>
                    <w:tr2bl w:val="nil"/>
                  </w:tcBorders>
                  <w:shd w:val="clear" w:color="000000" w:fill="FFFFFF"/>
                  <w:noWrap/>
                  <w:vAlign w:val="center"/>
                </w:tcPr>
                <w:p w14:paraId="4B0E6F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漆渣颗粒、有机废气</w:t>
                  </w:r>
                </w:p>
              </w:tc>
              <w:tc>
                <w:tcPr>
                  <w:tcW w:w="1182" w:type="pct"/>
                  <w:tcBorders>
                    <w:tl2br w:val="nil"/>
                    <w:tr2bl w:val="nil"/>
                  </w:tcBorders>
                  <w:shd w:val="clear" w:color="000000" w:fill="FFFFFF"/>
                  <w:vAlign w:val="center"/>
                </w:tcPr>
                <w:p w14:paraId="7E95848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3500C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tcBorders>
                    <w:tl2br w:val="nil"/>
                    <w:tr2bl w:val="nil"/>
                  </w:tcBorders>
                  <w:shd w:val="clear" w:color="auto" w:fill="auto"/>
                  <w:vAlign w:val="center"/>
                </w:tcPr>
                <w:p w14:paraId="163999B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584" w:type="pct"/>
                  <w:gridSpan w:val="2"/>
                  <w:tcBorders>
                    <w:tl2br w:val="nil"/>
                    <w:tr2bl w:val="nil"/>
                  </w:tcBorders>
                  <w:shd w:val="clear" w:color="000000" w:fill="FFFFFF"/>
                  <w:noWrap/>
                  <w:vAlign w:val="center"/>
                </w:tcPr>
                <w:p w14:paraId="783F3E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设备运转</w:t>
                  </w:r>
                </w:p>
              </w:tc>
              <w:tc>
                <w:tcPr>
                  <w:tcW w:w="852" w:type="pct"/>
                  <w:tcBorders>
                    <w:tl2br w:val="nil"/>
                    <w:tr2bl w:val="nil"/>
                  </w:tcBorders>
                  <w:shd w:val="clear" w:color="000000" w:fill="FFFFFF"/>
                  <w:noWrap/>
                  <w:vAlign w:val="center"/>
                </w:tcPr>
                <w:p w14:paraId="61E9D9D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搅拌</w:t>
                  </w:r>
                </w:p>
              </w:tc>
              <w:tc>
                <w:tcPr>
                  <w:tcW w:w="1131" w:type="pct"/>
                  <w:tcBorders>
                    <w:tl2br w:val="nil"/>
                    <w:tr2bl w:val="nil"/>
                  </w:tcBorders>
                  <w:shd w:val="clear" w:color="000000" w:fill="FFFFFF"/>
                  <w:noWrap/>
                  <w:vAlign w:val="center"/>
                </w:tcPr>
                <w:p w14:paraId="73D6B8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1182" w:type="pct"/>
                  <w:tcBorders>
                    <w:tl2br w:val="nil"/>
                    <w:tr2bl w:val="nil"/>
                  </w:tcBorders>
                  <w:shd w:val="clear" w:color="000000" w:fill="FFFFFF"/>
                  <w:vAlign w:val="center"/>
                </w:tcPr>
                <w:p w14:paraId="16B96A9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厂界处达标排放</w:t>
                  </w:r>
                </w:p>
              </w:tc>
            </w:tr>
            <w:tr w14:paraId="6483B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restart"/>
                  <w:tcBorders>
                    <w:tl2br w:val="nil"/>
                    <w:tr2bl w:val="nil"/>
                  </w:tcBorders>
                  <w:shd w:val="clear" w:color="auto" w:fill="auto"/>
                  <w:vAlign w:val="center"/>
                </w:tcPr>
                <w:p w14:paraId="16B3AA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584" w:type="pct"/>
                  <w:gridSpan w:val="2"/>
                  <w:tcBorders>
                    <w:tl2br w:val="nil"/>
                    <w:tr2bl w:val="nil"/>
                  </w:tcBorders>
                  <w:shd w:val="clear" w:color="000000" w:fill="FFFFFF"/>
                  <w:noWrap/>
                  <w:vAlign w:val="center"/>
                </w:tcPr>
                <w:p w14:paraId="45F2238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冷却</w:t>
                  </w:r>
                  <w:r>
                    <w:rPr>
                      <w:rFonts w:hint="eastAsia" w:cs="Times New Roman"/>
                      <w:color w:val="auto"/>
                      <w:sz w:val="21"/>
                      <w:szCs w:val="21"/>
                      <w:highlight w:val="none"/>
                      <w:lang w:eastAsia="zh-CN"/>
                    </w:rPr>
                    <w:t>用</w:t>
                  </w:r>
                  <w:r>
                    <w:rPr>
                      <w:rFonts w:hint="default" w:ascii="Times New Roman" w:hAnsi="Times New Roman" w:cs="Times New Roman"/>
                      <w:color w:val="auto"/>
                      <w:sz w:val="21"/>
                      <w:szCs w:val="21"/>
                      <w:highlight w:val="none"/>
                    </w:rPr>
                    <w:t>水</w:t>
                  </w:r>
                </w:p>
              </w:tc>
              <w:tc>
                <w:tcPr>
                  <w:tcW w:w="852" w:type="pct"/>
                  <w:tcBorders>
                    <w:tl2br w:val="nil"/>
                    <w:tr2bl w:val="nil"/>
                  </w:tcBorders>
                  <w:shd w:val="clear" w:color="000000" w:fill="FFFFFF"/>
                  <w:noWrap/>
                  <w:vAlign w:val="center"/>
                </w:tcPr>
                <w:p w14:paraId="31FFCC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注塑</w:t>
                  </w:r>
                  <w:r>
                    <w:rPr>
                      <w:rFonts w:hint="default" w:ascii="Times New Roman" w:hAnsi="Times New Roman" w:cs="Times New Roman"/>
                      <w:color w:val="auto"/>
                      <w:sz w:val="21"/>
                      <w:szCs w:val="21"/>
                      <w:highlight w:val="none"/>
                      <w:lang w:val="en-US" w:eastAsia="zh-CN"/>
                    </w:rPr>
                    <w:t>冷却</w:t>
                  </w:r>
                </w:p>
              </w:tc>
              <w:tc>
                <w:tcPr>
                  <w:tcW w:w="1131" w:type="pct"/>
                  <w:tcBorders>
                    <w:tl2br w:val="nil"/>
                    <w:tr2bl w:val="nil"/>
                  </w:tcBorders>
                  <w:shd w:val="clear" w:color="000000" w:fill="FFFFFF"/>
                  <w:noWrap/>
                  <w:vAlign w:val="center"/>
                </w:tcPr>
                <w:p w14:paraId="2EAA185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5DCC84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循环使用不外排</w:t>
                  </w:r>
                </w:p>
              </w:tc>
            </w:tr>
            <w:tr w14:paraId="79135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110692E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20437C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切割用水</w:t>
                  </w:r>
                </w:p>
              </w:tc>
              <w:tc>
                <w:tcPr>
                  <w:tcW w:w="852" w:type="pct"/>
                  <w:tcBorders>
                    <w:tl2br w:val="nil"/>
                    <w:tr2bl w:val="nil"/>
                  </w:tcBorders>
                  <w:shd w:val="clear" w:color="000000" w:fill="FFFFFF"/>
                  <w:noWrap/>
                  <w:vAlign w:val="center"/>
                </w:tcPr>
                <w:p w14:paraId="6984AAC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切割</w:t>
                  </w:r>
                </w:p>
              </w:tc>
              <w:tc>
                <w:tcPr>
                  <w:tcW w:w="1131" w:type="pct"/>
                  <w:tcBorders>
                    <w:tl2br w:val="nil"/>
                    <w:tr2bl w:val="nil"/>
                  </w:tcBorders>
                  <w:shd w:val="clear" w:color="000000" w:fill="FFFFFF"/>
                  <w:noWrap/>
                  <w:vAlign w:val="center"/>
                </w:tcPr>
                <w:p w14:paraId="6CBCAFA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0678F3A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循环使用不外排</w:t>
                  </w:r>
                </w:p>
              </w:tc>
            </w:tr>
            <w:tr w14:paraId="74679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19258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B8042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水帘柜</w:t>
                  </w:r>
                  <w:r>
                    <w:rPr>
                      <w:rFonts w:hint="default" w:ascii="Times New Roman" w:hAnsi="Times New Roman" w:cs="Times New Roman"/>
                      <w:color w:val="auto"/>
                      <w:sz w:val="21"/>
                      <w:szCs w:val="21"/>
                      <w:highlight w:val="none"/>
                    </w:rPr>
                    <w:t>废液及喷淋沉渣</w:t>
                  </w:r>
                </w:p>
              </w:tc>
              <w:tc>
                <w:tcPr>
                  <w:tcW w:w="852" w:type="pct"/>
                  <w:tcBorders>
                    <w:tl2br w:val="nil"/>
                    <w:tr2bl w:val="nil"/>
                  </w:tcBorders>
                  <w:shd w:val="clear" w:color="000000" w:fill="FFFFFF"/>
                  <w:noWrap/>
                  <w:vAlign w:val="center"/>
                </w:tcPr>
                <w:p w14:paraId="1FFA0EC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废气处理</w:t>
                  </w:r>
                </w:p>
              </w:tc>
              <w:tc>
                <w:tcPr>
                  <w:tcW w:w="1131" w:type="pct"/>
                  <w:tcBorders>
                    <w:tl2br w:val="nil"/>
                    <w:tr2bl w:val="nil"/>
                  </w:tcBorders>
                  <w:shd w:val="clear" w:color="000000" w:fill="FFFFFF"/>
                  <w:noWrap/>
                  <w:vAlign w:val="center"/>
                </w:tcPr>
                <w:p w14:paraId="473938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1ED7A69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7383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BC7898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345CB2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喷枪清洗废液</w:t>
                  </w:r>
                </w:p>
              </w:tc>
              <w:tc>
                <w:tcPr>
                  <w:tcW w:w="852" w:type="pct"/>
                  <w:tcBorders>
                    <w:tl2br w:val="nil"/>
                    <w:tr2bl w:val="nil"/>
                  </w:tcBorders>
                  <w:shd w:val="clear" w:color="000000" w:fill="FFFFFF"/>
                  <w:noWrap/>
                  <w:vAlign w:val="center"/>
                </w:tcPr>
                <w:p w14:paraId="35A036A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喷枪清洗</w:t>
                  </w:r>
                </w:p>
              </w:tc>
              <w:tc>
                <w:tcPr>
                  <w:tcW w:w="1131" w:type="pct"/>
                  <w:tcBorders>
                    <w:tl2br w:val="nil"/>
                    <w:tr2bl w:val="nil"/>
                  </w:tcBorders>
                  <w:shd w:val="clear" w:color="000000" w:fill="FFFFFF"/>
                  <w:noWrap/>
                  <w:vAlign w:val="center"/>
                </w:tcPr>
                <w:p w14:paraId="2FC136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182" w:type="pct"/>
                  <w:tcBorders>
                    <w:tl2br w:val="nil"/>
                    <w:tr2bl w:val="nil"/>
                  </w:tcBorders>
                  <w:shd w:val="clear" w:color="000000" w:fill="FFFFFF"/>
                  <w:vAlign w:val="center"/>
                </w:tcPr>
                <w:p w14:paraId="5C6B242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32A9E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487C7AB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919ABD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水磨抛光废水</w:t>
                  </w:r>
                </w:p>
              </w:tc>
              <w:tc>
                <w:tcPr>
                  <w:tcW w:w="852" w:type="pct"/>
                  <w:tcBorders>
                    <w:tl2br w:val="nil"/>
                    <w:tr2bl w:val="nil"/>
                  </w:tcBorders>
                  <w:shd w:val="clear" w:color="000000" w:fill="FFFFFF"/>
                  <w:noWrap/>
                  <w:vAlign w:val="center"/>
                </w:tcPr>
                <w:p w14:paraId="28575BB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水磨</w:t>
                  </w:r>
                </w:p>
              </w:tc>
              <w:tc>
                <w:tcPr>
                  <w:tcW w:w="1131" w:type="pct"/>
                  <w:tcBorders>
                    <w:tl2br w:val="nil"/>
                    <w:tr2bl w:val="nil"/>
                  </w:tcBorders>
                  <w:shd w:val="clear" w:color="000000" w:fill="FFFFFF"/>
                  <w:noWrap/>
                  <w:vAlign w:val="center"/>
                </w:tcPr>
                <w:p w14:paraId="57C640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pH、SS、COD</w:t>
                  </w:r>
                  <w:r>
                    <w:rPr>
                      <w:rFonts w:hint="eastAsia"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182" w:type="pct"/>
                  <w:tcBorders>
                    <w:tl2br w:val="nil"/>
                    <w:tr2bl w:val="nil"/>
                  </w:tcBorders>
                  <w:shd w:val="clear" w:color="000000" w:fill="FFFFFF"/>
                  <w:vAlign w:val="center"/>
                </w:tcPr>
                <w:p w14:paraId="6DE4307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不外排</w:t>
                  </w:r>
                </w:p>
              </w:tc>
            </w:tr>
            <w:tr w14:paraId="28C3D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8CD2B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F2EC12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852" w:type="pct"/>
                  <w:tcBorders>
                    <w:tl2br w:val="nil"/>
                    <w:tr2bl w:val="nil"/>
                  </w:tcBorders>
                  <w:shd w:val="clear" w:color="000000" w:fill="FFFFFF"/>
                  <w:noWrap/>
                  <w:vAlign w:val="center"/>
                </w:tcPr>
                <w:p w14:paraId="2236C4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员工生活</w:t>
                  </w:r>
                </w:p>
              </w:tc>
              <w:tc>
                <w:tcPr>
                  <w:tcW w:w="1131" w:type="pct"/>
                  <w:tcBorders>
                    <w:tl2br w:val="nil"/>
                    <w:tr2bl w:val="nil"/>
                  </w:tcBorders>
                  <w:shd w:val="clear" w:color="000000" w:fill="FFFFFF"/>
                  <w:noWrap/>
                  <w:vAlign w:val="center"/>
                </w:tcPr>
                <w:p w14:paraId="4EA274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pH、</w:t>
                  </w:r>
                  <w:r>
                    <w:rPr>
                      <w:rFonts w:hint="default" w:ascii="Times New Roman" w:hAnsi="Times New Roman" w:cs="Times New Roman"/>
                      <w:color w:val="auto"/>
                      <w:sz w:val="21"/>
                      <w:szCs w:val="21"/>
                      <w:highlight w:val="none"/>
                    </w:rPr>
                    <w:t>COD</w:t>
                  </w:r>
                  <w:r>
                    <w:rPr>
                      <w:rFonts w:hint="eastAsia"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rPr>
                    <w:t>、SS、NH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r>
                    <w:rPr>
                      <w:rFonts w:hint="eastAsia" w:cs="Times New Roman"/>
                      <w:color w:val="auto"/>
                      <w:sz w:val="21"/>
                      <w:szCs w:val="21"/>
                      <w:highlight w:val="none"/>
                      <w:lang w:val="en-US" w:eastAsia="zh-CN"/>
                    </w:rPr>
                    <w:t>BOD</w:t>
                  </w:r>
                  <w:r>
                    <w:rPr>
                      <w:rFonts w:hint="eastAsia" w:cs="Times New Roman"/>
                      <w:color w:val="auto"/>
                      <w:sz w:val="21"/>
                      <w:szCs w:val="21"/>
                      <w:highlight w:val="none"/>
                      <w:vertAlign w:val="subscript"/>
                      <w:lang w:val="en-US" w:eastAsia="zh-CN"/>
                    </w:rPr>
                    <w:t>5</w:t>
                  </w:r>
                </w:p>
              </w:tc>
              <w:tc>
                <w:tcPr>
                  <w:tcW w:w="1182" w:type="pct"/>
                  <w:tcBorders>
                    <w:tl2br w:val="nil"/>
                    <w:tr2bl w:val="nil"/>
                  </w:tcBorders>
                  <w:shd w:val="clear" w:color="000000" w:fill="FFFFFF"/>
                  <w:vAlign w:val="center"/>
                </w:tcPr>
                <w:p w14:paraId="315B780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三级</w:t>
                  </w:r>
                  <w:r>
                    <w:rPr>
                      <w:rFonts w:hint="default" w:ascii="Times New Roman" w:hAnsi="Times New Roman" w:cs="Times New Roman"/>
                      <w:color w:val="auto"/>
                      <w:sz w:val="21"/>
                      <w:szCs w:val="21"/>
                      <w:highlight w:val="none"/>
                    </w:rPr>
                    <w:t>化粪池预处理后，</w:t>
                  </w:r>
                  <w:r>
                    <w:rPr>
                      <w:rFonts w:hint="default" w:ascii="Times New Roman" w:hAnsi="Times New Roman"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污水处理厂深度处理</w:t>
                  </w:r>
                </w:p>
              </w:tc>
            </w:tr>
          </w:tbl>
          <w:p w14:paraId="28464C0A">
            <w:pPr>
              <w:pStyle w:val="26"/>
              <w:pageBreakBefore w:val="0"/>
              <w:kinsoku/>
              <w:overflowPunct/>
              <w:topLinePunct w:val="0"/>
              <w:bidi w:val="0"/>
              <w:snapToGrid/>
              <w:ind w:firstLine="0" w:firstLineChars="0"/>
              <w:outlineLvl w:val="9"/>
              <w:rPr>
                <w:rFonts w:hint="default" w:ascii="Times New Roman" w:hAnsi="Times New Roman" w:cs="Times New Roman"/>
                <w:b/>
                <w:bCs/>
                <w:color w:val="auto"/>
                <w:sz w:val="21"/>
                <w:szCs w:val="21"/>
                <w:highlight w:val="none"/>
              </w:rPr>
            </w:pPr>
          </w:p>
        </w:tc>
      </w:tr>
      <w:tr w14:paraId="73790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4A4A30B5">
            <w:pPr>
              <w:keepNext w:val="0"/>
              <w:keepLines w:val="0"/>
              <w:pageBreakBefore w:val="0"/>
              <w:widowControl w:val="0"/>
              <w:numPr>
                <w:ilvl w:val="1"/>
                <w:numId w:val="0"/>
              </w:numPr>
              <w:tabs>
                <w:tab w:val="left" w:pos="420"/>
              </w:tabs>
              <w:kinsoku/>
              <w:wordWrap/>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auto"/>
                <w:highlight w:val="none"/>
              </w:rPr>
            </w:pPr>
            <w:bookmarkStart w:id="26" w:name="_Toc8130"/>
            <w:bookmarkStart w:id="27" w:name="_Toc11592"/>
            <w:bookmarkStart w:id="28" w:name="_Toc5833"/>
            <w:bookmarkStart w:id="29" w:name="_Toc5613"/>
            <w:bookmarkStart w:id="30" w:name="_Toc14546"/>
            <w:bookmarkStart w:id="31" w:name="_Toc631"/>
            <w:bookmarkStart w:id="32" w:name="_Toc21908"/>
            <w:bookmarkStart w:id="33" w:name="_Toc13420"/>
            <w:bookmarkStart w:id="34" w:name="_Toc24696"/>
            <w:bookmarkStart w:id="35" w:name="_Toc25856"/>
            <w:r>
              <w:rPr>
                <w:rFonts w:hint="default" w:ascii="Times New Roman" w:hAnsi="Times New Roman" w:cs="Times New Roman"/>
                <w:color w:val="auto"/>
                <w:highlight w:val="none"/>
              </w:rPr>
              <w:t>与项目有关的原有环境污染问题</w:t>
            </w:r>
            <w:bookmarkEnd w:id="26"/>
            <w:bookmarkEnd w:id="27"/>
            <w:bookmarkEnd w:id="28"/>
            <w:bookmarkEnd w:id="29"/>
            <w:bookmarkEnd w:id="30"/>
            <w:bookmarkEnd w:id="31"/>
            <w:bookmarkEnd w:id="32"/>
            <w:bookmarkEnd w:id="33"/>
            <w:bookmarkEnd w:id="34"/>
            <w:bookmarkEnd w:id="35"/>
          </w:p>
        </w:tc>
        <w:tc>
          <w:tcPr>
            <w:tcW w:w="4733" w:type="pct"/>
            <w:vAlign w:val="center"/>
          </w:tcPr>
          <w:p w14:paraId="289B769C">
            <w:pPr>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tc>
      </w:tr>
    </w:tbl>
    <w:p w14:paraId="50528FE4">
      <w:pPr>
        <w:rPr>
          <w:rFonts w:hint="default" w:ascii="Times New Roman" w:hAnsi="Times New Roman" w:cs="Times New Roman"/>
          <w:color w:val="auto"/>
          <w:kern w:val="44"/>
          <w:sz w:val="30"/>
          <w:szCs w:val="30"/>
          <w:highlight w:val="none"/>
        </w:rPr>
      </w:pPr>
      <w:bookmarkStart w:id="36" w:name="_Toc29511"/>
      <w:r>
        <w:rPr>
          <w:rFonts w:hint="default" w:ascii="Times New Roman" w:hAnsi="Times New Roman" w:cs="Times New Roman"/>
          <w:color w:val="auto"/>
          <w:kern w:val="44"/>
          <w:sz w:val="30"/>
          <w:szCs w:val="30"/>
          <w:highlight w:val="none"/>
        </w:rPr>
        <w:br w:type="page"/>
      </w:r>
    </w:p>
    <w:bookmarkEnd w:id="36"/>
    <w:p w14:paraId="40F96224">
      <w:pPr>
        <w:pStyle w:val="18"/>
        <w:numPr>
          <w:ilvl w:val="0"/>
          <w:numId w:val="0"/>
        </w:numPr>
        <w:rPr>
          <w:rFonts w:hint="default" w:ascii="Times New Roman" w:hAnsi="Times New Roman" w:cs="Times New Roman"/>
          <w:color w:val="auto"/>
          <w:highlight w:val="none"/>
        </w:rPr>
      </w:pPr>
      <w:bookmarkStart w:id="37" w:name="_Toc20293"/>
      <w:bookmarkStart w:id="38" w:name="_Toc32008"/>
      <w:r>
        <w:rPr>
          <w:rFonts w:hint="default" w:ascii="Times New Roman" w:hAnsi="Times New Roman" w:cs="Times New Roman"/>
          <w:color w:val="auto"/>
          <w:highlight w:val="none"/>
        </w:rPr>
        <w:t>三、区域环境质量现状、环境保护目标及评价标准</w:t>
      </w:r>
      <w:bookmarkEnd w:id="37"/>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8081"/>
      </w:tblGrid>
      <w:tr w14:paraId="56D58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28601470">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39" w:name="_Toc14318"/>
            <w:bookmarkStart w:id="40" w:name="_Toc21642"/>
            <w:bookmarkStart w:id="41" w:name="_Toc24283"/>
            <w:bookmarkStart w:id="42" w:name="_Toc21960"/>
            <w:bookmarkStart w:id="43" w:name="_Toc11366"/>
            <w:r>
              <w:rPr>
                <w:rFonts w:hint="default" w:ascii="Times New Roman" w:hAnsi="Times New Roman" w:cs="Times New Roman"/>
                <w:color w:val="auto"/>
                <w:highlight w:val="none"/>
              </w:rPr>
              <w:t>区域环境质量现状</w:t>
            </w:r>
            <w:bookmarkEnd w:id="39"/>
            <w:bookmarkEnd w:id="40"/>
            <w:bookmarkEnd w:id="41"/>
            <w:bookmarkEnd w:id="42"/>
            <w:bookmarkEnd w:id="43"/>
          </w:p>
        </w:tc>
        <w:tc>
          <w:tcPr>
            <w:tcW w:w="4737" w:type="pct"/>
          </w:tcPr>
          <w:p w14:paraId="2F30A9F4">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3D40DD1F">
            <w:pPr>
              <w:pStyle w:val="2"/>
              <w:ind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67FF1EA">
            <w:pPr>
              <w:pStyle w:val="2"/>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0DCA1A1A">
            <w:pPr>
              <w:pStyle w:val="2"/>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年），韶关市区各常规监测因子均可满足国家《环境空气质量标准》（GB3095-20</w:t>
            </w:r>
            <w:r>
              <w:rPr>
                <w:rFonts w:hint="eastAsia" w:ascii="Times New Roman" w:cs="Times New Roman"/>
                <w:color w:val="auto"/>
                <w:highlight w:val="none"/>
                <w:lang w:val="en-US" w:eastAsia="zh-CN"/>
              </w:rPr>
              <w:t>26</w:t>
            </w:r>
            <w:r>
              <w:rPr>
                <w:rFonts w:hint="default" w:ascii="Times New Roman" w:hAnsi="Times New Roman" w:cs="Times New Roman"/>
                <w:color w:val="auto"/>
                <w:highlight w:val="none"/>
              </w:rPr>
              <w:t>）</w:t>
            </w:r>
            <w:r>
              <w:rPr>
                <w:rFonts w:hint="eastAsia" w:ascii="Times New Roman" w:cs="Times New Roman"/>
                <w:color w:val="auto"/>
                <w:highlight w:val="none"/>
                <w:lang w:val="en-US" w:eastAsia="zh-CN"/>
              </w:rPr>
              <w:t>过渡阶段浓度限值二级标准</w:t>
            </w:r>
            <w:r>
              <w:rPr>
                <w:rFonts w:hint="default" w:ascii="Times New Roman" w:hAnsi="Times New Roman" w:cs="Times New Roman"/>
                <w:color w:val="auto"/>
                <w:highlight w:val="none"/>
              </w:rPr>
              <w:t>要求，本项目所在区域属于达标区，详见下表。</w:t>
            </w:r>
          </w:p>
          <w:p w14:paraId="517C733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b/>
                <w:bCs/>
                <w:color w:val="auto"/>
                <w:sz w:val="21"/>
                <w:szCs w:val="21"/>
                <w:highlight w:val="none"/>
              </w:rPr>
            </w:pPr>
            <w:bookmarkStart w:id="44" w:name="_Toc19677"/>
            <w:bookmarkStart w:id="45" w:name="_Toc26003"/>
            <w:bookmarkStart w:id="46" w:name="_Toc944"/>
            <w:r>
              <w:rPr>
                <w:rFonts w:hint="default" w:ascii="Times New Roman" w:hAnsi="Times New Roman" w:cs="Times New Roman"/>
                <w:b/>
                <w:bCs/>
                <w:color w:val="auto"/>
                <w:sz w:val="21"/>
                <w:szCs w:val="21"/>
                <w:highlight w:val="none"/>
              </w:rPr>
              <w:t>表3-1 区域空气质量现状评价表</w:t>
            </w:r>
          </w:p>
          <w:tbl>
            <w:tblPr>
              <w:tblStyle w:val="46"/>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980"/>
              <w:gridCol w:w="2481"/>
              <w:gridCol w:w="1049"/>
              <w:gridCol w:w="1060"/>
              <w:gridCol w:w="1263"/>
              <w:gridCol w:w="1019"/>
            </w:tblGrid>
            <w:tr w14:paraId="4C862C3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0C71106">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污染物</w:t>
                  </w:r>
                </w:p>
              </w:tc>
              <w:tc>
                <w:tcPr>
                  <w:tcW w:w="1580" w:type="pct"/>
                  <w:vAlign w:val="center"/>
                </w:tcPr>
                <w:p w14:paraId="1393CB13">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年评价指标</w:t>
                  </w:r>
                </w:p>
              </w:tc>
              <w:tc>
                <w:tcPr>
                  <w:tcW w:w="1048" w:type="dxa"/>
                  <w:vAlign w:val="center"/>
                </w:tcPr>
                <w:p w14:paraId="5F0205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现状浓度</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1059" w:type="dxa"/>
                  <w:vAlign w:val="center"/>
                </w:tcPr>
                <w:p w14:paraId="4355F8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标准值</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804" w:type="pct"/>
                  <w:vAlign w:val="center"/>
                </w:tcPr>
                <w:p w14:paraId="36F647DF">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占标率%</w:t>
                  </w:r>
                </w:p>
              </w:tc>
              <w:tc>
                <w:tcPr>
                  <w:tcW w:w="649" w:type="pct"/>
                  <w:vAlign w:val="center"/>
                </w:tcPr>
                <w:p w14:paraId="18DD3328">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达标情况</w:t>
                  </w:r>
                </w:p>
              </w:tc>
            </w:tr>
            <w:tr w14:paraId="15CBACB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D4B03C4">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0" w:type="pct"/>
                  <w:vAlign w:val="center"/>
                </w:tcPr>
                <w:p w14:paraId="20F823D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7A31174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i w:val="0"/>
                      <w:iCs w:val="0"/>
                      <w:color w:val="auto"/>
                      <w:sz w:val="21"/>
                      <w:szCs w:val="21"/>
                      <w:highlight w:val="none"/>
                      <w:u w:val="none"/>
                      <w:lang w:val="en-US" w:eastAsia="zh-CN"/>
                    </w:rPr>
                    <w:t>11</w:t>
                  </w:r>
                </w:p>
              </w:tc>
              <w:tc>
                <w:tcPr>
                  <w:tcW w:w="1059" w:type="dxa"/>
                  <w:vAlign w:val="center"/>
                </w:tcPr>
                <w:p w14:paraId="03447D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60</w:t>
                  </w:r>
                </w:p>
              </w:tc>
              <w:tc>
                <w:tcPr>
                  <w:tcW w:w="1436" w:type="dxa"/>
                  <w:vAlign w:val="center"/>
                </w:tcPr>
                <w:p w14:paraId="77454A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18.3</w:t>
                  </w:r>
                </w:p>
              </w:tc>
              <w:tc>
                <w:tcPr>
                  <w:tcW w:w="649" w:type="pct"/>
                  <w:vAlign w:val="center"/>
                </w:tcPr>
                <w:p w14:paraId="3D1FDE3B">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5CDD8A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1458C1F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0" w:type="pct"/>
                  <w:vAlign w:val="center"/>
                </w:tcPr>
                <w:p w14:paraId="3483089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2CF246F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eastAsia" w:cs="Times New Roman"/>
                      <w:i w:val="0"/>
                      <w:iCs w:val="0"/>
                      <w:color w:val="auto"/>
                      <w:kern w:val="0"/>
                      <w:sz w:val="21"/>
                      <w:szCs w:val="21"/>
                      <w:highlight w:val="none"/>
                      <w:u w:val="none"/>
                      <w:lang w:val="en-US" w:eastAsia="zh-CN"/>
                    </w:rPr>
                    <w:t>2</w:t>
                  </w:r>
                </w:p>
              </w:tc>
              <w:tc>
                <w:tcPr>
                  <w:tcW w:w="1059" w:type="dxa"/>
                  <w:vAlign w:val="center"/>
                </w:tcPr>
                <w:p w14:paraId="51D43F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1436" w:type="dxa"/>
                  <w:vAlign w:val="center"/>
                </w:tcPr>
                <w:p w14:paraId="541EC4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30.0</w:t>
                  </w:r>
                </w:p>
              </w:tc>
              <w:tc>
                <w:tcPr>
                  <w:tcW w:w="649" w:type="pct"/>
                  <w:vAlign w:val="center"/>
                </w:tcPr>
                <w:p w14:paraId="3122EE0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5EC404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9842F8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0" w:type="pct"/>
                  <w:vAlign w:val="center"/>
                </w:tcPr>
                <w:p w14:paraId="08AF8E8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16D0CF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eastAsia" w:cs="Times New Roman"/>
                      <w:i w:val="0"/>
                      <w:iCs w:val="0"/>
                      <w:color w:val="auto"/>
                      <w:kern w:val="0"/>
                      <w:sz w:val="21"/>
                      <w:szCs w:val="21"/>
                      <w:highlight w:val="none"/>
                      <w:u w:val="none"/>
                      <w:lang w:val="en-US" w:eastAsia="zh-CN"/>
                    </w:rPr>
                    <w:t>5</w:t>
                  </w:r>
                </w:p>
              </w:tc>
              <w:tc>
                <w:tcPr>
                  <w:tcW w:w="1059" w:type="dxa"/>
                  <w:vAlign w:val="center"/>
                </w:tcPr>
                <w:p w14:paraId="446250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kern w:val="0"/>
                      <w:sz w:val="21"/>
                      <w:szCs w:val="21"/>
                      <w:highlight w:val="none"/>
                      <w:u w:val="none"/>
                      <w:lang w:val="en-US" w:eastAsia="zh-CN"/>
                    </w:rPr>
                    <w:t>6</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36" w:type="dxa"/>
                  <w:vAlign w:val="center"/>
                </w:tcPr>
                <w:p w14:paraId="2DC018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58.3</w:t>
                  </w:r>
                </w:p>
              </w:tc>
              <w:tc>
                <w:tcPr>
                  <w:tcW w:w="649" w:type="pct"/>
                  <w:vAlign w:val="center"/>
                </w:tcPr>
                <w:p w14:paraId="19D3D51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60BDD0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4AE576B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0" w:type="pct"/>
                  <w:vAlign w:val="center"/>
                </w:tcPr>
                <w:p w14:paraId="0383D894">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7ABD20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23</w:t>
                  </w:r>
                </w:p>
              </w:tc>
              <w:tc>
                <w:tcPr>
                  <w:tcW w:w="1059" w:type="dxa"/>
                  <w:vAlign w:val="center"/>
                </w:tcPr>
                <w:p w14:paraId="0CF1C3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eastAsia" w:cs="Times New Roman"/>
                      <w:i w:val="0"/>
                      <w:iCs w:val="0"/>
                      <w:color w:val="auto"/>
                      <w:kern w:val="0"/>
                      <w:sz w:val="21"/>
                      <w:szCs w:val="21"/>
                      <w:highlight w:val="none"/>
                      <w:u w:val="none"/>
                      <w:lang w:val="en-US" w:eastAsia="zh-CN"/>
                    </w:rPr>
                    <w:t>0</w:t>
                  </w:r>
                </w:p>
              </w:tc>
              <w:tc>
                <w:tcPr>
                  <w:tcW w:w="1436" w:type="dxa"/>
                  <w:vAlign w:val="center"/>
                </w:tcPr>
                <w:p w14:paraId="1B26D3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lang w:val="en-US"/>
                    </w:rPr>
                  </w:pPr>
                  <w:r>
                    <w:rPr>
                      <w:rFonts w:hint="eastAsia" w:cs="Times New Roman"/>
                      <w:i w:val="0"/>
                      <w:iCs w:val="0"/>
                      <w:color w:val="auto"/>
                      <w:sz w:val="21"/>
                      <w:szCs w:val="21"/>
                      <w:highlight w:val="none"/>
                      <w:u w:val="none"/>
                      <w:lang w:val="en-US" w:eastAsia="zh-CN"/>
                    </w:rPr>
                    <w:t>76.7</w:t>
                  </w:r>
                </w:p>
              </w:tc>
              <w:tc>
                <w:tcPr>
                  <w:tcW w:w="649" w:type="pct"/>
                  <w:vAlign w:val="center"/>
                </w:tcPr>
                <w:p w14:paraId="399262F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25993EB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19BEC00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580" w:type="pct"/>
                  <w:vAlign w:val="center"/>
                </w:tcPr>
                <w:p w14:paraId="4FDD02A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24小时均值第95百分位数</w:t>
                  </w:r>
                </w:p>
              </w:tc>
              <w:tc>
                <w:tcPr>
                  <w:tcW w:w="1048" w:type="dxa"/>
                  <w:vAlign w:val="center"/>
                </w:tcPr>
                <w:p w14:paraId="31C7CD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800</w:t>
                  </w:r>
                </w:p>
              </w:tc>
              <w:tc>
                <w:tcPr>
                  <w:tcW w:w="1059" w:type="dxa"/>
                  <w:vAlign w:val="center"/>
                </w:tcPr>
                <w:p w14:paraId="7D9336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4000</w:t>
                  </w:r>
                </w:p>
              </w:tc>
              <w:tc>
                <w:tcPr>
                  <w:tcW w:w="1436" w:type="dxa"/>
                  <w:vAlign w:val="center"/>
                </w:tcPr>
                <w:p w14:paraId="1A3F0B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20.0</w:t>
                  </w:r>
                </w:p>
              </w:tc>
              <w:tc>
                <w:tcPr>
                  <w:tcW w:w="649" w:type="pct"/>
                  <w:vAlign w:val="center"/>
                </w:tcPr>
                <w:p w14:paraId="778DB51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E2D605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5792C66E">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0" w:type="pct"/>
                  <w:vAlign w:val="center"/>
                </w:tcPr>
                <w:p w14:paraId="625B7BE8">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最大8小时值第90百分位数</w:t>
                  </w:r>
                </w:p>
              </w:tc>
              <w:tc>
                <w:tcPr>
                  <w:tcW w:w="1048" w:type="dxa"/>
                  <w:vAlign w:val="center"/>
                </w:tcPr>
                <w:p w14:paraId="3261BD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119</w:t>
                  </w:r>
                </w:p>
              </w:tc>
              <w:tc>
                <w:tcPr>
                  <w:tcW w:w="1059" w:type="dxa"/>
                  <w:vAlign w:val="center"/>
                </w:tcPr>
                <w:p w14:paraId="461A50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160</w:t>
                  </w:r>
                </w:p>
              </w:tc>
              <w:tc>
                <w:tcPr>
                  <w:tcW w:w="1436" w:type="dxa"/>
                  <w:vAlign w:val="center"/>
                </w:tcPr>
                <w:p w14:paraId="0F08AA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74.4</w:t>
                  </w:r>
                </w:p>
              </w:tc>
              <w:tc>
                <w:tcPr>
                  <w:tcW w:w="649" w:type="pct"/>
                  <w:vAlign w:val="center"/>
                </w:tcPr>
                <w:p w14:paraId="559F33D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bookmarkEnd w:id="44"/>
            <w:bookmarkEnd w:id="45"/>
            <w:bookmarkEnd w:id="46"/>
          </w:tbl>
          <w:p w14:paraId="5A3AF299">
            <w:pPr>
              <w:keepNext w:val="0"/>
              <w:keepLines w:val="0"/>
              <w:pageBreakBefore w:val="0"/>
              <w:widowControl w:val="0"/>
              <w:kinsoku/>
              <w:wordWrap/>
              <w:overflowPunct/>
              <w:topLinePunct w:val="0"/>
              <w:autoSpaceDE/>
              <w:autoSpaceDN/>
              <w:bidi w:val="0"/>
              <w:adjustRightInd/>
              <w:snapToGrid/>
              <w:spacing w:before="156" w:beforeLines="50"/>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2C5D45AE">
            <w:pPr>
              <w:keepNext w:val="0"/>
              <w:keepLines w:val="0"/>
              <w:widowControl/>
              <w:suppressLineNumbers w:val="0"/>
              <w:ind w:firstLine="480" w:firstLineChars="200"/>
              <w:jc w:val="left"/>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引用《乐昌产业转移工业园202</w:t>
            </w:r>
            <w:r>
              <w:rPr>
                <w:rFonts w:hint="eastAsia" w:cs="Times New Roman"/>
                <w:bCs/>
                <w:color w:val="auto"/>
                <w:szCs w:val="22"/>
                <w:highlight w:val="none"/>
                <w:lang w:val="en-US" w:eastAsia="zh-CN"/>
              </w:rPr>
              <w:t>3</w:t>
            </w:r>
            <w:r>
              <w:rPr>
                <w:rFonts w:hint="default" w:ascii="Times New Roman" w:hAnsi="Times New Roman" w:cs="Times New Roman"/>
                <w:bCs/>
                <w:color w:val="auto"/>
                <w:szCs w:val="22"/>
                <w:highlight w:val="none"/>
              </w:rPr>
              <w:t>年度环境管理状况评估监测》（报告编号</w:t>
            </w:r>
            <w:r>
              <w:rPr>
                <w:rFonts w:hint="default" w:ascii="Times New Roman" w:hAnsi="Times New Roman" w:cs="Times New Roman"/>
                <w:bCs/>
                <w:color w:val="auto"/>
                <w:szCs w:val="22"/>
                <w:highlight w:val="none"/>
                <w:lang w:eastAsia="zh-CN"/>
              </w:rPr>
              <w:t>：</w:t>
            </w:r>
            <w:r>
              <w:rPr>
                <w:rFonts w:hint="eastAsia" w:cs="Times New Roman"/>
                <w:bCs/>
                <w:color w:val="auto"/>
                <w:szCs w:val="22"/>
                <w:highlight w:val="none"/>
                <w:lang w:val="en-US" w:eastAsia="zh-CN"/>
              </w:rPr>
              <w:t>QHT-202312271026</w:t>
            </w:r>
            <w:r>
              <w:rPr>
                <w:rFonts w:hint="default" w:ascii="Times New Roman" w:hAnsi="Times New Roman" w:cs="Times New Roman"/>
                <w:bCs/>
                <w:color w:val="auto"/>
                <w:szCs w:val="22"/>
                <w:highlight w:val="none"/>
              </w:rPr>
              <w:t>）用于评价TSP</w:t>
            </w:r>
            <w:r>
              <w:rPr>
                <w:rFonts w:hint="eastAsia" w:cs="Times New Roman"/>
                <w:bCs/>
                <w:color w:val="auto"/>
                <w:szCs w:val="22"/>
                <w:highlight w:val="none"/>
                <w:lang w:eastAsia="zh-CN"/>
              </w:rPr>
              <w:t>、</w:t>
            </w:r>
            <w:r>
              <w:rPr>
                <w:rFonts w:hint="eastAsia" w:cs="Times New Roman"/>
                <w:bCs/>
                <w:color w:val="auto"/>
                <w:szCs w:val="22"/>
                <w:highlight w:val="none"/>
                <w:lang w:val="en-US" w:eastAsia="zh-CN"/>
              </w:rPr>
              <w:t>非甲烷总烃、二甲苯、氨、臭气浓度环境质量</w:t>
            </w:r>
            <w:r>
              <w:rPr>
                <w:rFonts w:hint="default" w:ascii="Times New Roman" w:hAnsi="Times New Roman" w:cs="Times New Roman"/>
                <w:bCs/>
                <w:color w:val="auto"/>
                <w:szCs w:val="22"/>
                <w:highlight w:val="none"/>
              </w:rPr>
              <w:t>现状。</w:t>
            </w:r>
            <w:r>
              <w:rPr>
                <w:rFonts w:hint="default" w:ascii="Times New Roman" w:hAnsi="Times New Roman" w:eastAsia="宋体" w:cs="Times New Roman"/>
                <w:color w:val="auto"/>
                <w:kern w:val="0"/>
                <w:sz w:val="24"/>
                <w:szCs w:val="24"/>
                <w:highlight w:val="none"/>
                <w:lang w:val="en-US" w:eastAsia="zh-CN"/>
              </w:rPr>
              <w:t>深圳市清华环科检测技术有限公司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w:t>
            </w:r>
            <w:r>
              <w:rPr>
                <w:rFonts w:hint="eastAsia" w:cs="Times New Roman"/>
                <w:color w:val="auto"/>
                <w:highlight w:val="none"/>
                <w:lang w:val="en-US" w:eastAsia="zh-CN"/>
              </w:rPr>
              <w:t>19</w:t>
            </w:r>
            <w:r>
              <w:rPr>
                <w:rFonts w:hint="default" w:ascii="Times New Roman" w:hAnsi="Times New Roman" w:cs="Times New Roman"/>
                <w:color w:val="auto"/>
                <w:highlight w:val="none"/>
              </w:rPr>
              <w:t>日-202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年12月2</w:t>
            </w:r>
            <w:r>
              <w:rPr>
                <w:rFonts w:hint="eastAsia" w:cs="Times New Roman"/>
                <w:color w:val="auto"/>
                <w:highlight w:val="none"/>
                <w:lang w:val="en-US" w:eastAsia="zh-CN"/>
              </w:rPr>
              <w:t>5</w:t>
            </w:r>
            <w:r>
              <w:rPr>
                <w:rFonts w:hint="default" w:ascii="Times New Roman" w:hAnsi="Times New Roman" w:cs="Times New Roman"/>
                <w:color w:val="auto"/>
                <w:highlight w:val="none"/>
              </w:rPr>
              <w:t>在本项目</w:t>
            </w:r>
            <w:r>
              <w:rPr>
                <w:rFonts w:hint="eastAsia" w:cs="Times New Roman"/>
                <w:color w:val="auto"/>
                <w:highlight w:val="none"/>
                <w:lang w:val="en-US" w:eastAsia="zh-CN"/>
              </w:rPr>
              <w:t>西南</w:t>
            </w:r>
            <w:r>
              <w:rPr>
                <w:rFonts w:hint="default" w:ascii="Times New Roman" w:hAnsi="Times New Roman" w:cs="Times New Roman"/>
                <w:color w:val="auto"/>
                <w:highlight w:val="none"/>
              </w:rPr>
              <w:t>侧</w:t>
            </w:r>
            <w:r>
              <w:rPr>
                <w:rFonts w:hint="eastAsia" w:cs="Times New Roman"/>
                <w:color w:val="auto"/>
                <w:highlight w:val="none"/>
                <w:lang w:val="en-US" w:eastAsia="zh-CN"/>
              </w:rPr>
              <w:t>1421</w:t>
            </w:r>
            <w:r>
              <w:rPr>
                <w:rFonts w:hint="default" w:ascii="Times New Roman" w:hAnsi="Times New Roman" w:cs="Times New Roman"/>
                <w:color w:val="auto"/>
                <w:highlight w:val="none"/>
              </w:rPr>
              <w:t>m处G1</w:t>
            </w:r>
            <w:r>
              <w:rPr>
                <w:rFonts w:hint="eastAsia" w:cs="Times New Roman"/>
                <w:color w:val="auto"/>
                <w:highlight w:val="none"/>
                <w:lang w:val="en-US" w:eastAsia="zh-CN"/>
              </w:rPr>
              <w:t>和</w:t>
            </w:r>
            <w:r>
              <w:rPr>
                <w:rFonts w:hint="default" w:ascii="Times New Roman" w:hAnsi="Times New Roman" w:cs="Times New Roman"/>
                <w:color w:val="auto"/>
                <w:highlight w:val="none"/>
              </w:rPr>
              <w:t>村地进行采样监测的监测数据，连续监测7天。</w:t>
            </w:r>
          </w:p>
          <w:p w14:paraId="45E55995">
            <w:pPr>
              <w:pageBreakBefore w:val="0"/>
              <w:widowControl w:val="0"/>
              <w:kinsoku/>
              <w:overflowPunct/>
              <w:topLinePunct w:val="0"/>
              <w:bidi w:val="0"/>
              <w:ind w:firstLine="480" w:firstLineChars="200"/>
              <w:jc w:val="left"/>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Cs/>
                <w:color w:val="auto"/>
                <w:szCs w:val="22"/>
                <w:highlight w:val="none"/>
              </w:rPr>
              <w:t>本项目其他污染物补充监测点位基本信息见表3-2，其他污染物环境质量现状（监测结果）表3-3。</w:t>
            </w:r>
          </w:p>
          <w:p w14:paraId="4DF5108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21"/>
                <w:szCs w:val="21"/>
                <w:highlight w:val="none"/>
              </w:rPr>
            </w:pPr>
            <w:bookmarkStart w:id="47" w:name="_Toc8230"/>
            <w:bookmarkStart w:id="48" w:name="_Toc20439"/>
            <w:bookmarkStart w:id="49" w:name="_Toc8763"/>
            <w:bookmarkStart w:id="50" w:name="_Toc6616"/>
            <w:bookmarkStart w:id="51" w:name="_Toc17582"/>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3-2 其他污染物补充监测点位基本信息</w:t>
            </w:r>
            <w:bookmarkEnd w:id="47"/>
            <w:bookmarkEnd w:id="48"/>
            <w:bookmarkEnd w:id="49"/>
            <w:bookmarkEnd w:id="50"/>
            <w:bookmarkEnd w:id="51"/>
          </w:p>
          <w:tbl>
            <w:tblPr>
              <w:tblStyle w:val="4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7"/>
              <w:gridCol w:w="1156"/>
              <w:gridCol w:w="889"/>
              <w:gridCol w:w="879"/>
              <w:gridCol w:w="1762"/>
              <w:gridCol w:w="977"/>
              <w:gridCol w:w="1049"/>
            </w:tblGrid>
            <w:tr w14:paraId="6ECEB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restart"/>
                  <w:shd w:val="clear" w:color="auto" w:fill="auto"/>
                  <w:vAlign w:val="center"/>
                </w:tcPr>
                <w:p w14:paraId="0855E348">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监测点名称</w:t>
                  </w:r>
                </w:p>
              </w:tc>
              <w:tc>
                <w:tcPr>
                  <w:tcW w:w="1302" w:type="pct"/>
                  <w:gridSpan w:val="2"/>
                  <w:shd w:val="clear" w:color="auto" w:fill="auto"/>
                  <w:vAlign w:val="center"/>
                </w:tcPr>
                <w:p w14:paraId="025590B1">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560" w:type="pct"/>
                  <w:vMerge w:val="restart"/>
                  <w:shd w:val="clear" w:color="auto" w:fill="auto"/>
                  <w:vAlign w:val="center"/>
                </w:tcPr>
                <w:p w14:paraId="7F485B5C">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1122" w:type="pct"/>
                  <w:vMerge w:val="restart"/>
                  <w:shd w:val="clear" w:color="auto" w:fill="auto"/>
                  <w:vAlign w:val="center"/>
                </w:tcPr>
                <w:p w14:paraId="166A2058">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622" w:type="pct"/>
                  <w:vMerge w:val="restart"/>
                  <w:shd w:val="clear" w:color="auto" w:fill="auto"/>
                  <w:vAlign w:val="center"/>
                </w:tcPr>
                <w:p w14:paraId="35A7F36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571AF9C4">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6EB7F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10732B5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736" w:type="pct"/>
                  <w:shd w:val="clear" w:color="auto" w:fill="auto"/>
                  <w:vAlign w:val="center"/>
                </w:tcPr>
                <w:p w14:paraId="696A0CEE">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565" w:type="pct"/>
                  <w:shd w:val="clear" w:color="auto" w:fill="auto"/>
                  <w:vAlign w:val="center"/>
                </w:tcPr>
                <w:p w14:paraId="31FCCDE6">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560" w:type="pct"/>
                  <w:vMerge w:val="continue"/>
                  <w:shd w:val="clear" w:color="auto" w:fill="auto"/>
                  <w:vAlign w:val="center"/>
                </w:tcPr>
                <w:p w14:paraId="3AE815B5">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1122" w:type="pct"/>
                  <w:vMerge w:val="continue"/>
                  <w:shd w:val="clear" w:color="auto" w:fill="auto"/>
                  <w:vAlign w:val="center"/>
                </w:tcPr>
                <w:p w14:paraId="72904D41">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22" w:type="pct"/>
                  <w:vMerge w:val="continue"/>
                  <w:shd w:val="clear" w:color="auto" w:fill="auto"/>
                  <w:vAlign w:val="center"/>
                </w:tcPr>
                <w:p w14:paraId="4E77F670">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68" w:type="pct"/>
                  <w:vMerge w:val="continue"/>
                  <w:shd w:val="clear" w:color="auto" w:fill="auto"/>
                  <w:vAlign w:val="center"/>
                </w:tcPr>
                <w:p w14:paraId="2A4F369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r>
            <w:tr w14:paraId="61508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shd w:val="clear" w:color="auto" w:fill="auto"/>
                  <w:vAlign w:val="center"/>
                </w:tcPr>
                <w:p w14:paraId="30FDF1E3">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r>
                    <w:rPr>
                      <w:rFonts w:hint="eastAsia" w:asci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736" w:type="pct"/>
                  <w:shd w:val="clear" w:color="auto" w:fill="auto"/>
                  <w:vAlign w:val="center"/>
                </w:tcPr>
                <w:p w14:paraId="7B40B488">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-1121</w:t>
                  </w:r>
                </w:p>
              </w:tc>
              <w:tc>
                <w:tcPr>
                  <w:tcW w:w="565" w:type="pct"/>
                  <w:shd w:val="clear" w:color="auto" w:fill="auto"/>
                  <w:vAlign w:val="center"/>
                </w:tcPr>
                <w:p w14:paraId="49EA5D91">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-1117</w:t>
                  </w:r>
                </w:p>
              </w:tc>
              <w:tc>
                <w:tcPr>
                  <w:tcW w:w="560" w:type="pct"/>
                  <w:shd w:val="clear" w:color="auto" w:fill="auto"/>
                  <w:vAlign w:val="center"/>
                </w:tcPr>
                <w:p w14:paraId="6B8CB8ED">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TSP</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非甲烷总烃、二甲苯、氨、臭气浓度</w:t>
                  </w:r>
                </w:p>
              </w:tc>
              <w:tc>
                <w:tcPr>
                  <w:tcW w:w="1122" w:type="pct"/>
                  <w:shd w:val="clear" w:color="auto" w:fill="auto"/>
                  <w:vAlign w:val="center"/>
                </w:tcPr>
                <w:p w14:paraId="58AD9C54">
                  <w:pPr>
                    <w:pStyle w:val="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eastAsia" w:asci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eastAsia" w:asci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年12月2</w:t>
                  </w:r>
                  <w:r>
                    <w:rPr>
                      <w:rFonts w:hint="eastAsia" w:asci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日</w:t>
                  </w:r>
                </w:p>
              </w:tc>
              <w:tc>
                <w:tcPr>
                  <w:tcW w:w="622" w:type="pct"/>
                  <w:shd w:val="clear" w:color="auto" w:fill="auto"/>
                  <w:vAlign w:val="center"/>
                </w:tcPr>
                <w:p w14:paraId="43BCC35D">
                  <w:pPr>
                    <w:pStyle w:val="2"/>
                    <w:pageBreakBefore w:val="0"/>
                    <w:widowControl w:val="0"/>
                    <w:kinsoku/>
                    <w:overflowPunct/>
                    <w:topLinePunct w:val="0"/>
                    <w:bidi w:val="0"/>
                    <w:snapToGrid w:val="0"/>
                    <w:spacing w:line="240" w:lineRule="auto"/>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val="en-US" w:eastAsia="zh-CN"/>
                    </w:rPr>
                    <w:t>西南</w:t>
                  </w:r>
                </w:p>
              </w:tc>
              <w:tc>
                <w:tcPr>
                  <w:tcW w:w="668" w:type="pct"/>
                  <w:shd w:val="clear" w:color="auto" w:fill="auto"/>
                  <w:vAlign w:val="center"/>
                </w:tcPr>
                <w:p w14:paraId="02921655">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1421</w:t>
                  </w:r>
                </w:p>
              </w:tc>
            </w:tr>
          </w:tbl>
          <w:p w14:paraId="50E891F6">
            <w:pPr>
              <w:pageBreakBefore w:val="0"/>
              <w:widowControl w:val="0"/>
              <w:kinsoku/>
              <w:overflowPunct/>
              <w:topLinePunct w:val="0"/>
              <w:bidi w:val="0"/>
              <w:jc w:val="left"/>
              <w:textAlignment w:val="auto"/>
              <w:outlineLvl w:val="9"/>
              <w:rPr>
                <w:rFonts w:hint="default" w:ascii="Times New Roman" w:hAnsi="Times New Roman" w:cs="Times New Roman"/>
                <w:b/>
                <w:bCs/>
                <w:color w:val="auto"/>
                <w:sz w:val="21"/>
                <w:szCs w:val="21"/>
                <w:highlight w:val="none"/>
                <w:lang w:val="en-GB"/>
              </w:rPr>
            </w:pPr>
            <w:bookmarkStart w:id="52" w:name="_Toc4447"/>
            <w:bookmarkStart w:id="53" w:name="_Toc21186"/>
            <w:bookmarkStart w:id="54" w:name="_Toc14154"/>
            <w:bookmarkStart w:id="55" w:name="_Toc698"/>
            <w:bookmarkStart w:id="56" w:name="_Toc21557"/>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52"/>
            <w:bookmarkEnd w:id="53"/>
            <w:bookmarkEnd w:id="54"/>
            <w:bookmarkEnd w:id="55"/>
            <w:bookmarkEnd w:id="56"/>
          </w:p>
          <w:p w14:paraId="06BC933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highlight w:val="none"/>
                <w:lang w:val="en-GB"/>
              </w:rPr>
            </w:pPr>
            <w:bookmarkStart w:id="57" w:name="_Toc8233"/>
            <w:bookmarkStart w:id="58" w:name="_Toc13955"/>
            <w:bookmarkStart w:id="59" w:name="_Toc24683"/>
            <w:bookmarkStart w:id="60" w:name="_Toc24731"/>
            <w:bookmarkStart w:id="61" w:name="_Toc14846"/>
            <w:r>
              <w:rPr>
                <w:rFonts w:hint="default" w:ascii="Times New Roman" w:hAnsi="Times New Roman" w:eastAsia="宋体" w:cs="Times New Roman"/>
                <w:b/>
                <w:bCs/>
                <w:color w:val="auto"/>
                <w:sz w:val="21"/>
                <w:szCs w:val="21"/>
                <w:highlight w:val="none"/>
                <w:lang w:val="en-GB"/>
              </w:rPr>
              <w:t>表3-3 其他污染物环境质量现状（监测结果）表</w:t>
            </w:r>
            <w:bookmarkEnd w:id="57"/>
            <w:bookmarkEnd w:id="58"/>
            <w:bookmarkEnd w:id="59"/>
            <w:bookmarkEnd w:id="60"/>
            <w:bookmarkEnd w:id="61"/>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53"/>
              <w:gridCol w:w="862"/>
              <w:gridCol w:w="889"/>
              <w:gridCol w:w="1107"/>
              <w:gridCol w:w="1316"/>
              <w:gridCol w:w="1081"/>
              <w:gridCol w:w="699"/>
              <w:gridCol w:w="742"/>
            </w:tblGrid>
            <w:tr w14:paraId="47A65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0FDD9CDF">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监测点位</w:t>
                  </w:r>
                </w:p>
              </w:tc>
              <w:tc>
                <w:tcPr>
                  <w:tcW w:w="549" w:type="pct"/>
                  <w:vMerge w:val="restart"/>
                  <w:shd w:val="clear" w:color="auto" w:fill="auto"/>
                  <w:vAlign w:val="center"/>
                </w:tcPr>
                <w:p w14:paraId="32103CD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132442A1">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0A790480">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00DA1F6E">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p>
              </w:tc>
              <w:tc>
                <w:tcPr>
                  <w:tcW w:w="838" w:type="pct"/>
                  <w:vMerge w:val="restart"/>
                  <w:shd w:val="clear" w:color="auto" w:fill="auto"/>
                  <w:vAlign w:val="center"/>
                </w:tcPr>
                <w:p w14:paraId="140348A7">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3F3DB7D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510F7470">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2" w:type="pct"/>
                  <w:vMerge w:val="restart"/>
                  <w:shd w:val="clear" w:color="auto" w:fill="auto"/>
                  <w:vAlign w:val="center"/>
                </w:tcPr>
                <w:p w14:paraId="75995D1D">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4D9B8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665C349C">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49" w:type="pct"/>
                  <w:vMerge w:val="continue"/>
                  <w:shd w:val="clear" w:color="auto" w:fill="auto"/>
                  <w:vAlign w:val="center"/>
                </w:tcPr>
                <w:p w14:paraId="7A62AEA2">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58722CFC">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4B273DBB">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55D3689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6C9A469A">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1F0D3E9B">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72" w:type="pct"/>
                  <w:vMerge w:val="continue"/>
                  <w:shd w:val="clear" w:color="auto" w:fill="auto"/>
                  <w:vAlign w:val="center"/>
                </w:tcPr>
                <w:p w14:paraId="748F8B8D">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r>
            <w:tr w14:paraId="79ACC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64722F25">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w:t>
                  </w:r>
                  <w:r>
                    <w:rPr>
                      <w:rFonts w:hint="eastAsia"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549" w:type="pct"/>
                  <w:shd w:val="clear" w:color="auto" w:fill="auto"/>
                  <w:vAlign w:val="center"/>
                </w:tcPr>
                <w:p w14:paraId="0E968FFB">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038A6E4E">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4DF89E71">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eastAsia" w:cs="Times New Roman"/>
                      <w:bCs/>
                      <w:color w:val="auto"/>
                      <w:sz w:val="21"/>
                      <w:highlight w:val="none"/>
                      <w:lang w:val="en-US" w:eastAsia="zh-CN"/>
                    </w:rPr>
                    <w:t>0.3m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5D7AD107">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100</w:t>
                  </w:r>
                  <w:r>
                    <w:rPr>
                      <w:rFonts w:hint="default" w:ascii="Times New Roman" w:hAnsi="Times New Roman" w:cs="Times New Roman"/>
                      <w:color w:val="auto"/>
                      <w:kern w:val="0"/>
                      <w:sz w:val="21"/>
                      <w:szCs w:val="21"/>
                      <w:highlight w:val="none"/>
                    </w:rPr>
                    <w:t>~0.1</w:t>
                  </w:r>
                  <w:r>
                    <w:rPr>
                      <w:rFonts w:hint="eastAsia" w:cs="Times New Roman"/>
                      <w:color w:val="auto"/>
                      <w:kern w:val="0"/>
                      <w:sz w:val="21"/>
                      <w:szCs w:val="21"/>
                      <w:highlight w:val="none"/>
                      <w:lang w:val="en-US" w:eastAsia="zh-CN"/>
                    </w:rPr>
                    <w:t>11</w:t>
                  </w:r>
                </w:p>
              </w:tc>
              <w:tc>
                <w:tcPr>
                  <w:tcW w:w="688" w:type="pct"/>
                  <w:shd w:val="clear" w:color="auto" w:fill="auto"/>
                  <w:vAlign w:val="center"/>
                </w:tcPr>
                <w:p w14:paraId="5425A299">
                  <w:pPr>
                    <w:pStyle w:val="26"/>
                    <w:pageBreakBefore w:val="0"/>
                    <w:widowControl w:val="0"/>
                    <w:kinsoku/>
                    <w:overflowPunct/>
                    <w:topLinePunct w:val="0"/>
                    <w:bidi w:val="0"/>
                    <w:spacing w:line="240" w:lineRule="auto"/>
                    <w:ind w:firstLine="0" w:firstLineChars="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3</w:t>
                  </w:r>
                  <w:r>
                    <w:rPr>
                      <w:rFonts w:hint="eastAsia" w:cs="Times New Roman"/>
                      <w:color w:val="auto"/>
                      <w:kern w:val="0"/>
                      <w:sz w:val="21"/>
                      <w:szCs w:val="21"/>
                      <w:highlight w:val="none"/>
                      <w:lang w:val="en-US" w:eastAsia="zh-CN"/>
                    </w:rPr>
                    <w:t>7</w:t>
                  </w:r>
                </w:p>
              </w:tc>
              <w:tc>
                <w:tcPr>
                  <w:tcW w:w="445" w:type="pct"/>
                  <w:shd w:val="clear" w:color="auto" w:fill="auto"/>
                  <w:vAlign w:val="center"/>
                </w:tcPr>
                <w:p w14:paraId="6FE98B83">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2" w:type="pct"/>
                  <w:shd w:val="clear" w:color="auto" w:fill="auto"/>
                  <w:vAlign w:val="center"/>
                </w:tcPr>
                <w:p w14:paraId="7B45AB1B">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r w14:paraId="26F86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4BDEACC2">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7F90D412">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非甲烷总烃</w:t>
                  </w:r>
                </w:p>
              </w:tc>
              <w:tc>
                <w:tcPr>
                  <w:tcW w:w="566" w:type="pct"/>
                  <w:shd w:val="clear" w:color="auto" w:fill="auto"/>
                  <w:vAlign w:val="center"/>
                </w:tcPr>
                <w:p w14:paraId="1BBE4858">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22695325">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2.0mg/</w:t>
                  </w:r>
                  <w:r>
                    <w:rPr>
                      <w:rFonts w:hint="default" w:ascii="Times New Roman" w:hAnsi="Times New Roman" w:cs="Times New Roman"/>
                      <w:b w:val="0"/>
                      <w:bCs/>
                      <w:color w:val="auto"/>
                      <w:kern w:val="0"/>
                      <w:sz w:val="21"/>
                      <w:szCs w:val="21"/>
                      <w:highlight w:val="none"/>
                    </w:rPr>
                    <w:t>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2BEA7ADD">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0.812~0.972</w:t>
                  </w:r>
                </w:p>
              </w:tc>
              <w:tc>
                <w:tcPr>
                  <w:tcW w:w="688" w:type="pct"/>
                  <w:shd w:val="clear" w:color="auto" w:fill="auto"/>
                  <w:vAlign w:val="center"/>
                </w:tcPr>
                <w:p w14:paraId="51978BDC">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48.6</w:t>
                  </w:r>
                </w:p>
              </w:tc>
              <w:tc>
                <w:tcPr>
                  <w:tcW w:w="445" w:type="pct"/>
                  <w:shd w:val="clear" w:color="auto" w:fill="auto"/>
                  <w:vAlign w:val="center"/>
                </w:tcPr>
                <w:p w14:paraId="0F25D6EB">
                  <w:pPr>
                    <w:pageBreakBefore w:val="0"/>
                    <w:widowControl w:val="0"/>
                    <w:kinsoku/>
                    <w:overflowPunct/>
                    <w:topLinePunct w:val="0"/>
                    <w:bidi w:val="0"/>
                    <w:spacing w:line="240" w:lineRule="auto"/>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5B4EFE94">
                  <w:pPr>
                    <w:pageBreakBefore w:val="0"/>
                    <w:widowControl w:val="0"/>
                    <w:kinsoku/>
                    <w:overflowPunct/>
                    <w:topLinePunct w:val="0"/>
                    <w:bidi w:val="0"/>
                    <w:spacing w:line="240" w:lineRule="auto"/>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41FDD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6953BAE8">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04C377A0">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二甲苯</w:t>
                  </w:r>
                </w:p>
              </w:tc>
              <w:tc>
                <w:tcPr>
                  <w:tcW w:w="566" w:type="pct"/>
                  <w:shd w:val="clear" w:color="auto" w:fill="auto"/>
                  <w:vAlign w:val="center"/>
                </w:tcPr>
                <w:p w14:paraId="7EA3018C">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417718A5">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0.2m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176C8BFB">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&lt;0.5×10</w:t>
                  </w:r>
                  <w:r>
                    <w:rPr>
                      <w:rFonts w:hint="eastAsia" w:cs="Times New Roman"/>
                      <w:color w:val="auto"/>
                      <w:kern w:val="0"/>
                      <w:sz w:val="21"/>
                      <w:szCs w:val="21"/>
                      <w:highlight w:val="none"/>
                      <w:vertAlign w:val="superscript"/>
                      <w:lang w:val="en-US" w:eastAsia="zh-CN"/>
                    </w:rPr>
                    <w:t>4</w:t>
                  </w:r>
                </w:p>
              </w:tc>
              <w:tc>
                <w:tcPr>
                  <w:tcW w:w="688" w:type="pct"/>
                  <w:shd w:val="clear" w:color="auto" w:fill="auto"/>
                  <w:vAlign w:val="center"/>
                </w:tcPr>
                <w:p w14:paraId="20185A9D">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0.0025</w:t>
                  </w:r>
                </w:p>
              </w:tc>
              <w:tc>
                <w:tcPr>
                  <w:tcW w:w="445" w:type="pct"/>
                  <w:shd w:val="clear" w:color="auto" w:fill="auto"/>
                  <w:vAlign w:val="center"/>
                </w:tcPr>
                <w:p w14:paraId="0BA3B6F4">
                  <w:pPr>
                    <w:pageBreakBefore w:val="0"/>
                    <w:widowControl w:val="0"/>
                    <w:kinsoku/>
                    <w:overflowPunct/>
                    <w:topLinePunct w:val="0"/>
                    <w:bidi w:val="0"/>
                    <w:spacing w:line="240" w:lineRule="auto"/>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5F464F64">
                  <w:pPr>
                    <w:pageBreakBefore w:val="0"/>
                    <w:widowControl w:val="0"/>
                    <w:kinsoku/>
                    <w:overflowPunct/>
                    <w:topLinePunct w:val="0"/>
                    <w:bidi w:val="0"/>
                    <w:spacing w:line="240" w:lineRule="auto"/>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2A50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0DC6208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4C389ACC">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氨</w:t>
                  </w:r>
                </w:p>
              </w:tc>
              <w:tc>
                <w:tcPr>
                  <w:tcW w:w="566" w:type="pct"/>
                  <w:shd w:val="clear" w:color="auto" w:fill="auto"/>
                  <w:vAlign w:val="center"/>
                </w:tcPr>
                <w:p w14:paraId="4D39A01B">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729476A1">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0.2m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2FB8268E">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＜0.025</w:t>
                  </w:r>
                </w:p>
              </w:tc>
              <w:tc>
                <w:tcPr>
                  <w:tcW w:w="688" w:type="pct"/>
                  <w:shd w:val="clear" w:color="auto" w:fill="auto"/>
                  <w:vAlign w:val="center"/>
                </w:tcPr>
                <w:p w14:paraId="077A4F2E">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0.0625</w:t>
                  </w:r>
                </w:p>
              </w:tc>
              <w:tc>
                <w:tcPr>
                  <w:tcW w:w="445" w:type="pct"/>
                  <w:shd w:val="clear" w:color="auto" w:fill="auto"/>
                  <w:vAlign w:val="center"/>
                </w:tcPr>
                <w:p w14:paraId="1A169FE6">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4D612058">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3A644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18763316">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487330D1">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臭气浓度</w:t>
                  </w:r>
                </w:p>
              </w:tc>
              <w:tc>
                <w:tcPr>
                  <w:tcW w:w="566" w:type="pct"/>
                  <w:shd w:val="clear" w:color="auto" w:fill="auto"/>
                  <w:vAlign w:val="center"/>
                </w:tcPr>
                <w:p w14:paraId="631E935F">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37EDE07A">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w:t>
                  </w:r>
                </w:p>
              </w:tc>
              <w:tc>
                <w:tcPr>
                  <w:tcW w:w="838" w:type="pct"/>
                  <w:shd w:val="clear" w:color="auto" w:fill="auto"/>
                  <w:vAlign w:val="center"/>
                </w:tcPr>
                <w:p w14:paraId="684B3093">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w:t>
                  </w:r>
                </w:p>
              </w:tc>
              <w:tc>
                <w:tcPr>
                  <w:tcW w:w="688" w:type="pct"/>
                  <w:shd w:val="clear" w:color="auto" w:fill="auto"/>
                  <w:vAlign w:val="center"/>
                </w:tcPr>
                <w:p w14:paraId="38339F1B">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45" w:type="pct"/>
                  <w:shd w:val="clear" w:color="auto" w:fill="auto"/>
                  <w:vAlign w:val="center"/>
                </w:tcPr>
                <w:p w14:paraId="0570CF02">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72" w:type="pct"/>
                  <w:shd w:val="clear" w:color="auto" w:fill="auto"/>
                  <w:vAlign w:val="center"/>
                </w:tcPr>
                <w:p w14:paraId="53E50544">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54D5EC06">
            <w:pPr>
              <w:pageBreakBefore w:val="0"/>
              <w:widowControl w:val="0"/>
              <w:kinsoku/>
              <w:overflowPunct/>
              <w:topLinePunct w:val="0"/>
              <w:bidi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w:t>
            </w:r>
            <w:r>
              <w:rPr>
                <w:rFonts w:hint="eastAsia" w:cs="Times New Roman"/>
                <w:bCs/>
                <w:color w:val="auto"/>
                <w:szCs w:val="22"/>
                <w:highlight w:val="none"/>
                <w:lang w:eastAsia="zh-CN"/>
              </w:rPr>
              <w:t>、</w:t>
            </w:r>
            <w:r>
              <w:rPr>
                <w:rFonts w:hint="eastAsia" w:cs="Times New Roman"/>
                <w:bCs/>
                <w:color w:val="auto"/>
                <w:szCs w:val="22"/>
                <w:highlight w:val="none"/>
                <w:lang w:val="en-US" w:eastAsia="zh-CN"/>
              </w:rPr>
              <w:t>非甲烷总烃和二甲苯小时值</w:t>
            </w:r>
            <w:r>
              <w:rPr>
                <w:rFonts w:hint="default" w:ascii="Times New Roman" w:hAnsi="Times New Roman" w:cs="Times New Roman"/>
                <w:bCs/>
                <w:color w:val="auto"/>
                <w:szCs w:val="22"/>
                <w:highlight w:val="none"/>
              </w:rPr>
              <w:t>可达到《环境空气质量标准》（GB3095-2012）及其修改单中二级标准要求。</w:t>
            </w:r>
          </w:p>
          <w:p w14:paraId="3321F5C0">
            <w:pPr>
              <w:pageBreakBefore w:val="0"/>
              <w:widowControl w:val="0"/>
              <w:numPr>
                <w:ilvl w:val="2"/>
                <w:numId w:val="0"/>
              </w:numPr>
              <w:tabs>
                <w:tab w:val="left" w:pos="420"/>
              </w:tabs>
              <w:kinsoku/>
              <w:overflowPunct/>
              <w:topLinePunct w:val="0"/>
              <w:bidi w:val="0"/>
              <w:ind w:left="-2"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5B75EDE3">
            <w:pPr>
              <w:autoSpaceDE w:val="0"/>
              <w:autoSpaceDN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color w:val="auto"/>
                <w:kern w:val="0"/>
                <w:highlight w:val="none"/>
              </w:rPr>
              <w:t>〔201</w:t>
            </w:r>
            <w:r>
              <w:rPr>
                <w:rFonts w:hint="eastAsia"/>
                <w:color w:val="auto"/>
                <w:kern w:val="0"/>
                <w:highlight w:val="none"/>
                <w:lang w:val="en-US" w:eastAsia="zh-CN"/>
              </w:rPr>
              <w:t>1</w:t>
            </w:r>
            <w:r>
              <w:rPr>
                <w:color w:val="auto"/>
                <w:kern w:val="0"/>
                <w:highlight w:val="none"/>
              </w:rPr>
              <w:t>〕</w:t>
            </w:r>
            <w:r>
              <w:rPr>
                <w:rFonts w:hint="default" w:ascii="Times New Roman" w:hAnsi="Times New Roman" w:cs="Times New Roman"/>
                <w:color w:val="auto"/>
                <w:highlight w:val="none"/>
              </w:rPr>
              <w:t>14号），本项目所在区域主要地表水及纳污水体为武江（乐昌城-犁市），为III类水质功能区，执行《地表水环境质量标准》（GB3838-2002）中的III类标准。</w:t>
            </w:r>
          </w:p>
          <w:p w14:paraId="7195A02F">
            <w:pPr>
              <w:autoSpaceDE w:val="0"/>
              <w:autoSpaceDN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eastAsia" w:cs="Times New Roman"/>
                <w:color w:val="auto"/>
                <w:highlight w:val="none"/>
                <w:lang w:eastAsia="zh-CN"/>
              </w:rPr>
              <w:t>，其中Ⅰ类比例为2.9%、Ⅱ类比例为88.2%、Ⅲ类比例为8.8%。</w:t>
            </w:r>
            <w:r>
              <w:rPr>
                <w:rFonts w:hint="default" w:ascii="Times New Roman" w:hAnsi="Times New Roman" w:cs="Times New Roman"/>
                <w:color w:val="auto"/>
                <w:highlight w:val="none"/>
              </w:rPr>
              <w:t>故项目所在地地表水环境质量现状良好。</w:t>
            </w:r>
          </w:p>
          <w:p w14:paraId="3FDEB6DE">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742D395B">
            <w:pPr>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 类标准（昼间 65dB(A)；夜间 55dB(A)）。</w:t>
            </w:r>
          </w:p>
          <w:p w14:paraId="36FFEE8D">
            <w:pPr>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1C476BDF">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2FFB99D0">
            <w:pPr>
              <w:autoSpaceDE w:val="0"/>
              <w:autoSpaceDN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rPr>
              <w:t>本项目</w:t>
            </w:r>
            <w:r>
              <w:rPr>
                <w:rFonts w:hint="default" w:ascii="Times New Roman" w:hAnsi="Times New Roman" w:cs="Times New Roman"/>
                <w:bCs/>
                <w:color w:val="auto"/>
                <w:kern w:val="28"/>
                <w:sz w:val="24"/>
                <w:highlight w:val="none"/>
                <w:lang w:eastAsia="zh-CN"/>
              </w:rPr>
              <w:t>生产车间</w:t>
            </w:r>
            <w:r>
              <w:rPr>
                <w:rFonts w:hint="default" w:ascii="Times New Roman" w:hAnsi="Times New Roman" w:cs="Times New Roman"/>
                <w:bCs/>
                <w:color w:val="auto"/>
                <w:kern w:val="28"/>
                <w:sz w:val="24"/>
                <w:highlight w:val="none"/>
              </w:rPr>
              <w:t>厂区内</w:t>
            </w:r>
            <w:r>
              <w:rPr>
                <w:rFonts w:hint="eastAsia" w:cs="Times New Roman"/>
                <w:bCs/>
                <w:color w:val="auto"/>
                <w:kern w:val="28"/>
                <w:sz w:val="24"/>
                <w:highlight w:val="none"/>
                <w:lang w:val="en-US" w:eastAsia="zh-CN"/>
              </w:rPr>
              <w:t>拟</w:t>
            </w:r>
            <w:r>
              <w:rPr>
                <w:rFonts w:hint="default" w:ascii="Times New Roman" w:hAnsi="Times New Roman" w:cs="Times New Roman"/>
                <w:bCs/>
                <w:color w:val="auto"/>
                <w:kern w:val="28"/>
                <w:sz w:val="24"/>
                <w:highlight w:val="none"/>
              </w:rPr>
              <w:t>进行地面硬化，</w:t>
            </w:r>
            <w:r>
              <w:rPr>
                <w:rFonts w:hint="default" w:ascii="Times New Roman" w:hAnsi="Times New Roman" w:cs="Times New Roman"/>
                <w:bCs/>
                <w:color w:val="auto"/>
                <w:kern w:val="28"/>
                <w:sz w:val="24"/>
                <w:highlight w:val="none"/>
                <w:lang w:val="en-US" w:eastAsia="zh-CN"/>
              </w:rPr>
              <w:t>各厂房</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w:t>
            </w:r>
            <w:r>
              <w:rPr>
                <w:rFonts w:hint="eastAsia" w:cs="Times New Roman"/>
                <w:bCs/>
                <w:color w:val="auto"/>
                <w:kern w:val="28"/>
                <w:sz w:val="24"/>
                <w:highlight w:val="none"/>
                <w:lang w:eastAsia="zh-CN"/>
              </w:rPr>
              <w:t>原料仓库</w:t>
            </w:r>
            <w:r>
              <w:rPr>
                <w:rFonts w:hint="default" w:ascii="Times New Roman" w:hAnsi="Times New Roman" w:cs="Times New Roman"/>
                <w:bCs/>
                <w:color w:val="auto"/>
                <w:kern w:val="28"/>
                <w:sz w:val="24"/>
                <w:highlight w:val="none"/>
              </w:rPr>
              <w:t>内，且出入口处设置围堰围挡，物料随用随取，不使用时密闭封存，厂界四周设置围墙围挡，仅保留厂区出入口</w:t>
            </w:r>
            <w:r>
              <w:rPr>
                <w:rFonts w:hint="default" w:ascii="Times New Roman" w:hAnsi="Times New Roman" w:cs="Times New Roman"/>
                <w:bCs/>
                <w:color w:val="auto"/>
                <w:kern w:val="28"/>
                <w:sz w:val="24"/>
                <w:highlight w:val="none"/>
                <w:lang w:eastAsia="zh-CN"/>
              </w:rPr>
              <w:t>。</w:t>
            </w:r>
          </w:p>
          <w:p w14:paraId="0E97055F">
            <w:pPr>
              <w:autoSpaceDE w:val="0"/>
              <w:autoSpaceDN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lang w:val="en-US" w:eastAsia="zh-CN"/>
              </w:rPr>
              <w:t>本项目周边水体为东南侧350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处的廊田河</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水体中。因此</w:t>
            </w:r>
            <w:r>
              <w:rPr>
                <w:rFonts w:hint="eastAsia" w:cs="Times New Roman"/>
                <w:bCs/>
                <w:color w:val="auto"/>
                <w:kern w:val="28"/>
                <w:sz w:val="24"/>
                <w:highlight w:val="none"/>
                <w:lang w:val="en-US" w:eastAsia="zh-CN"/>
              </w:rPr>
              <w:t>无明显</w:t>
            </w:r>
            <w:r>
              <w:rPr>
                <w:rFonts w:hint="default" w:ascii="Times New Roman" w:hAnsi="Times New Roman" w:cs="Times New Roman"/>
                <w:bCs/>
                <w:color w:val="auto"/>
                <w:kern w:val="28"/>
                <w:sz w:val="24"/>
                <w:highlight w:val="none"/>
              </w:rPr>
              <w:t>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5E5F4812">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698818A4">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0FCE8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18C79E7E">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62" w:name="_Toc461"/>
            <w:bookmarkStart w:id="63" w:name="_Toc28582"/>
            <w:bookmarkStart w:id="64" w:name="_Toc28375"/>
            <w:bookmarkStart w:id="65" w:name="_Toc241"/>
            <w:bookmarkStart w:id="66" w:name="_Toc31357"/>
            <w:bookmarkStart w:id="67" w:name="_Toc728"/>
            <w:bookmarkStart w:id="68" w:name="_Toc7031"/>
            <w:bookmarkStart w:id="69" w:name="_Toc24022"/>
            <w:bookmarkStart w:id="70" w:name="_Toc28210"/>
            <w:bookmarkStart w:id="71" w:name="_Toc14552"/>
            <w:r>
              <w:rPr>
                <w:rFonts w:hint="default" w:ascii="Times New Roman" w:hAnsi="Times New Roman" w:cs="Times New Roman"/>
                <w:color w:val="auto"/>
                <w:highlight w:val="none"/>
              </w:rPr>
              <w:t>环境保护目标</w:t>
            </w:r>
            <w:bookmarkEnd w:id="62"/>
            <w:bookmarkEnd w:id="63"/>
            <w:bookmarkEnd w:id="64"/>
            <w:bookmarkEnd w:id="65"/>
            <w:bookmarkEnd w:id="66"/>
            <w:bookmarkEnd w:id="67"/>
            <w:bookmarkEnd w:id="68"/>
            <w:bookmarkEnd w:id="69"/>
            <w:bookmarkEnd w:id="70"/>
            <w:bookmarkEnd w:id="71"/>
          </w:p>
        </w:tc>
        <w:tc>
          <w:tcPr>
            <w:tcW w:w="4737" w:type="pct"/>
          </w:tcPr>
          <w:p w14:paraId="2242A34D">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4854C709">
            <w:pPr>
              <w:adjustRightInd w:val="0"/>
              <w:snapToGrid w:val="0"/>
              <w:ind w:firstLine="480" w:firstLineChars="200"/>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highlight w:val="none"/>
              </w:rPr>
              <w:t>根据现场调查</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kern w:val="0"/>
                <w:szCs w:val="21"/>
                <w:highlight w:val="none"/>
              </w:rPr>
              <w:t>本项目厂界外500米范围内不存在自然保护区、风景名胜区、文化区</w:t>
            </w:r>
            <w:r>
              <w:rPr>
                <w:rFonts w:hint="default" w:ascii="Times New Roman" w:hAnsi="Times New Roman" w:cs="Times New Roman"/>
                <w:color w:val="auto"/>
                <w:kern w:val="0"/>
                <w:szCs w:val="21"/>
                <w:highlight w:val="none"/>
                <w:lang w:eastAsia="zh-CN"/>
              </w:rPr>
              <w:t>，</w:t>
            </w:r>
            <w:r>
              <w:rPr>
                <w:rFonts w:hint="default" w:ascii="Times New Roman" w:hAnsi="Times New Roman" w:eastAsia="宋体" w:cs="Times New Roman"/>
                <w:color w:val="auto"/>
                <w:highlight w:val="none"/>
              </w:rPr>
              <w:t>主要环境敏感目标分布</w:t>
            </w:r>
            <w:r>
              <w:rPr>
                <w:rFonts w:hint="default" w:ascii="Times New Roman" w:hAnsi="Times New Roman" w:eastAsia="宋体" w:cs="Times New Roman"/>
                <w:color w:val="auto"/>
                <w:highlight w:val="none"/>
                <w:lang w:val="en-US" w:eastAsia="zh-CN"/>
              </w:rPr>
              <w:t>如下</w:t>
            </w:r>
            <w:r>
              <w:rPr>
                <w:rFonts w:hint="default" w:ascii="Times New Roman" w:hAnsi="Times New Roman" w:eastAsia="宋体" w:cs="Times New Roman"/>
                <w:color w:val="auto"/>
                <w:kern w:val="0"/>
                <w:szCs w:val="21"/>
                <w:highlight w:val="none"/>
                <w:lang w:eastAsia="zh-CN"/>
              </w:rPr>
              <w:t>：</w:t>
            </w:r>
          </w:p>
          <w:p w14:paraId="4712F152">
            <w:pPr>
              <w:pStyle w:val="100"/>
              <w:pageBreakBefore w:val="0"/>
              <w:kinsoku/>
              <w:overflowPunct/>
              <w:bidi w:val="0"/>
              <w:adjustRightInd w:val="0"/>
              <w:snapToGrid/>
              <w:spacing w:before="0" w:beforeAutospacing="0" w:afterAutospacing="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 xml:space="preserve">3-4 </w:t>
            </w:r>
            <w:r>
              <w:rPr>
                <w:rFonts w:hint="default" w:ascii="Times New Roman" w:hAnsi="Times New Roman" w:eastAsia="宋体" w:cs="Times New Roman"/>
                <w:b/>
                <w:color w:val="auto"/>
                <w:sz w:val="21"/>
                <w:szCs w:val="21"/>
                <w:highlight w:val="none"/>
              </w:rPr>
              <w:t>项目厂址周边环境保护敏感目标一览表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1"/>
              <w:gridCol w:w="840"/>
              <w:gridCol w:w="559"/>
              <w:gridCol w:w="642"/>
              <w:gridCol w:w="829"/>
              <w:gridCol w:w="1140"/>
              <w:gridCol w:w="755"/>
              <w:gridCol w:w="672"/>
              <w:gridCol w:w="1901"/>
            </w:tblGrid>
            <w:tr w14:paraId="42B6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7" w:hRule="atLeast"/>
                <w:jc w:val="center"/>
              </w:trPr>
              <w:tc>
                <w:tcPr>
                  <w:tcW w:w="326" w:type="pct"/>
                  <w:vMerge w:val="restart"/>
                  <w:vAlign w:val="center"/>
                </w:tcPr>
                <w:p w14:paraId="75091DB6">
                  <w:pPr>
                    <w:pStyle w:val="105"/>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535" w:type="pct"/>
                  <w:vMerge w:val="restart"/>
                  <w:vAlign w:val="center"/>
                </w:tcPr>
                <w:p w14:paraId="39E39A5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敏感点名称</w:t>
                  </w:r>
                </w:p>
              </w:tc>
              <w:tc>
                <w:tcPr>
                  <w:tcW w:w="765" w:type="pct"/>
                  <w:gridSpan w:val="2"/>
                  <w:vAlign w:val="center"/>
                </w:tcPr>
                <w:p w14:paraId="06D29ACD">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sz w:val="21"/>
                      <w:szCs w:val="21"/>
                      <w:highlight w:val="none"/>
                    </w:rPr>
                    <w:t>坐标</w:t>
                  </w:r>
                </w:p>
              </w:tc>
              <w:tc>
                <w:tcPr>
                  <w:tcW w:w="528" w:type="pct"/>
                  <w:vMerge w:val="restart"/>
                  <w:vAlign w:val="center"/>
                </w:tcPr>
                <w:p w14:paraId="7D01626A">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相对厂址方位</w:t>
                  </w:r>
                </w:p>
              </w:tc>
              <w:tc>
                <w:tcPr>
                  <w:tcW w:w="726" w:type="pct"/>
                  <w:vMerge w:val="restart"/>
                  <w:vAlign w:val="center"/>
                </w:tcPr>
                <w:p w14:paraId="6F154D05">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最近距离</w:t>
                  </w:r>
                  <w:r>
                    <w:rPr>
                      <w:rFonts w:hint="default" w:ascii="Times New Roman" w:hAnsi="Times New Roman" w:eastAsia="宋体" w:cs="Times New Roman"/>
                      <w:b/>
                      <w:snapToGrid w:val="0"/>
                      <w:color w:val="auto"/>
                      <w:sz w:val="21"/>
                      <w:szCs w:val="21"/>
                      <w:highlight w:val="none"/>
                    </w:rPr>
                    <w:t>（m）</w:t>
                  </w:r>
                </w:p>
              </w:tc>
              <w:tc>
                <w:tcPr>
                  <w:tcW w:w="481" w:type="pct"/>
                  <w:vMerge w:val="restart"/>
                  <w:vAlign w:val="center"/>
                </w:tcPr>
                <w:p w14:paraId="321CD6FE">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snapToGrid w:val="0"/>
                      <w:color w:val="auto"/>
                      <w:sz w:val="21"/>
                      <w:szCs w:val="21"/>
                      <w:highlight w:val="none"/>
                    </w:rPr>
                    <w:t>规模/人口</w:t>
                  </w:r>
                </w:p>
              </w:tc>
              <w:tc>
                <w:tcPr>
                  <w:tcW w:w="428" w:type="pct"/>
                  <w:vMerge w:val="restart"/>
                  <w:vAlign w:val="center"/>
                </w:tcPr>
                <w:p w14:paraId="3C22A479">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1207" w:type="pct"/>
                  <w:vMerge w:val="restart"/>
                  <w:vAlign w:val="center"/>
                </w:tcPr>
                <w:p w14:paraId="2D3E3BD3">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r>
            <w:tr w14:paraId="7A805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continue"/>
                  <w:vAlign w:val="center"/>
                </w:tcPr>
                <w:p w14:paraId="71B994A0">
                  <w:pPr>
                    <w:pStyle w:val="105"/>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5" w:type="pct"/>
                  <w:vMerge w:val="continue"/>
                  <w:vAlign w:val="center"/>
                </w:tcPr>
                <w:p w14:paraId="7F44FB29">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356" w:type="pct"/>
                  <w:vAlign w:val="center"/>
                </w:tcPr>
                <w:p w14:paraId="258FB3BF">
                  <w:pPr>
                    <w:pStyle w:val="107"/>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X</w:t>
                  </w:r>
                </w:p>
              </w:tc>
              <w:tc>
                <w:tcPr>
                  <w:tcW w:w="409" w:type="pct"/>
                  <w:vAlign w:val="center"/>
                </w:tcPr>
                <w:p w14:paraId="1BDFE54B">
                  <w:pPr>
                    <w:pStyle w:val="107"/>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Y</w:t>
                  </w:r>
                </w:p>
              </w:tc>
              <w:tc>
                <w:tcPr>
                  <w:tcW w:w="528" w:type="pct"/>
                  <w:vMerge w:val="continue"/>
                  <w:vAlign w:val="center"/>
                </w:tcPr>
                <w:p w14:paraId="69F9D110">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color w:val="auto"/>
                      <w:kern w:val="2"/>
                      <w:sz w:val="21"/>
                      <w:szCs w:val="21"/>
                      <w:highlight w:val="none"/>
                    </w:rPr>
                  </w:pPr>
                </w:p>
              </w:tc>
              <w:tc>
                <w:tcPr>
                  <w:tcW w:w="726" w:type="pct"/>
                  <w:vMerge w:val="continue"/>
                  <w:vAlign w:val="center"/>
                </w:tcPr>
                <w:p w14:paraId="572B044C">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81" w:type="pct"/>
                  <w:vMerge w:val="continue"/>
                  <w:vAlign w:val="center"/>
                </w:tcPr>
                <w:p w14:paraId="4A29E366">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28" w:type="pct"/>
                  <w:vMerge w:val="continue"/>
                  <w:vAlign w:val="center"/>
                </w:tcPr>
                <w:p w14:paraId="5BCE663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1207" w:type="pct"/>
                  <w:vMerge w:val="continue"/>
                  <w:vAlign w:val="center"/>
                </w:tcPr>
                <w:p w14:paraId="310CC33B">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r>
            <w:tr w14:paraId="4373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Align w:val="center"/>
                </w:tcPr>
                <w:p w14:paraId="7595F18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35" w:type="pct"/>
                  <w:vAlign w:val="center"/>
                </w:tcPr>
                <w:p w14:paraId="5360F9C4">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付村</w:t>
                  </w:r>
                </w:p>
              </w:tc>
              <w:tc>
                <w:tcPr>
                  <w:tcW w:w="356" w:type="pct"/>
                  <w:vAlign w:val="center"/>
                </w:tcPr>
                <w:p w14:paraId="792BF313">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390</w:t>
                  </w:r>
                </w:p>
              </w:tc>
              <w:tc>
                <w:tcPr>
                  <w:tcW w:w="409" w:type="pct"/>
                  <w:vAlign w:val="center"/>
                </w:tcPr>
                <w:p w14:paraId="77283BBB">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w:t>
                  </w:r>
                </w:p>
              </w:tc>
              <w:tc>
                <w:tcPr>
                  <w:tcW w:w="528" w:type="pct"/>
                  <w:vAlign w:val="center"/>
                </w:tcPr>
                <w:p w14:paraId="181917AF">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default" w:ascii="Times New Roman" w:hAnsi="Times New Roman" w:eastAsia="宋体" w:cs="Times New Roman"/>
                      <w:snapToGrid w:val="0"/>
                      <w:color w:val="auto"/>
                      <w:spacing w:val="-2"/>
                      <w:sz w:val="21"/>
                      <w:szCs w:val="21"/>
                      <w:highlight w:val="none"/>
                      <w:lang w:val="en-US" w:eastAsia="zh-CN"/>
                    </w:rPr>
                    <w:t>东</w:t>
                  </w:r>
                  <w:r>
                    <w:rPr>
                      <w:rFonts w:hint="eastAsia" w:cs="Times New Roman"/>
                      <w:snapToGrid w:val="0"/>
                      <w:color w:val="auto"/>
                      <w:spacing w:val="-2"/>
                      <w:sz w:val="21"/>
                      <w:szCs w:val="21"/>
                      <w:highlight w:val="none"/>
                      <w:lang w:val="en-US" w:eastAsia="zh-CN"/>
                    </w:rPr>
                    <w:t>北</w:t>
                  </w:r>
                </w:p>
              </w:tc>
              <w:tc>
                <w:tcPr>
                  <w:tcW w:w="726" w:type="pct"/>
                  <w:vAlign w:val="center"/>
                </w:tcPr>
                <w:p w14:paraId="3BFB0CAB">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194</w:t>
                  </w:r>
                </w:p>
              </w:tc>
              <w:tc>
                <w:tcPr>
                  <w:tcW w:w="481" w:type="pct"/>
                  <w:vAlign w:val="center"/>
                </w:tcPr>
                <w:p w14:paraId="7A99D907">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default" w:ascii="Times New Roman" w:hAnsi="Times New Roman" w:eastAsia="宋体" w:cs="Times New Roman"/>
                      <w:snapToGrid w:val="0"/>
                      <w:color w:val="auto"/>
                      <w:spacing w:val="-2"/>
                      <w:sz w:val="21"/>
                      <w:szCs w:val="21"/>
                      <w:highlight w:val="none"/>
                      <w:lang w:val="en-US" w:eastAsia="zh-CN"/>
                    </w:rPr>
                    <w:t>300</w:t>
                  </w:r>
                </w:p>
              </w:tc>
              <w:tc>
                <w:tcPr>
                  <w:tcW w:w="428" w:type="pct"/>
                  <w:vAlign w:val="center"/>
                </w:tcPr>
                <w:p w14:paraId="7DEA007B">
                  <w:pPr>
                    <w:pStyle w:val="109"/>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kern w:val="2"/>
                      <w:position w:val="0"/>
                      <w:sz w:val="21"/>
                      <w:szCs w:val="21"/>
                      <w:highlight w:val="none"/>
                      <w:lang w:val="en-US" w:eastAsia="zh-CN" w:bidi="ar-SA"/>
                    </w:rPr>
                  </w:pPr>
                  <w:r>
                    <w:rPr>
                      <w:rFonts w:hint="default" w:ascii="Times New Roman" w:hAnsi="Times New Roman" w:eastAsia="宋体" w:cs="Times New Roman"/>
                      <w:snapToGrid w:val="0"/>
                      <w:color w:val="auto"/>
                      <w:kern w:val="2"/>
                      <w:position w:val="0"/>
                      <w:sz w:val="21"/>
                      <w:szCs w:val="21"/>
                      <w:highlight w:val="none"/>
                      <w:lang w:val="en-US" w:eastAsia="zh-CN"/>
                    </w:rPr>
                    <w:t>居民</w:t>
                  </w:r>
                </w:p>
              </w:tc>
              <w:tc>
                <w:tcPr>
                  <w:tcW w:w="1207" w:type="pct"/>
                  <w:vAlign w:val="center"/>
                </w:tcPr>
                <w:p w14:paraId="64C928C0">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大气环境二类功能区、声环境</w:t>
                  </w:r>
                  <w:r>
                    <w:rPr>
                      <w:rFonts w:hint="eastAsia" w:eastAsia="宋体" w:cs="Times New Roman"/>
                      <w:snapToGrid w:val="0"/>
                      <w:color w:val="auto"/>
                      <w:spacing w:val="-2"/>
                      <w:sz w:val="21"/>
                      <w:szCs w:val="21"/>
                      <w:highlight w:val="none"/>
                      <w:lang w:val="en-US" w:eastAsia="zh-CN"/>
                    </w:rPr>
                    <w:t>3</w:t>
                  </w:r>
                  <w:r>
                    <w:rPr>
                      <w:rFonts w:hint="default" w:ascii="Times New Roman" w:hAnsi="Times New Roman" w:eastAsia="宋体" w:cs="Times New Roman"/>
                      <w:snapToGrid w:val="0"/>
                      <w:color w:val="auto"/>
                      <w:spacing w:val="-2"/>
                      <w:sz w:val="21"/>
                      <w:szCs w:val="21"/>
                      <w:highlight w:val="none"/>
                      <w:lang w:val="en-US" w:eastAsia="zh-CN"/>
                    </w:rPr>
                    <w:t>类功能区</w:t>
                  </w:r>
                </w:p>
              </w:tc>
            </w:tr>
            <w:tr w14:paraId="10A92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000" w:type="pct"/>
                  <w:gridSpan w:val="9"/>
                  <w:vAlign w:val="center"/>
                </w:tcPr>
                <w:p w14:paraId="3E447DAE">
                  <w:pPr>
                    <w:pStyle w:val="108"/>
                    <w:keepNext w:val="0"/>
                    <w:keepLines w:val="0"/>
                    <w:pageBreakBefore w:val="0"/>
                    <w:widowControl w:val="0"/>
                    <w:kinsoku/>
                    <w:wordWrap/>
                    <w:overflowPunct/>
                    <w:bidi w:val="0"/>
                    <w:snapToGrid/>
                    <w:spacing w:beforeAutospacing="0" w:afterAutospacing="0" w:line="240" w:lineRule="auto"/>
                    <w:jc w:val="left"/>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注：本项目以厂区几何中心作为坐标原点（0，0）</w:t>
                  </w:r>
                  <w:r>
                    <w:rPr>
                      <w:rFonts w:hint="eastAsia" w:cs="Times New Roman"/>
                      <w:snapToGrid w:val="0"/>
                      <w:color w:val="auto"/>
                      <w:spacing w:val="-2"/>
                      <w:sz w:val="21"/>
                      <w:szCs w:val="21"/>
                      <w:highlight w:val="none"/>
                      <w:lang w:val="en-US" w:eastAsia="zh-CN"/>
                    </w:rPr>
                    <w:t>。</w:t>
                  </w:r>
                </w:p>
              </w:tc>
            </w:tr>
          </w:tbl>
          <w:p w14:paraId="3F409845">
            <w:pPr>
              <w:adjustRightInd w:val="0"/>
              <w:snapToGrid w:val="0"/>
              <w:rPr>
                <w:rFonts w:hint="default" w:ascii="Times New Roman" w:hAnsi="Times New Roman" w:cs="Times New Roman"/>
                <w:color w:val="auto"/>
                <w:highlight w:val="none"/>
              </w:rPr>
            </w:pPr>
          </w:p>
          <w:p w14:paraId="4CB384A9">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608E9295">
            <w:pPr>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5A04D585">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6036E0A2">
            <w:pPr>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319D702D">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773D2A4D">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525E8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7B0FF3B3">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72" w:name="_Toc24161"/>
            <w:bookmarkStart w:id="73" w:name="_Toc21959"/>
            <w:bookmarkStart w:id="74" w:name="_Toc2437"/>
            <w:bookmarkStart w:id="75" w:name="_Toc10187"/>
            <w:bookmarkStart w:id="76" w:name="_Toc14344"/>
            <w:bookmarkStart w:id="77" w:name="_Toc29246"/>
            <w:bookmarkStart w:id="78" w:name="_Toc27828"/>
            <w:bookmarkStart w:id="79" w:name="_Toc32736"/>
            <w:bookmarkStart w:id="80" w:name="_Toc4596"/>
            <w:bookmarkStart w:id="81" w:name="_Toc8874"/>
            <w:r>
              <w:rPr>
                <w:rFonts w:hint="default" w:ascii="Times New Roman" w:hAnsi="Times New Roman" w:eastAsia="宋体" w:cs="Times New Roman"/>
                <w:color w:val="auto"/>
                <w:kern w:val="2"/>
                <w:sz w:val="24"/>
                <w:szCs w:val="24"/>
                <w:highlight w:val="none"/>
                <w:lang w:val="en-US" w:eastAsia="zh-CN" w:bidi="ar-SA"/>
              </w:rPr>
              <w:t>污染物排放控制标准</w:t>
            </w:r>
            <w:bookmarkEnd w:id="72"/>
            <w:bookmarkEnd w:id="73"/>
            <w:bookmarkEnd w:id="74"/>
            <w:bookmarkEnd w:id="75"/>
            <w:bookmarkEnd w:id="76"/>
            <w:bookmarkEnd w:id="77"/>
            <w:bookmarkEnd w:id="78"/>
            <w:bookmarkEnd w:id="79"/>
            <w:bookmarkEnd w:id="80"/>
            <w:bookmarkEnd w:id="81"/>
          </w:p>
        </w:tc>
        <w:tc>
          <w:tcPr>
            <w:tcW w:w="4737" w:type="pct"/>
          </w:tcPr>
          <w:p w14:paraId="76F2A8C7">
            <w:pPr>
              <w:keepNext/>
              <w:keepLines/>
              <w:widowControl w:val="0"/>
              <w:numPr>
                <w:ilvl w:val="2"/>
                <w:numId w:val="0"/>
              </w:numPr>
              <w:spacing w:line="360" w:lineRule="auto"/>
              <w:ind w:left="-2" w:leftChars="0" w:firstLine="482" w:firstLineChars="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一、废气排放标准</w:t>
            </w:r>
          </w:p>
          <w:p w14:paraId="23C25AF3">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运营期</w:t>
            </w:r>
          </w:p>
          <w:p w14:paraId="3CB075D0">
            <w:pPr>
              <w:keepNext w:val="0"/>
              <w:keepLines w:val="0"/>
              <w:suppressLineNumbers w:val="0"/>
              <w:tabs>
                <w:tab w:val="left" w:pos="2790"/>
              </w:tabs>
              <w:spacing w:before="0" w:beforeAutospacing="0" w:after="0" w:afterAutospacing="0" w:line="360" w:lineRule="auto"/>
              <w:ind w:left="0" w:right="0" w:firstLine="480" w:firstLineChars="200"/>
              <w:rPr>
                <w:rFonts w:hint="default" w:eastAsia="宋体" w:cs="Times New Roman"/>
                <w:color w:val="auto"/>
                <w:sz w:val="24"/>
                <w:szCs w:val="24"/>
                <w:highlight w:val="none"/>
                <w:lang w:val="en-US" w:eastAsia="zh-CN"/>
              </w:rPr>
            </w:pPr>
            <w:r>
              <w:rPr>
                <w:rFonts w:hint="eastAsia" w:cs="Times New Roman"/>
                <w:color w:val="auto"/>
                <w:sz w:val="24"/>
                <w:highlight w:val="none"/>
                <w:lang w:val="en-US" w:eastAsia="zh-CN"/>
              </w:rPr>
              <w:t>1#厂房工艺废气通过排气筒DA001排放，废气排放因子颗粒物、非甲烷总烃、苯系物</w:t>
            </w:r>
            <w:r>
              <w:rPr>
                <w:rFonts w:hint="eastAsia" w:cs="Times New Roman"/>
                <w:color w:val="auto"/>
                <w:sz w:val="24"/>
                <w:szCs w:val="24"/>
                <w:highlight w:val="none"/>
                <w:lang w:val="en-US" w:eastAsia="zh-CN"/>
              </w:rPr>
              <w:t>（二甲苯统一表征为苯系物）</w:t>
            </w:r>
            <w:r>
              <w:rPr>
                <w:rFonts w:hint="eastAsia" w:cs="Times New Roman"/>
                <w:color w:val="auto"/>
                <w:sz w:val="24"/>
                <w:highlight w:val="none"/>
                <w:lang w:val="en-US" w:eastAsia="zh-CN"/>
              </w:rPr>
              <w:t>执行</w:t>
            </w:r>
            <w:r>
              <w:rPr>
                <w:rFonts w:hint="default" w:ascii="Times New Roman" w:hAnsi="Times New Roman" w:eastAsia="宋体" w:cs="Times New Roman"/>
                <w:color w:val="auto"/>
                <w:sz w:val="24"/>
                <w:szCs w:val="24"/>
                <w:highlight w:val="none"/>
                <w:lang w:val="en-US" w:eastAsia="zh-CN"/>
              </w:rPr>
              <w:t>《合成树脂工业污染物排放标准》（GB31572-2015）</w:t>
            </w:r>
            <w:r>
              <w:rPr>
                <w:rFonts w:hint="default" w:ascii="Times New Roman" w:hAnsi="Times New Roman" w:cs="Times New Roman"/>
                <w:b w:val="0"/>
                <w:bCs/>
                <w:color w:val="auto"/>
                <w:sz w:val="24"/>
                <w:szCs w:val="24"/>
                <w:highlight w:val="none"/>
              </w:rPr>
              <w:t>表5大气污染物特别排放限值</w:t>
            </w:r>
            <w:r>
              <w:rPr>
                <w:rFonts w:hint="eastAsia" w:cs="Times New Roman"/>
                <w:b w:val="0"/>
                <w:bCs/>
                <w:color w:val="auto"/>
                <w:sz w:val="24"/>
                <w:szCs w:val="24"/>
                <w:highlight w:val="none"/>
                <w:lang w:val="en-US" w:eastAsia="zh-CN"/>
              </w:rPr>
              <w:t>和</w:t>
            </w:r>
            <w:r>
              <w:rPr>
                <w:rFonts w:hint="default" w:ascii="Times New Roman" w:hAnsi="Times New Roman" w:eastAsia="宋体" w:cs="Times New Roman"/>
                <w:color w:val="auto"/>
                <w:sz w:val="24"/>
                <w:szCs w:val="24"/>
                <w:highlight w:val="none"/>
                <w:lang w:val="en-US" w:eastAsia="zh-CN"/>
              </w:rPr>
              <w:t>广东省《固定污染源挥发性有机物综合排放标准》（DB44/2367-2022）中表</w:t>
            </w:r>
            <w:r>
              <w:rPr>
                <w:rFonts w:hint="eastAsia" w:cs="Times New Roman"/>
                <w:color w:val="auto"/>
                <w:sz w:val="24"/>
                <w:szCs w:val="24"/>
                <w:highlight w:val="none"/>
                <w:lang w:val="en-US" w:eastAsia="zh-CN"/>
              </w:rPr>
              <w:t>1挥发性有机物排放限值两者中较严者。</w:t>
            </w:r>
            <w:r>
              <w:rPr>
                <w:rFonts w:hint="default" w:ascii="Times New Roman" w:hAnsi="Times New Roman" w:eastAsia="宋体" w:cs="Times New Roman"/>
                <w:color w:val="auto"/>
                <w:sz w:val="24"/>
                <w:highlight w:val="none"/>
              </w:rPr>
              <w:t>臭气浓度有组织排放执行《恶臭污染物排放标准》（GB14554-93）中表2恶臭污染物排放标准值</w:t>
            </w:r>
            <w:r>
              <w:rPr>
                <w:rFonts w:hint="eastAsia" w:ascii="Times New Roman" w:hAnsi="Times New Roman" w:cs="Times New Roman"/>
                <w:color w:val="auto"/>
                <w:sz w:val="24"/>
                <w:highlight w:val="none"/>
                <w:lang w:eastAsia="zh-CN"/>
              </w:rPr>
              <w:t>。</w:t>
            </w:r>
          </w:p>
          <w:p w14:paraId="132ECAAB">
            <w:pPr>
              <w:keepNext w:val="0"/>
              <w:keepLines w:val="0"/>
              <w:suppressLineNumbers w:val="0"/>
              <w:tabs>
                <w:tab w:val="left" w:pos="2790"/>
              </w:tabs>
              <w:spacing w:before="0" w:beforeAutospacing="0" w:after="0" w:afterAutospacing="0" w:line="360" w:lineRule="auto"/>
              <w:ind w:left="0" w:right="0" w:firstLine="480" w:firstLineChars="200"/>
              <w:rPr>
                <w:rFonts w:hint="default" w:cs="Times New Roman"/>
                <w:color w:val="auto"/>
                <w:sz w:val="24"/>
                <w:highlight w:val="none"/>
                <w:vertAlign w:val="baseline"/>
                <w:lang w:val="en-US" w:eastAsia="zh-CN"/>
              </w:rPr>
            </w:pPr>
            <w:r>
              <w:rPr>
                <w:rFonts w:hint="eastAsia" w:cs="Times New Roman"/>
                <w:color w:val="auto"/>
                <w:sz w:val="24"/>
                <w:highlight w:val="none"/>
                <w:lang w:val="en-US" w:eastAsia="zh-CN"/>
              </w:rPr>
              <w:t>4#厂房工艺</w:t>
            </w:r>
            <w:r>
              <w:rPr>
                <w:rFonts w:hint="default" w:ascii="Times New Roman" w:hAnsi="Times New Roman" w:eastAsia="宋体" w:cs="Times New Roman"/>
                <w:color w:val="auto"/>
                <w:sz w:val="24"/>
                <w:highlight w:val="none"/>
              </w:rPr>
              <w:t>废气</w:t>
            </w:r>
            <w:r>
              <w:rPr>
                <w:rFonts w:hint="eastAsia" w:cs="Times New Roman"/>
                <w:color w:val="auto"/>
                <w:sz w:val="24"/>
                <w:highlight w:val="none"/>
                <w:lang w:val="en-US" w:eastAsia="zh-CN"/>
              </w:rPr>
              <w:t>通过排气筒DA002排放，废气排放因子</w:t>
            </w:r>
            <w:r>
              <w:rPr>
                <w:rFonts w:hint="default" w:ascii="Times New Roman" w:hAnsi="Times New Roman" w:eastAsia="宋体" w:cs="Times New Roman"/>
                <w:color w:val="auto"/>
                <w:sz w:val="24"/>
                <w:highlight w:val="none"/>
              </w:rPr>
              <w:t>非甲烷总烃、苯乙烯有组织排放执行《合成树脂工业污染物排放标准》（GB31572-2015）表</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大气污染物</w:t>
            </w:r>
            <w:r>
              <w:rPr>
                <w:rFonts w:hint="eastAsia" w:cs="Times New Roman"/>
                <w:color w:val="auto"/>
                <w:sz w:val="24"/>
                <w:highlight w:val="none"/>
                <w:lang w:eastAsia="zh-CN"/>
              </w:rPr>
              <w:t>特别</w:t>
            </w:r>
            <w:r>
              <w:rPr>
                <w:rFonts w:hint="default" w:ascii="Times New Roman" w:hAnsi="Times New Roman" w:eastAsia="宋体" w:cs="Times New Roman"/>
                <w:color w:val="auto"/>
                <w:sz w:val="24"/>
                <w:highlight w:val="none"/>
              </w:rPr>
              <w:t>排放限值</w:t>
            </w:r>
            <w:r>
              <w:rPr>
                <w:rFonts w:hint="eastAsia" w:cs="Times New Roman"/>
                <w:color w:val="auto"/>
                <w:sz w:val="24"/>
                <w:highlight w:val="none"/>
                <w:lang w:eastAsia="zh-CN"/>
              </w:rPr>
              <w:t>。</w:t>
            </w:r>
            <w:r>
              <w:rPr>
                <w:rFonts w:hint="eastAsia"/>
                <w:color w:val="auto"/>
                <w:highlight w:val="none"/>
                <w:lang w:val="en-US" w:eastAsia="zh-CN"/>
              </w:rPr>
              <w:t>氨、</w:t>
            </w:r>
            <w:r>
              <w:rPr>
                <w:rFonts w:hint="default" w:ascii="Times New Roman" w:hAnsi="Times New Roman" w:eastAsia="宋体" w:cs="Times New Roman"/>
                <w:color w:val="auto"/>
                <w:sz w:val="24"/>
                <w:highlight w:val="none"/>
              </w:rPr>
              <w:t>臭气浓度有组织排放执行《恶臭污染物排放标准》（GB14554-93）中表2恶臭污染物排放标准值</w:t>
            </w:r>
            <w:r>
              <w:rPr>
                <w:rFonts w:hint="eastAsia" w:ascii="Times New Roman" w:hAnsi="Times New Roman" w:cs="Times New Roman"/>
                <w:color w:val="auto"/>
                <w:sz w:val="24"/>
                <w:highlight w:val="none"/>
                <w:lang w:eastAsia="zh-CN"/>
              </w:rPr>
              <w:t>。</w:t>
            </w:r>
          </w:p>
          <w:p w14:paraId="792346C3">
            <w:pPr>
              <w:keepNext w:val="0"/>
              <w:keepLines w:val="0"/>
              <w:suppressLineNumbers w:val="0"/>
              <w:tabs>
                <w:tab w:val="left" w:pos="2790"/>
              </w:tabs>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厂界非甲烷总烃无组织排放执行《合成树脂工业污染物排放标准》（GB31572-2015）表9企业边界大气污染物浓度限值，</w:t>
            </w:r>
            <w:r>
              <w:rPr>
                <w:rFonts w:hint="eastAsia" w:ascii="Times New Roman" w:hAnsi="Times New Roman" w:cs="Times New Roman"/>
                <w:color w:val="auto"/>
                <w:sz w:val="24"/>
                <w:highlight w:val="none"/>
                <w:lang w:val="en-US" w:eastAsia="zh-CN"/>
              </w:rPr>
              <w:t>臭气浓度、</w:t>
            </w:r>
            <w:r>
              <w:rPr>
                <w:rFonts w:hint="default" w:ascii="Times New Roman" w:hAnsi="Times New Roman" w:eastAsia="宋体" w:cs="Times New Roman"/>
                <w:color w:val="auto"/>
                <w:sz w:val="24"/>
                <w:highlight w:val="none"/>
              </w:rPr>
              <w:t>苯乙烯</w:t>
            </w:r>
            <w:r>
              <w:rPr>
                <w:rFonts w:hint="eastAsia" w:cs="Times New Roman"/>
                <w:color w:val="auto"/>
                <w:sz w:val="24"/>
                <w:highlight w:val="none"/>
                <w:lang w:eastAsia="zh-CN"/>
              </w:rPr>
              <w:t>、</w:t>
            </w:r>
            <w:r>
              <w:rPr>
                <w:rFonts w:hint="eastAsia" w:cs="Times New Roman"/>
                <w:color w:val="auto"/>
                <w:sz w:val="24"/>
                <w:highlight w:val="none"/>
                <w:lang w:val="en-US" w:eastAsia="zh-CN"/>
              </w:rPr>
              <w:t>氨</w:t>
            </w:r>
            <w:r>
              <w:rPr>
                <w:rFonts w:hint="default" w:ascii="Times New Roman" w:hAnsi="Times New Roman" w:eastAsia="宋体" w:cs="Times New Roman"/>
                <w:color w:val="auto"/>
                <w:sz w:val="24"/>
                <w:highlight w:val="none"/>
              </w:rPr>
              <w:t>无组织排放执行《恶臭污染物排放标准》（GB14554-93）中表1恶臭污染物厂界标准值二级新扩改建标准；</w:t>
            </w:r>
            <w:r>
              <w:rPr>
                <w:rFonts w:hint="eastAsia" w:ascii="Times New Roman" w:hAnsi="Times New Roman" w:cs="Times New Roman"/>
                <w:color w:val="auto"/>
                <w:sz w:val="24"/>
                <w:highlight w:val="none"/>
                <w:lang w:val="en-US" w:eastAsia="zh-CN"/>
              </w:rPr>
              <w:t>颗粒物</w:t>
            </w:r>
            <w:r>
              <w:rPr>
                <w:rFonts w:hint="default" w:ascii="Times New Roman" w:hAnsi="Times New Roman" w:eastAsia="宋体" w:cs="Times New Roman"/>
                <w:color w:val="auto"/>
                <w:sz w:val="24"/>
                <w:highlight w:val="none"/>
              </w:rPr>
              <w:t>无组织排放执行《合成树脂工业污染物排放标准》（GB31572-2015）表9企业边界大气污染物浓度限值</w:t>
            </w:r>
            <w:r>
              <w:rPr>
                <w:rFonts w:hint="eastAsia"/>
                <w:color w:val="auto"/>
                <w:highlight w:val="none"/>
                <w:lang w:eastAsia="zh-CN"/>
              </w:rPr>
              <w:t>，</w:t>
            </w:r>
            <w:r>
              <w:rPr>
                <w:rFonts w:hint="eastAsia"/>
                <w:color w:val="auto"/>
                <w:highlight w:val="none"/>
                <w:lang w:val="en-US" w:eastAsia="zh-CN"/>
              </w:rPr>
              <w:t>苯系物无组织排放执行广东省《大气污染物排放限值》(DB44/27-2001)第二时段无组织排放监控浓度限值</w:t>
            </w:r>
            <w:r>
              <w:rPr>
                <w:rFonts w:hint="eastAsia" w:cs="Times New Roman"/>
                <w:color w:val="auto"/>
                <w:sz w:val="24"/>
                <w:highlight w:val="none"/>
                <w:lang w:val="en-US" w:eastAsia="zh-CN"/>
              </w:rPr>
              <w:t>。</w:t>
            </w:r>
          </w:p>
          <w:p w14:paraId="06F940CB">
            <w:pPr>
              <w:keepNext w:val="0"/>
              <w:keepLines w:val="0"/>
              <w:suppressLineNumbers w:val="0"/>
              <w:tabs>
                <w:tab w:val="left" w:pos="2790"/>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厂区内</w:t>
            </w:r>
            <w:r>
              <w:rPr>
                <w:rFonts w:hint="eastAsia" w:ascii="Times New Roman" w:hAnsi="Times New Roman" w:cs="Times New Roman"/>
                <w:color w:val="auto"/>
                <w:sz w:val="24"/>
                <w:highlight w:val="none"/>
                <w:lang w:val="en-US" w:eastAsia="zh-CN"/>
              </w:rPr>
              <w:t>NMHC</w:t>
            </w:r>
            <w:r>
              <w:rPr>
                <w:rFonts w:hint="default" w:ascii="Times New Roman" w:hAnsi="Times New Roman" w:eastAsia="宋体" w:cs="Times New Roman"/>
                <w:color w:val="auto"/>
                <w:sz w:val="24"/>
                <w:highlight w:val="none"/>
              </w:rPr>
              <w:t>执行广东省《固定污染源挥发性有机物综合排放标准》（DB44/2367-2022）</w:t>
            </w:r>
            <w:r>
              <w:rPr>
                <w:rFonts w:hint="eastAsia"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表3厂区内VOCs无组织排放限值，具体详见下表。</w:t>
            </w:r>
          </w:p>
          <w:p w14:paraId="13C56F38">
            <w:pPr>
              <w:widowControl w:val="0"/>
              <w:wordWrap w:val="0"/>
              <w:adjustRightInd w:val="0"/>
              <w:spacing w:before="0" w:after="0" w:line="240" w:lineRule="auto"/>
              <w:ind w:right="0" w:firstLine="420" w:firstLineChars="200"/>
              <w:jc w:val="center"/>
              <w:rPr>
                <w:rFonts w:hint="eastAsia"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排气筒DA001废气有组织排放执行标准</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7"/>
              <w:gridCol w:w="1250"/>
              <w:gridCol w:w="1401"/>
              <w:gridCol w:w="1000"/>
              <w:gridCol w:w="1217"/>
            </w:tblGrid>
            <w:tr w14:paraId="4EA9E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1" w:hRule="atLeast"/>
                <w:jc w:val="center"/>
              </w:trPr>
              <w:tc>
                <w:tcPr>
                  <w:tcW w:w="1901" w:type="pct"/>
                  <w:tcBorders>
                    <w:tl2br w:val="nil"/>
                    <w:tr2bl w:val="nil"/>
                  </w:tcBorders>
                  <w:noWrap/>
                  <w:tcMar>
                    <w:left w:w="0" w:type="dxa"/>
                    <w:right w:w="0" w:type="dxa"/>
                  </w:tcMar>
                  <w:vAlign w:val="center"/>
                </w:tcPr>
                <w:p w14:paraId="600C80E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795" w:type="pct"/>
                  <w:tcBorders>
                    <w:tl2br w:val="nil"/>
                    <w:tr2bl w:val="nil"/>
                  </w:tcBorders>
                  <w:noWrap/>
                  <w:tcMar>
                    <w:left w:w="0" w:type="dxa"/>
                    <w:right w:w="0" w:type="dxa"/>
                  </w:tcMar>
                  <w:vAlign w:val="center"/>
                </w:tcPr>
                <w:p w14:paraId="0B09529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颗粒物</w:t>
                  </w:r>
                </w:p>
              </w:tc>
              <w:tc>
                <w:tcPr>
                  <w:tcW w:w="891" w:type="pct"/>
                  <w:tcBorders>
                    <w:tl2br w:val="nil"/>
                    <w:tr2bl w:val="nil"/>
                  </w:tcBorders>
                  <w:noWrap/>
                  <w:vAlign w:val="center"/>
                </w:tcPr>
                <w:p w14:paraId="6D3197C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636" w:type="pct"/>
                  <w:tcBorders>
                    <w:tl2br w:val="nil"/>
                    <w:tr2bl w:val="nil"/>
                  </w:tcBorders>
                  <w:noWrap/>
                  <w:vAlign w:val="center"/>
                </w:tcPr>
                <w:p w14:paraId="47E2692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苯系物</w:t>
                  </w:r>
                </w:p>
              </w:tc>
              <w:tc>
                <w:tcPr>
                  <w:tcW w:w="774" w:type="pct"/>
                  <w:tcBorders>
                    <w:tl2br w:val="nil"/>
                    <w:tr2bl w:val="nil"/>
                  </w:tcBorders>
                  <w:noWrap/>
                  <w:vAlign w:val="center"/>
                </w:tcPr>
                <w:p w14:paraId="4168A78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r>
            <w:tr w14:paraId="48EBB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0165E95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c>
                <w:tcPr>
                  <w:tcW w:w="795" w:type="pct"/>
                  <w:tcBorders>
                    <w:tl2br w:val="nil"/>
                    <w:tr2bl w:val="nil"/>
                  </w:tcBorders>
                  <w:noWrap/>
                  <w:tcMar>
                    <w:left w:w="0" w:type="dxa"/>
                    <w:right w:w="0" w:type="dxa"/>
                  </w:tcMar>
                  <w:vAlign w:val="center"/>
                </w:tcPr>
                <w:p w14:paraId="74AEE00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b/>
                      <w:bCs/>
                      <w:color w:val="auto"/>
                      <w:sz w:val="21"/>
                      <w:szCs w:val="21"/>
                      <w:highlight w:val="none"/>
                      <w:lang w:val="en-US" w:eastAsia="zh-CN"/>
                    </w:rPr>
                  </w:pPr>
                  <w:r>
                    <w:rPr>
                      <w:rFonts w:hint="eastAsia"/>
                      <w:b w:val="0"/>
                      <w:bCs w:val="0"/>
                      <w:color w:val="auto"/>
                      <w:sz w:val="21"/>
                      <w:szCs w:val="21"/>
                      <w:highlight w:val="none"/>
                      <w:lang w:val="en-US" w:eastAsia="zh-CN"/>
                    </w:rPr>
                    <w:t>20</w:t>
                  </w:r>
                </w:p>
              </w:tc>
              <w:tc>
                <w:tcPr>
                  <w:tcW w:w="891" w:type="pct"/>
                  <w:tcBorders>
                    <w:tl2br w:val="nil"/>
                    <w:tr2bl w:val="nil"/>
                  </w:tcBorders>
                  <w:noWrap/>
                  <w:vAlign w:val="center"/>
                </w:tcPr>
                <w:p w14:paraId="68ECF27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6" w:type="pct"/>
                  <w:tcBorders>
                    <w:tl2br w:val="nil"/>
                    <w:tr2bl w:val="nil"/>
                  </w:tcBorders>
                  <w:noWrap/>
                  <w:vAlign w:val="center"/>
                </w:tcPr>
                <w:p w14:paraId="36819F4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74" w:type="pct"/>
                  <w:tcBorders>
                    <w:tl2br w:val="nil"/>
                    <w:tr2bl w:val="nil"/>
                  </w:tcBorders>
                  <w:noWrap/>
                  <w:vAlign w:val="center"/>
                </w:tcPr>
                <w:p w14:paraId="6C3FF63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r>
            <w:tr w14:paraId="3126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167A915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《固定污染源挥发性有机物综合排放标准》（DB44/2367-2022）中表</w:t>
                  </w:r>
                  <w:r>
                    <w:rPr>
                      <w:rFonts w:hint="eastAsia" w:cs="Times New Roman"/>
                      <w:color w:val="auto"/>
                      <w:sz w:val="21"/>
                      <w:szCs w:val="21"/>
                      <w:highlight w:val="none"/>
                      <w:lang w:val="en-US" w:eastAsia="zh-CN"/>
                    </w:rPr>
                    <w:t>1挥发性有机物排放限值</w:t>
                  </w:r>
                </w:p>
              </w:tc>
              <w:tc>
                <w:tcPr>
                  <w:tcW w:w="795" w:type="pct"/>
                  <w:tcBorders>
                    <w:tl2br w:val="nil"/>
                    <w:tr2bl w:val="nil"/>
                  </w:tcBorders>
                  <w:noWrap/>
                  <w:tcMar>
                    <w:left w:w="0" w:type="dxa"/>
                    <w:right w:w="0" w:type="dxa"/>
                  </w:tcMar>
                  <w:vAlign w:val="center"/>
                </w:tcPr>
                <w:p w14:paraId="0CCD786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891" w:type="pct"/>
                  <w:tcBorders>
                    <w:tl2br w:val="nil"/>
                    <w:tr2bl w:val="nil"/>
                  </w:tcBorders>
                  <w:noWrap/>
                  <w:vAlign w:val="center"/>
                </w:tcPr>
                <w:p w14:paraId="51DA88D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8</w:t>
                  </w:r>
                  <w:r>
                    <w:rPr>
                      <w:rFonts w:hint="eastAsia"/>
                      <w:color w:val="auto"/>
                      <w:sz w:val="21"/>
                      <w:szCs w:val="21"/>
                      <w:highlight w:val="none"/>
                    </w:rPr>
                    <w:t>0</w:t>
                  </w:r>
                </w:p>
              </w:tc>
              <w:tc>
                <w:tcPr>
                  <w:tcW w:w="636" w:type="pct"/>
                  <w:tcBorders>
                    <w:tl2br w:val="nil"/>
                    <w:tr2bl w:val="nil"/>
                  </w:tcBorders>
                  <w:noWrap/>
                  <w:vAlign w:val="center"/>
                </w:tcPr>
                <w:p w14:paraId="79D34ED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c>
                <w:tcPr>
                  <w:tcW w:w="774" w:type="pct"/>
                  <w:tcBorders>
                    <w:tl2br w:val="nil"/>
                    <w:tr2bl w:val="nil"/>
                  </w:tcBorders>
                  <w:noWrap/>
                  <w:vAlign w:val="center"/>
                </w:tcPr>
                <w:p w14:paraId="149C0BE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r>
            <w:tr w14:paraId="1DC55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455885E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《恶臭污染物排放标准》（GB14554-93）表2污染物排放标准值</w:t>
                  </w:r>
                </w:p>
              </w:tc>
              <w:tc>
                <w:tcPr>
                  <w:tcW w:w="795" w:type="pct"/>
                  <w:tcBorders>
                    <w:tl2br w:val="nil"/>
                    <w:tr2bl w:val="nil"/>
                  </w:tcBorders>
                  <w:noWrap/>
                  <w:tcMar>
                    <w:left w:w="0" w:type="dxa"/>
                    <w:right w:w="0" w:type="dxa"/>
                  </w:tcMar>
                  <w:vAlign w:val="center"/>
                </w:tcPr>
                <w:p w14:paraId="3D88D38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891" w:type="pct"/>
                  <w:tcBorders>
                    <w:tl2br w:val="nil"/>
                    <w:tr2bl w:val="nil"/>
                  </w:tcBorders>
                  <w:noWrap/>
                  <w:vAlign w:val="center"/>
                </w:tcPr>
                <w:p w14:paraId="503BADD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36" w:type="pct"/>
                  <w:tcBorders>
                    <w:tl2br w:val="nil"/>
                    <w:tr2bl w:val="nil"/>
                  </w:tcBorders>
                  <w:noWrap/>
                  <w:vAlign w:val="center"/>
                </w:tcPr>
                <w:p w14:paraId="69BC401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774" w:type="pct"/>
                  <w:tcBorders>
                    <w:tl2br w:val="nil"/>
                    <w:tr2bl w:val="nil"/>
                  </w:tcBorders>
                  <w:noWrap/>
                  <w:vAlign w:val="center"/>
                </w:tcPr>
                <w:p w14:paraId="063E9EC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r>
            <w:tr w14:paraId="581E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jc w:val="center"/>
              </w:trPr>
              <w:tc>
                <w:tcPr>
                  <w:tcW w:w="1901" w:type="pct"/>
                  <w:tcBorders>
                    <w:tl2br w:val="nil"/>
                    <w:tr2bl w:val="nil"/>
                  </w:tcBorders>
                  <w:noWrap/>
                  <w:tcMar>
                    <w:left w:w="0" w:type="dxa"/>
                    <w:right w:w="0" w:type="dxa"/>
                  </w:tcMar>
                  <w:vAlign w:val="center"/>
                </w:tcPr>
                <w:p w14:paraId="6D75716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795" w:type="pct"/>
                  <w:tcBorders>
                    <w:tl2br w:val="nil"/>
                    <w:tr2bl w:val="nil"/>
                  </w:tcBorders>
                  <w:noWrap/>
                  <w:tcMar>
                    <w:left w:w="0" w:type="dxa"/>
                    <w:right w:w="0" w:type="dxa"/>
                  </w:tcMar>
                  <w:vAlign w:val="center"/>
                </w:tcPr>
                <w:p w14:paraId="6FA918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891" w:type="pct"/>
                  <w:tcBorders>
                    <w:tl2br w:val="nil"/>
                    <w:tr2bl w:val="nil"/>
                  </w:tcBorders>
                  <w:noWrap/>
                  <w:vAlign w:val="center"/>
                </w:tcPr>
                <w:p w14:paraId="6FB6A0FB">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6" w:type="pct"/>
                  <w:tcBorders>
                    <w:tl2br w:val="nil"/>
                    <w:tr2bl w:val="nil"/>
                  </w:tcBorders>
                  <w:noWrap/>
                  <w:vAlign w:val="center"/>
                </w:tcPr>
                <w:p w14:paraId="22B0F39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774" w:type="pct"/>
                  <w:tcBorders>
                    <w:tl2br w:val="nil"/>
                    <w:tr2bl w:val="nil"/>
                  </w:tcBorders>
                  <w:noWrap/>
                  <w:vAlign w:val="center"/>
                </w:tcPr>
                <w:p w14:paraId="3DB91A8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r>
          </w:tbl>
          <w:p w14:paraId="5D9F29E3">
            <w:pPr>
              <w:widowControl w:val="0"/>
              <w:wordWrap w:val="0"/>
              <w:adjustRightInd w:val="0"/>
              <w:spacing w:before="0" w:after="0" w:line="240" w:lineRule="auto"/>
              <w:ind w:right="0" w:firstLine="420" w:firstLineChars="200"/>
              <w:jc w:val="center"/>
              <w:rPr>
                <w:rFonts w:hint="eastAsia"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6</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排气筒DA002废气有组织排放执行标准（单位：</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r>
              <w:rPr>
                <w:rFonts w:hint="eastAsia" w:cs="Times New Roman"/>
                <w:b/>
                <w:bCs/>
                <w:color w:val="auto"/>
                <w:sz w:val="21"/>
                <w:szCs w:val="21"/>
                <w:highlight w:val="none"/>
                <w:vertAlign w:val="baseline"/>
                <w:lang w:val="en-US" w:eastAsia="zh-CN"/>
              </w:rPr>
              <w:t>）</w:t>
            </w:r>
          </w:p>
          <w:tbl>
            <w:tblPr>
              <w:tblStyle w:val="46"/>
              <w:tblW w:w="76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4"/>
              <w:gridCol w:w="1373"/>
              <w:gridCol w:w="981"/>
              <w:gridCol w:w="1194"/>
              <w:gridCol w:w="1194"/>
            </w:tblGrid>
            <w:tr w14:paraId="19C06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1911" w:type="pct"/>
                  <w:tcBorders>
                    <w:tl2br w:val="nil"/>
                    <w:tr2bl w:val="nil"/>
                  </w:tcBorders>
                  <w:noWrap/>
                  <w:tcMar>
                    <w:left w:w="0" w:type="dxa"/>
                    <w:right w:w="0" w:type="dxa"/>
                  </w:tcMar>
                  <w:vAlign w:val="center"/>
                </w:tcPr>
                <w:p w14:paraId="6E562FB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894" w:type="pct"/>
                  <w:tcBorders>
                    <w:tl2br w:val="nil"/>
                    <w:tr2bl w:val="nil"/>
                  </w:tcBorders>
                  <w:noWrap/>
                  <w:vAlign w:val="center"/>
                </w:tcPr>
                <w:p w14:paraId="19086C0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639" w:type="pct"/>
                  <w:tcBorders>
                    <w:tl2br w:val="nil"/>
                    <w:tr2bl w:val="nil"/>
                  </w:tcBorders>
                  <w:noWrap/>
                  <w:vAlign w:val="center"/>
                </w:tcPr>
                <w:p w14:paraId="6A86B1C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苯乙烯</w:t>
                  </w:r>
                </w:p>
              </w:tc>
              <w:tc>
                <w:tcPr>
                  <w:tcW w:w="777" w:type="pct"/>
                  <w:tcBorders>
                    <w:tl2br w:val="nil"/>
                    <w:tr2bl w:val="nil"/>
                  </w:tcBorders>
                  <w:noWrap/>
                  <w:vAlign w:val="center"/>
                </w:tcPr>
                <w:p w14:paraId="6916BA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c>
                <w:tcPr>
                  <w:tcW w:w="777" w:type="pct"/>
                  <w:tcBorders>
                    <w:tl2br w:val="nil"/>
                    <w:tr2bl w:val="nil"/>
                  </w:tcBorders>
                  <w:noWrap/>
                  <w:vAlign w:val="center"/>
                </w:tcPr>
                <w:p w14:paraId="7D496CE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氨</w:t>
                  </w:r>
                </w:p>
              </w:tc>
            </w:tr>
            <w:tr w14:paraId="19A45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3" w:hRule="atLeast"/>
                <w:jc w:val="center"/>
              </w:trPr>
              <w:tc>
                <w:tcPr>
                  <w:tcW w:w="1911" w:type="pct"/>
                  <w:tcBorders>
                    <w:tl2br w:val="nil"/>
                    <w:tr2bl w:val="nil"/>
                  </w:tcBorders>
                  <w:noWrap/>
                  <w:tcMar>
                    <w:left w:w="0" w:type="dxa"/>
                    <w:right w:w="0" w:type="dxa"/>
                  </w:tcMar>
                  <w:vAlign w:val="center"/>
                </w:tcPr>
                <w:p w14:paraId="6AE6C3A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c>
                <w:tcPr>
                  <w:tcW w:w="894" w:type="pct"/>
                  <w:tcBorders>
                    <w:tl2br w:val="nil"/>
                    <w:tr2bl w:val="nil"/>
                  </w:tcBorders>
                  <w:noWrap/>
                  <w:vAlign w:val="center"/>
                </w:tcPr>
                <w:p w14:paraId="6AFB9A50">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9" w:type="pct"/>
                  <w:tcBorders>
                    <w:tl2br w:val="nil"/>
                    <w:tr2bl w:val="nil"/>
                  </w:tcBorders>
                  <w:noWrap/>
                  <w:vAlign w:val="center"/>
                </w:tcPr>
                <w:p w14:paraId="4B050C6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6B836E3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77" w:type="pct"/>
                  <w:tcBorders>
                    <w:tl2br w:val="nil"/>
                    <w:tr2bl w:val="nil"/>
                  </w:tcBorders>
                  <w:noWrap/>
                  <w:vAlign w:val="center"/>
                </w:tcPr>
                <w:p w14:paraId="7583B10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52269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8" w:hRule="atLeast"/>
                <w:jc w:val="center"/>
              </w:trPr>
              <w:tc>
                <w:tcPr>
                  <w:tcW w:w="1911" w:type="pct"/>
                  <w:tcBorders>
                    <w:tl2br w:val="nil"/>
                    <w:tr2bl w:val="nil"/>
                  </w:tcBorders>
                  <w:noWrap/>
                  <w:tcMar>
                    <w:left w:w="0" w:type="dxa"/>
                    <w:right w:w="0" w:type="dxa"/>
                  </w:tcMar>
                  <w:vAlign w:val="center"/>
                </w:tcPr>
                <w:p w14:paraId="7C682D0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《恶臭污染物排放标准》（GB14554-93）表2污染物排放标准值</w:t>
                  </w:r>
                </w:p>
              </w:tc>
              <w:tc>
                <w:tcPr>
                  <w:tcW w:w="894" w:type="pct"/>
                  <w:tcBorders>
                    <w:tl2br w:val="nil"/>
                    <w:tr2bl w:val="nil"/>
                  </w:tcBorders>
                  <w:noWrap/>
                  <w:vAlign w:val="center"/>
                </w:tcPr>
                <w:p w14:paraId="4046C42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39" w:type="pct"/>
                  <w:tcBorders>
                    <w:tl2br w:val="nil"/>
                    <w:tr2bl w:val="nil"/>
                  </w:tcBorders>
                  <w:noWrap/>
                  <w:vAlign w:val="center"/>
                </w:tcPr>
                <w:p w14:paraId="7CFB4DA9">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611093F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c>
                <w:tcPr>
                  <w:tcW w:w="777" w:type="pct"/>
                  <w:tcBorders>
                    <w:tl2br w:val="nil"/>
                    <w:tr2bl w:val="nil"/>
                  </w:tcBorders>
                  <w:noWrap/>
                  <w:vAlign w:val="center"/>
                </w:tcPr>
                <w:p w14:paraId="2BA2B306">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15m排气筒，排放速量4.9kg/h</w:t>
                  </w:r>
                </w:p>
              </w:tc>
            </w:tr>
            <w:tr w14:paraId="4A9DE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1911" w:type="pct"/>
                  <w:tcBorders>
                    <w:tl2br w:val="nil"/>
                    <w:tr2bl w:val="nil"/>
                  </w:tcBorders>
                  <w:noWrap/>
                  <w:tcMar>
                    <w:left w:w="0" w:type="dxa"/>
                    <w:right w:w="0" w:type="dxa"/>
                  </w:tcMar>
                  <w:vAlign w:val="center"/>
                </w:tcPr>
                <w:p w14:paraId="10D7130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894" w:type="pct"/>
                  <w:tcBorders>
                    <w:tl2br w:val="nil"/>
                    <w:tr2bl w:val="nil"/>
                  </w:tcBorders>
                  <w:noWrap/>
                  <w:vAlign w:val="center"/>
                </w:tcPr>
                <w:p w14:paraId="7DFC060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9" w:type="pct"/>
                  <w:tcBorders>
                    <w:tl2br w:val="nil"/>
                    <w:tr2bl w:val="nil"/>
                  </w:tcBorders>
                  <w:noWrap/>
                  <w:vAlign w:val="center"/>
                </w:tcPr>
                <w:p w14:paraId="15F72A2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5C46115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c>
                <w:tcPr>
                  <w:tcW w:w="777" w:type="pct"/>
                  <w:tcBorders>
                    <w:tl2br w:val="nil"/>
                    <w:tr2bl w:val="nil"/>
                  </w:tcBorders>
                  <w:noWrap/>
                  <w:vAlign w:val="center"/>
                </w:tcPr>
                <w:p w14:paraId="111F6F4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bl>
          <w:p w14:paraId="0C5DCFA3">
            <w:pPr>
              <w:widowControl w:val="0"/>
              <w:wordWrap w:val="0"/>
              <w:adjustRightInd w:val="0"/>
              <w:spacing w:before="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7</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无组织排放执行标准（单位：</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r>
              <w:rPr>
                <w:rFonts w:hint="eastAsia" w:cs="Times New Roman"/>
                <w:b/>
                <w:bCs/>
                <w:color w:val="auto"/>
                <w:sz w:val="21"/>
                <w:szCs w:val="21"/>
                <w:highlight w:val="none"/>
                <w:vertAlign w:val="baseline"/>
                <w:lang w:val="en-US" w:eastAsia="zh-CN"/>
              </w:rPr>
              <w:t>）</w:t>
            </w:r>
          </w:p>
          <w:tbl>
            <w:tblPr>
              <w:tblStyle w:val="46"/>
              <w:tblW w:w="7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2"/>
              <w:gridCol w:w="675"/>
              <w:gridCol w:w="945"/>
              <w:gridCol w:w="1012"/>
              <w:gridCol w:w="625"/>
              <w:gridCol w:w="619"/>
              <w:gridCol w:w="624"/>
              <w:gridCol w:w="624"/>
            </w:tblGrid>
            <w:tr w14:paraId="4F59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1787" w:type="pct"/>
                  <w:tcBorders>
                    <w:tl2br w:val="nil"/>
                    <w:tr2bl w:val="nil"/>
                  </w:tcBorders>
                  <w:noWrap/>
                  <w:tcMar>
                    <w:left w:w="0" w:type="dxa"/>
                    <w:right w:w="0" w:type="dxa"/>
                  </w:tcMar>
                  <w:vAlign w:val="center"/>
                </w:tcPr>
                <w:p w14:paraId="6D2515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423" w:type="pct"/>
                  <w:tcBorders>
                    <w:tl2br w:val="nil"/>
                    <w:tr2bl w:val="nil"/>
                  </w:tcBorders>
                  <w:noWrap/>
                  <w:tcMar>
                    <w:left w:w="0" w:type="dxa"/>
                    <w:right w:w="0" w:type="dxa"/>
                  </w:tcMar>
                  <w:vAlign w:val="center"/>
                </w:tcPr>
                <w:p w14:paraId="1A516C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颗粒物</w:t>
                  </w:r>
                </w:p>
              </w:tc>
              <w:tc>
                <w:tcPr>
                  <w:tcW w:w="1226" w:type="pct"/>
                  <w:gridSpan w:val="2"/>
                  <w:tcBorders>
                    <w:tl2br w:val="nil"/>
                    <w:tr2bl w:val="nil"/>
                  </w:tcBorders>
                  <w:noWrap/>
                  <w:vAlign w:val="center"/>
                </w:tcPr>
                <w:p w14:paraId="66C49C4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391" w:type="pct"/>
                  <w:tcBorders>
                    <w:tl2br w:val="nil"/>
                    <w:tr2bl w:val="nil"/>
                  </w:tcBorders>
                  <w:noWrap/>
                  <w:vAlign w:val="center"/>
                </w:tcPr>
                <w:p w14:paraId="4CB98A4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苯系物</w:t>
                  </w:r>
                </w:p>
              </w:tc>
              <w:tc>
                <w:tcPr>
                  <w:tcW w:w="388" w:type="pct"/>
                  <w:tcBorders>
                    <w:tl2br w:val="nil"/>
                    <w:tr2bl w:val="nil"/>
                  </w:tcBorders>
                  <w:noWrap/>
                  <w:vAlign w:val="center"/>
                </w:tcPr>
                <w:p w14:paraId="298566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苯乙烯</w:t>
                  </w:r>
                </w:p>
              </w:tc>
              <w:tc>
                <w:tcPr>
                  <w:tcW w:w="391" w:type="pct"/>
                  <w:tcBorders>
                    <w:tl2br w:val="nil"/>
                    <w:tr2bl w:val="nil"/>
                  </w:tcBorders>
                  <w:noWrap/>
                  <w:vAlign w:val="center"/>
                </w:tcPr>
                <w:p w14:paraId="01592F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c>
                <w:tcPr>
                  <w:tcW w:w="391" w:type="pct"/>
                  <w:tcBorders>
                    <w:tl2br w:val="nil"/>
                    <w:tr2bl w:val="nil"/>
                  </w:tcBorders>
                  <w:noWrap/>
                  <w:vAlign w:val="center"/>
                </w:tcPr>
                <w:p w14:paraId="05879FA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氨</w:t>
                  </w:r>
                </w:p>
              </w:tc>
            </w:tr>
            <w:tr w14:paraId="24B2A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9" w:hRule="atLeast"/>
                <w:jc w:val="center"/>
              </w:trPr>
              <w:tc>
                <w:tcPr>
                  <w:tcW w:w="1787" w:type="pct"/>
                  <w:tcBorders>
                    <w:tl2br w:val="nil"/>
                    <w:tr2bl w:val="nil"/>
                  </w:tcBorders>
                  <w:noWrap/>
                  <w:tcMar>
                    <w:left w:w="0" w:type="dxa"/>
                    <w:right w:w="0" w:type="dxa"/>
                  </w:tcMar>
                  <w:vAlign w:val="center"/>
                </w:tcPr>
                <w:p w14:paraId="3B1DEB4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eastAsia="宋体" w:cs="Times New Roman"/>
                      <w:b w:val="0"/>
                      <w:bCs w:val="0"/>
                      <w:color w:val="auto"/>
                      <w:sz w:val="21"/>
                      <w:szCs w:val="21"/>
                      <w:highlight w:val="none"/>
                    </w:rPr>
                    <w:t>表9企业边界大气污染物浓度限值</w:t>
                  </w:r>
                </w:p>
              </w:tc>
              <w:tc>
                <w:tcPr>
                  <w:tcW w:w="423" w:type="pct"/>
                  <w:tcBorders>
                    <w:tl2br w:val="nil"/>
                    <w:tr2bl w:val="nil"/>
                  </w:tcBorders>
                  <w:noWrap/>
                  <w:tcMar>
                    <w:left w:w="0" w:type="dxa"/>
                    <w:right w:w="0" w:type="dxa"/>
                  </w:tcMar>
                  <w:vAlign w:val="center"/>
                </w:tcPr>
                <w:p w14:paraId="23A2209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b/>
                      <w:bCs/>
                      <w:color w:val="auto"/>
                      <w:sz w:val="21"/>
                      <w:szCs w:val="21"/>
                      <w:highlight w:val="none"/>
                      <w:lang w:val="en-US" w:eastAsia="zh-CN"/>
                    </w:rPr>
                  </w:pPr>
                  <w:r>
                    <w:rPr>
                      <w:rFonts w:hint="eastAsia"/>
                      <w:b w:val="0"/>
                      <w:bCs w:val="0"/>
                      <w:color w:val="auto"/>
                      <w:sz w:val="21"/>
                      <w:szCs w:val="21"/>
                      <w:highlight w:val="none"/>
                      <w:lang w:val="en-US" w:eastAsia="zh-CN"/>
                    </w:rPr>
                    <w:t>1.0</w:t>
                  </w:r>
                </w:p>
              </w:tc>
              <w:tc>
                <w:tcPr>
                  <w:tcW w:w="1226" w:type="pct"/>
                  <w:gridSpan w:val="2"/>
                  <w:tcBorders>
                    <w:tl2br w:val="nil"/>
                    <w:tr2bl w:val="nil"/>
                  </w:tcBorders>
                  <w:noWrap/>
                  <w:vAlign w:val="center"/>
                </w:tcPr>
                <w:p w14:paraId="365CB2B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391" w:type="pct"/>
                  <w:tcBorders>
                    <w:tl2br w:val="nil"/>
                    <w:tr2bl w:val="nil"/>
                  </w:tcBorders>
                  <w:noWrap/>
                  <w:vAlign w:val="center"/>
                </w:tcPr>
                <w:p w14:paraId="12536FE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388" w:type="pct"/>
                  <w:tcBorders>
                    <w:tl2br w:val="nil"/>
                    <w:tr2bl w:val="nil"/>
                  </w:tcBorders>
                  <w:noWrap/>
                  <w:vAlign w:val="center"/>
                </w:tcPr>
                <w:p w14:paraId="0ABC908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35202CC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199FECB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40CC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jc w:val="center"/>
              </w:trPr>
              <w:tc>
                <w:tcPr>
                  <w:tcW w:w="1787" w:type="pct"/>
                  <w:vMerge w:val="restart"/>
                  <w:tcBorders>
                    <w:tl2br w:val="nil"/>
                    <w:tr2bl w:val="nil"/>
                  </w:tcBorders>
                  <w:noWrap/>
                  <w:tcMar>
                    <w:left w:w="0" w:type="dxa"/>
                    <w:right w:w="0" w:type="dxa"/>
                  </w:tcMar>
                  <w:vAlign w:val="center"/>
                </w:tcPr>
                <w:p w14:paraId="070D418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《固定污染源挥发性有机物综合排放标准》（DB44/2367-2022）中表</w:t>
                  </w:r>
                  <w:r>
                    <w:rPr>
                      <w:rFonts w:hint="eastAsia" w:cs="Times New Roman"/>
                      <w:color w:val="auto"/>
                      <w:sz w:val="21"/>
                      <w:szCs w:val="21"/>
                      <w:highlight w:val="none"/>
                      <w:lang w:val="en-US" w:eastAsia="zh-CN"/>
                    </w:rPr>
                    <w:t>1挥发性有机物排放限值</w:t>
                  </w:r>
                </w:p>
              </w:tc>
              <w:tc>
                <w:tcPr>
                  <w:tcW w:w="423" w:type="pct"/>
                  <w:vMerge w:val="restart"/>
                  <w:tcBorders>
                    <w:tl2br w:val="nil"/>
                    <w:tr2bl w:val="nil"/>
                  </w:tcBorders>
                  <w:noWrap/>
                  <w:tcMar>
                    <w:left w:w="0" w:type="dxa"/>
                    <w:right w:w="0" w:type="dxa"/>
                  </w:tcMar>
                  <w:vAlign w:val="center"/>
                </w:tcPr>
                <w:p w14:paraId="00A5E78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162FA2F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厂内NMHC</w:t>
                  </w:r>
                </w:p>
              </w:tc>
              <w:tc>
                <w:tcPr>
                  <w:tcW w:w="391" w:type="pct"/>
                  <w:vMerge w:val="restart"/>
                  <w:tcBorders>
                    <w:tl2br w:val="nil"/>
                    <w:tr2bl w:val="nil"/>
                  </w:tcBorders>
                  <w:noWrap/>
                  <w:vAlign w:val="center"/>
                </w:tcPr>
                <w:p w14:paraId="7D75386D">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c>
                <w:tcPr>
                  <w:tcW w:w="388" w:type="pct"/>
                  <w:vMerge w:val="restart"/>
                  <w:tcBorders>
                    <w:tl2br w:val="nil"/>
                    <w:tr2bl w:val="nil"/>
                  </w:tcBorders>
                  <w:noWrap/>
                  <w:vAlign w:val="center"/>
                </w:tcPr>
                <w:p w14:paraId="6184F87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91" w:type="pct"/>
                  <w:vMerge w:val="restart"/>
                  <w:tcBorders>
                    <w:tl2br w:val="nil"/>
                    <w:tr2bl w:val="nil"/>
                  </w:tcBorders>
                  <w:noWrap/>
                  <w:vAlign w:val="center"/>
                </w:tcPr>
                <w:p w14:paraId="466F181A">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c>
                <w:tcPr>
                  <w:tcW w:w="391" w:type="pct"/>
                  <w:vMerge w:val="restart"/>
                  <w:tcBorders>
                    <w:tl2br w:val="nil"/>
                    <w:tr2bl w:val="nil"/>
                  </w:tcBorders>
                  <w:noWrap/>
                  <w:vAlign w:val="center"/>
                </w:tcPr>
                <w:p w14:paraId="0FBDCC6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56B5D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2" w:hRule="atLeast"/>
                <w:jc w:val="center"/>
              </w:trPr>
              <w:tc>
                <w:tcPr>
                  <w:tcW w:w="1787" w:type="pct"/>
                  <w:vMerge w:val="continue"/>
                  <w:tcBorders>
                    <w:tl2br w:val="nil"/>
                    <w:tr2bl w:val="nil"/>
                  </w:tcBorders>
                  <w:noWrap/>
                  <w:tcMar>
                    <w:left w:w="0" w:type="dxa"/>
                    <w:right w:w="0" w:type="dxa"/>
                  </w:tcMar>
                  <w:vAlign w:val="center"/>
                </w:tcPr>
                <w:p w14:paraId="10A37E3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423" w:type="pct"/>
                  <w:vMerge w:val="continue"/>
                  <w:tcBorders>
                    <w:tl2br w:val="nil"/>
                    <w:tr2bl w:val="nil"/>
                  </w:tcBorders>
                  <w:noWrap/>
                  <w:tcMar>
                    <w:left w:w="0" w:type="dxa"/>
                    <w:right w:w="0" w:type="dxa"/>
                  </w:tcMar>
                  <w:vAlign w:val="center"/>
                </w:tcPr>
                <w:p w14:paraId="4AF46C0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p>
              </w:tc>
              <w:tc>
                <w:tcPr>
                  <w:tcW w:w="592" w:type="pct"/>
                  <w:tcBorders>
                    <w:tl2br w:val="nil"/>
                    <w:tr2bl w:val="nil"/>
                  </w:tcBorders>
                  <w:noWrap/>
                  <w:vAlign w:val="center"/>
                </w:tcPr>
                <w:p w14:paraId="1C09C0E9">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w:t>
                  </w:r>
                  <w:r>
                    <w:rPr>
                      <w:rFonts w:hint="default" w:ascii="Times New Roman" w:hAnsi="Times New Roman" w:eastAsia="宋体" w:cs="Times New Roman"/>
                      <w:color w:val="auto"/>
                      <w:sz w:val="21"/>
                      <w:szCs w:val="21"/>
                      <w:highlight w:val="none"/>
                    </w:rPr>
                    <w:t>监控点处1h平均浓度值</w:t>
                  </w:r>
                  <w:r>
                    <w:rPr>
                      <w:rFonts w:hint="eastAsia"/>
                      <w:color w:val="auto"/>
                      <w:sz w:val="21"/>
                      <w:szCs w:val="21"/>
                      <w:highlight w:val="none"/>
                      <w:lang w:val="en-US" w:eastAsia="zh-CN"/>
                    </w:rPr>
                    <w:t>）</w:t>
                  </w:r>
                </w:p>
              </w:tc>
              <w:tc>
                <w:tcPr>
                  <w:tcW w:w="634" w:type="pct"/>
                  <w:tcBorders>
                    <w:tl2br w:val="nil"/>
                    <w:tr2bl w:val="nil"/>
                  </w:tcBorders>
                  <w:noWrap/>
                  <w:vAlign w:val="center"/>
                </w:tcPr>
                <w:p w14:paraId="2167546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监控点处任意一次浓度值</w:t>
                  </w:r>
                  <w:r>
                    <w:rPr>
                      <w:rFonts w:hint="eastAsia"/>
                      <w:color w:val="auto"/>
                      <w:sz w:val="21"/>
                      <w:szCs w:val="21"/>
                      <w:highlight w:val="none"/>
                      <w:lang w:val="en-US" w:eastAsia="zh-CN"/>
                    </w:rPr>
                    <w:t>）</w:t>
                  </w:r>
                </w:p>
              </w:tc>
              <w:tc>
                <w:tcPr>
                  <w:tcW w:w="391" w:type="pct"/>
                  <w:vMerge w:val="continue"/>
                  <w:tcBorders>
                    <w:tl2br w:val="nil"/>
                    <w:tr2bl w:val="nil"/>
                  </w:tcBorders>
                  <w:noWrap/>
                  <w:vAlign w:val="center"/>
                </w:tcPr>
                <w:p w14:paraId="29CDE830">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388" w:type="pct"/>
                  <w:vMerge w:val="continue"/>
                  <w:tcBorders>
                    <w:tl2br w:val="nil"/>
                    <w:tr2bl w:val="nil"/>
                  </w:tcBorders>
                  <w:noWrap/>
                  <w:vAlign w:val="center"/>
                </w:tcPr>
                <w:p w14:paraId="182EE60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p>
              </w:tc>
              <w:tc>
                <w:tcPr>
                  <w:tcW w:w="391" w:type="pct"/>
                  <w:vMerge w:val="continue"/>
                  <w:tcBorders>
                    <w:tl2br w:val="nil"/>
                    <w:tr2bl w:val="nil"/>
                  </w:tcBorders>
                  <w:noWrap/>
                  <w:vAlign w:val="center"/>
                </w:tcPr>
                <w:p w14:paraId="5455D60E">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391" w:type="pct"/>
                  <w:vMerge w:val="continue"/>
                  <w:tcBorders>
                    <w:tl2br w:val="nil"/>
                    <w:tr2bl w:val="nil"/>
                  </w:tcBorders>
                  <w:noWrap/>
                  <w:vAlign w:val="center"/>
                </w:tcPr>
                <w:p w14:paraId="5300C82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r>
            <w:tr w14:paraId="5CA04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9" w:hRule="atLeast"/>
                <w:jc w:val="center"/>
              </w:trPr>
              <w:tc>
                <w:tcPr>
                  <w:tcW w:w="1787" w:type="pct"/>
                  <w:tcBorders>
                    <w:tl2br w:val="nil"/>
                    <w:tr2bl w:val="nil"/>
                  </w:tcBorders>
                  <w:noWrap/>
                  <w:tcMar>
                    <w:left w:w="0" w:type="dxa"/>
                    <w:right w:w="0" w:type="dxa"/>
                  </w:tcMar>
                  <w:vAlign w:val="center"/>
                </w:tcPr>
                <w:p w14:paraId="19A6E6D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w:t>
                  </w:r>
                  <w:r>
                    <w:rPr>
                      <w:rFonts w:hint="default" w:ascii="Times New Roman" w:hAnsi="Times New Roman" w:eastAsia="宋体" w:cs="Times New Roman"/>
                      <w:b w:val="0"/>
                      <w:bCs w:val="0"/>
                      <w:color w:val="auto"/>
                      <w:sz w:val="21"/>
                      <w:szCs w:val="21"/>
                      <w:highlight w:val="none"/>
                    </w:rPr>
                    <w:t>表1恶臭污染物厂界标准值二级新扩改建标准</w:t>
                  </w:r>
                </w:p>
              </w:tc>
              <w:tc>
                <w:tcPr>
                  <w:tcW w:w="423" w:type="pct"/>
                  <w:tcBorders>
                    <w:tl2br w:val="nil"/>
                    <w:tr2bl w:val="nil"/>
                  </w:tcBorders>
                  <w:noWrap/>
                  <w:tcMar>
                    <w:left w:w="0" w:type="dxa"/>
                    <w:right w:w="0" w:type="dxa"/>
                  </w:tcMar>
                  <w:vAlign w:val="center"/>
                </w:tcPr>
                <w:p w14:paraId="724E9AE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6BE263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6E461ABB">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88" w:type="pct"/>
                  <w:tcBorders>
                    <w:tl2br w:val="nil"/>
                    <w:tr2bl w:val="nil"/>
                  </w:tcBorders>
                  <w:noWrap/>
                  <w:vAlign w:val="center"/>
                </w:tcPr>
                <w:p w14:paraId="1BC2D94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391" w:type="pct"/>
                  <w:tcBorders>
                    <w:tl2br w:val="nil"/>
                    <w:tr2bl w:val="nil"/>
                  </w:tcBorders>
                  <w:noWrap/>
                  <w:vAlign w:val="center"/>
                </w:tcPr>
                <w:p w14:paraId="626555A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91" w:type="pct"/>
                  <w:tcBorders>
                    <w:tl2br w:val="nil"/>
                    <w:tr2bl w:val="nil"/>
                  </w:tcBorders>
                  <w:noWrap/>
                  <w:vAlign w:val="center"/>
                </w:tcPr>
                <w:p w14:paraId="2BAFD0D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r w14:paraId="58B46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2" w:hRule="atLeast"/>
                <w:jc w:val="center"/>
              </w:trPr>
              <w:tc>
                <w:tcPr>
                  <w:tcW w:w="1787" w:type="pct"/>
                  <w:tcBorders>
                    <w:tl2br w:val="nil"/>
                    <w:tr2bl w:val="nil"/>
                  </w:tcBorders>
                  <w:noWrap/>
                  <w:tcMar>
                    <w:left w:w="0" w:type="dxa"/>
                    <w:right w:w="0" w:type="dxa"/>
                  </w:tcMar>
                  <w:vAlign w:val="center"/>
                </w:tcPr>
                <w:p w14:paraId="1D3476B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pacing w:val="-2"/>
                      <w:sz w:val="21"/>
                      <w:szCs w:val="21"/>
                      <w:highlight w:val="none"/>
                    </w:rPr>
                  </w:pPr>
                  <w:r>
                    <w:rPr>
                      <w:rFonts w:hint="eastAsia" w:ascii="Times New Roman" w:hAnsi="Times New Roman" w:eastAsia="宋体" w:cs="Times New Roman"/>
                      <w:b w:val="0"/>
                      <w:bCs/>
                      <w:color w:val="auto"/>
                      <w:kern w:val="2"/>
                      <w:sz w:val="21"/>
                      <w:szCs w:val="21"/>
                      <w:highlight w:val="none"/>
                      <w:lang w:val="en-US" w:eastAsia="zh-CN" w:bidi="ar-SA"/>
                    </w:rPr>
                    <w:t>《大气污染物排放限值》(DB44/27-2001)第二时段无组织排放监控浓度限值</w:t>
                  </w:r>
                </w:p>
              </w:tc>
              <w:tc>
                <w:tcPr>
                  <w:tcW w:w="423" w:type="pct"/>
                  <w:tcBorders>
                    <w:tl2br w:val="nil"/>
                    <w:tr2bl w:val="nil"/>
                  </w:tcBorders>
                  <w:noWrap/>
                  <w:tcMar>
                    <w:left w:w="0" w:type="dxa"/>
                    <w:right w:w="0" w:type="dxa"/>
                  </w:tcMar>
                  <w:vAlign w:val="center"/>
                </w:tcPr>
                <w:p w14:paraId="05B98F4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6EC05C3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417B9750">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1.2（二甲苯）</w:t>
                  </w:r>
                </w:p>
              </w:tc>
              <w:tc>
                <w:tcPr>
                  <w:tcW w:w="388" w:type="pct"/>
                  <w:tcBorders>
                    <w:tl2br w:val="nil"/>
                    <w:tr2bl w:val="nil"/>
                  </w:tcBorders>
                  <w:noWrap/>
                  <w:vAlign w:val="center"/>
                </w:tcPr>
                <w:p w14:paraId="04480BA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04816BB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616618F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2DB36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2" w:hRule="atLeast"/>
                <w:jc w:val="center"/>
              </w:trPr>
              <w:tc>
                <w:tcPr>
                  <w:tcW w:w="1787" w:type="pct"/>
                  <w:tcBorders>
                    <w:tl2br w:val="nil"/>
                    <w:tr2bl w:val="nil"/>
                  </w:tcBorders>
                  <w:noWrap/>
                  <w:tcMar>
                    <w:left w:w="0" w:type="dxa"/>
                    <w:right w:w="0" w:type="dxa"/>
                  </w:tcMar>
                  <w:vAlign w:val="center"/>
                </w:tcPr>
                <w:p w14:paraId="049E4EEF">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423" w:type="pct"/>
                  <w:tcBorders>
                    <w:tl2br w:val="nil"/>
                    <w:tr2bl w:val="nil"/>
                  </w:tcBorders>
                  <w:noWrap/>
                  <w:tcMar>
                    <w:left w:w="0" w:type="dxa"/>
                    <w:right w:w="0" w:type="dxa"/>
                  </w:tcMar>
                  <w:vAlign w:val="center"/>
                </w:tcPr>
                <w:p w14:paraId="515CC1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592" w:type="pct"/>
                  <w:tcBorders>
                    <w:tl2br w:val="nil"/>
                    <w:tr2bl w:val="nil"/>
                  </w:tcBorders>
                  <w:noWrap/>
                  <w:vAlign w:val="center"/>
                </w:tcPr>
                <w:p w14:paraId="5A058C3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w:t>
                  </w:r>
                  <w:r>
                    <w:rPr>
                      <w:rFonts w:hint="default" w:ascii="Times New Roman" w:hAnsi="Times New Roman" w:eastAsia="宋体" w:cs="Times New Roman"/>
                      <w:color w:val="auto"/>
                      <w:sz w:val="21"/>
                      <w:szCs w:val="21"/>
                      <w:highlight w:val="none"/>
                    </w:rPr>
                    <w:t>监控点处1h平均浓度值</w:t>
                  </w:r>
                  <w:r>
                    <w:rPr>
                      <w:rFonts w:hint="eastAsia"/>
                      <w:color w:val="auto"/>
                      <w:sz w:val="21"/>
                      <w:szCs w:val="21"/>
                      <w:highlight w:val="none"/>
                      <w:lang w:val="en-US" w:eastAsia="zh-CN"/>
                    </w:rPr>
                    <w:t>）</w:t>
                  </w:r>
                </w:p>
              </w:tc>
              <w:tc>
                <w:tcPr>
                  <w:tcW w:w="634" w:type="pct"/>
                  <w:tcBorders>
                    <w:tl2br w:val="nil"/>
                    <w:tr2bl w:val="nil"/>
                  </w:tcBorders>
                  <w:noWrap/>
                  <w:vAlign w:val="center"/>
                </w:tcPr>
                <w:p w14:paraId="71391EF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监控点处任意一次浓度值</w:t>
                  </w:r>
                  <w:r>
                    <w:rPr>
                      <w:rFonts w:hint="eastAsia"/>
                      <w:color w:val="auto"/>
                      <w:sz w:val="21"/>
                      <w:szCs w:val="21"/>
                      <w:highlight w:val="none"/>
                      <w:lang w:val="en-US" w:eastAsia="zh-CN"/>
                    </w:rPr>
                    <w:t>）</w:t>
                  </w:r>
                </w:p>
              </w:tc>
              <w:tc>
                <w:tcPr>
                  <w:tcW w:w="391" w:type="pct"/>
                  <w:tcBorders>
                    <w:tl2br w:val="nil"/>
                    <w:tr2bl w:val="nil"/>
                  </w:tcBorders>
                  <w:noWrap/>
                  <w:vAlign w:val="center"/>
                </w:tcPr>
                <w:p w14:paraId="3BC56C36">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388" w:type="pct"/>
                  <w:tcBorders>
                    <w:tl2br w:val="nil"/>
                    <w:tr2bl w:val="nil"/>
                  </w:tcBorders>
                  <w:noWrap/>
                  <w:vAlign w:val="center"/>
                </w:tcPr>
                <w:p w14:paraId="6A57BB3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391" w:type="pct"/>
                  <w:tcBorders>
                    <w:tl2br w:val="nil"/>
                    <w:tr2bl w:val="nil"/>
                  </w:tcBorders>
                  <w:noWrap/>
                  <w:vAlign w:val="center"/>
                </w:tcPr>
                <w:p w14:paraId="583A55F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91" w:type="pct"/>
                  <w:tcBorders>
                    <w:tl2br w:val="nil"/>
                    <w:tr2bl w:val="nil"/>
                  </w:tcBorders>
                  <w:noWrap/>
                  <w:vAlign w:val="center"/>
                </w:tcPr>
                <w:p w14:paraId="4455D30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bl>
          <w:p w14:paraId="16B288CC">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二、废水排放标准</w:t>
            </w:r>
          </w:p>
          <w:p w14:paraId="1C36B379">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w:t>
            </w:r>
            <w:r>
              <w:rPr>
                <w:rFonts w:hint="eastAsia" w:cs="Times New Roman"/>
                <w:color w:val="auto"/>
                <w:highlight w:val="none"/>
                <w:lang w:val="en-US" w:eastAsia="zh-CN"/>
              </w:rPr>
              <w:t>外排废水</w:t>
            </w:r>
            <w:r>
              <w:rPr>
                <w:rFonts w:hint="default" w:ascii="Times New Roman" w:hAnsi="Times New Roman" w:eastAsia="宋体" w:cs="Times New Roman"/>
                <w:color w:val="auto"/>
                <w:highlight w:val="none"/>
              </w:rPr>
              <w:t>为员工生活污水。</w:t>
            </w:r>
          </w:p>
          <w:p w14:paraId="175FFEAD">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生活污水经三级化粪池处理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达到</w:t>
            </w:r>
            <w:r>
              <w:rPr>
                <w:rFonts w:hint="default" w:ascii="Times New Roman" w:hAnsi="Times New Roman" w:eastAsia="宋体" w:cs="Times New Roman"/>
                <w:color w:val="auto"/>
                <w:highlight w:val="none"/>
                <w:lang w:eastAsia="zh-CN"/>
              </w:rPr>
              <w:t>园区污水处理厂接管水质</w:t>
            </w:r>
            <w:r>
              <w:rPr>
                <w:rFonts w:hint="default" w:ascii="Times New Roman" w:hAnsi="Times New Roman" w:eastAsia="宋体" w:cs="Times New Roman"/>
                <w:color w:val="auto"/>
                <w:highlight w:val="none"/>
                <w:lang w:val="en-US" w:eastAsia="zh-CN"/>
              </w:rPr>
              <w:t>要求及广东省《水污染</w:t>
            </w:r>
            <w:r>
              <w:rPr>
                <w:rFonts w:hint="eastAsia" w:cs="Times New Roman"/>
                <w:color w:val="auto"/>
                <w:highlight w:val="none"/>
                <w:lang w:val="en-US" w:eastAsia="zh-CN"/>
              </w:rPr>
              <w:t>物</w:t>
            </w:r>
            <w:r>
              <w:rPr>
                <w:rFonts w:hint="default" w:ascii="Times New Roman" w:hAnsi="Times New Roman" w:eastAsia="宋体" w:cs="Times New Roman"/>
                <w:color w:val="auto"/>
                <w:highlight w:val="none"/>
                <w:lang w:val="en-US" w:eastAsia="zh-CN"/>
              </w:rPr>
              <w:t>排放限值》（DB44/26-2001）第二时段三级标准两者较严值要求</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排入园区污水处理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处理。园区</w:t>
            </w:r>
            <w:r>
              <w:rPr>
                <w:rFonts w:hint="default" w:ascii="Times New Roman" w:hAnsi="Times New Roman" w:eastAsia="宋体" w:cs="Times New Roman"/>
                <w:color w:val="auto"/>
                <w:highlight w:val="none"/>
                <w:lang w:eastAsia="zh-CN"/>
              </w:rPr>
              <w:t>污水</w:t>
            </w:r>
            <w:r>
              <w:rPr>
                <w:rFonts w:hint="default"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出水水质标准执行广东省《水污染排放限值》（DB44/26-2001）第二时段一级标准和《城镇污水处理厂污染物排放标准》（GB18919-2002）一级B标准中严者。</w:t>
            </w:r>
            <w:r>
              <w:rPr>
                <w:rFonts w:hint="default" w:ascii="Times New Roman" w:hAnsi="Times New Roman" w:eastAsia="宋体" w:cs="Times New Roman"/>
                <w:color w:val="auto"/>
                <w:highlight w:val="none"/>
                <w:lang w:val="zh-CN"/>
              </w:rPr>
              <w:t>相关排放标准情况</w:t>
            </w:r>
            <w:r>
              <w:rPr>
                <w:rFonts w:hint="default" w:ascii="Times New Roman" w:hAnsi="Times New Roman" w:eastAsia="宋体" w:cs="Times New Roman"/>
                <w:color w:val="auto"/>
                <w:highlight w:val="none"/>
              </w:rPr>
              <w:t>见下表：</w:t>
            </w:r>
          </w:p>
          <w:p w14:paraId="646A13F8">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园区污水处理厂接管水质</w:t>
            </w:r>
            <w:r>
              <w:rPr>
                <w:rFonts w:hint="default" w:ascii="Times New Roman" w:hAnsi="Times New Roman" w:eastAsia="宋体" w:cs="Times New Roman"/>
                <w:b/>
                <w:bCs/>
                <w:color w:val="auto"/>
                <w:sz w:val="21"/>
                <w:szCs w:val="21"/>
                <w:highlight w:val="none"/>
                <w:lang w:val="en-US" w:eastAsia="zh-CN"/>
              </w:rPr>
              <w:t>要求及广东省《水污染</w:t>
            </w:r>
            <w:r>
              <w:rPr>
                <w:rFonts w:hint="eastAsia" w:cs="Times New Roman"/>
                <w:b/>
                <w:bCs/>
                <w:color w:val="auto"/>
                <w:sz w:val="21"/>
                <w:szCs w:val="21"/>
                <w:highlight w:val="none"/>
                <w:lang w:val="en-US" w:eastAsia="zh-CN"/>
              </w:rPr>
              <w:t>物</w:t>
            </w:r>
            <w:r>
              <w:rPr>
                <w:rFonts w:hint="default" w:ascii="Times New Roman" w:hAnsi="Times New Roman" w:eastAsia="宋体" w:cs="Times New Roman"/>
                <w:b/>
                <w:bCs/>
                <w:color w:val="auto"/>
                <w:sz w:val="21"/>
                <w:szCs w:val="21"/>
                <w:highlight w:val="none"/>
                <w:lang w:val="en-US" w:eastAsia="zh-CN"/>
              </w:rPr>
              <w:t>排放限值》（DB44/26-2001）第二时段三级标准两者较严值</w:t>
            </w:r>
            <w:r>
              <w:rPr>
                <w:rFonts w:hint="default" w:ascii="Times New Roman" w:hAnsi="Times New Roman" w:eastAsia="宋体" w:cs="Times New Roman"/>
                <w:b/>
                <w:bCs/>
                <w:color w:val="auto"/>
                <w:sz w:val="21"/>
                <w:szCs w:val="21"/>
                <w:highlight w:val="none"/>
              </w:rPr>
              <w:t>要求  mg/L，pH为无量纲</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1241"/>
              <w:gridCol w:w="864"/>
              <w:gridCol w:w="883"/>
              <w:gridCol w:w="770"/>
              <w:gridCol w:w="869"/>
            </w:tblGrid>
            <w:tr w14:paraId="11BD6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467796C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污染物</w:t>
                  </w:r>
                </w:p>
              </w:tc>
              <w:tc>
                <w:tcPr>
                  <w:tcW w:w="790" w:type="pct"/>
                  <w:tcBorders>
                    <w:tl2br w:val="nil"/>
                    <w:tr2bl w:val="nil"/>
                  </w:tcBorders>
                  <w:noWrap/>
                  <w:tcMar>
                    <w:left w:w="0" w:type="dxa"/>
                    <w:right w:w="0" w:type="dxa"/>
                  </w:tcMar>
                  <w:vAlign w:val="center"/>
                </w:tcPr>
                <w:p w14:paraId="55DAEDD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rFonts w:hint="eastAsia"/>
                      <w:b/>
                      <w:bCs/>
                      <w:color w:val="auto"/>
                      <w:sz w:val="21"/>
                      <w:szCs w:val="21"/>
                      <w:highlight w:val="none"/>
                    </w:rPr>
                    <w:t>pH</w:t>
                  </w:r>
                </w:p>
              </w:tc>
              <w:tc>
                <w:tcPr>
                  <w:tcW w:w="550" w:type="pct"/>
                  <w:tcBorders>
                    <w:tl2br w:val="nil"/>
                    <w:tr2bl w:val="nil"/>
                  </w:tcBorders>
                  <w:noWrap/>
                  <w:tcMar>
                    <w:left w:w="0" w:type="dxa"/>
                    <w:right w:w="0" w:type="dxa"/>
                  </w:tcMar>
                  <w:vAlign w:val="center"/>
                </w:tcPr>
                <w:p w14:paraId="7C94B7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COD</w:t>
                  </w:r>
                  <w:r>
                    <w:rPr>
                      <w:b/>
                      <w:bCs/>
                      <w:color w:val="auto"/>
                      <w:sz w:val="21"/>
                      <w:szCs w:val="21"/>
                      <w:highlight w:val="none"/>
                      <w:vertAlign w:val="subscript"/>
                    </w:rPr>
                    <w:t>Cr</w:t>
                  </w:r>
                </w:p>
              </w:tc>
              <w:tc>
                <w:tcPr>
                  <w:tcW w:w="562" w:type="pct"/>
                  <w:tcBorders>
                    <w:tl2br w:val="nil"/>
                    <w:tr2bl w:val="nil"/>
                  </w:tcBorders>
                  <w:noWrap/>
                  <w:vAlign w:val="center"/>
                </w:tcPr>
                <w:p w14:paraId="4B85A1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BOD</w:t>
                  </w:r>
                  <w:r>
                    <w:rPr>
                      <w:b/>
                      <w:bCs/>
                      <w:color w:val="auto"/>
                      <w:sz w:val="21"/>
                      <w:szCs w:val="21"/>
                      <w:highlight w:val="none"/>
                      <w:vertAlign w:val="subscript"/>
                    </w:rPr>
                    <w:t>5</w:t>
                  </w:r>
                </w:p>
              </w:tc>
              <w:tc>
                <w:tcPr>
                  <w:tcW w:w="490" w:type="pct"/>
                  <w:tcBorders>
                    <w:tl2br w:val="nil"/>
                    <w:tr2bl w:val="nil"/>
                  </w:tcBorders>
                  <w:noWrap/>
                  <w:vAlign w:val="center"/>
                </w:tcPr>
                <w:p w14:paraId="4A1296C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SS</w:t>
                  </w:r>
                </w:p>
              </w:tc>
              <w:tc>
                <w:tcPr>
                  <w:tcW w:w="553" w:type="pct"/>
                  <w:tcBorders>
                    <w:tl2br w:val="nil"/>
                    <w:tr2bl w:val="nil"/>
                  </w:tcBorders>
                  <w:noWrap/>
                  <w:vAlign w:val="center"/>
                </w:tcPr>
                <w:p w14:paraId="25C7DA7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氨氮</w:t>
                  </w:r>
                </w:p>
              </w:tc>
            </w:tr>
            <w:tr w14:paraId="1A20F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741188E9">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园区污水处理厂接管水质要求</w:t>
                  </w:r>
                </w:p>
              </w:tc>
              <w:tc>
                <w:tcPr>
                  <w:tcW w:w="790" w:type="pct"/>
                  <w:tcBorders>
                    <w:tl2br w:val="nil"/>
                    <w:tr2bl w:val="nil"/>
                  </w:tcBorders>
                  <w:noWrap/>
                  <w:tcMar>
                    <w:left w:w="0" w:type="dxa"/>
                    <w:right w:w="0" w:type="dxa"/>
                  </w:tcMar>
                  <w:vAlign w:val="center"/>
                </w:tcPr>
                <w:p w14:paraId="144E04C0">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58D519AE">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300</w:t>
                  </w:r>
                </w:p>
              </w:tc>
              <w:tc>
                <w:tcPr>
                  <w:tcW w:w="562" w:type="pct"/>
                  <w:tcBorders>
                    <w:tl2br w:val="nil"/>
                    <w:tr2bl w:val="nil"/>
                  </w:tcBorders>
                  <w:noWrap/>
                  <w:vAlign w:val="center"/>
                </w:tcPr>
                <w:p w14:paraId="1CD93B62">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430A5EA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52FCF719">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r w14:paraId="1B73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4D2BF19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DB44/26-2001第二时段三级标准</w:t>
                  </w:r>
                </w:p>
              </w:tc>
              <w:tc>
                <w:tcPr>
                  <w:tcW w:w="790" w:type="pct"/>
                  <w:tcBorders>
                    <w:tl2br w:val="nil"/>
                    <w:tr2bl w:val="nil"/>
                  </w:tcBorders>
                  <w:noWrap/>
                  <w:tcMar>
                    <w:left w:w="0" w:type="dxa"/>
                    <w:right w:w="0" w:type="dxa"/>
                  </w:tcMar>
                  <w:vAlign w:val="center"/>
                </w:tcPr>
                <w:p w14:paraId="1DAB4A2A">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447D700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500</w:t>
                  </w:r>
                </w:p>
              </w:tc>
              <w:tc>
                <w:tcPr>
                  <w:tcW w:w="562" w:type="pct"/>
                  <w:tcBorders>
                    <w:tl2br w:val="nil"/>
                    <w:tr2bl w:val="nil"/>
                  </w:tcBorders>
                  <w:noWrap/>
                  <w:vAlign w:val="center"/>
                </w:tcPr>
                <w:p w14:paraId="58D5A4F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490" w:type="pct"/>
                  <w:tcBorders>
                    <w:tl2br w:val="nil"/>
                    <w:tr2bl w:val="nil"/>
                  </w:tcBorders>
                  <w:noWrap/>
                  <w:vAlign w:val="center"/>
                </w:tcPr>
                <w:p w14:paraId="08479CC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400</w:t>
                  </w:r>
                </w:p>
              </w:tc>
              <w:tc>
                <w:tcPr>
                  <w:tcW w:w="553" w:type="pct"/>
                  <w:tcBorders>
                    <w:tl2br w:val="nil"/>
                    <w:tr2bl w:val="nil"/>
                  </w:tcBorders>
                  <w:noWrap/>
                  <w:vAlign w:val="center"/>
                </w:tcPr>
                <w:p w14:paraId="733B3D6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r>
            <w:tr w14:paraId="32A7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39FA8E9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790" w:type="pct"/>
                  <w:tcBorders>
                    <w:tl2br w:val="nil"/>
                    <w:tr2bl w:val="nil"/>
                  </w:tcBorders>
                  <w:noWrap/>
                  <w:tcMar>
                    <w:left w:w="0" w:type="dxa"/>
                    <w:right w:w="0" w:type="dxa"/>
                  </w:tcMar>
                  <w:vAlign w:val="center"/>
                </w:tcPr>
                <w:p w14:paraId="61347433">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6EC262A2">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562" w:type="pct"/>
                  <w:tcBorders>
                    <w:tl2br w:val="nil"/>
                    <w:tr2bl w:val="nil"/>
                  </w:tcBorders>
                  <w:noWrap/>
                  <w:vAlign w:val="center"/>
                </w:tcPr>
                <w:p w14:paraId="29CFE32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56D29F0D">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09241F3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bl>
          <w:p w14:paraId="237F593E">
            <w:pPr>
              <w:spacing w:line="240" w:lineRule="auto"/>
              <w:jc w:val="center"/>
              <w:rPr>
                <w:rFonts w:hint="default" w:ascii="Times New Roman" w:hAnsi="Times New Roman" w:eastAsia="宋体" w:cs="Times New Roman"/>
                <w:b/>
                <w:bCs/>
                <w:color w:val="auto"/>
                <w:sz w:val="21"/>
                <w:szCs w:val="21"/>
                <w:highlight w:val="none"/>
              </w:rPr>
            </w:pPr>
          </w:p>
          <w:p w14:paraId="51B141B3">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表3</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 xml:space="preserve"> 园区污水处理厂水污染物排放限值（摘录）   mg/L</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pH为无量纲</w:t>
            </w:r>
          </w:p>
          <w:tbl>
            <w:tblPr>
              <w:tblStyle w:val="46"/>
              <w:tblW w:w="7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18"/>
              <w:gridCol w:w="638"/>
              <w:gridCol w:w="809"/>
              <w:gridCol w:w="519"/>
              <w:gridCol w:w="892"/>
              <w:gridCol w:w="1303"/>
              <w:gridCol w:w="1056"/>
            </w:tblGrid>
            <w:tr w14:paraId="6F971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57D0D7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11C415CF">
                  <w:pPr>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COD</w:t>
                  </w:r>
                  <w:r>
                    <w:rPr>
                      <w:rFonts w:hint="default" w:ascii="Times New Roman" w:hAnsi="Times New Roman" w:eastAsia="宋体" w:cs="Times New Roman"/>
                      <w:b/>
                      <w:bCs/>
                      <w:color w:val="auto"/>
                      <w:sz w:val="21"/>
                      <w:szCs w:val="21"/>
                      <w:highlight w:val="none"/>
                      <w:vertAlign w:val="subscript"/>
                    </w:rPr>
                    <w:t>Cr</w:t>
                  </w:r>
                </w:p>
              </w:tc>
              <w:tc>
                <w:tcPr>
                  <w:tcW w:w="809" w:type="dxa"/>
                  <w:tcBorders>
                    <w:tl2br w:val="nil"/>
                    <w:tr2bl w:val="nil"/>
                  </w:tcBorders>
                  <w:noWrap/>
                  <w:vAlign w:val="center"/>
                </w:tcPr>
                <w:p w14:paraId="2F5C44D5">
                  <w:pPr>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519" w:type="dxa"/>
                  <w:tcBorders>
                    <w:tl2br w:val="nil"/>
                    <w:tr2bl w:val="nil"/>
                  </w:tcBorders>
                  <w:noWrap/>
                  <w:vAlign w:val="center"/>
                </w:tcPr>
                <w:p w14:paraId="7A07C3F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SS</w:t>
                  </w:r>
                </w:p>
              </w:tc>
              <w:tc>
                <w:tcPr>
                  <w:tcW w:w="892" w:type="dxa"/>
                  <w:tcBorders>
                    <w:tl2br w:val="nil"/>
                    <w:tr2bl w:val="nil"/>
                  </w:tcBorders>
                  <w:noWrap/>
                  <w:vAlign w:val="center"/>
                </w:tcPr>
                <w:p w14:paraId="5405ECE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氨氮</w:t>
                  </w:r>
                </w:p>
              </w:tc>
              <w:tc>
                <w:tcPr>
                  <w:tcW w:w="1303" w:type="dxa"/>
                  <w:tcBorders>
                    <w:tl2br w:val="nil"/>
                    <w:tr2bl w:val="nil"/>
                  </w:tcBorders>
                  <w:noWrap/>
                  <w:vAlign w:val="center"/>
                </w:tcPr>
                <w:p w14:paraId="7E083D3F">
                  <w:pPr>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LAS</w:t>
                  </w:r>
                </w:p>
              </w:tc>
              <w:tc>
                <w:tcPr>
                  <w:tcW w:w="1056" w:type="dxa"/>
                  <w:tcBorders>
                    <w:tl2br w:val="nil"/>
                    <w:tr2bl w:val="nil"/>
                  </w:tcBorders>
                  <w:noWrap/>
                  <w:vAlign w:val="center"/>
                </w:tcPr>
                <w:p w14:paraId="121878A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动植物油</w:t>
                  </w:r>
                </w:p>
              </w:tc>
            </w:tr>
            <w:tr w14:paraId="2E81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655E27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2CB1DAC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5525C1C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219ADE2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5371947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03" w:type="dxa"/>
                  <w:tcBorders>
                    <w:tl2br w:val="nil"/>
                    <w:tr2bl w:val="nil"/>
                  </w:tcBorders>
                  <w:noWrap/>
                  <w:vAlign w:val="center"/>
                </w:tcPr>
                <w:p w14:paraId="6C0DDE2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56" w:type="dxa"/>
                  <w:tcBorders>
                    <w:tl2br w:val="nil"/>
                    <w:tr2bl w:val="nil"/>
                  </w:tcBorders>
                  <w:noWrap/>
                  <w:vAlign w:val="center"/>
                </w:tcPr>
                <w:p w14:paraId="28AC16B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5DF48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AD06E7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43B6428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809" w:type="dxa"/>
                  <w:tcBorders>
                    <w:tl2br w:val="nil"/>
                    <w:tr2bl w:val="nil"/>
                  </w:tcBorders>
                  <w:noWrap/>
                  <w:vAlign w:val="center"/>
                </w:tcPr>
                <w:p w14:paraId="56D981A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1077160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6919E40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8(15①)</w:t>
                  </w:r>
                </w:p>
              </w:tc>
              <w:tc>
                <w:tcPr>
                  <w:tcW w:w="1303" w:type="dxa"/>
                  <w:tcBorders>
                    <w:tl2br w:val="nil"/>
                    <w:tr2bl w:val="nil"/>
                  </w:tcBorders>
                  <w:noWrap/>
                  <w:vAlign w:val="center"/>
                </w:tcPr>
                <w:p w14:paraId="3D45522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17994C8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6801E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1584D70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3FFA02A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4B4D508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2FD6008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184ACEF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03" w:type="dxa"/>
                  <w:tcBorders>
                    <w:tl2br w:val="nil"/>
                    <w:tr2bl w:val="nil"/>
                  </w:tcBorders>
                  <w:noWrap/>
                  <w:vAlign w:val="center"/>
                </w:tcPr>
                <w:p w14:paraId="7235EE8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25C67C2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164E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3F123D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1AD9B29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总氮</w:t>
                  </w:r>
                </w:p>
              </w:tc>
              <w:tc>
                <w:tcPr>
                  <w:tcW w:w="809" w:type="dxa"/>
                  <w:tcBorders>
                    <w:tl2br w:val="nil"/>
                    <w:tr2bl w:val="nil"/>
                  </w:tcBorders>
                  <w:noWrap/>
                  <w:vAlign w:val="center"/>
                </w:tcPr>
                <w:p w14:paraId="4BCFC95A">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总磷</w:t>
                  </w:r>
                </w:p>
              </w:tc>
              <w:tc>
                <w:tcPr>
                  <w:tcW w:w="519" w:type="dxa"/>
                  <w:tcBorders>
                    <w:tl2br w:val="nil"/>
                    <w:tr2bl w:val="nil"/>
                  </w:tcBorders>
                  <w:noWrap/>
                  <w:vAlign w:val="center"/>
                </w:tcPr>
                <w:p w14:paraId="4E68F624">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w:t>
                  </w:r>
                </w:p>
              </w:tc>
              <w:tc>
                <w:tcPr>
                  <w:tcW w:w="892" w:type="dxa"/>
                  <w:tcBorders>
                    <w:tl2br w:val="nil"/>
                    <w:tr2bl w:val="nil"/>
                  </w:tcBorders>
                  <w:noWrap/>
                  <w:vAlign w:val="center"/>
                </w:tcPr>
                <w:p w14:paraId="0E6EDE5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石油类</w:t>
                  </w:r>
                </w:p>
              </w:tc>
              <w:tc>
                <w:tcPr>
                  <w:tcW w:w="1303" w:type="dxa"/>
                  <w:tcBorders>
                    <w:tl2br w:val="nil"/>
                    <w:tr2bl w:val="nil"/>
                  </w:tcBorders>
                  <w:noWrap/>
                  <w:vAlign w:val="center"/>
                </w:tcPr>
                <w:p w14:paraId="685ACBE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色度</w:t>
                  </w:r>
                </w:p>
                <w:p w14:paraId="7A7F0E72">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（稀释倍数）</w:t>
                  </w:r>
                </w:p>
              </w:tc>
              <w:tc>
                <w:tcPr>
                  <w:tcW w:w="1056" w:type="dxa"/>
                  <w:tcBorders>
                    <w:tl2br w:val="nil"/>
                    <w:tr2bl w:val="nil"/>
                  </w:tcBorders>
                  <w:noWrap/>
                  <w:vAlign w:val="center"/>
                </w:tcPr>
                <w:p w14:paraId="5C93EBE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粪大肠菌群</w:t>
                  </w:r>
                </w:p>
              </w:tc>
            </w:tr>
            <w:tr w14:paraId="3FFE5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18570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3F09F21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9" w:type="dxa"/>
                  <w:tcBorders>
                    <w:tl2br w:val="nil"/>
                    <w:tr2bl w:val="nil"/>
                  </w:tcBorders>
                  <w:noWrap/>
                  <w:vAlign w:val="center"/>
                </w:tcPr>
                <w:p w14:paraId="22F1529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22CDAFC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1E54A25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03" w:type="dxa"/>
                  <w:tcBorders>
                    <w:tl2br w:val="nil"/>
                    <w:tr2bl w:val="nil"/>
                  </w:tcBorders>
                  <w:noWrap/>
                  <w:vAlign w:val="center"/>
                </w:tcPr>
                <w:p w14:paraId="2999489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056" w:type="dxa"/>
                  <w:tcBorders>
                    <w:tl2br w:val="nil"/>
                    <w:tr2bl w:val="nil"/>
                  </w:tcBorders>
                  <w:noWrap/>
                  <w:vAlign w:val="center"/>
                </w:tcPr>
                <w:p w14:paraId="6A07E12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479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14D6250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757CF1C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47F3794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19" w:type="dxa"/>
                  <w:tcBorders>
                    <w:tl2br w:val="nil"/>
                    <w:tr2bl w:val="nil"/>
                  </w:tcBorders>
                  <w:noWrap/>
                  <w:vAlign w:val="center"/>
                </w:tcPr>
                <w:p w14:paraId="04F087A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7ADB75A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7CBD201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6D82BEF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63D10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DCBAE3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5D6634A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272B68E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55EF3A0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4970721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1D8C26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0259DEB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31FD2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4E11777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5217" w:type="dxa"/>
                  <w:gridSpan w:val="6"/>
                  <w:tcBorders>
                    <w:tl2br w:val="nil"/>
                    <w:tr2bl w:val="nil"/>
                  </w:tcBorders>
                  <w:noWrap/>
                  <w:vAlign w:val="center"/>
                </w:tcPr>
                <w:p w14:paraId="77F7169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ja-JP"/>
                    </w:rPr>
                    <w:t>①</w:t>
                  </w:r>
                  <w:r>
                    <w:rPr>
                      <w:rFonts w:hint="default" w:ascii="Times New Roman" w:hAnsi="Times New Roman" w:eastAsia="宋体" w:cs="Times New Roman"/>
                      <w:color w:val="auto"/>
                      <w:sz w:val="21"/>
                      <w:szCs w:val="21"/>
                      <w:highlight w:val="none"/>
                    </w:rPr>
                    <w:t>括号内为水温&lt;12℃时的限值，括号外为水温在12℃以上的限值</w:t>
                  </w:r>
                </w:p>
              </w:tc>
            </w:tr>
          </w:tbl>
          <w:p w14:paraId="13853C1A">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三、噪声排放标准</w:t>
            </w:r>
          </w:p>
          <w:p w14:paraId="4C1746F3">
            <w:pPr>
              <w:wordWrap w:val="0"/>
              <w:ind w:firstLine="480" w:firstLineChars="200"/>
              <w:jc w:val="left"/>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运营期</w:t>
            </w:r>
          </w:p>
          <w:p w14:paraId="32B84A1A">
            <w:pPr>
              <w:wordWrap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本项目厂界噪声排放执行《工业企业厂界环境噪声排放标准》（GB12348-2008）3类标准。</w:t>
            </w:r>
          </w:p>
          <w:p w14:paraId="65C70790">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eastAsia" w:ascii="Times New Roman" w:hAnsi="Times New Roman"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0</w:t>
            </w:r>
            <w:r>
              <w:rPr>
                <w:rFonts w:hint="default" w:ascii="Times New Roman" w:hAnsi="Times New Roman" w:eastAsia="宋体" w:cs="Times New Roman"/>
                <w:b/>
                <w:bCs/>
                <w:color w:val="auto"/>
                <w:kern w:val="2"/>
                <w:sz w:val="21"/>
                <w:szCs w:val="21"/>
                <w:highlight w:val="none"/>
                <w:lang w:val="en-US" w:eastAsia="zh-CN" w:bidi="ar-SA"/>
              </w:rPr>
              <w:t xml:space="preserve"> 工业企业厂界环境噪声排放标准</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62"/>
              <w:gridCol w:w="1963"/>
              <w:gridCol w:w="1963"/>
              <w:gridCol w:w="1964"/>
            </w:tblGrid>
            <w:tr w14:paraId="4B746D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1F420DD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w:t>
                  </w:r>
                </w:p>
              </w:tc>
              <w:tc>
                <w:tcPr>
                  <w:tcW w:w="1249" w:type="pct"/>
                  <w:tcBorders>
                    <w:right w:val="single" w:color="auto" w:sz="4" w:space="0"/>
                  </w:tcBorders>
                  <w:noWrap/>
                  <w:vAlign w:val="center"/>
                </w:tcPr>
                <w:p w14:paraId="46E1C7B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昼间</w:t>
                  </w:r>
                </w:p>
              </w:tc>
              <w:tc>
                <w:tcPr>
                  <w:tcW w:w="1249" w:type="pct"/>
                  <w:tcBorders>
                    <w:left w:val="single" w:color="auto" w:sz="4" w:space="0"/>
                  </w:tcBorders>
                  <w:noWrap/>
                  <w:vAlign w:val="center"/>
                </w:tcPr>
                <w:p w14:paraId="373E5D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夜间</w:t>
                  </w:r>
                </w:p>
              </w:tc>
              <w:tc>
                <w:tcPr>
                  <w:tcW w:w="1250" w:type="pct"/>
                  <w:tcBorders>
                    <w:left w:val="single" w:color="auto" w:sz="4" w:space="0"/>
                  </w:tcBorders>
                  <w:noWrap/>
                  <w:vAlign w:val="center"/>
                </w:tcPr>
                <w:p w14:paraId="4B882E2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单位</w:t>
                  </w:r>
                </w:p>
              </w:tc>
            </w:tr>
            <w:tr w14:paraId="55CAB6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D464AD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厂界噪声</w:t>
                  </w:r>
                </w:p>
              </w:tc>
              <w:tc>
                <w:tcPr>
                  <w:tcW w:w="1249" w:type="pct"/>
                  <w:noWrap/>
                  <w:vAlign w:val="center"/>
                </w:tcPr>
                <w:p w14:paraId="77B5FC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65</w:t>
                  </w:r>
                </w:p>
              </w:tc>
              <w:tc>
                <w:tcPr>
                  <w:tcW w:w="1249" w:type="pct"/>
                  <w:noWrap/>
                  <w:vAlign w:val="center"/>
                </w:tcPr>
                <w:p w14:paraId="36B46D7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55</w:t>
                  </w:r>
                </w:p>
              </w:tc>
              <w:tc>
                <w:tcPr>
                  <w:tcW w:w="1250" w:type="pct"/>
                  <w:noWrap/>
                  <w:vAlign w:val="center"/>
                </w:tcPr>
                <w:p w14:paraId="15BA484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dB（A）</w:t>
                  </w:r>
                </w:p>
              </w:tc>
            </w:tr>
          </w:tbl>
          <w:p w14:paraId="04310787">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四、固体废物污染控制标准</w:t>
            </w:r>
          </w:p>
          <w:p w14:paraId="712C8D83">
            <w:pPr>
              <w:keepNext w:val="0"/>
              <w:keepLines w:val="0"/>
              <w:pageBreakBefore w:val="0"/>
              <w:widowControl/>
              <w:suppressLineNumbers w:val="0"/>
              <w:kinsoku/>
              <w:wordWrap/>
              <w:overflowPunct/>
              <w:topLinePunct w:val="0"/>
              <w:autoSpaceDE/>
              <w:autoSpaceDN/>
              <w:bidi w:val="0"/>
              <w:adjustRightInd/>
              <w:snapToGrid/>
              <w:ind w:firstLine="456"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auto"/>
                <w:spacing w:val="-6"/>
                <w:highlight w:val="none"/>
                <w:lang w:eastAsia="zh-CN"/>
              </w:rPr>
              <w:t>和《危险废物收集贮存运输技术规范》（HJ 2025-2012）</w:t>
            </w:r>
            <w:r>
              <w:rPr>
                <w:rFonts w:hint="default" w:ascii="Times New Roman" w:hAnsi="Times New Roman" w:eastAsia="宋体" w:cs="Times New Roman"/>
                <w:color w:val="auto"/>
                <w:spacing w:val="-6"/>
                <w:highlight w:val="none"/>
              </w:rPr>
              <w:t>。</w:t>
            </w:r>
          </w:p>
        </w:tc>
      </w:tr>
      <w:tr w14:paraId="0D49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6EEA50B6">
            <w:pPr>
              <w:keepNext/>
              <w:keepLines w:val="0"/>
              <w:pageBreakBefore w:val="0"/>
              <w:widowControl/>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82" w:name="_Toc23450"/>
            <w:bookmarkStart w:id="83" w:name="_Toc10891"/>
            <w:bookmarkStart w:id="84" w:name="_Toc8863"/>
            <w:bookmarkStart w:id="85" w:name="_Toc31892"/>
            <w:bookmarkStart w:id="86" w:name="_Toc9431"/>
            <w:bookmarkStart w:id="87" w:name="_Toc7590"/>
            <w:bookmarkStart w:id="88" w:name="_Toc8540"/>
            <w:bookmarkStart w:id="89" w:name="_Toc18024"/>
            <w:bookmarkStart w:id="90" w:name="_Toc3077"/>
            <w:bookmarkStart w:id="91" w:name="_Toc4557"/>
            <w:r>
              <w:rPr>
                <w:rFonts w:hint="default" w:ascii="Times New Roman" w:hAnsi="Times New Roman" w:cs="Times New Roman"/>
                <w:color w:val="auto"/>
                <w:highlight w:val="none"/>
              </w:rPr>
              <w:t>总量控制指标</w:t>
            </w:r>
            <w:bookmarkEnd w:id="82"/>
            <w:bookmarkEnd w:id="83"/>
            <w:bookmarkEnd w:id="84"/>
            <w:bookmarkEnd w:id="85"/>
            <w:bookmarkEnd w:id="86"/>
            <w:bookmarkEnd w:id="87"/>
            <w:bookmarkEnd w:id="88"/>
            <w:bookmarkEnd w:id="89"/>
            <w:bookmarkEnd w:id="90"/>
            <w:bookmarkEnd w:id="91"/>
          </w:p>
        </w:tc>
        <w:tc>
          <w:tcPr>
            <w:tcW w:w="4737" w:type="pct"/>
          </w:tcPr>
          <w:p w14:paraId="27F1CD71">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6AED2C05">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1166FF16">
            <w:pPr>
              <w:pStyle w:val="53"/>
              <w:widowControl/>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（1）废水总量控制指标</w:t>
            </w:r>
          </w:p>
          <w:p w14:paraId="39D093FB">
            <w:pPr>
              <w:widowControl/>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生产废水排放量，生活污水排放量为</w:t>
            </w:r>
            <w:r>
              <w:rPr>
                <w:rFonts w:hint="eastAsia" w:cs="Times New Roman"/>
                <w:color w:val="auto"/>
                <w:highlight w:val="none"/>
                <w:lang w:val="en-US" w:eastAsia="zh-CN"/>
              </w:rPr>
              <w:t>1197</w:t>
            </w:r>
            <w:r>
              <w:rPr>
                <w:rFonts w:hint="default" w:ascii="Times New Roman" w:hAnsi="Times New Roman" w:cs="Times New Roman"/>
                <w:color w:val="auto"/>
                <w:highlight w:val="none"/>
              </w:rPr>
              <w:t>t/a，均经预处理后排入园区污水处理厂进行处理，</w:t>
            </w:r>
            <w:r>
              <w:rPr>
                <w:rFonts w:hint="default" w:ascii="Times New Roman" w:hAnsi="Times New Roman" w:cs="Times New Roman"/>
                <w:color w:val="auto"/>
                <w:kern w:val="0"/>
                <w:highlight w:val="none"/>
              </w:rPr>
              <w:t>因此，CODcr</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0.239</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、NH</w:t>
            </w:r>
            <w:r>
              <w:rPr>
                <w:rFonts w:hint="default" w:ascii="Times New Roman" w:hAnsi="Times New Roman" w:cs="Times New Roman"/>
                <w:color w:val="auto"/>
                <w:kern w:val="0"/>
                <w:highlight w:val="none"/>
                <w:vertAlign w:val="subscript"/>
                <w:lang w:val="en-US" w:eastAsia="zh-CN"/>
              </w:rPr>
              <w:t>3</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rPr>
              <w:t>N</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0.023</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纳入园区污水处理厂的总量控制指标，不需再增加新的总量分配指标</w:t>
            </w:r>
            <w:r>
              <w:rPr>
                <w:rFonts w:hint="default" w:ascii="Times New Roman" w:hAnsi="Times New Roman" w:cs="Times New Roman"/>
                <w:color w:val="auto"/>
                <w:highlight w:val="none"/>
              </w:rPr>
              <w:t>。</w:t>
            </w:r>
          </w:p>
          <w:p w14:paraId="6C6139DB">
            <w:pPr>
              <w:pStyle w:val="53"/>
              <w:widowControl/>
              <w:rPr>
                <w:rFonts w:hint="default" w:ascii="Times New Roman" w:hAnsi="Times New Roman" w:cs="Times New Roman"/>
                <w:color w:val="auto"/>
                <w:highlight w:val="none"/>
              </w:rPr>
            </w:pPr>
            <w:r>
              <w:rPr>
                <w:rFonts w:hint="default" w:ascii="Times New Roman" w:hAnsi="Times New Roman" w:cs="Times New Roman"/>
                <w:color w:val="auto"/>
                <w:highlight w:val="none"/>
              </w:rPr>
              <w:t>（2）废气总量控制指标</w:t>
            </w:r>
          </w:p>
          <w:p w14:paraId="1C6FC905">
            <w:pPr>
              <w:pStyle w:val="26"/>
              <w:spacing w:before="0" w:after="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废气量：</w:t>
            </w:r>
            <w:r>
              <w:rPr>
                <w:rFonts w:hint="eastAsia" w:cs="Times New Roman"/>
                <w:color w:val="auto"/>
                <w:sz w:val="24"/>
                <w:szCs w:val="24"/>
                <w:highlight w:val="none"/>
                <w:lang w:val="en-US" w:eastAsia="zh-CN"/>
              </w:rPr>
              <w:t>312</w:t>
            </w:r>
            <w:r>
              <w:rPr>
                <w:rFonts w:hint="default" w:ascii="Times New Roman" w:hAnsi="Times New Roman" w:cs="Times New Roman"/>
                <w:color w:val="auto"/>
                <w:sz w:val="24"/>
                <w:szCs w:val="24"/>
                <w:highlight w:val="none"/>
                <w:lang w:val="en-US" w:eastAsia="zh-CN"/>
              </w:rPr>
              <w:t>00万</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p>
          <w:p w14:paraId="77E66D99">
            <w:pPr>
              <w:widowControl/>
              <w:ind w:firstLine="480" w:firstLineChars="200"/>
              <w:jc w:val="left"/>
              <w:rPr>
                <w:rFonts w:hint="eastAsia" w:cs="Times New Roman"/>
                <w:color w:val="auto"/>
                <w:kern w:val="0"/>
                <w:highlight w:val="none"/>
                <w:lang w:val="en-US" w:eastAsia="zh-CN"/>
              </w:rPr>
            </w:pPr>
            <w:r>
              <w:rPr>
                <w:rFonts w:hint="eastAsia" w:cs="Times New Roman"/>
                <w:color w:val="auto"/>
                <w:kern w:val="0"/>
                <w:highlight w:val="none"/>
                <w:lang w:val="en-US" w:eastAsia="zh-CN"/>
              </w:rPr>
              <w:t>原项目有机废气排放总量指标为2.89125t/a。</w:t>
            </w:r>
          </w:p>
          <w:p w14:paraId="78DDD7DF">
            <w:pPr>
              <w:widowControl/>
              <w:ind w:firstLine="480" w:firstLineChars="200"/>
              <w:jc w:val="left"/>
              <w:rPr>
                <w:rFonts w:hint="default" w:cs="Times New Roman"/>
                <w:color w:val="auto"/>
                <w:kern w:val="0"/>
                <w:highlight w:val="none"/>
                <w:lang w:val="en-US" w:eastAsia="zh-CN"/>
              </w:rPr>
            </w:pPr>
            <w:r>
              <w:rPr>
                <w:rFonts w:hint="default" w:ascii="Times New Roman" w:hAnsi="Times New Roman" w:cs="Times New Roman"/>
                <w:color w:val="auto"/>
                <w:kern w:val="0"/>
                <w:highlight w:val="none"/>
              </w:rPr>
              <w:t>根据《广东省生态环境厅关于做好重点行业建设项目挥发性有机物总量指标管理工作的通知》</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粤环发〔20</w:t>
            </w:r>
            <w:r>
              <w:rPr>
                <w:rFonts w:hint="eastAsia" w:cs="Times New Roman"/>
                <w:color w:val="auto"/>
                <w:kern w:val="0"/>
                <w:highlight w:val="none"/>
                <w:lang w:val="en-US" w:eastAsia="zh-CN"/>
              </w:rPr>
              <w:t>19</w:t>
            </w:r>
            <w:r>
              <w:rPr>
                <w:rFonts w:hint="default" w:ascii="Times New Roman" w:hAnsi="Times New Roman" w:cs="Times New Roman"/>
                <w:color w:val="auto"/>
                <w:kern w:val="0"/>
                <w:highlight w:val="none"/>
              </w:rPr>
              <w:t>〕2号</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原项目VOC总量来源韶关乐淇包装材料有限公司和广东沃府实业有限公司的VOCs减排项目</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原项目环评批复和VOCs总量指标来源说明详见附件8~9。原项目取得环评批复后未进行投产，根据市场需求调整生产工艺后，VOCs总排放量不变。</w:t>
            </w:r>
          </w:p>
          <w:p w14:paraId="58AC67E3">
            <w:pPr>
              <w:widowControl/>
              <w:ind w:firstLine="480" w:firstLineChars="20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highlight w:val="none"/>
              </w:rPr>
              <w:t>本项目建成后</w:t>
            </w:r>
            <w:r>
              <w:rPr>
                <w:rFonts w:hint="default" w:ascii="Times New Roman" w:hAnsi="Times New Roman" w:cs="Times New Roman"/>
                <w:color w:val="auto"/>
                <w:kern w:val="0"/>
                <w:highlight w:val="none"/>
                <w:lang w:val="en-US" w:eastAsia="zh-CN"/>
              </w:rPr>
              <w:t>有机废气</w:t>
            </w:r>
            <w:r>
              <w:rPr>
                <w:rFonts w:hint="default" w:ascii="Times New Roman" w:hAnsi="Times New Roman" w:cs="Times New Roman"/>
                <w:color w:val="auto"/>
                <w:kern w:val="0"/>
                <w:highlight w:val="none"/>
              </w:rPr>
              <w:t>总排放量为</w:t>
            </w:r>
            <w:r>
              <w:rPr>
                <w:rFonts w:hint="eastAsia" w:cs="Times New Roman"/>
                <w:color w:val="auto"/>
                <w:kern w:val="0"/>
                <w:highlight w:val="none"/>
                <w:lang w:val="en-US" w:eastAsia="zh-CN"/>
              </w:rPr>
              <w:t>2.891</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其中有组织排放：</w:t>
            </w:r>
            <w:r>
              <w:rPr>
                <w:rFonts w:hint="eastAsia" w:cs="Times New Roman"/>
                <w:color w:val="auto"/>
                <w:kern w:val="0"/>
                <w:highlight w:val="none"/>
                <w:lang w:val="en-US" w:eastAsia="zh-CN"/>
              </w:rPr>
              <w:t>0.7385</w:t>
            </w:r>
            <w:r>
              <w:rPr>
                <w:rFonts w:hint="default" w:ascii="Times New Roman" w:hAnsi="Times New Roman" w:cs="Times New Roman"/>
                <w:color w:val="auto"/>
                <w:kern w:val="0"/>
                <w:highlight w:val="none"/>
              </w:rPr>
              <w:t>t/a，无组织排放：</w:t>
            </w:r>
            <w:r>
              <w:rPr>
                <w:rFonts w:hint="eastAsia" w:cs="Times New Roman"/>
                <w:color w:val="auto"/>
                <w:kern w:val="0"/>
                <w:highlight w:val="none"/>
                <w:lang w:val="en-US" w:eastAsia="zh-CN"/>
              </w:rPr>
              <w:t>2.1529</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eastAsia="zh-CN"/>
              </w:rPr>
              <w:t>，</w:t>
            </w:r>
            <w:r>
              <w:rPr>
                <w:rFonts w:hint="eastAsia" w:cs="Times New Roman"/>
                <w:color w:val="auto"/>
                <w:kern w:val="0"/>
                <w:highlight w:val="none"/>
                <w:lang w:val="en-US" w:eastAsia="zh-CN"/>
              </w:rPr>
              <w:t>无需重新申请污染物排放总量指标。</w:t>
            </w:r>
          </w:p>
          <w:p w14:paraId="6D61E2E0">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4A679B77">
            <w:pPr>
              <w:pStyle w:val="10"/>
              <w:numPr>
                <w:ilvl w:val="2"/>
                <w:numId w:val="0"/>
              </w:numPr>
              <w:ind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 xml:space="preserve">本项目固体废物不自行处理排放，不设置固体废物总量控制指标。 </w:t>
            </w:r>
          </w:p>
        </w:tc>
      </w:tr>
    </w:tbl>
    <w:p w14:paraId="1C61CE0C">
      <w:pPr>
        <w:pStyle w:val="18"/>
        <w:rPr>
          <w:rFonts w:hint="default" w:ascii="Times New Roman" w:hAnsi="Times New Roman" w:cs="Times New Roman"/>
          <w:color w:val="auto"/>
          <w:highlight w:val="none"/>
        </w:rPr>
        <w:sectPr>
          <w:footerReference r:id="rId6" w:type="default"/>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7927FE33">
      <w:pPr>
        <w:pStyle w:val="18"/>
        <w:numPr>
          <w:ilvl w:val="0"/>
          <w:numId w:val="0"/>
        </w:numPr>
        <w:rPr>
          <w:rFonts w:hint="default" w:ascii="Times New Roman" w:hAnsi="Times New Roman" w:cs="Times New Roman"/>
          <w:color w:val="auto"/>
          <w:highlight w:val="none"/>
        </w:rPr>
      </w:pPr>
      <w:bookmarkStart w:id="92" w:name="_Toc2573"/>
      <w:r>
        <w:rPr>
          <w:rFonts w:hint="default" w:ascii="Times New Roman" w:hAnsi="Times New Roman" w:cs="Times New Roman"/>
          <w:color w:val="auto"/>
          <w:highlight w:val="none"/>
        </w:rPr>
        <w:t>四、主要环境影响和保护措施</w:t>
      </w:r>
      <w:bookmarkEnd w:id="92"/>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38985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5" w:hRule="atLeast"/>
        </w:trPr>
        <w:tc>
          <w:tcPr>
            <w:tcW w:w="482" w:type="dxa"/>
            <w:vAlign w:val="center"/>
          </w:tcPr>
          <w:p w14:paraId="4507E74E">
            <w:pPr>
              <w:numPr>
                <w:ilvl w:val="1"/>
                <w:numId w:val="0"/>
              </w:numPr>
              <w:tabs>
                <w:tab w:val="left" w:pos="420"/>
              </w:tabs>
              <w:outlineLvl w:val="9"/>
              <w:rPr>
                <w:rFonts w:hint="default" w:ascii="Times New Roman" w:hAnsi="Times New Roman" w:cs="Times New Roman"/>
                <w:color w:val="auto"/>
                <w:highlight w:val="none"/>
              </w:rPr>
            </w:pPr>
            <w:bookmarkStart w:id="93" w:name="_Toc18588"/>
            <w:bookmarkStart w:id="94" w:name="_Toc3227"/>
            <w:bookmarkStart w:id="95" w:name="_Toc30266"/>
            <w:bookmarkStart w:id="96" w:name="_Toc25331"/>
            <w:bookmarkStart w:id="97" w:name="_Toc22339"/>
            <w:bookmarkStart w:id="98" w:name="_Toc25142"/>
            <w:bookmarkStart w:id="99" w:name="_Toc7895"/>
            <w:r>
              <w:rPr>
                <w:rFonts w:hint="default" w:ascii="Times New Roman" w:hAnsi="Times New Roman" w:cs="Times New Roman"/>
                <w:color w:val="auto"/>
                <w:highlight w:val="none"/>
              </w:rPr>
              <w:t>施工期环境保护措施</w:t>
            </w:r>
            <w:bookmarkEnd w:id="93"/>
            <w:bookmarkEnd w:id="94"/>
            <w:bookmarkEnd w:id="95"/>
            <w:bookmarkEnd w:id="96"/>
            <w:bookmarkEnd w:id="97"/>
            <w:bookmarkEnd w:id="98"/>
            <w:bookmarkEnd w:id="99"/>
          </w:p>
        </w:tc>
        <w:tc>
          <w:tcPr>
            <w:tcW w:w="8046" w:type="dxa"/>
            <w:vAlign w:val="center"/>
          </w:tcPr>
          <w:p w14:paraId="16539D99">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sz w:val="24"/>
                <w:highlight w:val="none"/>
                <w:lang w:val="en-US" w:eastAsia="zh-CN"/>
              </w:rPr>
              <w:t>韶关市乐昌市乐昌产业转移工业园建设路1号（广东乐昌经济开发区）</w:t>
            </w:r>
            <w:r>
              <w:rPr>
                <w:rFonts w:hint="default" w:ascii="Times New Roman" w:hAnsi="Times New Roman" w:cs="Times New Roman"/>
                <w:color w:val="auto"/>
                <w:highlight w:val="none"/>
              </w:rPr>
              <w:t>，项目</w:t>
            </w:r>
            <w:r>
              <w:rPr>
                <w:rFonts w:hint="eastAsia" w:cs="Times New Roman"/>
                <w:color w:val="auto"/>
                <w:highlight w:val="none"/>
                <w:lang w:val="en-US" w:eastAsia="zh-CN"/>
              </w:rPr>
              <w:t>已完成主体建筑施工，无施工期</w:t>
            </w:r>
            <w:r>
              <w:rPr>
                <w:rFonts w:hint="default" w:ascii="Times New Roman" w:hAnsi="Times New Roman" w:cs="Times New Roman"/>
                <w:color w:val="auto"/>
                <w:highlight w:val="none"/>
                <w:lang w:eastAsia="zh-CN"/>
              </w:rPr>
              <w:t>。</w:t>
            </w:r>
          </w:p>
        </w:tc>
      </w:tr>
    </w:tbl>
    <w:p w14:paraId="5F530627">
      <w:pPr>
        <w:rPr>
          <w:rFonts w:hint="default" w:ascii="Times New Roman" w:hAnsi="Times New Roman" w:eastAsia="宋体" w:cs="Times New Roman"/>
          <w:color w:val="auto"/>
          <w:highlight w:val="none"/>
        </w:rPr>
      </w:pPr>
    </w:p>
    <w:p w14:paraId="58CADCFC">
      <w:pPr>
        <w:rPr>
          <w:rFonts w:hint="default" w:ascii="Times New Roman" w:hAnsi="Times New Roman" w:eastAsia="宋体" w:cs="Times New Roman"/>
          <w:color w:val="auto"/>
          <w:highlight w:val="none"/>
        </w:rPr>
        <w:sectPr>
          <w:footerReference r:id="rId7" w:type="default"/>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
        <w:gridCol w:w="13791"/>
      </w:tblGrid>
      <w:tr w14:paraId="17CB5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33" w:type="pct"/>
            <w:vAlign w:val="center"/>
          </w:tcPr>
          <w:p w14:paraId="19562EA6">
            <w:pPr>
              <w:numPr>
                <w:ilvl w:val="1"/>
                <w:numId w:val="0"/>
              </w:numPr>
              <w:tabs>
                <w:tab w:val="left" w:pos="420"/>
              </w:tabs>
              <w:outlineLvl w:val="9"/>
              <w:rPr>
                <w:rFonts w:hint="default" w:ascii="Times New Roman" w:hAnsi="Times New Roman" w:cs="Times New Roman"/>
                <w:color w:val="auto"/>
                <w:highlight w:val="none"/>
              </w:rPr>
            </w:pPr>
            <w:bookmarkStart w:id="100" w:name="_Toc15252"/>
            <w:bookmarkStart w:id="101" w:name="_Toc8375"/>
            <w:bookmarkStart w:id="102" w:name="_Toc12228"/>
            <w:bookmarkStart w:id="103" w:name="_Toc29600"/>
            <w:bookmarkStart w:id="104" w:name="_Toc20905"/>
            <w:bookmarkStart w:id="105" w:name="_Toc14651"/>
            <w:bookmarkStart w:id="106" w:name="_Toc665"/>
            <w:r>
              <w:rPr>
                <w:rFonts w:hint="default" w:ascii="Times New Roman" w:hAnsi="Times New Roman" w:cs="Times New Roman"/>
                <w:color w:val="auto"/>
                <w:highlight w:val="none"/>
              </w:rPr>
              <w:t>运营期环境影响和保护措施</w:t>
            </w:r>
            <w:bookmarkEnd w:id="100"/>
            <w:bookmarkEnd w:id="101"/>
            <w:bookmarkEnd w:id="102"/>
            <w:bookmarkEnd w:id="103"/>
            <w:bookmarkEnd w:id="104"/>
            <w:bookmarkEnd w:id="105"/>
            <w:bookmarkEnd w:id="106"/>
          </w:p>
        </w:tc>
        <w:tc>
          <w:tcPr>
            <w:tcW w:w="4866" w:type="pct"/>
            <w:vAlign w:val="center"/>
          </w:tcPr>
          <w:p w14:paraId="29DACBF6">
            <w:pPr>
              <w:pStyle w:val="20"/>
              <w:numPr>
                <w:ilvl w:val="3"/>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7D911441">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1、污染源排放汇总</w:t>
            </w:r>
          </w:p>
          <w:p w14:paraId="55F00FF3">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项目废气污染物排放情况、污染源源强核算结果及相关参数见下列一览表</w:t>
            </w:r>
          </w:p>
          <w:p w14:paraId="2EF5BC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rPr>
              <w:t xml:space="preserve"> 废气污染源源强核算结果及相关参数一览表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65"/>
              <w:gridCol w:w="729"/>
              <w:gridCol w:w="75"/>
              <w:gridCol w:w="804"/>
              <w:gridCol w:w="835"/>
              <w:gridCol w:w="986"/>
              <w:gridCol w:w="964"/>
              <w:gridCol w:w="815"/>
              <w:gridCol w:w="685"/>
              <w:gridCol w:w="1018"/>
              <w:gridCol w:w="652"/>
              <w:gridCol w:w="494"/>
              <w:gridCol w:w="532"/>
              <w:gridCol w:w="746"/>
              <w:gridCol w:w="882"/>
              <w:gridCol w:w="914"/>
              <w:gridCol w:w="864"/>
            </w:tblGrid>
            <w:tr w14:paraId="4878B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0F62E222">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592" w:type="pct"/>
                  <w:gridSpan w:val="3"/>
                  <w:vMerge w:val="restart"/>
                  <w:vAlign w:val="center"/>
                </w:tcPr>
                <w:p w14:paraId="001F8F61">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污染物种类</w:t>
                  </w:r>
                </w:p>
              </w:tc>
              <w:tc>
                <w:tcPr>
                  <w:tcW w:w="1026" w:type="pct"/>
                  <w:gridSpan w:val="3"/>
                  <w:vAlign w:val="center"/>
                </w:tcPr>
                <w:p w14:paraId="119985DA">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eastAsia="zh-CN"/>
                    </w:rPr>
                    <w:t>污染物产生量和浓度</w:t>
                  </w:r>
                </w:p>
              </w:tc>
              <w:tc>
                <w:tcPr>
                  <w:tcW w:w="300" w:type="pct"/>
                  <w:vMerge w:val="restart"/>
                  <w:vAlign w:val="center"/>
                </w:tcPr>
                <w:p w14:paraId="2917252D">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w:t>
                  </w:r>
                </w:p>
                <w:p w14:paraId="22D4A86A">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形式</w:t>
                  </w:r>
                </w:p>
              </w:tc>
              <w:tc>
                <w:tcPr>
                  <w:tcW w:w="1246" w:type="pct"/>
                  <w:gridSpan w:val="5"/>
                  <w:vAlign w:val="center"/>
                </w:tcPr>
                <w:p w14:paraId="29C4957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eastAsia="zh-CN"/>
                    </w:rPr>
                    <w:t>治理设施</w:t>
                  </w:r>
                </w:p>
              </w:tc>
              <w:tc>
                <w:tcPr>
                  <w:tcW w:w="937" w:type="pct"/>
                  <w:gridSpan w:val="3"/>
                  <w:vAlign w:val="center"/>
                </w:tcPr>
                <w:p w14:paraId="2FC3AB81">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污染物排放情况</w:t>
                  </w:r>
                </w:p>
              </w:tc>
              <w:tc>
                <w:tcPr>
                  <w:tcW w:w="318" w:type="pct"/>
                  <w:vMerge w:val="restart"/>
                  <w:vAlign w:val="center"/>
                </w:tcPr>
                <w:p w14:paraId="259B6944">
                  <w:pPr>
                    <w:spacing w:line="240" w:lineRule="auto"/>
                    <w:jc w:val="center"/>
                    <w:rPr>
                      <w:rFonts w:hint="eastAsia"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排放时间</w:t>
                  </w:r>
                </w:p>
                <w:p w14:paraId="5E42DE81">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h/a</w:t>
                  </w:r>
                </w:p>
              </w:tc>
            </w:tr>
            <w:tr w14:paraId="16654F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DCB8B84">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vMerge w:val="continue"/>
                  <w:vAlign w:val="center"/>
                </w:tcPr>
                <w:p w14:paraId="4457655B">
                  <w:pPr>
                    <w:spacing w:line="240" w:lineRule="auto"/>
                    <w:jc w:val="center"/>
                    <w:rPr>
                      <w:rFonts w:hint="default" w:ascii="Times New Roman" w:hAnsi="Times New Roman" w:cs="Times New Roman"/>
                      <w:b/>
                      <w:color w:val="auto"/>
                      <w:sz w:val="21"/>
                      <w:szCs w:val="21"/>
                      <w:highlight w:val="none"/>
                      <w:lang w:val="en-US" w:eastAsia="zh-CN"/>
                    </w:rPr>
                  </w:pPr>
                </w:p>
              </w:tc>
              <w:tc>
                <w:tcPr>
                  <w:tcW w:w="307" w:type="pct"/>
                  <w:vAlign w:val="center"/>
                </w:tcPr>
                <w:p w14:paraId="48DCE5D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产生量</w:t>
                  </w:r>
                </w:p>
                <w:p w14:paraId="28610F94">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t/a</w:t>
                  </w:r>
                </w:p>
              </w:tc>
              <w:tc>
                <w:tcPr>
                  <w:tcW w:w="363" w:type="pct"/>
                  <w:vAlign w:val="center"/>
                </w:tcPr>
                <w:p w14:paraId="6ABF671C">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产生速率</w:t>
                  </w:r>
                </w:p>
                <w:p w14:paraId="206CF1FE">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kg/h</w:t>
                  </w:r>
                </w:p>
              </w:tc>
              <w:tc>
                <w:tcPr>
                  <w:tcW w:w="355" w:type="pct"/>
                  <w:vAlign w:val="center"/>
                </w:tcPr>
                <w:p w14:paraId="36B0D9B0">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产生浓度</w:t>
                  </w:r>
                </w:p>
                <w:p w14:paraId="32D7513B">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300" w:type="pct"/>
                  <w:vMerge w:val="continue"/>
                  <w:vAlign w:val="center"/>
                </w:tcPr>
                <w:p w14:paraId="6B7BE7C1">
                  <w:pPr>
                    <w:spacing w:line="240" w:lineRule="auto"/>
                    <w:jc w:val="center"/>
                    <w:rPr>
                      <w:rFonts w:hint="default" w:ascii="Times New Roman" w:hAnsi="Times New Roman" w:cs="Times New Roman"/>
                      <w:b/>
                      <w:color w:val="auto"/>
                      <w:sz w:val="21"/>
                      <w:szCs w:val="21"/>
                      <w:highlight w:val="none"/>
                    </w:rPr>
                  </w:pPr>
                </w:p>
              </w:tc>
              <w:tc>
                <w:tcPr>
                  <w:tcW w:w="252" w:type="pct"/>
                  <w:vAlign w:val="center"/>
                </w:tcPr>
                <w:p w14:paraId="2A280B0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风量</w:t>
                  </w:r>
                </w:p>
                <w:p w14:paraId="05B9ACD1">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375" w:type="pct"/>
                  <w:vAlign w:val="center"/>
                </w:tcPr>
                <w:p w14:paraId="14995E83">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处理工艺</w:t>
                  </w:r>
                </w:p>
              </w:tc>
              <w:tc>
                <w:tcPr>
                  <w:tcW w:w="240" w:type="pct"/>
                  <w:vAlign w:val="center"/>
                </w:tcPr>
                <w:p w14:paraId="1A293DB3">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收集</w:t>
                  </w:r>
                </w:p>
                <w:p w14:paraId="0C5ACAB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效率</w:t>
                  </w:r>
                </w:p>
              </w:tc>
              <w:tc>
                <w:tcPr>
                  <w:tcW w:w="182" w:type="pct"/>
                  <w:vAlign w:val="center"/>
                </w:tcPr>
                <w:p w14:paraId="68A5DCCF">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处理</w:t>
                  </w:r>
                </w:p>
                <w:p w14:paraId="57AAD7E8">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效率</w:t>
                  </w:r>
                </w:p>
              </w:tc>
              <w:tc>
                <w:tcPr>
                  <w:tcW w:w="196" w:type="pct"/>
                  <w:vAlign w:val="center"/>
                </w:tcPr>
                <w:p w14:paraId="56AEF88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是否</w:t>
                  </w:r>
                </w:p>
                <w:p w14:paraId="52E48DE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可行</w:t>
                  </w:r>
                </w:p>
                <w:p w14:paraId="6C9601D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技术</w:t>
                  </w:r>
                </w:p>
              </w:tc>
              <w:tc>
                <w:tcPr>
                  <w:tcW w:w="275" w:type="pct"/>
                  <w:vAlign w:val="center"/>
                </w:tcPr>
                <w:p w14:paraId="4A5DEAF8">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排放量</w:t>
                  </w:r>
                </w:p>
                <w:p w14:paraId="24055A81">
                  <w:pPr>
                    <w:spacing w:line="240" w:lineRule="auto"/>
                    <w:jc w:val="center"/>
                    <w:rPr>
                      <w:rFonts w:hint="default" w:ascii="Times New Roman" w:hAnsi="Times New Roman" w:cs="Times New Roman"/>
                      <w:b/>
                      <w:color w:val="auto"/>
                      <w:sz w:val="21"/>
                      <w:szCs w:val="21"/>
                      <w:highlight w:val="none"/>
                      <w:lang w:val="en-US"/>
                    </w:rPr>
                  </w:pPr>
                  <w:r>
                    <w:rPr>
                      <w:rFonts w:hint="default" w:ascii="Times New Roman" w:hAnsi="Times New Roman" w:cs="Times New Roman"/>
                      <w:b/>
                      <w:color w:val="auto"/>
                      <w:sz w:val="21"/>
                      <w:szCs w:val="21"/>
                      <w:highlight w:val="none"/>
                      <w:lang w:val="en-US" w:eastAsia="zh-CN"/>
                    </w:rPr>
                    <w:t>t/a</w:t>
                  </w:r>
                </w:p>
              </w:tc>
              <w:tc>
                <w:tcPr>
                  <w:tcW w:w="325" w:type="pct"/>
                  <w:vAlign w:val="center"/>
                </w:tcPr>
                <w:p w14:paraId="385D8D60">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02904947">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kg/h</w:t>
                  </w:r>
                </w:p>
              </w:tc>
              <w:tc>
                <w:tcPr>
                  <w:tcW w:w="337" w:type="pct"/>
                  <w:vAlign w:val="center"/>
                </w:tcPr>
                <w:p w14:paraId="281CBE2E">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7DAC8E6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318" w:type="pct"/>
                  <w:vMerge w:val="continue"/>
                  <w:vAlign w:val="center"/>
                </w:tcPr>
                <w:p w14:paraId="54D6DD2E">
                  <w:pPr>
                    <w:spacing w:line="240" w:lineRule="auto"/>
                    <w:jc w:val="center"/>
                    <w:rPr>
                      <w:rFonts w:hint="default" w:ascii="Times New Roman" w:hAnsi="Times New Roman" w:cs="Times New Roman"/>
                      <w:b/>
                      <w:color w:val="auto"/>
                      <w:sz w:val="21"/>
                      <w:szCs w:val="21"/>
                      <w:highlight w:val="none"/>
                      <w:lang w:val="en-US" w:eastAsia="zh-CN"/>
                    </w:rPr>
                  </w:pPr>
                </w:p>
              </w:tc>
            </w:tr>
            <w:tr w14:paraId="6BDD92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F459DAE">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bCs/>
                      <w:color w:val="auto"/>
                      <w:sz w:val="21"/>
                      <w:szCs w:val="21"/>
                      <w:highlight w:val="none"/>
                      <w:lang w:val="en-US" w:eastAsia="zh-CN"/>
                    </w:rPr>
                    <w:t>烫芯、热压、固化</w:t>
                  </w:r>
                  <w:r>
                    <w:rPr>
                      <w:rFonts w:hint="default" w:ascii="Times New Roman" w:hAnsi="Times New Roman" w:cs="Times New Roman"/>
                      <w:bCs/>
                      <w:color w:val="auto"/>
                      <w:sz w:val="21"/>
                      <w:szCs w:val="21"/>
                      <w:highlight w:val="none"/>
                      <w:lang w:val="en-US" w:eastAsia="zh-CN"/>
                    </w:rPr>
                    <w:t>、喷漆</w:t>
                  </w:r>
                  <w:r>
                    <w:rPr>
                      <w:rFonts w:hint="eastAsia" w:cs="Times New Roman"/>
                      <w:bCs/>
                      <w:color w:val="auto"/>
                      <w:sz w:val="21"/>
                      <w:szCs w:val="21"/>
                      <w:highlight w:val="none"/>
                      <w:lang w:val="en-US" w:eastAsia="zh-CN"/>
                    </w:rPr>
                    <w:t>、抽漆、烘干</w:t>
                  </w:r>
                  <w:r>
                    <w:rPr>
                      <w:rFonts w:hint="default" w:ascii="Times New Roman" w:hAnsi="Times New Roman" w:cs="Times New Roman"/>
                      <w:bCs/>
                      <w:color w:val="auto"/>
                      <w:sz w:val="21"/>
                      <w:szCs w:val="21"/>
                      <w:highlight w:val="none"/>
                      <w:lang w:val="en-US" w:eastAsia="zh-CN"/>
                    </w:rPr>
                    <w:t>工序</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DA001）</w:t>
                  </w:r>
                </w:p>
              </w:tc>
              <w:tc>
                <w:tcPr>
                  <w:tcW w:w="592" w:type="pct"/>
                  <w:gridSpan w:val="3"/>
                  <w:shd w:val="clear" w:color="auto" w:fill="auto"/>
                  <w:vAlign w:val="center"/>
                </w:tcPr>
                <w:p w14:paraId="39A74270">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颗粒物</w:t>
                  </w:r>
                </w:p>
              </w:tc>
              <w:tc>
                <w:tcPr>
                  <w:tcW w:w="835" w:type="dxa"/>
                  <w:vAlign w:val="center"/>
                </w:tcPr>
                <w:p w14:paraId="46633F88">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5.133 </w:t>
                  </w:r>
                </w:p>
              </w:tc>
              <w:tc>
                <w:tcPr>
                  <w:tcW w:w="986" w:type="dxa"/>
                  <w:vAlign w:val="center"/>
                </w:tcPr>
                <w:p w14:paraId="52656832">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1.069 </w:t>
                  </w:r>
                </w:p>
              </w:tc>
              <w:tc>
                <w:tcPr>
                  <w:tcW w:w="964" w:type="dxa"/>
                  <w:vAlign w:val="center"/>
                </w:tcPr>
                <w:p w14:paraId="25A36DF6">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30.6 </w:t>
                  </w:r>
                </w:p>
              </w:tc>
              <w:tc>
                <w:tcPr>
                  <w:tcW w:w="300" w:type="pct"/>
                  <w:vMerge w:val="restart"/>
                  <w:vAlign w:val="center"/>
                </w:tcPr>
                <w:p w14:paraId="10C64461">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有组织</w:t>
                  </w:r>
                </w:p>
              </w:tc>
              <w:tc>
                <w:tcPr>
                  <w:tcW w:w="252" w:type="pct"/>
                  <w:vMerge w:val="restart"/>
                  <w:vAlign w:val="center"/>
                </w:tcPr>
                <w:p w14:paraId="72E6005C">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35</w:t>
                  </w:r>
                  <w:r>
                    <w:rPr>
                      <w:rFonts w:hint="default" w:ascii="Times New Roman" w:hAnsi="Times New Roman" w:cs="Times New Roman"/>
                      <w:b w:val="0"/>
                      <w:bCs/>
                      <w:color w:val="auto"/>
                      <w:sz w:val="21"/>
                      <w:szCs w:val="21"/>
                      <w:highlight w:val="none"/>
                      <w:lang w:val="en-US" w:eastAsia="zh-CN"/>
                    </w:rPr>
                    <w:t>000</w:t>
                  </w:r>
                </w:p>
              </w:tc>
              <w:tc>
                <w:tcPr>
                  <w:tcW w:w="375" w:type="pct"/>
                  <w:vMerge w:val="restart"/>
                  <w:vAlign w:val="center"/>
                </w:tcPr>
                <w:p w14:paraId="4D06DD3B">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i w:val="0"/>
                      <w:iCs w:val="0"/>
                      <w:color w:val="auto"/>
                      <w:kern w:val="0"/>
                      <w:sz w:val="21"/>
                      <w:szCs w:val="21"/>
                      <w:highlight w:val="none"/>
                      <w:u w:val="none"/>
                      <w:lang w:val="en-US" w:eastAsia="zh-CN"/>
                    </w:rPr>
                    <w:t>水帘柜喷淋+</w:t>
                  </w:r>
                  <w:r>
                    <w:rPr>
                      <w:rFonts w:hint="default" w:ascii="Times New Roman" w:hAnsi="Times New Roman" w:eastAsia="宋体" w:cs="Times New Roman"/>
                      <w:i w:val="0"/>
                      <w:iCs w:val="0"/>
                      <w:color w:val="auto"/>
                      <w:kern w:val="0"/>
                      <w:sz w:val="21"/>
                      <w:szCs w:val="21"/>
                      <w:highlight w:val="none"/>
                      <w:u w:val="none"/>
                      <w:lang w:val="en-US" w:eastAsia="zh-CN"/>
                    </w:rPr>
                    <w:t>干式过滤器+二级活性炭吸附装置</w:t>
                  </w:r>
                </w:p>
              </w:tc>
              <w:tc>
                <w:tcPr>
                  <w:tcW w:w="240" w:type="pct"/>
                  <w:vMerge w:val="restart"/>
                  <w:vAlign w:val="center"/>
                </w:tcPr>
                <w:p w14:paraId="4B7902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eastAsia" w:cs="Times New Roman"/>
                      <w:i w:val="0"/>
                      <w:iCs w:val="0"/>
                      <w:color w:val="auto"/>
                      <w:kern w:val="0"/>
                      <w:sz w:val="21"/>
                      <w:szCs w:val="21"/>
                      <w:highlight w:val="none"/>
                      <w:u w:val="none"/>
                      <w:lang w:val="en-US" w:eastAsia="zh-CN"/>
                    </w:rPr>
                    <w:t>喷漆房烘干房按90</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，其余按65</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766BD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restart"/>
                  <w:vAlign w:val="center"/>
                </w:tcPr>
                <w:p w14:paraId="44AAEE97">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是</w:t>
                  </w:r>
                </w:p>
              </w:tc>
              <w:tc>
                <w:tcPr>
                  <w:tcW w:w="746" w:type="dxa"/>
                  <w:vAlign w:val="center"/>
                </w:tcPr>
                <w:p w14:paraId="3DAF8DF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1.027 </w:t>
                  </w:r>
                </w:p>
              </w:tc>
              <w:tc>
                <w:tcPr>
                  <w:tcW w:w="882" w:type="dxa"/>
                  <w:vAlign w:val="center"/>
                </w:tcPr>
                <w:p w14:paraId="2490BCB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0.214 </w:t>
                  </w:r>
                </w:p>
              </w:tc>
              <w:tc>
                <w:tcPr>
                  <w:tcW w:w="914" w:type="dxa"/>
                  <w:vAlign w:val="center"/>
                </w:tcPr>
                <w:p w14:paraId="04270A8B">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6.1 </w:t>
                  </w:r>
                </w:p>
              </w:tc>
              <w:tc>
                <w:tcPr>
                  <w:tcW w:w="318" w:type="pct"/>
                  <w:vAlign w:val="center"/>
                </w:tcPr>
                <w:p w14:paraId="17ACDAF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68AD4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03E0D67">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1D66C4D2">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非甲烷总烃</w:t>
                  </w:r>
                </w:p>
              </w:tc>
              <w:tc>
                <w:tcPr>
                  <w:tcW w:w="835" w:type="dxa"/>
                  <w:vAlign w:val="center"/>
                </w:tcPr>
                <w:p w14:paraId="769CD73E">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2.849 </w:t>
                  </w:r>
                </w:p>
              </w:tc>
              <w:tc>
                <w:tcPr>
                  <w:tcW w:w="986" w:type="dxa"/>
                  <w:vAlign w:val="center"/>
                </w:tcPr>
                <w:p w14:paraId="09A70779">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0.594 </w:t>
                  </w:r>
                </w:p>
              </w:tc>
              <w:tc>
                <w:tcPr>
                  <w:tcW w:w="964" w:type="dxa"/>
                  <w:vAlign w:val="center"/>
                </w:tcPr>
                <w:p w14:paraId="1CA2D5F2">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17.0 </w:t>
                  </w:r>
                </w:p>
              </w:tc>
              <w:tc>
                <w:tcPr>
                  <w:tcW w:w="300" w:type="pct"/>
                  <w:vMerge w:val="continue"/>
                  <w:vAlign w:val="center"/>
                </w:tcPr>
                <w:p w14:paraId="6ADBF928">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6CFFFF44">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34B8B0FC">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0FC60E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5A4A9C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34B0A436">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63E64A90">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882" w:type="dxa"/>
                  <w:vAlign w:val="center"/>
                </w:tcPr>
                <w:p w14:paraId="04EBD1A9">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914" w:type="dxa"/>
                  <w:vAlign w:val="center"/>
                </w:tcPr>
                <w:p w14:paraId="763C445E">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3.4 </w:t>
                  </w:r>
                </w:p>
              </w:tc>
              <w:tc>
                <w:tcPr>
                  <w:tcW w:w="318" w:type="pct"/>
                  <w:vAlign w:val="center"/>
                </w:tcPr>
                <w:p w14:paraId="730A2CE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0238ED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1869FD6">
                  <w:pPr>
                    <w:spacing w:line="240" w:lineRule="auto"/>
                    <w:jc w:val="center"/>
                    <w:rPr>
                      <w:rFonts w:hint="default" w:ascii="Times New Roman" w:hAnsi="Times New Roman" w:cs="Times New Roman"/>
                      <w:b/>
                      <w:color w:val="auto"/>
                      <w:sz w:val="21"/>
                      <w:szCs w:val="21"/>
                      <w:highlight w:val="none"/>
                      <w:lang w:eastAsia="zh-CN"/>
                    </w:rPr>
                  </w:pPr>
                </w:p>
              </w:tc>
              <w:tc>
                <w:tcPr>
                  <w:tcW w:w="296" w:type="pct"/>
                  <w:gridSpan w:val="2"/>
                  <w:shd w:val="clear" w:color="auto" w:fill="auto"/>
                  <w:vAlign w:val="center"/>
                </w:tcPr>
                <w:p w14:paraId="66B1FF42">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其中</w:t>
                  </w:r>
                </w:p>
              </w:tc>
              <w:tc>
                <w:tcPr>
                  <w:tcW w:w="296" w:type="pct"/>
                  <w:shd w:val="clear" w:color="auto" w:fill="auto"/>
                  <w:vAlign w:val="center"/>
                </w:tcPr>
                <w:p w14:paraId="09FD879F">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苯系物</w:t>
                  </w:r>
                </w:p>
              </w:tc>
              <w:tc>
                <w:tcPr>
                  <w:tcW w:w="835" w:type="dxa"/>
                  <w:shd w:val="clear" w:color="auto" w:fill="auto"/>
                  <w:vAlign w:val="center"/>
                </w:tcPr>
                <w:p w14:paraId="3AD8FD7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0.086 </w:t>
                  </w:r>
                </w:p>
              </w:tc>
              <w:tc>
                <w:tcPr>
                  <w:tcW w:w="986" w:type="dxa"/>
                  <w:vAlign w:val="center"/>
                </w:tcPr>
                <w:p w14:paraId="783AAF86">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0.018 </w:t>
                  </w:r>
                </w:p>
              </w:tc>
              <w:tc>
                <w:tcPr>
                  <w:tcW w:w="964" w:type="dxa"/>
                  <w:vAlign w:val="center"/>
                </w:tcPr>
                <w:p w14:paraId="1E7380C3">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0.51 </w:t>
                  </w:r>
                </w:p>
              </w:tc>
              <w:tc>
                <w:tcPr>
                  <w:tcW w:w="300" w:type="pct"/>
                  <w:vMerge w:val="continue"/>
                  <w:vAlign w:val="center"/>
                </w:tcPr>
                <w:p w14:paraId="4189CFAB">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697196AE">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059E5065">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19AB06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2FCCCA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3D6BDDEA">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43EE7B50">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0.017 </w:t>
                  </w:r>
                </w:p>
              </w:tc>
              <w:tc>
                <w:tcPr>
                  <w:tcW w:w="882" w:type="dxa"/>
                  <w:vAlign w:val="center"/>
                </w:tcPr>
                <w:p w14:paraId="2751A7FA">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0.004 </w:t>
                  </w:r>
                </w:p>
              </w:tc>
              <w:tc>
                <w:tcPr>
                  <w:tcW w:w="914" w:type="dxa"/>
                  <w:vAlign w:val="center"/>
                </w:tcPr>
                <w:p w14:paraId="4D3374A1">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0.10 </w:t>
                  </w:r>
                </w:p>
              </w:tc>
              <w:tc>
                <w:tcPr>
                  <w:tcW w:w="318" w:type="pct"/>
                  <w:vAlign w:val="center"/>
                </w:tcPr>
                <w:p w14:paraId="1BBAA198">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0FCC9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5AECDD4B">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2E204DC2">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307" w:type="pct"/>
                  <w:shd w:val="clear" w:color="auto" w:fill="auto"/>
                  <w:vAlign w:val="center"/>
                </w:tcPr>
                <w:p w14:paraId="68ED0D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4953EE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352FF6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41A18586">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29A6D087">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1C27F2AE">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5B04A1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362DF8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80%</w:t>
                  </w:r>
                </w:p>
              </w:tc>
              <w:tc>
                <w:tcPr>
                  <w:tcW w:w="196" w:type="pct"/>
                  <w:vMerge w:val="continue"/>
                  <w:vAlign w:val="center"/>
                </w:tcPr>
                <w:p w14:paraId="6B7EC8A7">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1EC65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45083D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013320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3C9AD413">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4E95F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restart"/>
                  <w:vAlign w:val="center"/>
                </w:tcPr>
                <w:p w14:paraId="196AA51A">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bCs/>
                      <w:color w:val="auto"/>
                      <w:sz w:val="21"/>
                      <w:szCs w:val="21"/>
                      <w:highlight w:val="none"/>
                      <w:lang w:val="en-US" w:eastAsia="zh-CN"/>
                    </w:rPr>
                    <w:t>烫芯、热压、固化</w:t>
                  </w:r>
                  <w:r>
                    <w:rPr>
                      <w:rFonts w:hint="default" w:ascii="Times New Roman" w:hAnsi="Times New Roman" w:cs="Times New Roman"/>
                      <w:bCs/>
                      <w:color w:val="auto"/>
                      <w:sz w:val="21"/>
                      <w:szCs w:val="21"/>
                      <w:highlight w:val="none"/>
                      <w:lang w:val="en-US" w:eastAsia="zh-CN"/>
                    </w:rPr>
                    <w:t>、喷漆</w:t>
                  </w:r>
                  <w:r>
                    <w:rPr>
                      <w:rFonts w:hint="eastAsia" w:cs="Times New Roman"/>
                      <w:bCs/>
                      <w:color w:val="auto"/>
                      <w:sz w:val="21"/>
                      <w:szCs w:val="21"/>
                      <w:highlight w:val="none"/>
                      <w:lang w:val="en-US" w:eastAsia="zh-CN"/>
                    </w:rPr>
                    <w:t>、抽漆、烘干</w:t>
                  </w:r>
                  <w:r>
                    <w:rPr>
                      <w:rFonts w:hint="default" w:ascii="Times New Roman" w:hAnsi="Times New Roman" w:cs="Times New Roman"/>
                      <w:bCs/>
                      <w:color w:val="auto"/>
                      <w:sz w:val="21"/>
                      <w:szCs w:val="21"/>
                      <w:highlight w:val="none"/>
                      <w:lang w:val="en-US" w:eastAsia="zh-CN"/>
                    </w:rPr>
                    <w:t>工序</w:t>
                  </w:r>
                </w:p>
              </w:tc>
              <w:tc>
                <w:tcPr>
                  <w:tcW w:w="592" w:type="pct"/>
                  <w:gridSpan w:val="3"/>
                  <w:shd w:val="clear" w:color="auto" w:fill="auto"/>
                  <w:vAlign w:val="center"/>
                </w:tcPr>
                <w:p w14:paraId="4318EC18">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颗粒物</w:t>
                  </w:r>
                </w:p>
              </w:tc>
              <w:tc>
                <w:tcPr>
                  <w:tcW w:w="835" w:type="dxa"/>
                  <w:vAlign w:val="center"/>
                </w:tcPr>
                <w:p w14:paraId="06CDA9E1">
                  <w:pPr>
                    <w:keepNext w:val="0"/>
                    <w:keepLines w:val="0"/>
                    <w:widowControl/>
                    <w:suppressLineNumbers w:val="0"/>
                    <w:jc w:val="center"/>
                    <w:textAlignment w:val="center"/>
                    <w:rPr>
                      <w:rFonts w:hint="default" w:ascii="Times New Roman" w:hAnsi="Times New Roman" w:cs="Times New Roman"/>
                      <w:b/>
                      <w:color w:val="auto"/>
                      <w:sz w:val="15"/>
                      <w:szCs w:val="15"/>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986" w:type="dxa"/>
                  <w:vAlign w:val="center"/>
                </w:tcPr>
                <w:p w14:paraId="3C09BF3D">
                  <w:pPr>
                    <w:keepNext w:val="0"/>
                    <w:keepLines w:val="0"/>
                    <w:widowControl/>
                    <w:suppressLineNumbers w:val="0"/>
                    <w:jc w:val="center"/>
                    <w:textAlignment w:val="center"/>
                    <w:rPr>
                      <w:rFonts w:hint="default" w:ascii="Times New Roman" w:hAnsi="Times New Roman" w:cs="Times New Roman"/>
                      <w:b/>
                      <w:color w:val="auto"/>
                      <w:sz w:val="15"/>
                      <w:szCs w:val="15"/>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355" w:type="pct"/>
                  <w:vAlign w:val="center"/>
                </w:tcPr>
                <w:p w14:paraId="00AB2457">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0" w:type="pct"/>
                  <w:vMerge w:val="restart"/>
                  <w:vAlign w:val="center"/>
                </w:tcPr>
                <w:p w14:paraId="3B4C3346">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无组织</w:t>
                  </w:r>
                </w:p>
              </w:tc>
              <w:tc>
                <w:tcPr>
                  <w:tcW w:w="252" w:type="pct"/>
                  <w:vMerge w:val="restart"/>
                  <w:vAlign w:val="center"/>
                </w:tcPr>
                <w:p w14:paraId="7BCA264F">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w:t>
                  </w:r>
                </w:p>
              </w:tc>
              <w:tc>
                <w:tcPr>
                  <w:tcW w:w="375" w:type="pct"/>
                  <w:vMerge w:val="restart"/>
                  <w:vAlign w:val="center"/>
                </w:tcPr>
                <w:p w14:paraId="4E7D7631">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w:t>
                  </w:r>
                </w:p>
              </w:tc>
              <w:tc>
                <w:tcPr>
                  <w:tcW w:w="240" w:type="pct"/>
                  <w:vAlign w:val="center"/>
                </w:tcPr>
                <w:p w14:paraId="306A6A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017754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04516CA2">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w:t>
                  </w:r>
                </w:p>
              </w:tc>
              <w:tc>
                <w:tcPr>
                  <w:tcW w:w="746" w:type="dxa"/>
                  <w:vAlign w:val="center"/>
                </w:tcPr>
                <w:p w14:paraId="772EF43B">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882" w:type="dxa"/>
                  <w:vAlign w:val="center"/>
                </w:tcPr>
                <w:p w14:paraId="3BCBDDF0">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337" w:type="pct"/>
                  <w:vAlign w:val="center"/>
                </w:tcPr>
                <w:p w14:paraId="4714F8E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57CE1106">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7DF3E1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15E3A9BB">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7FA3981A">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非甲烷总烃</w:t>
                  </w:r>
                </w:p>
              </w:tc>
              <w:tc>
                <w:tcPr>
                  <w:tcW w:w="835" w:type="dxa"/>
                  <w:vAlign w:val="center"/>
                </w:tcPr>
                <w:p w14:paraId="4C98157E">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1.310 </w:t>
                  </w:r>
                </w:p>
              </w:tc>
              <w:tc>
                <w:tcPr>
                  <w:tcW w:w="986" w:type="dxa"/>
                  <w:vAlign w:val="center"/>
                </w:tcPr>
                <w:p w14:paraId="33DEF216">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0.273 </w:t>
                  </w:r>
                </w:p>
              </w:tc>
              <w:tc>
                <w:tcPr>
                  <w:tcW w:w="355" w:type="pct"/>
                  <w:vAlign w:val="center"/>
                </w:tcPr>
                <w:p w14:paraId="5C09FDB5">
                  <w:pPr>
                    <w:keepNext w:val="0"/>
                    <w:keepLines w:val="0"/>
                    <w:widowControl/>
                    <w:suppressLineNumbers w:val="0"/>
                    <w:jc w:val="center"/>
                    <w:textAlignment w:val="center"/>
                    <w:rPr>
                      <w:rFonts w:hint="default" w:ascii="Times New Roman" w:hAnsi="Times New Roman"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300" w:type="pct"/>
                  <w:vMerge w:val="continue"/>
                  <w:vAlign w:val="center"/>
                </w:tcPr>
                <w:p w14:paraId="6564AC24">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1FDFFB08">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679E8377">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062799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E11B4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5C20B559">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3A69683D">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1.310 </w:t>
                  </w:r>
                </w:p>
              </w:tc>
              <w:tc>
                <w:tcPr>
                  <w:tcW w:w="882" w:type="dxa"/>
                  <w:vAlign w:val="center"/>
                </w:tcPr>
                <w:p w14:paraId="51EE099F">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0.273 </w:t>
                  </w:r>
                </w:p>
              </w:tc>
              <w:tc>
                <w:tcPr>
                  <w:tcW w:w="337" w:type="pct"/>
                  <w:vAlign w:val="center"/>
                </w:tcPr>
                <w:p w14:paraId="720237A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50F59924">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6174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6BA60B3F">
                  <w:pPr>
                    <w:spacing w:line="240" w:lineRule="auto"/>
                    <w:jc w:val="center"/>
                    <w:rPr>
                      <w:rFonts w:hint="default" w:ascii="Times New Roman" w:hAnsi="Times New Roman" w:cs="Times New Roman"/>
                      <w:b/>
                      <w:color w:val="auto"/>
                      <w:sz w:val="21"/>
                      <w:szCs w:val="21"/>
                      <w:highlight w:val="none"/>
                      <w:lang w:eastAsia="zh-CN"/>
                    </w:rPr>
                  </w:pPr>
                </w:p>
              </w:tc>
              <w:tc>
                <w:tcPr>
                  <w:tcW w:w="296" w:type="pct"/>
                  <w:gridSpan w:val="2"/>
                  <w:shd w:val="clear" w:color="auto" w:fill="auto"/>
                  <w:vAlign w:val="center"/>
                </w:tcPr>
                <w:p w14:paraId="2EFF629A">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其中</w:t>
                  </w:r>
                </w:p>
              </w:tc>
              <w:tc>
                <w:tcPr>
                  <w:tcW w:w="296" w:type="pct"/>
                  <w:shd w:val="clear" w:color="auto" w:fill="auto"/>
                  <w:vAlign w:val="center"/>
                </w:tcPr>
                <w:p w14:paraId="1EADA866">
                  <w:pPr>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color w:val="auto"/>
                      <w:sz w:val="21"/>
                      <w:szCs w:val="21"/>
                      <w:highlight w:val="none"/>
                      <w:lang w:val="en-US" w:eastAsia="zh-CN"/>
                    </w:rPr>
                    <w:t>苯系物</w:t>
                  </w:r>
                </w:p>
              </w:tc>
              <w:tc>
                <w:tcPr>
                  <w:tcW w:w="835" w:type="dxa"/>
                  <w:shd w:val="clear" w:color="auto" w:fill="auto"/>
                  <w:vAlign w:val="center"/>
                </w:tcPr>
                <w:p w14:paraId="3019E148">
                  <w:pPr>
                    <w:keepNext w:val="0"/>
                    <w:keepLines w:val="0"/>
                    <w:widowControl/>
                    <w:suppressLineNumbers w:val="0"/>
                    <w:jc w:val="center"/>
                    <w:textAlignment w:val="center"/>
                    <w:rPr>
                      <w:rFonts w:hint="default" w:ascii="Times New Roman" w:hAnsi="Times New Roman" w:eastAsia="宋体" w:cs="Times New Roman"/>
                      <w:bCs/>
                      <w:color w:val="auto"/>
                      <w:kern w:val="2"/>
                      <w:sz w:val="11"/>
                      <w:szCs w:val="1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0.010 </w:t>
                  </w:r>
                </w:p>
              </w:tc>
              <w:tc>
                <w:tcPr>
                  <w:tcW w:w="986" w:type="dxa"/>
                  <w:vAlign w:val="center"/>
                </w:tcPr>
                <w:p w14:paraId="49F64ECC">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 </w:t>
                  </w:r>
                </w:p>
              </w:tc>
              <w:tc>
                <w:tcPr>
                  <w:tcW w:w="355" w:type="pct"/>
                  <w:vAlign w:val="center"/>
                </w:tcPr>
                <w:p w14:paraId="4694E7B5">
                  <w:pPr>
                    <w:keepNext w:val="0"/>
                    <w:keepLines w:val="0"/>
                    <w:widowControl/>
                    <w:suppressLineNumbers w:val="0"/>
                    <w:jc w:val="center"/>
                    <w:textAlignment w:val="center"/>
                    <w:rPr>
                      <w:rFonts w:hint="default" w:ascii="Times New Roman" w:hAnsi="Times New Roman"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300" w:type="pct"/>
                  <w:vMerge w:val="continue"/>
                  <w:vAlign w:val="center"/>
                </w:tcPr>
                <w:p w14:paraId="0A8C5652">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494C81BC">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471BA444">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5FF6E0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40FEB9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F3B3C28">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601872F5">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0.010 </w:t>
                  </w:r>
                </w:p>
              </w:tc>
              <w:tc>
                <w:tcPr>
                  <w:tcW w:w="882" w:type="dxa"/>
                  <w:vAlign w:val="center"/>
                </w:tcPr>
                <w:p w14:paraId="0F3BF661">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 </w:t>
                  </w:r>
                </w:p>
              </w:tc>
              <w:tc>
                <w:tcPr>
                  <w:tcW w:w="337" w:type="pct"/>
                  <w:vAlign w:val="center"/>
                </w:tcPr>
                <w:p w14:paraId="15B5C054">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02D0ECFF">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2A88E9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5FF6BF99">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3E29D9A3">
                  <w:pPr>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臭气浓度</w:t>
                  </w:r>
                </w:p>
              </w:tc>
              <w:tc>
                <w:tcPr>
                  <w:tcW w:w="307" w:type="pct"/>
                  <w:shd w:val="clear" w:color="auto" w:fill="auto"/>
                  <w:vAlign w:val="center"/>
                </w:tcPr>
                <w:p w14:paraId="27F87D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054E30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690DCD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398069D">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521602FA">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32BEA2C4">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36C235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82" w:type="pct"/>
                  <w:vAlign w:val="center"/>
                </w:tcPr>
                <w:p w14:paraId="7DE87D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96" w:type="pct"/>
                  <w:vMerge w:val="continue"/>
                  <w:vAlign w:val="center"/>
                </w:tcPr>
                <w:p w14:paraId="6AAD5224">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355C1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44406D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3D676C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37C5C48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4D5CC1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5A08623">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val="0"/>
                      <w:bCs/>
                      <w:color w:val="auto"/>
                      <w:sz w:val="21"/>
                      <w:szCs w:val="21"/>
                      <w:highlight w:val="none"/>
                      <w:lang w:val="en-US" w:eastAsia="zh-CN"/>
                    </w:rPr>
                    <w:t>裁布、冲孔修边</w:t>
                  </w:r>
                </w:p>
              </w:tc>
              <w:tc>
                <w:tcPr>
                  <w:tcW w:w="592" w:type="pct"/>
                  <w:gridSpan w:val="3"/>
                  <w:shd w:val="clear" w:color="auto" w:fill="auto"/>
                  <w:vAlign w:val="center"/>
                </w:tcPr>
                <w:p w14:paraId="21E89327">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颗粒物</w:t>
                  </w:r>
                </w:p>
              </w:tc>
              <w:tc>
                <w:tcPr>
                  <w:tcW w:w="307" w:type="pct"/>
                  <w:shd w:val="clear" w:color="auto" w:fill="auto"/>
                  <w:vAlign w:val="center"/>
                </w:tcPr>
                <w:p w14:paraId="49E6D968">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4229BCB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2D2F22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restart"/>
                  <w:shd w:val="clear" w:color="auto" w:fill="auto"/>
                  <w:vAlign w:val="center"/>
                </w:tcPr>
                <w:p w14:paraId="43330CAE">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无组织</w:t>
                  </w:r>
                </w:p>
              </w:tc>
              <w:tc>
                <w:tcPr>
                  <w:tcW w:w="252" w:type="pct"/>
                  <w:vMerge w:val="restart"/>
                  <w:shd w:val="clear" w:color="auto" w:fill="auto"/>
                  <w:vAlign w:val="center"/>
                </w:tcPr>
                <w:p w14:paraId="49325625">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w:t>
                  </w:r>
                </w:p>
              </w:tc>
              <w:tc>
                <w:tcPr>
                  <w:tcW w:w="375" w:type="pct"/>
                  <w:vMerge w:val="restart"/>
                  <w:shd w:val="clear" w:color="auto" w:fill="auto"/>
                  <w:vAlign w:val="center"/>
                </w:tcPr>
                <w:p w14:paraId="52D54402">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w:t>
                  </w:r>
                </w:p>
              </w:tc>
              <w:tc>
                <w:tcPr>
                  <w:tcW w:w="240" w:type="pct"/>
                  <w:vAlign w:val="center"/>
                </w:tcPr>
                <w:p w14:paraId="72ABBB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56859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686142AB">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color w:val="auto"/>
                      <w:sz w:val="21"/>
                      <w:szCs w:val="21"/>
                      <w:highlight w:val="none"/>
                      <w:lang w:val="en-US" w:eastAsia="zh-CN"/>
                    </w:rPr>
                    <w:t>/</w:t>
                  </w:r>
                </w:p>
              </w:tc>
              <w:tc>
                <w:tcPr>
                  <w:tcW w:w="275" w:type="pct"/>
                  <w:vAlign w:val="center"/>
                </w:tcPr>
                <w:p w14:paraId="334C74A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746E581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50D5E731">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60EFB0B3">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6451C4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6B103739">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358BF2FC">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NMHC</w:t>
                  </w:r>
                </w:p>
              </w:tc>
              <w:tc>
                <w:tcPr>
                  <w:tcW w:w="307" w:type="pct"/>
                  <w:shd w:val="clear" w:color="auto" w:fill="auto"/>
                  <w:vAlign w:val="center"/>
                </w:tcPr>
                <w:p w14:paraId="237E964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600280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6DE5301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50CDD2E">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33E1132F">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6063BFB2">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15FB3F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82" w:type="pct"/>
                  <w:vAlign w:val="center"/>
                </w:tcPr>
                <w:p w14:paraId="0559FB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96" w:type="pct"/>
                  <w:vMerge w:val="continue"/>
                  <w:vAlign w:val="center"/>
                </w:tcPr>
                <w:p w14:paraId="51546A38">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28FEF13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5BE5F69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3BFB9548">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11497CE4">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1B9489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9278CE1">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22DF33FE">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臭气浓度</w:t>
                  </w:r>
                </w:p>
              </w:tc>
              <w:tc>
                <w:tcPr>
                  <w:tcW w:w="307" w:type="pct"/>
                  <w:shd w:val="clear" w:color="auto" w:fill="auto"/>
                  <w:vAlign w:val="center"/>
                </w:tcPr>
                <w:p w14:paraId="3C75253A">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140D848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0DE59E02">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EA07A76">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103E0490">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12CE8822">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7356927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D052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7740209C">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16458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1A078B9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0314CAD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2C918813">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79129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5F24F114">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定型、</w:t>
                  </w:r>
                  <w:r>
                    <w:rPr>
                      <w:rFonts w:hint="default" w:ascii="Times New Roman" w:hAnsi="Times New Roman" w:cs="Times New Roman"/>
                      <w:bCs/>
                      <w:color w:val="auto"/>
                      <w:sz w:val="21"/>
                      <w:szCs w:val="21"/>
                      <w:highlight w:val="none"/>
                      <w:lang w:eastAsia="zh-CN"/>
                    </w:rPr>
                    <w:t>注塑工序（</w:t>
                  </w:r>
                  <w:r>
                    <w:rPr>
                      <w:rFonts w:hint="default" w:ascii="Times New Roman" w:hAnsi="Times New Roman" w:cs="Times New Roman"/>
                      <w:bCs/>
                      <w:color w:val="auto"/>
                      <w:sz w:val="21"/>
                      <w:szCs w:val="21"/>
                      <w:highlight w:val="none"/>
                      <w:lang w:val="en-US" w:eastAsia="zh-CN"/>
                    </w:rPr>
                    <w:t>DA002）</w:t>
                  </w:r>
                </w:p>
              </w:tc>
              <w:tc>
                <w:tcPr>
                  <w:tcW w:w="592" w:type="pct"/>
                  <w:gridSpan w:val="3"/>
                  <w:vAlign w:val="center"/>
                </w:tcPr>
                <w:p w14:paraId="722AAE9E">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非甲烷总烃</w:t>
                  </w:r>
                </w:p>
              </w:tc>
              <w:tc>
                <w:tcPr>
                  <w:tcW w:w="307" w:type="pct"/>
                  <w:vAlign w:val="center"/>
                </w:tcPr>
                <w:p w14:paraId="2B50BE10">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63" w:type="pct"/>
                  <w:vAlign w:val="center"/>
                </w:tcPr>
                <w:p w14:paraId="497A1DAB">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55" w:type="pct"/>
                  <w:vAlign w:val="center"/>
                </w:tcPr>
                <w:p w14:paraId="08016DD7">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5.856</w:t>
                  </w:r>
                </w:p>
              </w:tc>
              <w:tc>
                <w:tcPr>
                  <w:tcW w:w="300" w:type="pct"/>
                  <w:vMerge w:val="restart"/>
                  <w:vAlign w:val="center"/>
                </w:tcPr>
                <w:p w14:paraId="53E75F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有组织</w:t>
                  </w:r>
                </w:p>
              </w:tc>
              <w:tc>
                <w:tcPr>
                  <w:tcW w:w="252" w:type="pct"/>
                  <w:vMerge w:val="restart"/>
                  <w:vAlign w:val="center"/>
                </w:tcPr>
                <w:p w14:paraId="6BE203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30000</w:t>
                  </w:r>
                </w:p>
              </w:tc>
              <w:tc>
                <w:tcPr>
                  <w:tcW w:w="375" w:type="pct"/>
                  <w:vMerge w:val="restart"/>
                  <w:vAlign w:val="center"/>
                </w:tcPr>
                <w:p w14:paraId="61ECE07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r>
                    <w:rPr>
                      <w:rFonts w:hint="eastAsia" w:cs="Times New Roman"/>
                      <w:i w:val="0"/>
                      <w:iCs w:val="0"/>
                      <w:color w:val="auto"/>
                      <w:kern w:val="0"/>
                      <w:sz w:val="21"/>
                      <w:szCs w:val="21"/>
                      <w:highlight w:val="none"/>
                      <w:u w:val="none"/>
                      <w:lang w:val="en-US" w:eastAsia="zh-CN"/>
                    </w:rPr>
                    <w:t>水帘柜喷淋+</w:t>
                  </w:r>
                  <w:r>
                    <w:rPr>
                      <w:rFonts w:hint="default" w:ascii="Times New Roman" w:hAnsi="Times New Roman" w:eastAsia="宋体" w:cs="Times New Roman"/>
                      <w:i w:val="0"/>
                      <w:iCs w:val="0"/>
                      <w:color w:val="auto"/>
                      <w:kern w:val="0"/>
                      <w:sz w:val="21"/>
                      <w:szCs w:val="21"/>
                      <w:highlight w:val="none"/>
                      <w:u w:val="none"/>
                      <w:lang w:val="en-US" w:eastAsia="zh-CN"/>
                    </w:rPr>
                    <w:t>干式过滤器+二级活性炭吸附装置</w:t>
                  </w:r>
                </w:p>
              </w:tc>
              <w:tc>
                <w:tcPr>
                  <w:tcW w:w="240" w:type="pct"/>
                  <w:vAlign w:val="center"/>
                </w:tcPr>
                <w:p w14:paraId="10E0C3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3A7DCB2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restart"/>
                  <w:vAlign w:val="center"/>
                </w:tcPr>
                <w:p w14:paraId="1486F1A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275" w:type="pct"/>
                  <w:vAlign w:val="center"/>
                </w:tcPr>
                <w:p w14:paraId="62E59C1C">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0.169</w:t>
                  </w:r>
                </w:p>
              </w:tc>
              <w:tc>
                <w:tcPr>
                  <w:tcW w:w="325" w:type="pct"/>
                  <w:vAlign w:val="center"/>
                </w:tcPr>
                <w:p w14:paraId="3DA354B0">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0.035</w:t>
                  </w:r>
                </w:p>
              </w:tc>
              <w:tc>
                <w:tcPr>
                  <w:tcW w:w="337" w:type="pct"/>
                  <w:vAlign w:val="center"/>
                </w:tcPr>
                <w:p w14:paraId="4066B068">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318" w:type="pct"/>
                  <w:vAlign w:val="center"/>
                </w:tcPr>
                <w:p w14:paraId="4D5099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3D2BB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7F1B1F9B">
                  <w:pPr>
                    <w:spacing w:line="240" w:lineRule="auto"/>
                    <w:jc w:val="center"/>
                    <w:rPr>
                      <w:rFonts w:hint="default" w:ascii="Times New Roman" w:hAnsi="Times New Roman" w:cs="Times New Roman"/>
                      <w:bCs/>
                      <w:color w:val="auto"/>
                      <w:sz w:val="21"/>
                      <w:szCs w:val="21"/>
                      <w:highlight w:val="none"/>
                      <w:lang w:eastAsia="zh-CN"/>
                    </w:rPr>
                  </w:pPr>
                </w:p>
              </w:tc>
              <w:tc>
                <w:tcPr>
                  <w:tcW w:w="268" w:type="pct"/>
                  <w:vAlign w:val="center"/>
                </w:tcPr>
                <w:p w14:paraId="6EFD619B">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其中</w:t>
                  </w:r>
                </w:p>
              </w:tc>
              <w:tc>
                <w:tcPr>
                  <w:tcW w:w="324" w:type="pct"/>
                  <w:gridSpan w:val="2"/>
                  <w:vAlign w:val="center"/>
                </w:tcPr>
                <w:p w14:paraId="0FAF4B51">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苯乙烯</w:t>
                  </w:r>
                </w:p>
              </w:tc>
              <w:tc>
                <w:tcPr>
                  <w:tcW w:w="307" w:type="pct"/>
                  <w:vAlign w:val="center"/>
                </w:tcPr>
                <w:p w14:paraId="5A6D6BFA">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63" w:type="pct"/>
                  <w:vAlign w:val="center"/>
                </w:tcPr>
                <w:p w14:paraId="1731AB64">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55" w:type="pct"/>
                  <w:vAlign w:val="center"/>
                </w:tcPr>
                <w:p w14:paraId="59725130">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2.438</w:t>
                  </w:r>
                </w:p>
              </w:tc>
              <w:tc>
                <w:tcPr>
                  <w:tcW w:w="300" w:type="pct"/>
                  <w:vMerge w:val="continue"/>
                  <w:vAlign w:val="center"/>
                </w:tcPr>
                <w:p w14:paraId="72F9FC9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2FA52B0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78D38E8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6992EA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73B297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5C78744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70135873">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0.070</w:t>
                  </w:r>
                </w:p>
              </w:tc>
              <w:tc>
                <w:tcPr>
                  <w:tcW w:w="325" w:type="pct"/>
                  <w:vAlign w:val="center"/>
                </w:tcPr>
                <w:p w14:paraId="1267AA6C">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0.015</w:t>
                  </w:r>
                </w:p>
              </w:tc>
              <w:tc>
                <w:tcPr>
                  <w:tcW w:w="337" w:type="pct"/>
                  <w:vAlign w:val="center"/>
                </w:tcPr>
                <w:p w14:paraId="531979FE">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318" w:type="pct"/>
                  <w:vAlign w:val="center"/>
                </w:tcPr>
                <w:p w14:paraId="40AF95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41CA69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260CAB7A">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51B05879">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氨</w:t>
                  </w:r>
                </w:p>
              </w:tc>
              <w:tc>
                <w:tcPr>
                  <w:tcW w:w="307" w:type="pct"/>
                  <w:vAlign w:val="center"/>
                </w:tcPr>
                <w:p w14:paraId="63F6AB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58A613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8FD9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45650ED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06C0F8C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45B2934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02C2693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5D75D2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272C6AA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59D415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5AFC92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175ACB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08989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0905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90B0A89">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637876AE">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4974A2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85675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38BF25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66C7B76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31760DF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18F654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250A6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1887DB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7E3B25F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37E020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6E6FF0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0325E6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B0D3B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4514B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3F05CBE9">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lang w:eastAsia="zh-CN"/>
                    </w:rPr>
                    <w:t>定型</w:t>
                  </w:r>
                  <w:r>
                    <w:rPr>
                      <w:rFonts w:hint="default" w:ascii="Times New Roman" w:hAnsi="Times New Roman" w:cs="Times New Roman"/>
                      <w:bCs/>
                      <w:color w:val="auto"/>
                      <w:sz w:val="21"/>
                      <w:szCs w:val="21"/>
                      <w:highlight w:val="none"/>
                      <w:lang w:eastAsia="zh-CN"/>
                    </w:rPr>
                    <w:t>、注塑工序</w:t>
                  </w:r>
                </w:p>
              </w:tc>
              <w:tc>
                <w:tcPr>
                  <w:tcW w:w="592" w:type="pct"/>
                  <w:gridSpan w:val="3"/>
                  <w:vAlign w:val="center"/>
                </w:tcPr>
                <w:p w14:paraId="51809849">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颗粒物</w:t>
                  </w:r>
                </w:p>
              </w:tc>
              <w:tc>
                <w:tcPr>
                  <w:tcW w:w="307" w:type="pct"/>
                  <w:vAlign w:val="center"/>
                </w:tcPr>
                <w:p w14:paraId="4BE621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rPr>
                    <w:t>0.228</w:t>
                  </w:r>
                </w:p>
              </w:tc>
              <w:tc>
                <w:tcPr>
                  <w:tcW w:w="363" w:type="pct"/>
                  <w:vAlign w:val="center"/>
                </w:tcPr>
                <w:p w14:paraId="662495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rPr>
                    <w:t>0.047</w:t>
                  </w:r>
                </w:p>
              </w:tc>
              <w:tc>
                <w:tcPr>
                  <w:tcW w:w="355" w:type="pct"/>
                  <w:vAlign w:val="center"/>
                </w:tcPr>
                <w:p w14:paraId="51D039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restart"/>
                  <w:vAlign w:val="center"/>
                </w:tcPr>
                <w:p w14:paraId="12CC9E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Merge w:val="restart"/>
                  <w:vAlign w:val="center"/>
                </w:tcPr>
                <w:p w14:paraId="720832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Merge w:val="restart"/>
                  <w:vAlign w:val="center"/>
                </w:tcPr>
                <w:p w14:paraId="6AE40A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4464E7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74A8A2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7024A3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75" w:type="pct"/>
                  <w:vAlign w:val="center"/>
                </w:tcPr>
                <w:p w14:paraId="4F240C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0.228</w:t>
                  </w:r>
                </w:p>
              </w:tc>
              <w:tc>
                <w:tcPr>
                  <w:tcW w:w="325" w:type="pct"/>
                  <w:vAlign w:val="center"/>
                </w:tcPr>
                <w:p w14:paraId="3DF3C4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0.047</w:t>
                  </w:r>
                </w:p>
              </w:tc>
              <w:tc>
                <w:tcPr>
                  <w:tcW w:w="337" w:type="pct"/>
                  <w:vAlign w:val="center"/>
                </w:tcPr>
                <w:p w14:paraId="79275B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0875F4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019E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E840C16">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50C6596E">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非甲烷总烃</w:t>
                  </w:r>
                </w:p>
              </w:tc>
              <w:tc>
                <w:tcPr>
                  <w:tcW w:w="307" w:type="pct"/>
                  <w:vAlign w:val="center"/>
                </w:tcPr>
                <w:p w14:paraId="721987D9">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63" w:type="pct"/>
                  <w:vAlign w:val="center"/>
                </w:tcPr>
                <w:p w14:paraId="4F05D66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55" w:type="pct"/>
                  <w:vAlign w:val="center"/>
                </w:tcPr>
                <w:p w14:paraId="452A07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62B3A35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eastAsia="zh-CN"/>
                    </w:rPr>
                  </w:pPr>
                </w:p>
              </w:tc>
              <w:tc>
                <w:tcPr>
                  <w:tcW w:w="252" w:type="pct"/>
                  <w:vMerge w:val="continue"/>
                  <w:vAlign w:val="center"/>
                </w:tcPr>
                <w:p w14:paraId="3028916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p>
              </w:tc>
              <w:tc>
                <w:tcPr>
                  <w:tcW w:w="375" w:type="pct"/>
                  <w:vMerge w:val="continue"/>
                  <w:vAlign w:val="center"/>
                </w:tcPr>
                <w:p w14:paraId="2BD8D9E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85EA8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E36B7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092733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FDF731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25" w:type="pct"/>
                  <w:vAlign w:val="center"/>
                </w:tcPr>
                <w:p w14:paraId="080EB1C6">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37" w:type="pct"/>
                  <w:vAlign w:val="center"/>
                </w:tcPr>
                <w:p w14:paraId="4D79D9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4908B5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EE2EA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F73E77D">
                  <w:pPr>
                    <w:spacing w:line="240" w:lineRule="auto"/>
                    <w:jc w:val="center"/>
                    <w:rPr>
                      <w:rFonts w:hint="default" w:ascii="Times New Roman" w:hAnsi="Times New Roman" w:cs="Times New Roman"/>
                      <w:bCs/>
                      <w:color w:val="auto"/>
                      <w:sz w:val="21"/>
                      <w:szCs w:val="21"/>
                      <w:highlight w:val="none"/>
                      <w:lang w:eastAsia="zh-CN"/>
                    </w:rPr>
                  </w:pPr>
                </w:p>
              </w:tc>
              <w:tc>
                <w:tcPr>
                  <w:tcW w:w="268" w:type="pct"/>
                  <w:vAlign w:val="center"/>
                </w:tcPr>
                <w:p w14:paraId="07E9831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eastAsia="zh-CN"/>
                    </w:rPr>
                    <w:t>其中</w:t>
                  </w:r>
                </w:p>
              </w:tc>
              <w:tc>
                <w:tcPr>
                  <w:tcW w:w="324" w:type="pct"/>
                  <w:gridSpan w:val="2"/>
                  <w:vAlign w:val="center"/>
                </w:tcPr>
                <w:p w14:paraId="3033EB50">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eastAsia="zh-CN"/>
                    </w:rPr>
                    <w:t>苯乙烯</w:t>
                  </w:r>
                </w:p>
              </w:tc>
              <w:tc>
                <w:tcPr>
                  <w:tcW w:w="307" w:type="pct"/>
                  <w:vAlign w:val="center"/>
                </w:tcPr>
                <w:p w14:paraId="776D9C92">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63" w:type="pct"/>
                  <w:vAlign w:val="center"/>
                </w:tcPr>
                <w:p w14:paraId="26C5DD14">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55" w:type="pct"/>
                  <w:vAlign w:val="center"/>
                </w:tcPr>
                <w:p w14:paraId="30942F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401D7A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0523A73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1D27338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0F9FD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633BD6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5771EEF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91A21F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25" w:type="pct"/>
                  <w:vAlign w:val="center"/>
                </w:tcPr>
                <w:p w14:paraId="70B0B43A">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37" w:type="pct"/>
                  <w:vAlign w:val="center"/>
                </w:tcPr>
                <w:p w14:paraId="227DFF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48F4C0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5B7CE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2B94F227">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shd w:val="clear" w:color="auto" w:fill="auto"/>
                  <w:vAlign w:val="center"/>
                </w:tcPr>
                <w:p w14:paraId="459D9D94">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氨气</w:t>
                  </w:r>
                </w:p>
              </w:tc>
              <w:tc>
                <w:tcPr>
                  <w:tcW w:w="307" w:type="pct"/>
                  <w:shd w:val="clear" w:color="auto" w:fill="auto"/>
                  <w:vAlign w:val="center"/>
                </w:tcPr>
                <w:p w14:paraId="6BAACB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shd w:val="clear" w:color="auto" w:fill="auto"/>
                  <w:vAlign w:val="center"/>
                </w:tcPr>
                <w:p w14:paraId="7150A6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shd w:val="clear" w:color="auto" w:fill="auto"/>
                  <w:vAlign w:val="center"/>
                </w:tcPr>
                <w:p w14:paraId="13EB00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4F2AF2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7A0D26E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24F3BA2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6EB96E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333D5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888F04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378F6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1D5482F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248000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96424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B121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4BD543A">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4A3AEA04">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70C384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712BEC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7BBE95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1EB4EBA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4F31401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7511FB3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195144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4512F0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D5360A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5F03AF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2C5F07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1BE836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0B492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37369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577" w:type="pct"/>
                  <w:vAlign w:val="center"/>
                </w:tcPr>
                <w:p w14:paraId="3992B459">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织布工序</w:t>
                  </w:r>
                </w:p>
              </w:tc>
              <w:tc>
                <w:tcPr>
                  <w:tcW w:w="592" w:type="pct"/>
                  <w:gridSpan w:val="3"/>
                  <w:vAlign w:val="center"/>
                </w:tcPr>
                <w:p w14:paraId="3B4A3933">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颗粒物</w:t>
                  </w:r>
                </w:p>
              </w:tc>
              <w:tc>
                <w:tcPr>
                  <w:tcW w:w="307" w:type="pct"/>
                  <w:vAlign w:val="center"/>
                </w:tcPr>
                <w:p w14:paraId="616621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004</w:t>
                  </w:r>
                </w:p>
              </w:tc>
              <w:tc>
                <w:tcPr>
                  <w:tcW w:w="363" w:type="pct"/>
                  <w:vAlign w:val="center"/>
                </w:tcPr>
                <w:p w14:paraId="62EDA4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01</w:t>
                  </w:r>
                </w:p>
              </w:tc>
              <w:tc>
                <w:tcPr>
                  <w:tcW w:w="355" w:type="pct"/>
                  <w:vAlign w:val="center"/>
                </w:tcPr>
                <w:p w14:paraId="67F696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Align w:val="center"/>
                </w:tcPr>
                <w:p w14:paraId="7790E9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Align w:val="center"/>
                </w:tcPr>
                <w:p w14:paraId="6A9780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Align w:val="center"/>
                </w:tcPr>
                <w:p w14:paraId="35E943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7E8477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96408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Align w:val="center"/>
                </w:tcPr>
                <w:p w14:paraId="0739B7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75" w:type="pct"/>
                  <w:vAlign w:val="center"/>
                </w:tcPr>
                <w:p w14:paraId="444EA7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004</w:t>
                  </w:r>
                </w:p>
              </w:tc>
              <w:tc>
                <w:tcPr>
                  <w:tcW w:w="325" w:type="pct"/>
                  <w:vAlign w:val="center"/>
                </w:tcPr>
                <w:p w14:paraId="303EAE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01</w:t>
                  </w:r>
                </w:p>
              </w:tc>
              <w:tc>
                <w:tcPr>
                  <w:tcW w:w="337" w:type="pct"/>
                  <w:vAlign w:val="center"/>
                </w:tcPr>
                <w:p w14:paraId="162E09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F0912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18A59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655B381">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、冷却工序</w:t>
                  </w:r>
                </w:p>
              </w:tc>
              <w:tc>
                <w:tcPr>
                  <w:tcW w:w="592" w:type="pct"/>
                  <w:gridSpan w:val="3"/>
                  <w:shd w:val="clear" w:color="auto" w:fill="auto"/>
                  <w:vAlign w:val="center"/>
                </w:tcPr>
                <w:p w14:paraId="2483F46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307" w:type="pct"/>
                  <w:vAlign w:val="center"/>
                </w:tcPr>
                <w:p w14:paraId="7FBD15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5658DF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717EAF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restart"/>
                  <w:shd w:val="clear" w:color="auto" w:fill="auto"/>
                  <w:vAlign w:val="center"/>
                </w:tcPr>
                <w:p w14:paraId="14D804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Merge w:val="restart"/>
                  <w:shd w:val="clear" w:color="auto" w:fill="auto"/>
                  <w:vAlign w:val="center"/>
                </w:tcPr>
                <w:p w14:paraId="7E1C2E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Merge w:val="restart"/>
                  <w:shd w:val="clear" w:color="auto" w:fill="auto"/>
                  <w:vAlign w:val="center"/>
                </w:tcPr>
                <w:p w14:paraId="6B2F6B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3E3440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794B3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365DED2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275" w:type="pct"/>
                  <w:vAlign w:val="center"/>
                </w:tcPr>
                <w:p w14:paraId="02374B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45B8E3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344BA8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74D592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25BA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7CE4447">
                  <w:pPr>
                    <w:spacing w:line="240" w:lineRule="auto"/>
                    <w:jc w:val="center"/>
                    <w:rPr>
                      <w:rFonts w:hint="eastAsia" w:cs="Times New Roman"/>
                      <w:color w:val="auto"/>
                      <w:sz w:val="21"/>
                      <w:szCs w:val="21"/>
                      <w:highlight w:val="none"/>
                      <w:lang w:eastAsia="zh-CN"/>
                    </w:rPr>
                  </w:pPr>
                </w:p>
              </w:tc>
              <w:tc>
                <w:tcPr>
                  <w:tcW w:w="592" w:type="pct"/>
                  <w:gridSpan w:val="3"/>
                  <w:shd w:val="clear" w:color="auto" w:fill="auto"/>
                  <w:vAlign w:val="center"/>
                </w:tcPr>
                <w:p w14:paraId="6D6ECC9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NMHC</w:t>
                  </w:r>
                </w:p>
              </w:tc>
              <w:tc>
                <w:tcPr>
                  <w:tcW w:w="307" w:type="pct"/>
                  <w:vAlign w:val="center"/>
                </w:tcPr>
                <w:p w14:paraId="5E8B1E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89702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AFBEE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42864D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02B5CB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7A695B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3100D0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CCF3C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4124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18F1C9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6183AF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597844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2E9D83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15B2E9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DB15D37">
                  <w:pPr>
                    <w:spacing w:line="240" w:lineRule="auto"/>
                    <w:jc w:val="center"/>
                    <w:rPr>
                      <w:rFonts w:hint="eastAsia" w:cs="Times New Roman"/>
                      <w:color w:val="auto"/>
                      <w:sz w:val="21"/>
                      <w:szCs w:val="21"/>
                      <w:highlight w:val="none"/>
                      <w:lang w:eastAsia="zh-CN"/>
                    </w:rPr>
                  </w:pPr>
                </w:p>
              </w:tc>
              <w:tc>
                <w:tcPr>
                  <w:tcW w:w="592" w:type="pct"/>
                  <w:gridSpan w:val="3"/>
                  <w:shd w:val="clear" w:color="auto" w:fill="auto"/>
                  <w:vAlign w:val="center"/>
                </w:tcPr>
                <w:p w14:paraId="73D5ABCB">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苯乙烯</w:t>
                  </w:r>
                </w:p>
              </w:tc>
              <w:tc>
                <w:tcPr>
                  <w:tcW w:w="307" w:type="pct"/>
                  <w:vAlign w:val="center"/>
                </w:tcPr>
                <w:p w14:paraId="46C572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4A4B96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0ACD08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1A261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5910CD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7978F2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609042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620C22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6A3832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4D2499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581D36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4FB1CB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A38033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1E86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C6B2431">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shd w:val="clear" w:color="auto" w:fill="auto"/>
                  <w:vAlign w:val="center"/>
                </w:tcPr>
                <w:p w14:paraId="238AEEB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臭气浓度</w:t>
                  </w:r>
                </w:p>
              </w:tc>
              <w:tc>
                <w:tcPr>
                  <w:tcW w:w="307" w:type="pct"/>
                  <w:vAlign w:val="center"/>
                </w:tcPr>
                <w:p w14:paraId="5C568EE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7F002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31253D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307BFC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6CA238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27208B7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1CFB630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24D0C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37B22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10FF03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71F61A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31F4F2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255E0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bl>
          <w:p w14:paraId="4C2B3541">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技术可行性依据判断：由于《排污许可证申请与核发技术规范 石墨及其他非金属矿物制品制造》（HJ1119-2020）中未列明挥发性有机物、臭气浓度的推荐可行技术，故参照相似工艺的《排污许可证申请与核发技术规范 橡胶与塑料制品工业》（HJ1122-2020）中“表 A.2 塑料制品工业排污单位废气污染防治可行技术参考表”的挥发性有机物可行技术“活性炭吸附法”，本项目使用活性炭系统进行治理，为核发技术规范推荐的可行技术。</w:t>
            </w:r>
          </w:p>
          <w:p w14:paraId="1C643533">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2、废气排放口基本情况</w:t>
            </w:r>
          </w:p>
          <w:p w14:paraId="0A1399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 xml:space="preserve"> 废气排放口基本情况一览表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9"/>
              <w:gridCol w:w="1226"/>
              <w:gridCol w:w="1444"/>
              <w:gridCol w:w="744"/>
              <w:gridCol w:w="1256"/>
              <w:gridCol w:w="1500"/>
              <w:gridCol w:w="1458"/>
              <w:gridCol w:w="600"/>
              <w:gridCol w:w="510"/>
              <w:gridCol w:w="505"/>
              <w:gridCol w:w="638"/>
              <w:gridCol w:w="2890"/>
            </w:tblGrid>
            <w:tr w14:paraId="68100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7296E8FD">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排放口类型</w:t>
                  </w:r>
                </w:p>
              </w:tc>
              <w:tc>
                <w:tcPr>
                  <w:tcW w:w="452" w:type="pct"/>
                  <w:vMerge w:val="restart"/>
                  <w:vAlign w:val="center"/>
                </w:tcPr>
                <w:p w14:paraId="336C3792">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532" w:type="pct"/>
                  <w:vMerge w:val="restart"/>
                  <w:vAlign w:val="center"/>
                </w:tcPr>
                <w:p w14:paraId="5BA22FC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排放口名称</w:t>
                  </w:r>
                </w:p>
                <w:p w14:paraId="52A03B1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及编号</w:t>
                  </w:r>
                </w:p>
              </w:tc>
              <w:tc>
                <w:tcPr>
                  <w:tcW w:w="274" w:type="pct"/>
                  <w:vMerge w:val="restart"/>
                  <w:vAlign w:val="center"/>
                </w:tcPr>
                <w:p w14:paraId="3062432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设计风量</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463" w:type="pct"/>
                  <w:vMerge w:val="restart"/>
                  <w:vAlign w:val="center"/>
                </w:tcPr>
                <w:p w14:paraId="5B55E292">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w:t>
                  </w:r>
                </w:p>
              </w:tc>
              <w:tc>
                <w:tcPr>
                  <w:tcW w:w="1090" w:type="pct"/>
                  <w:gridSpan w:val="2"/>
                  <w:vAlign w:val="center"/>
                </w:tcPr>
                <w:p w14:paraId="4FFDB7E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排放口地理坐标</w:t>
                  </w:r>
                </w:p>
              </w:tc>
              <w:tc>
                <w:tcPr>
                  <w:tcW w:w="221" w:type="pct"/>
                  <w:vMerge w:val="restart"/>
                  <w:vAlign w:val="center"/>
                </w:tcPr>
                <w:p w14:paraId="4643C7BA">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高度m</w:t>
                  </w:r>
                </w:p>
              </w:tc>
              <w:tc>
                <w:tcPr>
                  <w:tcW w:w="188" w:type="pct"/>
                  <w:vMerge w:val="restart"/>
                  <w:vAlign w:val="center"/>
                </w:tcPr>
                <w:p w14:paraId="55672110">
                  <w:pPr>
                    <w:spacing w:line="240" w:lineRule="auto"/>
                    <w:jc w:val="center"/>
                    <w:rPr>
                      <w:rFonts w:hint="default" w:cs="Times New Roman"/>
                      <w:b/>
                      <w:color w:val="auto"/>
                      <w:sz w:val="21"/>
                      <w:szCs w:val="21"/>
                      <w:highlight w:val="none"/>
                      <w:lang w:val="en-US" w:eastAsia="zh-CN"/>
                    </w:rPr>
                  </w:pPr>
                  <w:r>
                    <w:rPr>
                      <w:rFonts w:hint="eastAsia" w:cs="Times New Roman"/>
                      <w:b/>
                      <w:color w:val="auto"/>
                      <w:sz w:val="21"/>
                      <w:szCs w:val="21"/>
                      <w:highlight w:val="none"/>
                      <w:lang w:eastAsia="zh-CN"/>
                    </w:rPr>
                    <w:t>流速</w:t>
                  </w:r>
                  <w:r>
                    <w:rPr>
                      <w:rFonts w:hint="eastAsia" w:cs="Times New Roman"/>
                      <w:b/>
                      <w:color w:val="auto"/>
                      <w:sz w:val="21"/>
                      <w:szCs w:val="21"/>
                      <w:highlight w:val="none"/>
                      <w:lang w:val="en-US" w:eastAsia="zh-CN"/>
                    </w:rPr>
                    <w:t>m/s</w:t>
                  </w:r>
                </w:p>
              </w:tc>
              <w:tc>
                <w:tcPr>
                  <w:tcW w:w="186" w:type="pct"/>
                  <w:vMerge w:val="restart"/>
                  <w:vAlign w:val="center"/>
                </w:tcPr>
                <w:p w14:paraId="5E57BA33">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内径m</w:t>
                  </w:r>
                </w:p>
              </w:tc>
              <w:tc>
                <w:tcPr>
                  <w:tcW w:w="235" w:type="pct"/>
                  <w:vMerge w:val="restart"/>
                  <w:vAlign w:val="center"/>
                </w:tcPr>
                <w:p w14:paraId="04C313FF">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温度</w:t>
                  </w:r>
                </w:p>
                <w:p w14:paraId="2D5F3A0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1065" w:type="pct"/>
                  <w:vMerge w:val="restart"/>
                  <w:vAlign w:val="center"/>
                </w:tcPr>
                <w:p w14:paraId="75A1F94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71C5D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73802152">
                  <w:pPr>
                    <w:spacing w:line="240" w:lineRule="auto"/>
                    <w:jc w:val="center"/>
                    <w:rPr>
                      <w:rFonts w:hint="default" w:ascii="Times New Roman" w:hAnsi="Times New Roman" w:cs="Times New Roman"/>
                      <w:b/>
                      <w:color w:val="auto"/>
                      <w:sz w:val="21"/>
                      <w:szCs w:val="21"/>
                      <w:highlight w:val="none"/>
                      <w:lang w:eastAsia="zh-CN"/>
                    </w:rPr>
                  </w:pPr>
                </w:p>
              </w:tc>
              <w:tc>
                <w:tcPr>
                  <w:tcW w:w="452" w:type="pct"/>
                  <w:vMerge w:val="continue"/>
                  <w:vAlign w:val="center"/>
                </w:tcPr>
                <w:p w14:paraId="06347CAB">
                  <w:pPr>
                    <w:spacing w:line="240" w:lineRule="auto"/>
                    <w:jc w:val="center"/>
                    <w:rPr>
                      <w:rFonts w:hint="default" w:ascii="Times New Roman" w:hAnsi="Times New Roman" w:cs="Times New Roman"/>
                      <w:b/>
                      <w:color w:val="auto"/>
                      <w:sz w:val="21"/>
                      <w:szCs w:val="21"/>
                      <w:highlight w:val="none"/>
                      <w:lang w:eastAsia="zh-CN"/>
                    </w:rPr>
                  </w:pPr>
                </w:p>
              </w:tc>
              <w:tc>
                <w:tcPr>
                  <w:tcW w:w="532" w:type="pct"/>
                  <w:vMerge w:val="continue"/>
                  <w:vAlign w:val="center"/>
                </w:tcPr>
                <w:p w14:paraId="4CD2A4FD">
                  <w:pPr>
                    <w:spacing w:line="240" w:lineRule="auto"/>
                    <w:jc w:val="center"/>
                    <w:rPr>
                      <w:rFonts w:hint="default" w:ascii="Times New Roman" w:hAnsi="Times New Roman" w:cs="Times New Roman"/>
                      <w:b/>
                      <w:color w:val="auto"/>
                      <w:sz w:val="21"/>
                      <w:szCs w:val="21"/>
                      <w:highlight w:val="none"/>
                      <w:lang w:eastAsia="zh-CN"/>
                    </w:rPr>
                  </w:pPr>
                </w:p>
              </w:tc>
              <w:tc>
                <w:tcPr>
                  <w:tcW w:w="274" w:type="pct"/>
                  <w:vMerge w:val="continue"/>
                  <w:vAlign w:val="center"/>
                </w:tcPr>
                <w:p w14:paraId="4E15F1C8">
                  <w:pPr>
                    <w:spacing w:line="240" w:lineRule="auto"/>
                    <w:jc w:val="center"/>
                    <w:rPr>
                      <w:rFonts w:hint="default" w:ascii="Times New Roman" w:hAnsi="Times New Roman" w:cs="Times New Roman"/>
                      <w:b/>
                      <w:color w:val="auto"/>
                      <w:sz w:val="21"/>
                      <w:szCs w:val="21"/>
                      <w:highlight w:val="none"/>
                      <w:lang w:eastAsia="zh-CN"/>
                    </w:rPr>
                  </w:pPr>
                </w:p>
              </w:tc>
              <w:tc>
                <w:tcPr>
                  <w:tcW w:w="463" w:type="pct"/>
                  <w:vMerge w:val="continue"/>
                  <w:vAlign w:val="center"/>
                </w:tcPr>
                <w:p w14:paraId="76ADC9AE">
                  <w:pPr>
                    <w:spacing w:line="240" w:lineRule="auto"/>
                    <w:jc w:val="center"/>
                    <w:rPr>
                      <w:rFonts w:hint="default" w:ascii="Times New Roman" w:hAnsi="Times New Roman" w:cs="Times New Roman"/>
                      <w:b/>
                      <w:color w:val="auto"/>
                      <w:sz w:val="21"/>
                      <w:szCs w:val="21"/>
                      <w:highlight w:val="none"/>
                      <w:lang w:eastAsia="zh-CN"/>
                    </w:rPr>
                  </w:pPr>
                </w:p>
              </w:tc>
              <w:tc>
                <w:tcPr>
                  <w:tcW w:w="553" w:type="pct"/>
                  <w:vAlign w:val="center"/>
                </w:tcPr>
                <w:p w14:paraId="0C8EA9DF">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经度</w:t>
                  </w:r>
                </w:p>
              </w:tc>
              <w:tc>
                <w:tcPr>
                  <w:tcW w:w="537" w:type="pct"/>
                  <w:vAlign w:val="center"/>
                </w:tcPr>
                <w:p w14:paraId="61DDBBC0">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纬度</w:t>
                  </w:r>
                </w:p>
              </w:tc>
              <w:tc>
                <w:tcPr>
                  <w:tcW w:w="221" w:type="pct"/>
                  <w:vMerge w:val="continue"/>
                  <w:vAlign w:val="center"/>
                </w:tcPr>
                <w:p w14:paraId="200047C3">
                  <w:pPr>
                    <w:spacing w:line="240" w:lineRule="auto"/>
                    <w:jc w:val="center"/>
                    <w:rPr>
                      <w:rFonts w:hint="default" w:ascii="Times New Roman" w:hAnsi="Times New Roman" w:cs="Times New Roman"/>
                      <w:b/>
                      <w:color w:val="auto"/>
                      <w:sz w:val="21"/>
                      <w:szCs w:val="21"/>
                      <w:highlight w:val="none"/>
                      <w:lang w:eastAsia="zh-CN"/>
                    </w:rPr>
                  </w:pPr>
                </w:p>
              </w:tc>
              <w:tc>
                <w:tcPr>
                  <w:tcW w:w="188" w:type="pct"/>
                  <w:vMerge w:val="continue"/>
                  <w:vAlign w:val="center"/>
                </w:tcPr>
                <w:p w14:paraId="54AF5B71">
                  <w:pPr>
                    <w:spacing w:line="240" w:lineRule="auto"/>
                    <w:jc w:val="center"/>
                    <w:rPr>
                      <w:rFonts w:hint="default" w:ascii="Times New Roman" w:hAnsi="Times New Roman" w:cs="Times New Roman"/>
                      <w:b/>
                      <w:color w:val="auto"/>
                      <w:sz w:val="21"/>
                      <w:szCs w:val="21"/>
                      <w:highlight w:val="none"/>
                      <w:lang w:eastAsia="zh-CN"/>
                    </w:rPr>
                  </w:pPr>
                </w:p>
              </w:tc>
              <w:tc>
                <w:tcPr>
                  <w:tcW w:w="186" w:type="pct"/>
                  <w:vMerge w:val="continue"/>
                  <w:vAlign w:val="center"/>
                </w:tcPr>
                <w:p w14:paraId="0E273DAF">
                  <w:pPr>
                    <w:spacing w:line="240" w:lineRule="auto"/>
                    <w:jc w:val="center"/>
                    <w:rPr>
                      <w:rFonts w:hint="default" w:ascii="Times New Roman" w:hAnsi="Times New Roman" w:cs="Times New Roman"/>
                      <w:b/>
                      <w:color w:val="auto"/>
                      <w:sz w:val="21"/>
                      <w:szCs w:val="21"/>
                      <w:highlight w:val="none"/>
                      <w:lang w:eastAsia="zh-CN"/>
                    </w:rPr>
                  </w:pPr>
                </w:p>
              </w:tc>
              <w:tc>
                <w:tcPr>
                  <w:tcW w:w="235" w:type="pct"/>
                  <w:vMerge w:val="continue"/>
                  <w:vAlign w:val="center"/>
                </w:tcPr>
                <w:p w14:paraId="2B0AC3CF">
                  <w:pPr>
                    <w:spacing w:line="240" w:lineRule="auto"/>
                    <w:jc w:val="center"/>
                    <w:rPr>
                      <w:rFonts w:hint="default" w:ascii="Times New Roman" w:hAnsi="Times New Roman" w:cs="Times New Roman"/>
                      <w:b/>
                      <w:color w:val="auto"/>
                      <w:sz w:val="21"/>
                      <w:szCs w:val="21"/>
                      <w:highlight w:val="none"/>
                      <w:lang w:eastAsia="zh-CN"/>
                    </w:rPr>
                  </w:pPr>
                </w:p>
              </w:tc>
              <w:tc>
                <w:tcPr>
                  <w:tcW w:w="1065" w:type="pct"/>
                  <w:vMerge w:val="continue"/>
                  <w:vAlign w:val="center"/>
                </w:tcPr>
                <w:p w14:paraId="305EC232">
                  <w:pPr>
                    <w:spacing w:line="240" w:lineRule="auto"/>
                    <w:jc w:val="center"/>
                    <w:rPr>
                      <w:rFonts w:hint="default" w:ascii="Times New Roman" w:hAnsi="Times New Roman" w:cs="Times New Roman"/>
                      <w:b/>
                      <w:color w:val="auto"/>
                      <w:sz w:val="21"/>
                      <w:szCs w:val="21"/>
                      <w:highlight w:val="none"/>
                    </w:rPr>
                  </w:pPr>
                </w:p>
              </w:tc>
            </w:tr>
            <w:tr w14:paraId="48E61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3F4822E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680C514B">
                  <w:pPr>
                    <w:spacing w:line="240" w:lineRule="auto"/>
                    <w:jc w:val="both"/>
                    <w:rPr>
                      <w:rFonts w:hint="default" w:ascii="Times New Roman" w:hAnsi="Times New Roman" w:cs="Times New Roman"/>
                      <w:b w:val="0"/>
                      <w:bCs/>
                      <w:color w:val="auto"/>
                      <w:sz w:val="21"/>
                      <w:szCs w:val="21"/>
                      <w:highlight w:val="none"/>
                      <w:lang w:eastAsia="zh-CN"/>
                    </w:rPr>
                  </w:pPr>
                  <w:r>
                    <w:rPr>
                      <w:rFonts w:hint="eastAsia" w:cs="Times New Roman"/>
                      <w:color w:val="auto"/>
                      <w:sz w:val="21"/>
                      <w:szCs w:val="21"/>
                      <w:highlight w:val="none"/>
                      <w:lang w:val="en-US" w:eastAsia="zh-CN"/>
                    </w:rPr>
                    <w:t>烫芯、</w:t>
                  </w:r>
                  <w:r>
                    <w:rPr>
                      <w:rFonts w:hint="eastAsia" w:cs="Times New Roman"/>
                      <w:bCs/>
                      <w:color w:val="auto"/>
                      <w:sz w:val="21"/>
                      <w:szCs w:val="21"/>
                      <w:highlight w:val="none"/>
                      <w:lang w:val="en-US" w:eastAsia="zh-CN"/>
                    </w:rPr>
                    <w:t>热压、固化、喷漆抽漆、烘干</w:t>
                  </w:r>
                  <w:r>
                    <w:rPr>
                      <w:rFonts w:hint="default" w:ascii="Times New Roman" w:hAnsi="Times New Roman" w:cs="Times New Roman"/>
                      <w:bCs/>
                      <w:color w:val="auto"/>
                      <w:sz w:val="21"/>
                      <w:szCs w:val="21"/>
                      <w:highlight w:val="none"/>
                      <w:lang w:eastAsia="zh-CN"/>
                    </w:rPr>
                    <w:t>工序</w:t>
                  </w:r>
                </w:p>
              </w:tc>
              <w:tc>
                <w:tcPr>
                  <w:tcW w:w="532" w:type="pct"/>
                  <w:vMerge w:val="restart"/>
                  <w:vAlign w:val="center"/>
                </w:tcPr>
                <w:p w14:paraId="360A1539">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color w:val="auto"/>
                      <w:sz w:val="21"/>
                      <w:szCs w:val="21"/>
                      <w:highlight w:val="none"/>
                      <w:lang w:val="en-US" w:eastAsia="zh-CN"/>
                    </w:rPr>
                    <w:t>烫芯、</w:t>
                  </w:r>
                  <w:r>
                    <w:rPr>
                      <w:rFonts w:hint="eastAsia" w:cs="Times New Roman"/>
                      <w:bCs/>
                      <w:color w:val="auto"/>
                      <w:sz w:val="21"/>
                      <w:szCs w:val="21"/>
                      <w:highlight w:val="none"/>
                      <w:lang w:val="en-US" w:eastAsia="zh-CN"/>
                    </w:rPr>
                    <w:t>热压、固化、喷漆抽漆、烘干工序</w:t>
                  </w:r>
                  <w:r>
                    <w:rPr>
                      <w:rFonts w:hint="default" w:ascii="Times New Roman" w:hAnsi="Times New Roman" w:cs="Times New Roman"/>
                      <w:b w:val="0"/>
                      <w:bCs/>
                      <w:color w:val="auto"/>
                      <w:sz w:val="21"/>
                      <w:szCs w:val="21"/>
                      <w:highlight w:val="none"/>
                      <w:lang w:val="en-US" w:eastAsia="zh-CN"/>
                    </w:rPr>
                    <w:t>排放口</w:t>
                  </w:r>
                </w:p>
                <w:p w14:paraId="2A284DC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DA00</w:t>
                  </w:r>
                  <w:r>
                    <w:rPr>
                      <w:rFonts w:hint="eastAsia" w:cs="Times New Roman"/>
                      <w:b w:val="0"/>
                      <w:bCs/>
                      <w:color w:val="auto"/>
                      <w:sz w:val="21"/>
                      <w:szCs w:val="21"/>
                      <w:highlight w:val="none"/>
                      <w:lang w:val="en-US" w:eastAsia="zh-CN"/>
                    </w:rPr>
                    <w:t>1</w:t>
                  </w:r>
                </w:p>
              </w:tc>
              <w:tc>
                <w:tcPr>
                  <w:tcW w:w="274" w:type="pct"/>
                  <w:vMerge w:val="restart"/>
                  <w:vAlign w:val="center"/>
                </w:tcPr>
                <w:p w14:paraId="1F7E9659">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color w:val="auto"/>
                      <w:sz w:val="21"/>
                      <w:szCs w:val="21"/>
                      <w:highlight w:val="none"/>
                      <w:lang w:val="en-US" w:eastAsia="zh-CN"/>
                    </w:rPr>
                    <w:t>35000</w:t>
                  </w:r>
                </w:p>
              </w:tc>
              <w:tc>
                <w:tcPr>
                  <w:tcW w:w="463" w:type="pct"/>
                  <w:vAlign w:val="center"/>
                </w:tcPr>
                <w:p w14:paraId="760849F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53" w:type="pct"/>
                  <w:vMerge w:val="restart"/>
                  <w:vAlign w:val="center"/>
                </w:tcPr>
                <w:p w14:paraId="0920B3E1">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113°25′1.72</w:t>
                  </w:r>
                  <w:r>
                    <w:rPr>
                      <w:rFonts w:hint="eastAsia"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lang w:eastAsia="zh-CN"/>
                    </w:rPr>
                    <w:t>″</w:t>
                  </w:r>
                </w:p>
              </w:tc>
              <w:tc>
                <w:tcPr>
                  <w:tcW w:w="537" w:type="pct"/>
                  <w:vMerge w:val="restart"/>
                  <w:vAlign w:val="center"/>
                </w:tcPr>
                <w:p w14:paraId="7767BC9B">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25°7′27.995″</w:t>
                  </w:r>
                </w:p>
              </w:tc>
              <w:tc>
                <w:tcPr>
                  <w:tcW w:w="221" w:type="pct"/>
                  <w:vMerge w:val="restart"/>
                  <w:vAlign w:val="center"/>
                </w:tcPr>
                <w:p w14:paraId="4CA6F081">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4517A3C6">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19.3</w:t>
                  </w:r>
                </w:p>
              </w:tc>
              <w:tc>
                <w:tcPr>
                  <w:tcW w:w="186" w:type="pct"/>
                  <w:vMerge w:val="restart"/>
                  <w:vAlign w:val="center"/>
                </w:tcPr>
                <w:p w14:paraId="0727EBF7">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0.8</w:t>
                  </w:r>
                </w:p>
              </w:tc>
              <w:tc>
                <w:tcPr>
                  <w:tcW w:w="235" w:type="pct"/>
                  <w:vMerge w:val="restart"/>
                  <w:vAlign w:val="center"/>
                </w:tcPr>
                <w:p w14:paraId="1B86C74C">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25</w:t>
                  </w:r>
                </w:p>
              </w:tc>
              <w:tc>
                <w:tcPr>
                  <w:tcW w:w="1065" w:type="pct"/>
                  <w:vMerge w:val="restart"/>
                  <w:vAlign w:val="center"/>
                </w:tcPr>
                <w:p w14:paraId="789DB4CC">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《合成树脂工业污染物排放标准》（GB31572-2015）表5大气污染物特别排放限值</w:t>
                  </w:r>
                </w:p>
              </w:tc>
            </w:tr>
            <w:tr w14:paraId="7C60C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290" w:type="pct"/>
                  <w:vMerge w:val="continue"/>
                  <w:vAlign w:val="center"/>
                </w:tcPr>
                <w:p w14:paraId="1F75697A">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0A8CB09E">
                  <w:pPr>
                    <w:spacing w:line="240" w:lineRule="auto"/>
                    <w:jc w:val="center"/>
                    <w:rPr>
                      <w:rFonts w:hint="default" w:ascii="Times New Roman" w:hAnsi="Times New Roman" w:cs="Times New Roman"/>
                      <w:bCs/>
                      <w:color w:val="auto"/>
                      <w:sz w:val="21"/>
                      <w:szCs w:val="21"/>
                      <w:highlight w:val="none"/>
                      <w:lang w:eastAsia="zh-CN"/>
                    </w:rPr>
                  </w:pPr>
                </w:p>
              </w:tc>
              <w:tc>
                <w:tcPr>
                  <w:tcW w:w="532" w:type="pct"/>
                  <w:vMerge w:val="continue"/>
                  <w:vAlign w:val="center"/>
                </w:tcPr>
                <w:p w14:paraId="6F3181BD">
                  <w:pPr>
                    <w:spacing w:line="240" w:lineRule="auto"/>
                    <w:jc w:val="center"/>
                    <w:rPr>
                      <w:rFonts w:hint="default" w:ascii="Times New Roman" w:hAnsi="Times New Roman" w:cs="Times New Roman"/>
                      <w:bCs/>
                      <w:color w:val="auto"/>
                      <w:sz w:val="21"/>
                      <w:szCs w:val="21"/>
                      <w:highlight w:val="none"/>
                      <w:lang w:eastAsia="zh-CN"/>
                    </w:rPr>
                  </w:pPr>
                </w:p>
              </w:tc>
              <w:tc>
                <w:tcPr>
                  <w:tcW w:w="274" w:type="pct"/>
                  <w:vMerge w:val="continue"/>
                  <w:vAlign w:val="center"/>
                </w:tcPr>
                <w:p w14:paraId="38987FAC">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2E30A82">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53" w:type="pct"/>
                  <w:vMerge w:val="continue"/>
                  <w:vAlign w:val="center"/>
                </w:tcPr>
                <w:p w14:paraId="1606B506">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E8EB4D4">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080DC045">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3B987FC">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5B16C75C">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77C95155">
                  <w:pPr>
                    <w:spacing w:line="240" w:lineRule="auto"/>
                    <w:jc w:val="center"/>
                    <w:rPr>
                      <w:rFonts w:hint="default" w:ascii="Times New Roman" w:hAnsi="Times New Roman" w:cs="Times New Roman"/>
                      <w:b w:val="0"/>
                      <w:bCs/>
                      <w:color w:val="auto"/>
                      <w:sz w:val="21"/>
                      <w:szCs w:val="21"/>
                      <w:highlight w:val="none"/>
                      <w:lang w:val="en-US" w:eastAsia="zh-CN"/>
                    </w:rPr>
                  </w:pPr>
                </w:p>
              </w:tc>
              <w:tc>
                <w:tcPr>
                  <w:tcW w:w="1065" w:type="pct"/>
                  <w:vMerge w:val="continue"/>
                  <w:vAlign w:val="center"/>
                </w:tcPr>
                <w:p w14:paraId="2F841BC4">
                  <w:pPr>
                    <w:spacing w:line="240" w:lineRule="auto"/>
                    <w:jc w:val="center"/>
                    <w:rPr>
                      <w:rFonts w:hint="default" w:ascii="Times New Roman" w:hAnsi="Times New Roman" w:cs="Times New Roman"/>
                      <w:b w:val="0"/>
                      <w:bCs/>
                      <w:color w:val="auto"/>
                      <w:sz w:val="21"/>
                      <w:szCs w:val="21"/>
                      <w:highlight w:val="none"/>
                    </w:rPr>
                  </w:pPr>
                </w:p>
              </w:tc>
            </w:tr>
            <w:tr w14:paraId="6F83A3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4" w:hRule="atLeast"/>
                <w:jc w:val="center"/>
              </w:trPr>
              <w:tc>
                <w:tcPr>
                  <w:tcW w:w="290" w:type="pct"/>
                  <w:vMerge w:val="continue"/>
                  <w:vAlign w:val="center"/>
                </w:tcPr>
                <w:p w14:paraId="76DDF546">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887208E">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4F54E68">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38301D7A">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0403C58B">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苯系物</w:t>
                  </w:r>
                </w:p>
              </w:tc>
              <w:tc>
                <w:tcPr>
                  <w:tcW w:w="553" w:type="pct"/>
                  <w:vMerge w:val="continue"/>
                  <w:vAlign w:val="center"/>
                </w:tcPr>
                <w:p w14:paraId="1E7A010F">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18F93513">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18B93795">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F871930">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0D5F2EBF">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6BD913CC">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31973F22">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《固定污染源挥发性有机物综合排放标准》（DB44/2367-2022）中表1苯系物排放标准</w:t>
                  </w:r>
                </w:p>
              </w:tc>
            </w:tr>
            <w:tr w14:paraId="21299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4" w:hRule="atLeast"/>
                <w:jc w:val="center"/>
              </w:trPr>
              <w:tc>
                <w:tcPr>
                  <w:tcW w:w="290" w:type="pct"/>
                  <w:vMerge w:val="continue"/>
                  <w:vAlign w:val="center"/>
                </w:tcPr>
                <w:p w14:paraId="2AE71179">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06831EBE">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322E3B97">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16FFFDC7">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65ACADD5">
                  <w:pPr>
                    <w:spacing w:line="240" w:lineRule="auto"/>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臭气浓度</w:t>
                  </w:r>
                </w:p>
              </w:tc>
              <w:tc>
                <w:tcPr>
                  <w:tcW w:w="553" w:type="pct"/>
                  <w:vMerge w:val="continue"/>
                  <w:vAlign w:val="center"/>
                </w:tcPr>
                <w:p w14:paraId="3F10A3D2">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791D878">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BB882DA">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4AAA50CC">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58D0D271">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13BC60F0">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5E249342">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《恶臭污染物排放标准》（GB14554-93）表2污染物排放标准值</w:t>
                  </w:r>
                </w:p>
              </w:tc>
            </w:tr>
            <w:tr w14:paraId="25655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6E20992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34A81D4E">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color w:val="auto"/>
                      <w:sz w:val="21"/>
                      <w:szCs w:val="21"/>
                      <w:highlight w:val="none"/>
                      <w:lang w:val="en-US" w:eastAsia="zh-CN"/>
                    </w:rPr>
                    <w:t>定型、冷却、</w:t>
                  </w:r>
                  <w:r>
                    <w:rPr>
                      <w:rFonts w:hint="default" w:ascii="Times New Roman" w:hAnsi="Times New Roman" w:cs="Times New Roman"/>
                      <w:bCs/>
                      <w:color w:val="auto"/>
                      <w:sz w:val="21"/>
                      <w:szCs w:val="21"/>
                      <w:highlight w:val="none"/>
                      <w:lang w:eastAsia="zh-CN"/>
                    </w:rPr>
                    <w:t>注塑工序</w:t>
                  </w:r>
                </w:p>
              </w:tc>
              <w:tc>
                <w:tcPr>
                  <w:tcW w:w="532" w:type="pct"/>
                  <w:vMerge w:val="restart"/>
                  <w:vAlign w:val="center"/>
                </w:tcPr>
                <w:p w14:paraId="489BDF29">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定型、</w:t>
                  </w:r>
                  <w:r>
                    <w:rPr>
                      <w:rFonts w:hint="default" w:ascii="Times New Roman" w:hAnsi="Times New Roman" w:cs="Times New Roman"/>
                      <w:bCs/>
                      <w:color w:val="auto"/>
                      <w:sz w:val="21"/>
                      <w:szCs w:val="21"/>
                      <w:highlight w:val="none"/>
                      <w:lang w:eastAsia="zh-CN"/>
                    </w:rPr>
                    <w:t>注塑工序</w:t>
                  </w:r>
                  <w:r>
                    <w:rPr>
                      <w:rFonts w:hint="default" w:ascii="Times New Roman" w:hAnsi="Times New Roman" w:cs="Times New Roman"/>
                      <w:b w:val="0"/>
                      <w:bCs/>
                      <w:color w:val="auto"/>
                      <w:sz w:val="21"/>
                      <w:szCs w:val="21"/>
                      <w:highlight w:val="none"/>
                      <w:lang w:val="en-US" w:eastAsia="zh-CN"/>
                    </w:rPr>
                    <w:t>排放口</w:t>
                  </w:r>
                </w:p>
                <w:p w14:paraId="2F000476">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DA00</w:t>
                  </w:r>
                  <w:r>
                    <w:rPr>
                      <w:rFonts w:hint="eastAsia" w:cs="Times New Roman"/>
                      <w:b w:val="0"/>
                      <w:bCs/>
                      <w:color w:val="auto"/>
                      <w:sz w:val="21"/>
                      <w:szCs w:val="21"/>
                      <w:highlight w:val="none"/>
                      <w:lang w:val="en-US" w:eastAsia="zh-CN"/>
                    </w:rPr>
                    <w:t>2</w:t>
                  </w:r>
                </w:p>
              </w:tc>
              <w:tc>
                <w:tcPr>
                  <w:tcW w:w="274" w:type="pct"/>
                  <w:vMerge w:val="restart"/>
                  <w:vAlign w:val="center"/>
                </w:tcPr>
                <w:p w14:paraId="7DBF2990">
                  <w:pPr>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30000</w:t>
                  </w:r>
                </w:p>
              </w:tc>
              <w:tc>
                <w:tcPr>
                  <w:tcW w:w="463" w:type="pct"/>
                  <w:vAlign w:val="center"/>
                </w:tcPr>
                <w:p w14:paraId="783C0CD7">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非甲烷总烃</w:t>
                  </w:r>
                </w:p>
              </w:tc>
              <w:tc>
                <w:tcPr>
                  <w:tcW w:w="553" w:type="pct"/>
                  <w:vMerge w:val="restart"/>
                  <w:vAlign w:val="center"/>
                </w:tcPr>
                <w:p w14:paraId="1FE7DFD3">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113°24′59.601″</w:t>
                  </w:r>
                </w:p>
              </w:tc>
              <w:tc>
                <w:tcPr>
                  <w:tcW w:w="537" w:type="pct"/>
                  <w:vMerge w:val="restart"/>
                  <w:vAlign w:val="center"/>
                </w:tcPr>
                <w:p w14:paraId="01C1D42B">
                  <w:pPr>
                    <w:spacing w:line="240" w:lineRule="auto"/>
                    <w:jc w:val="both"/>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25°7′28.419″</w:t>
                  </w:r>
                </w:p>
              </w:tc>
              <w:tc>
                <w:tcPr>
                  <w:tcW w:w="221" w:type="pct"/>
                  <w:vMerge w:val="restart"/>
                  <w:vAlign w:val="center"/>
                </w:tcPr>
                <w:p w14:paraId="12A5F486">
                  <w:pPr>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741CDF5A">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16.6</w:t>
                  </w:r>
                </w:p>
              </w:tc>
              <w:tc>
                <w:tcPr>
                  <w:tcW w:w="186" w:type="pct"/>
                  <w:vMerge w:val="restart"/>
                  <w:vAlign w:val="center"/>
                </w:tcPr>
                <w:p w14:paraId="65474086">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0.8</w:t>
                  </w:r>
                </w:p>
              </w:tc>
              <w:tc>
                <w:tcPr>
                  <w:tcW w:w="235" w:type="pct"/>
                  <w:vMerge w:val="restart"/>
                  <w:vAlign w:val="center"/>
                </w:tcPr>
                <w:p w14:paraId="3457590E">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25</w:t>
                  </w:r>
                </w:p>
              </w:tc>
              <w:tc>
                <w:tcPr>
                  <w:tcW w:w="1065" w:type="pct"/>
                  <w:vMerge w:val="restart"/>
                  <w:vAlign w:val="center"/>
                </w:tcPr>
                <w:p w14:paraId="514E246F">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《合成树脂工业污染物排放标准》（GB31572-2015）表5大气污染物特别排放限值</w:t>
                  </w:r>
                </w:p>
              </w:tc>
            </w:tr>
            <w:tr w14:paraId="67B41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290" w:type="pct"/>
                  <w:vMerge w:val="continue"/>
                  <w:vAlign w:val="center"/>
                </w:tcPr>
                <w:p w14:paraId="355F81AB">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24DEAED">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87BEF0F">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3E6C568C">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3F46972A">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苯乙烯</w:t>
                  </w:r>
                </w:p>
              </w:tc>
              <w:tc>
                <w:tcPr>
                  <w:tcW w:w="553" w:type="pct"/>
                  <w:vMerge w:val="continue"/>
                  <w:vAlign w:val="center"/>
                </w:tcPr>
                <w:p w14:paraId="2BA1EA94">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1F5B86D2">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41F202CB">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B974D34">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0D43D702">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31294E19">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continue"/>
                  <w:vAlign w:val="center"/>
                </w:tcPr>
                <w:p w14:paraId="58BBB4EE">
                  <w:pPr>
                    <w:spacing w:line="240" w:lineRule="auto"/>
                    <w:jc w:val="center"/>
                    <w:rPr>
                      <w:rFonts w:hint="default" w:ascii="Times New Roman" w:hAnsi="Times New Roman" w:cs="Times New Roman"/>
                      <w:b w:val="0"/>
                      <w:bCs/>
                      <w:color w:val="auto"/>
                      <w:sz w:val="21"/>
                      <w:szCs w:val="21"/>
                      <w:highlight w:val="none"/>
                    </w:rPr>
                  </w:pPr>
                </w:p>
              </w:tc>
            </w:tr>
            <w:tr w14:paraId="526BA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jc w:val="center"/>
              </w:trPr>
              <w:tc>
                <w:tcPr>
                  <w:tcW w:w="290" w:type="pct"/>
                  <w:vMerge w:val="continue"/>
                  <w:vAlign w:val="center"/>
                </w:tcPr>
                <w:p w14:paraId="286902A5">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34A47DBA">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BBCCCB8">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0828B6F1">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529E6FC">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臭气浓度</w:t>
                  </w:r>
                </w:p>
              </w:tc>
              <w:tc>
                <w:tcPr>
                  <w:tcW w:w="553" w:type="pct"/>
                  <w:vMerge w:val="continue"/>
                  <w:vAlign w:val="center"/>
                </w:tcPr>
                <w:p w14:paraId="65DFE925">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77E87CD">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24D3FC20">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00FE0320">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75A43BAA">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2EBDD081">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restart"/>
                  <w:vAlign w:val="center"/>
                </w:tcPr>
                <w:p w14:paraId="2CC22F78">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3F238D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47EE6F6D">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6943105D">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5E586525">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22AE8F45">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5C58D3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氨</w:t>
                  </w:r>
                </w:p>
              </w:tc>
              <w:tc>
                <w:tcPr>
                  <w:tcW w:w="553" w:type="pct"/>
                  <w:vMerge w:val="continue"/>
                  <w:vAlign w:val="center"/>
                </w:tcPr>
                <w:p w14:paraId="7684CC70">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7768186E">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8B56EC4">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48C41E29">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2C6DB7C6">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7A31364D">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continue"/>
                  <w:vAlign w:val="center"/>
                </w:tcPr>
                <w:p w14:paraId="4FD2DA11">
                  <w:pPr>
                    <w:spacing w:line="240" w:lineRule="auto"/>
                    <w:jc w:val="center"/>
                    <w:rPr>
                      <w:rFonts w:hint="default" w:ascii="Times New Roman" w:hAnsi="Times New Roman" w:cs="Times New Roman"/>
                      <w:b w:val="0"/>
                      <w:bCs/>
                      <w:color w:val="auto"/>
                      <w:sz w:val="21"/>
                      <w:szCs w:val="21"/>
                      <w:highlight w:val="none"/>
                    </w:rPr>
                  </w:pPr>
                </w:p>
              </w:tc>
            </w:tr>
          </w:tbl>
          <w:p w14:paraId="32009A3B">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3、监测要求</w:t>
            </w:r>
          </w:p>
          <w:p w14:paraId="0F02F08E">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根据《排污许可证申请与核发技术规范 石墨及其他非金属矿物制品制造》（HJ1119-2020）</w:t>
            </w:r>
            <w:r>
              <w:rPr>
                <w:rFonts w:hint="eastAsia" w:cs="Times New Roman"/>
                <w:b w:val="0"/>
                <w:bCs w:val="0"/>
                <w:color w:val="auto"/>
                <w:kern w:val="2"/>
                <w:sz w:val="24"/>
                <w:szCs w:val="24"/>
                <w:highlight w:val="none"/>
                <w:lang w:val="en-US" w:eastAsia="zh-CN" w:bidi="ar-SA"/>
              </w:rPr>
              <w:t>，项目1#厂房生产属于排污许可分类管理中的重点管理，根据</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 橡胶和塑料制品》（HJ 1207-2021），</w:t>
            </w:r>
            <w:r>
              <w:rPr>
                <w:rFonts w:hint="eastAsia" w:cs="Times New Roman"/>
                <w:b w:val="0"/>
                <w:bCs w:val="0"/>
                <w:color w:val="auto"/>
                <w:kern w:val="2"/>
                <w:sz w:val="24"/>
                <w:szCs w:val="24"/>
                <w:highlight w:val="none"/>
                <w:lang w:val="en-US" w:eastAsia="zh-CN" w:bidi="ar-SA"/>
              </w:rPr>
              <w:t>项目4#厂房生产属于排污许可分类管理中的登记管理，本项目实行排污许可重点管理。结合</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 总则》（HJ819-2017）</w:t>
            </w:r>
            <w:r>
              <w:rPr>
                <w:rFonts w:hint="eastAsia" w:cs="Times New Roman"/>
                <w:b w:val="0"/>
                <w:bCs w:val="0"/>
                <w:color w:val="auto"/>
                <w:kern w:val="2"/>
                <w:sz w:val="24"/>
                <w:szCs w:val="24"/>
                <w:highlight w:val="none"/>
                <w:lang w:val="en-US" w:eastAsia="zh-CN" w:bidi="ar-SA"/>
              </w:rPr>
              <w:t>和</w:t>
            </w:r>
            <w:r>
              <w:rPr>
                <w:rFonts w:hint="default" w:ascii="Times New Roman" w:hAnsi="Times New Roman" w:eastAsia="宋体" w:cs="Times New Roman"/>
                <w:b w:val="0"/>
                <w:bCs w:val="0"/>
                <w:color w:val="auto"/>
                <w:kern w:val="2"/>
                <w:sz w:val="24"/>
                <w:szCs w:val="24"/>
                <w:highlight w:val="none"/>
                <w:lang w:val="en-US" w:eastAsia="zh-CN" w:bidi="ar-SA"/>
              </w:rPr>
              <w:t>项目运营期间污染排放特点，项目运营期废气监测计划如下表所示：</w:t>
            </w:r>
          </w:p>
          <w:p w14:paraId="1DAECB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 xml:space="preserve"> 废气监测计划表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6"/>
              <w:gridCol w:w="1725"/>
              <w:gridCol w:w="1530"/>
              <w:gridCol w:w="8669"/>
            </w:tblGrid>
            <w:tr w14:paraId="5B935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32AA670A">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监测点位</w:t>
                  </w:r>
                </w:p>
              </w:tc>
              <w:tc>
                <w:tcPr>
                  <w:tcW w:w="636" w:type="pct"/>
                  <w:vAlign w:val="center"/>
                </w:tcPr>
                <w:p w14:paraId="13F943B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监测因子</w:t>
                  </w:r>
                </w:p>
              </w:tc>
              <w:tc>
                <w:tcPr>
                  <w:tcW w:w="564" w:type="pct"/>
                  <w:vAlign w:val="center"/>
                </w:tcPr>
                <w:p w14:paraId="72A9946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监测频次</w:t>
                  </w:r>
                </w:p>
              </w:tc>
              <w:tc>
                <w:tcPr>
                  <w:tcW w:w="3196" w:type="pct"/>
                  <w:vAlign w:val="center"/>
                </w:tcPr>
                <w:p w14:paraId="2572C34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执行标准</w:t>
                  </w:r>
                </w:p>
              </w:tc>
            </w:tr>
            <w:tr w14:paraId="6761B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6867315C">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DA001</w:t>
                  </w:r>
                </w:p>
                <w:p w14:paraId="5490972D">
                  <w:pPr>
                    <w:pStyle w:val="2"/>
                    <w:rPr>
                      <w:rFonts w:hint="default"/>
                      <w:color w:val="auto"/>
                      <w:highlight w:val="none"/>
                      <w:lang w:val="en-US" w:eastAsia="zh-CN"/>
                    </w:rPr>
                  </w:pPr>
                  <w:r>
                    <w:rPr>
                      <w:rFonts w:hint="eastAsia" w:cs="Times New Roman"/>
                      <w:b w:val="0"/>
                      <w:bCs/>
                      <w:color w:val="auto"/>
                      <w:sz w:val="21"/>
                      <w:szCs w:val="21"/>
                      <w:highlight w:val="none"/>
                      <w:lang w:val="en-US" w:eastAsia="zh-CN"/>
                    </w:rPr>
                    <w:t>（一般排放口）</w:t>
                  </w:r>
                </w:p>
              </w:tc>
              <w:tc>
                <w:tcPr>
                  <w:tcW w:w="636" w:type="pct"/>
                  <w:vAlign w:val="center"/>
                </w:tcPr>
                <w:p w14:paraId="123859E7">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非甲烷总烃</w:t>
                  </w:r>
                </w:p>
              </w:tc>
              <w:tc>
                <w:tcPr>
                  <w:tcW w:w="564" w:type="pct"/>
                  <w:vAlign w:val="center"/>
                </w:tcPr>
                <w:p w14:paraId="3C84542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Align w:val="center"/>
                </w:tcPr>
                <w:p w14:paraId="212ACF6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2F1C1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5819AE53">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vAlign w:val="center"/>
                </w:tcPr>
                <w:p w14:paraId="05E17F7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颗粒物</w:t>
                  </w:r>
                </w:p>
              </w:tc>
              <w:tc>
                <w:tcPr>
                  <w:tcW w:w="564" w:type="pct"/>
                  <w:vAlign w:val="center"/>
                </w:tcPr>
                <w:p w14:paraId="1449C13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Align w:val="center"/>
                </w:tcPr>
                <w:p w14:paraId="048EB1A4">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3496A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021A9D1">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shd w:val="clear" w:color="auto" w:fill="auto"/>
                  <w:vAlign w:val="center"/>
                </w:tcPr>
                <w:p w14:paraId="3D6E5E6E">
                  <w:pPr>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color w:val="auto"/>
                      <w:sz w:val="21"/>
                      <w:szCs w:val="21"/>
                      <w:highlight w:val="none"/>
                      <w:lang w:val="en-US" w:eastAsia="zh-CN"/>
                    </w:rPr>
                    <w:t>苯系物</w:t>
                  </w:r>
                </w:p>
              </w:tc>
              <w:tc>
                <w:tcPr>
                  <w:tcW w:w="564" w:type="pct"/>
                  <w:shd w:val="clear" w:color="auto" w:fill="auto"/>
                  <w:vAlign w:val="center"/>
                </w:tcPr>
                <w:p w14:paraId="5AF53DF0">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1次/半年</w:t>
                  </w:r>
                </w:p>
              </w:tc>
              <w:tc>
                <w:tcPr>
                  <w:tcW w:w="3196" w:type="pct"/>
                  <w:shd w:val="clear" w:color="auto" w:fill="auto"/>
                  <w:vAlign w:val="center"/>
                </w:tcPr>
                <w:p w14:paraId="2D9EBEFF">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rPr>
                    <w:t>《固定污染源挥发性有机物综合排放标准》（DB44/2367-2022）中表1</w:t>
                  </w:r>
                  <w:r>
                    <w:rPr>
                      <w:rFonts w:hint="eastAsia" w:cs="Times New Roman"/>
                      <w:color w:val="auto"/>
                      <w:sz w:val="21"/>
                      <w:szCs w:val="21"/>
                      <w:highlight w:val="none"/>
                      <w:lang w:val="en-US" w:eastAsia="zh-CN"/>
                    </w:rPr>
                    <w:t>挥发性有机物排放限值</w:t>
                  </w:r>
                </w:p>
              </w:tc>
            </w:tr>
            <w:tr w14:paraId="544DC0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177ED859">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shd w:val="clear" w:color="auto" w:fill="auto"/>
                  <w:vAlign w:val="center"/>
                </w:tcPr>
                <w:p w14:paraId="5429125E">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臭气浓度</w:t>
                  </w:r>
                </w:p>
              </w:tc>
              <w:tc>
                <w:tcPr>
                  <w:tcW w:w="564" w:type="pct"/>
                  <w:shd w:val="clear" w:color="auto" w:fill="auto"/>
                  <w:vAlign w:val="center"/>
                </w:tcPr>
                <w:p w14:paraId="4C13A05C">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shd w:val="clear" w:color="auto" w:fill="auto"/>
                  <w:vAlign w:val="center"/>
                </w:tcPr>
                <w:p w14:paraId="4E62BBC1">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26A29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7848E3D0">
                  <w:pPr>
                    <w:spacing w:line="240" w:lineRule="auto"/>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w:t>
                  </w:r>
                  <w:r>
                    <w:rPr>
                      <w:rFonts w:hint="eastAsia" w:cs="Times New Roman"/>
                      <w:bCs/>
                      <w:color w:val="auto"/>
                      <w:sz w:val="21"/>
                      <w:szCs w:val="21"/>
                      <w:highlight w:val="none"/>
                      <w:lang w:val="en-US" w:eastAsia="zh-CN"/>
                    </w:rPr>
                    <w:t>2</w:t>
                  </w:r>
                </w:p>
                <w:p w14:paraId="0A264F33">
                  <w:pPr>
                    <w:pStyle w:val="2"/>
                    <w:rPr>
                      <w:rFonts w:hint="default"/>
                      <w:color w:val="auto"/>
                      <w:highlight w:val="none"/>
                      <w:lang w:val="en-US" w:eastAsia="zh-CN"/>
                    </w:rPr>
                  </w:pPr>
                  <w:r>
                    <w:rPr>
                      <w:rFonts w:hint="eastAsia" w:cs="Times New Roman"/>
                      <w:bCs/>
                      <w:color w:val="auto"/>
                      <w:sz w:val="21"/>
                      <w:szCs w:val="21"/>
                      <w:highlight w:val="none"/>
                      <w:lang w:val="en-US" w:eastAsia="zh-CN"/>
                    </w:rPr>
                    <w:t>（一般排放口）</w:t>
                  </w:r>
                </w:p>
              </w:tc>
              <w:tc>
                <w:tcPr>
                  <w:tcW w:w="636" w:type="pct"/>
                  <w:vAlign w:val="center"/>
                </w:tcPr>
                <w:p w14:paraId="49F0B0FF">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64" w:type="pct"/>
                  <w:vAlign w:val="center"/>
                </w:tcPr>
                <w:p w14:paraId="5BBEFC8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Merge w:val="restart"/>
                  <w:vAlign w:val="center"/>
                </w:tcPr>
                <w:p w14:paraId="3BF4A183">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5598C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0C40BF6C">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54ADA844">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苯乙烯</w:t>
                  </w:r>
                </w:p>
              </w:tc>
              <w:tc>
                <w:tcPr>
                  <w:tcW w:w="564" w:type="pct"/>
                  <w:vAlign w:val="center"/>
                </w:tcPr>
                <w:p w14:paraId="436C3AD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continue"/>
                  <w:vAlign w:val="center"/>
                </w:tcPr>
                <w:p w14:paraId="2483AA2F">
                  <w:pPr>
                    <w:spacing w:line="240" w:lineRule="auto"/>
                    <w:jc w:val="center"/>
                    <w:rPr>
                      <w:rFonts w:hint="default" w:ascii="Times New Roman" w:hAnsi="Times New Roman" w:cs="Times New Roman"/>
                      <w:b w:val="0"/>
                      <w:bCs/>
                      <w:color w:val="auto"/>
                      <w:sz w:val="21"/>
                      <w:szCs w:val="21"/>
                      <w:highlight w:val="none"/>
                      <w:lang w:eastAsia="zh-CN"/>
                    </w:rPr>
                  </w:pPr>
                </w:p>
              </w:tc>
            </w:tr>
            <w:tr w14:paraId="16EB5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E2431AD">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1085ADFB">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17A1A4CE">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286F827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446CF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157FF6B1">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厂界</w:t>
                  </w:r>
                </w:p>
              </w:tc>
              <w:tc>
                <w:tcPr>
                  <w:tcW w:w="636" w:type="pct"/>
                  <w:vAlign w:val="center"/>
                </w:tcPr>
                <w:p w14:paraId="2576577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64" w:type="pct"/>
                  <w:vAlign w:val="center"/>
                </w:tcPr>
                <w:p w14:paraId="41F7E266">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4AEEB5F2">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《合成树脂工业污染物排放标准》（GB31572-2015）表9企业边界大气污染物浓度限值</w:t>
                  </w:r>
                </w:p>
              </w:tc>
            </w:tr>
            <w:tr w14:paraId="26779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03" w:type="pct"/>
                  <w:vMerge w:val="continue"/>
                  <w:vAlign w:val="center"/>
                </w:tcPr>
                <w:p w14:paraId="12C97F70">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4562609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颗粒物</w:t>
                  </w:r>
                </w:p>
              </w:tc>
              <w:tc>
                <w:tcPr>
                  <w:tcW w:w="564" w:type="pct"/>
                  <w:vAlign w:val="center"/>
                </w:tcPr>
                <w:p w14:paraId="20E2909D">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74C1FE9C">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《合成树脂工业污染物排放标准》（GB31572-2015）表9企业边界大气污染物浓度限值</w:t>
                  </w:r>
                </w:p>
              </w:tc>
            </w:tr>
            <w:tr w14:paraId="1B3818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39AB49DF">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2F37CF94">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苯系物</w:t>
                  </w:r>
                </w:p>
              </w:tc>
              <w:tc>
                <w:tcPr>
                  <w:tcW w:w="564" w:type="pct"/>
                  <w:vAlign w:val="center"/>
                </w:tcPr>
                <w:p w14:paraId="0320E45D">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shd w:val="clear" w:color="auto" w:fill="auto"/>
                  <w:vAlign w:val="center"/>
                </w:tcPr>
                <w:p w14:paraId="6DA6DAC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广东省《大气污染物排放限值》(DB44/27-2001)</w:t>
                  </w:r>
                  <w:r>
                    <w:rPr>
                      <w:color w:val="auto"/>
                      <w:sz w:val="21"/>
                      <w:szCs w:val="21"/>
                      <w:highlight w:val="none"/>
                    </w:rPr>
                    <w:t>第二时段无组织排放监控浓度限值</w:t>
                  </w:r>
                </w:p>
              </w:tc>
            </w:tr>
            <w:tr w14:paraId="01A0C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B20D70D">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553F5F02">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苯乙烯</w:t>
                  </w:r>
                </w:p>
              </w:tc>
              <w:tc>
                <w:tcPr>
                  <w:tcW w:w="564" w:type="pct"/>
                  <w:vAlign w:val="center"/>
                </w:tcPr>
                <w:p w14:paraId="2BBDC8F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restart"/>
                  <w:vAlign w:val="center"/>
                </w:tcPr>
                <w:p w14:paraId="3E321777">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《恶臭污染物排放标准》（GB14554-93）表1 恶臭污染物厂界新扩改建二级标准值</w:t>
                  </w:r>
                </w:p>
              </w:tc>
            </w:tr>
            <w:tr w14:paraId="051834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1CD01CDA">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7632078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44B83BF7">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continue"/>
                  <w:vAlign w:val="center"/>
                </w:tcPr>
                <w:p w14:paraId="51150645">
                  <w:pPr>
                    <w:spacing w:line="240" w:lineRule="auto"/>
                    <w:jc w:val="center"/>
                    <w:rPr>
                      <w:rFonts w:hint="default" w:ascii="Times New Roman" w:hAnsi="Times New Roman" w:cs="Times New Roman"/>
                      <w:b w:val="0"/>
                      <w:bCs/>
                      <w:color w:val="auto"/>
                      <w:sz w:val="21"/>
                      <w:szCs w:val="21"/>
                      <w:highlight w:val="none"/>
                      <w:lang w:eastAsia="zh-CN"/>
                    </w:rPr>
                  </w:pPr>
                </w:p>
              </w:tc>
            </w:tr>
            <w:tr w14:paraId="0F97F0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1E36CA14">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厂区</w:t>
                  </w:r>
                </w:p>
              </w:tc>
              <w:tc>
                <w:tcPr>
                  <w:tcW w:w="636" w:type="pct"/>
                  <w:vAlign w:val="center"/>
                </w:tcPr>
                <w:p w14:paraId="4F5983C8">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NMHC</w:t>
                  </w:r>
                </w:p>
              </w:tc>
              <w:tc>
                <w:tcPr>
                  <w:tcW w:w="564" w:type="pct"/>
                  <w:vAlign w:val="center"/>
                </w:tcPr>
                <w:p w14:paraId="69C99D3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3322B38B">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广东省《固定污染源挥发性有机物综合排放标准》（DB44/2367-2022）中表3厂区内VOCs无组织排放限值。</w:t>
                  </w:r>
                </w:p>
              </w:tc>
            </w:tr>
          </w:tbl>
          <w:p w14:paraId="169337A4">
            <w:pPr>
              <w:pStyle w:val="26"/>
              <w:ind w:firstLine="480"/>
              <w:rPr>
                <w:rFonts w:hint="default" w:ascii="Times New Roman" w:hAnsi="Times New Roman" w:cs="Times New Roman"/>
                <w:color w:val="auto"/>
                <w:kern w:val="0"/>
                <w:highlight w:val="none"/>
              </w:rPr>
            </w:pPr>
          </w:p>
        </w:tc>
      </w:tr>
    </w:tbl>
    <w:p w14:paraId="57DB0C05">
      <w:pPr>
        <w:rPr>
          <w:rFonts w:hint="default" w:ascii="Times New Roman" w:hAnsi="Times New Roman" w:eastAsia="宋体"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069"/>
      </w:tblGrid>
      <w:tr w14:paraId="25F3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88" w:type="pct"/>
            <w:vAlign w:val="center"/>
          </w:tcPr>
          <w:p w14:paraId="0EA948CF">
            <w:pPr>
              <w:numPr>
                <w:ilvl w:val="1"/>
                <w:numId w:val="0"/>
              </w:numPr>
              <w:tabs>
                <w:tab w:val="left" w:pos="420"/>
              </w:tabs>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运营期环境影响和保护措施</w:t>
            </w:r>
          </w:p>
        </w:tc>
        <w:tc>
          <w:tcPr>
            <w:tcW w:w="4811" w:type="pct"/>
            <w:vAlign w:val="center"/>
          </w:tcPr>
          <w:p w14:paraId="044CF444">
            <w:pPr>
              <w:pStyle w:val="34"/>
              <w:numPr>
                <w:ilvl w:val="0"/>
                <w:numId w:val="0"/>
              </w:numPr>
              <w:tabs>
                <w:tab w:val="left" w:pos="0"/>
              </w:tabs>
              <w:spacing w:after="0" w:line="360" w:lineRule="auto"/>
              <w:ind w:left="0" w:leftChars="0" w:firstLine="420" w:firstLineChars="0"/>
              <w:rPr>
                <w:rFonts w:hint="default" w:ascii="Times New Roman" w:hAnsi="Times New Roman" w:cs="Times New Roman"/>
                <w:color w:val="auto"/>
                <w:sz w:val="24"/>
                <w:highlight w:val="none"/>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cs="Times New Roman"/>
                <w:b/>
                <w:bCs/>
                <w:color w:val="auto"/>
                <w:sz w:val="24"/>
                <w:highlight w:val="none"/>
              </w:rPr>
              <w:t>废气污染源源强核算分析</w:t>
            </w:r>
          </w:p>
          <w:p w14:paraId="7FB86FD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rPr>
              <w:t>（1）</w:t>
            </w:r>
            <w:r>
              <w:rPr>
                <w:rFonts w:hint="eastAsia" w:cs="Times New Roman"/>
                <w:b/>
                <w:bCs/>
                <w:color w:val="auto"/>
                <w:sz w:val="24"/>
                <w:highlight w:val="none"/>
                <w:lang w:val="en-US" w:eastAsia="zh-CN"/>
              </w:rPr>
              <w:t>玻璃纤维制品、玻纤布、塑料配件和生活用品产污</w:t>
            </w:r>
          </w:p>
          <w:p w14:paraId="78AD9A20">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eastAsia="zh-CN"/>
              </w:rPr>
              <w:t>玻璃纤维制品、玻纤布、塑料配件和生活用品</w:t>
            </w:r>
            <w:r>
              <w:rPr>
                <w:rFonts w:hint="eastAsia" w:cs="Times New Roman"/>
                <w:b w:val="0"/>
                <w:bCs w:val="0"/>
                <w:color w:val="auto"/>
                <w:sz w:val="24"/>
                <w:highlight w:val="none"/>
                <w:lang w:val="en-US" w:eastAsia="zh-CN"/>
              </w:rPr>
              <w:t>生产线主要产生投料粉尘、织布粉尘和有机废气。其中有机废气主要来自调胶、浸酯、定型、冷却、注塑工序，主要污染因子为非甲烷总烃、苯乙烯和臭气浓度。其中调胶、浸酯</w:t>
            </w:r>
            <w:r>
              <w:rPr>
                <w:rFonts w:hint="eastAsia"/>
                <w:color w:val="auto"/>
                <w:highlight w:val="none"/>
                <w:lang w:eastAsia="zh-CN"/>
              </w:rPr>
              <w:t>、</w:t>
            </w:r>
            <w:r>
              <w:rPr>
                <w:rFonts w:hint="eastAsia"/>
                <w:color w:val="auto"/>
                <w:highlight w:val="none"/>
                <w:lang w:val="en-US" w:eastAsia="zh-CN"/>
              </w:rPr>
              <w:t>冷却</w:t>
            </w:r>
            <w:r>
              <w:rPr>
                <w:rFonts w:hint="eastAsia" w:cs="Times New Roman"/>
                <w:b w:val="0"/>
                <w:bCs w:val="0"/>
                <w:color w:val="auto"/>
                <w:sz w:val="24"/>
                <w:highlight w:val="none"/>
                <w:lang w:val="en-US" w:eastAsia="zh-CN"/>
              </w:rPr>
              <w:t>工序</w:t>
            </w:r>
            <w:r>
              <w:rPr>
                <w:rFonts w:hint="eastAsia" w:cs="Times New Roman"/>
                <w:color w:val="auto"/>
                <w:sz w:val="24"/>
                <w:highlight w:val="none"/>
                <w:lang w:val="en-US" w:eastAsia="zh-CN"/>
              </w:rPr>
              <w:t>在常温下进行，物料不会发生分解，仅注塑过程会产生少量氨气游离单体，挥发性有机物产生量极少，对环境影响不大，</w:t>
            </w:r>
            <w:r>
              <w:rPr>
                <w:rFonts w:hint="eastAsia" w:cs="Times New Roman"/>
                <w:b w:val="0"/>
                <w:bCs w:val="0"/>
                <w:color w:val="auto"/>
                <w:sz w:val="24"/>
                <w:highlight w:val="none"/>
                <w:lang w:val="en-US" w:eastAsia="zh-CN"/>
              </w:rPr>
              <w:t>仅作定性分析。</w:t>
            </w:r>
          </w:p>
          <w:p w14:paraId="41D8E921">
            <w:pPr>
              <w:spacing w:line="360" w:lineRule="auto"/>
              <w:ind w:firstLine="480" w:firstLineChars="200"/>
              <w:rPr>
                <w:rFonts w:hint="eastAsia" w:ascii="Times New Roman" w:hAnsi="Times New Roman" w:eastAsia="宋体" w:cs="Times New Roman"/>
                <w:b/>
                <w:bCs/>
                <w:color w:val="auto"/>
                <w:sz w:val="24"/>
                <w:highlight w:val="none"/>
                <w:lang w:eastAsia="zh-CN"/>
              </w:rPr>
            </w:pPr>
            <w:r>
              <w:rPr>
                <w:rFonts w:hint="eastAsia" w:ascii="Times New Roman" w:hAnsi="Times New Roman" w:cs="Times New Roman"/>
                <w:b/>
                <w:bCs/>
                <w:color w:val="auto"/>
                <w:sz w:val="24"/>
                <w:highlight w:val="none"/>
                <w:lang w:eastAsia="zh-CN"/>
              </w:rPr>
              <w:t>①</w:t>
            </w:r>
            <w:r>
              <w:rPr>
                <w:rFonts w:hint="default" w:ascii="Times New Roman" w:hAnsi="Times New Roman" w:cs="Times New Roman"/>
                <w:b/>
                <w:bCs/>
                <w:color w:val="auto"/>
                <w:sz w:val="24"/>
                <w:szCs w:val="24"/>
                <w:highlight w:val="none"/>
                <w:lang w:eastAsia="zh-CN"/>
              </w:rPr>
              <w:t>定型</w:t>
            </w:r>
            <w:r>
              <w:rPr>
                <w:rFonts w:hint="default" w:ascii="Times New Roman" w:hAnsi="Times New Roman" w:cs="Times New Roman"/>
                <w:b/>
                <w:bCs/>
                <w:color w:val="auto"/>
                <w:sz w:val="24"/>
                <w:highlight w:val="none"/>
              </w:rPr>
              <w:t>工序</w:t>
            </w:r>
          </w:p>
          <w:p w14:paraId="2FBB9182">
            <w:pPr>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在定型工序中，</w:t>
            </w:r>
            <w:r>
              <w:rPr>
                <w:rFonts w:hint="default" w:ascii="Times New Roman" w:hAnsi="Times New Roman" w:cs="Times New Roman"/>
                <w:color w:val="auto"/>
                <w:sz w:val="24"/>
                <w:highlight w:val="none"/>
                <w:lang w:eastAsia="zh-CN"/>
              </w:rPr>
              <w:t>由于不饱和聚酯树脂、色浆、固化剂在高温加热过程会产生少量异味，主要污染物为非甲烷总烃、苯乙烯</w:t>
            </w:r>
            <w:r>
              <w:rPr>
                <w:rFonts w:hint="eastAsia" w:cs="Times New Roman"/>
                <w:color w:val="auto"/>
                <w:sz w:val="24"/>
                <w:highlight w:val="none"/>
                <w:lang w:eastAsia="zh-CN"/>
              </w:rPr>
              <w:t>、</w:t>
            </w:r>
            <w:r>
              <w:rPr>
                <w:rFonts w:hint="eastAsia" w:cs="Times New Roman"/>
                <w:color w:val="auto"/>
                <w:sz w:val="24"/>
                <w:highlight w:val="none"/>
                <w:lang w:val="en-US" w:eastAsia="zh-CN"/>
              </w:rPr>
              <w:t>臭气浓度</w:t>
            </w:r>
            <w:r>
              <w:rPr>
                <w:rFonts w:hint="default" w:ascii="Times New Roman" w:hAnsi="Times New Roman" w:cs="Times New Roman"/>
                <w:color w:val="auto"/>
                <w:sz w:val="24"/>
                <w:highlight w:val="none"/>
                <w:lang w:eastAsia="zh-CN"/>
              </w:rPr>
              <w:t>。据有关资料，二噁英产生的条件为400℃以上，因此，加工过程原料不会分解，也不会产生二噁英。定型工序工作温度均达不到原料的分解温度，</w:t>
            </w:r>
            <w:r>
              <w:rPr>
                <w:rFonts w:hint="eastAsia" w:cs="Times New Roman"/>
                <w:color w:val="auto"/>
                <w:sz w:val="24"/>
                <w:highlight w:val="none"/>
                <w:lang w:val="en-US" w:eastAsia="zh-CN"/>
              </w:rPr>
              <w:t>仅</w:t>
            </w:r>
            <w:r>
              <w:rPr>
                <w:rFonts w:hint="default" w:ascii="Times New Roman" w:hAnsi="Times New Roman" w:cs="Times New Roman"/>
                <w:color w:val="auto"/>
                <w:sz w:val="24"/>
                <w:highlight w:val="none"/>
                <w:lang w:eastAsia="zh-CN"/>
              </w:rPr>
              <w:t>不饱和聚酯树脂成型过程会产生少量苯乙烯。</w:t>
            </w:r>
          </w:p>
          <w:p w14:paraId="2AA06A37">
            <w:pPr>
              <w:pStyle w:val="105"/>
              <w:spacing w:line="360" w:lineRule="auto"/>
              <w:ind w:firstLine="480"/>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A.</w:t>
            </w:r>
            <w:r>
              <w:rPr>
                <w:rFonts w:hint="default" w:ascii="Times New Roman" w:hAnsi="Times New Roman" w:eastAsia="宋体" w:cs="Times New Roman"/>
                <w:b/>
                <w:bCs/>
                <w:color w:val="auto"/>
                <w:kern w:val="2"/>
                <w:sz w:val="24"/>
                <w:szCs w:val="24"/>
                <w:highlight w:val="none"/>
                <w:lang w:val="en-US" w:eastAsia="zh-CN" w:bidi="ar-SA"/>
              </w:rPr>
              <w:t>非甲烷总烃产污系数参考取值论证</w:t>
            </w:r>
          </w:p>
          <w:p w14:paraId="22AD0781">
            <w:pPr>
              <w:spacing w:line="360" w:lineRule="auto"/>
              <w:ind w:firstLine="480" w:firstLineChars="200"/>
              <w:contextualSpacing/>
              <w:rPr>
                <w:rFonts w:hint="eastAsia" w:eastAsia="宋体"/>
                <w:color w:val="auto"/>
                <w:highlight w:val="none"/>
                <w:u w:val="none"/>
                <w:lang w:val="en-US" w:eastAsia="zh-CN"/>
              </w:rPr>
            </w:pPr>
            <w:r>
              <w:rPr>
                <w:rFonts w:hint="eastAsia" w:eastAsia="宋体"/>
                <w:color w:val="auto"/>
                <w:highlight w:val="none"/>
                <w:u w:val="none"/>
                <w:lang w:val="en-US" w:eastAsia="zh-CN"/>
              </w:rPr>
              <w:t>根据《广东省工业源挥发性有机物减排量核算方法（2023年修订版）》（粤环函〔2023〕538号）文中内容：“3.3排放量核算方法选择-（2）涂料、油墨、颜料及类似产品制造，食品制造业，农副产业加工业，造纸及纸制品业，橡胶板、管、带的制造，再生橡胶制造，泡沫塑料制造，塑料人造革、合成革制造、人造板制造等工艺过程源企业，采用排放系数法核算VOCs排放量。”以及表3.3-1企业核算方法选取参照表备注：“其他未列明的行业，可参考同类型生产工艺选取适当的计算方法”。</w:t>
            </w:r>
          </w:p>
          <w:p w14:paraId="34C4BEA1">
            <w:pPr>
              <w:spacing w:line="360" w:lineRule="auto"/>
              <w:ind w:firstLine="480" w:firstLineChars="200"/>
              <w:contextualSpacing/>
              <w:rPr>
                <w:rFonts w:hint="default" w:eastAsia="宋体"/>
                <w:color w:val="auto"/>
                <w:highlight w:val="none"/>
                <w:u w:val="none"/>
                <w:lang w:val="en-US" w:eastAsia="zh-CN"/>
              </w:rPr>
            </w:pPr>
            <w:r>
              <w:rPr>
                <w:rFonts w:hint="eastAsia" w:eastAsia="宋体"/>
                <w:color w:val="auto"/>
                <w:highlight w:val="none"/>
                <w:u w:val="none"/>
                <w:lang w:val="en-US" w:eastAsia="zh-CN"/>
              </w:rPr>
              <w:t>本项目建设项目行业类别为：二十七－非金属矿物制品业30－58、玻璃纤维和玻璃纤维增强塑料制品制造306，</w:t>
            </w:r>
            <w:r>
              <w:rPr>
                <w:rFonts w:hint="eastAsia" w:cs="Times New Roman"/>
                <w:color w:val="auto"/>
                <w:kern w:val="2"/>
                <w:sz w:val="24"/>
                <w:szCs w:val="24"/>
                <w:highlight w:val="none"/>
                <w:lang w:val="en-US" w:eastAsia="zh-CN" w:bidi="ar-SA"/>
              </w:rPr>
              <w:t>60、石墨及其他非金属矿物制品制造309</w:t>
            </w:r>
            <w:r>
              <w:rPr>
                <w:rFonts w:hint="eastAsia" w:eastAsia="宋体"/>
                <w:color w:val="auto"/>
                <w:highlight w:val="none"/>
                <w:u w:val="none"/>
                <w:lang w:val="en-US" w:eastAsia="zh-CN"/>
              </w:rPr>
              <w:t>；国民经济行业类别为：C3062玻璃纤维增强塑料制品制造，C3091石墨及碳素制品制造，属于未在列明行业内，因此本次评价中VOCs排放量核算方法</w:t>
            </w:r>
            <w:r>
              <w:rPr>
                <w:rFonts w:hint="eastAsia" w:eastAsia="宋体"/>
                <w:b/>
                <w:bCs/>
                <w:color w:val="auto"/>
                <w:highlight w:val="none"/>
                <w:u w:val="none"/>
                <w:lang w:val="en-US" w:eastAsia="zh-CN"/>
              </w:rPr>
              <w:t>参考橡胶和塑料制品业（C29）和同类型生产工艺验收监测数据，选取适当的计算方法。</w:t>
            </w:r>
          </w:p>
          <w:p w14:paraId="0AB09434">
            <w:pPr>
              <w:spacing w:line="360" w:lineRule="auto"/>
              <w:ind w:firstLine="480" w:firstLineChars="200"/>
              <w:contextualSpacing/>
              <w:rPr>
                <w:rFonts w:eastAsia="宋体"/>
                <w:color w:val="auto"/>
                <w:highlight w:val="none"/>
              </w:rPr>
            </w:pPr>
            <w:r>
              <w:rPr>
                <w:rFonts w:hint="eastAsia" w:eastAsia="宋体"/>
                <w:color w:val="auto"/>
                <w:highlight w:val="none"/>
                <w:u w:val="none"/>
                <w:lang w:val="en-US" w:eastAsia="zh-CN"/>
              </w:rPr>
              <w:t>本</w:t>
            </w:r>
            <w:r>
              <w:rPr>
                <w:rFonts w:eastAsia="宋体"/>
                <w:color w:val="auto"/>
                <w:highlight w:val="none"/>
                <w:u w:val="none"/>
              </w:rPr>
              <w:t>项目</w:t>
            </w:r>
            <w:r>
              <w:rPr>
                <w:rFonts w:hint="default" w:ascii="Times New Roman" w:hAnsi="Times New Roman" w:cs="Times New Roman"/>
                <w:color w:val="auto"/>
                <w:sz w:val="24"/>
                <w:szCs w:val="24"/>
                <w:highlight w:val="none"/>
                <w:lang w:eastAsia="zh-CN"/>
              </w:rPr>
              <w:t>定型</w:t>
            </w:r>
            <w:r>
              <w:rPr>
                <w:rFonts w:eastAsia="宋体"/>
                <w:color w:val="auto"/>
                <w:highlight w:val="none"/>
                <w:u w:val="none"/>
              </w:rPr>
              <w:t>过程产生有机废气的主要污染因子为非甲烷总烃</w:t>
            </w:r>
            <w:r>
              <w:rPr>
                <w:rFonts w:hint="eastAsia"/>
                <w:color w:val="auto"/>
                <w:highlight w:val="none"/>
                <w:u w:val="none"/>
                <w:lang w:eastAsia="zh-CN"/>
              </w:rPr>
              <w:t>，</w:t>
            </w:r>
            <w:r>
              <w:rPr>
                <w:rFonts w:hint="eastAsia"/>
                <w:color w:val="auto"/>
                <w:highlight w:val="none"/>
                <w:u w:val="none"/>
                <w:lang w:val="en-US" w:eastAsia="zh-CN"/>
              </w:rPr>
              <w:t>其</w:t>
            </w:r>
            <w:r>
              <w:rPr>
                <w:rFonts w:eastAsia="宋体"/>
                <w:color w:val="auto"/>
                <w:highlight w:val="none"/>
                <w:u w:val="none"/>
              </w:rPr>
              <w:t>过程的非甲烷总烃产污系</w:t>
            </w:r>
            <w:r>
              <w:rPr>
                <w:rFonts w:eastAsia="宋体"/>
                <w:color w:val="auto"/>
                <w:highlight w:val="none"/>
              </w:rPr>
              <w:t>数参考取值论证如下：</w:t>
            </w:r>
          </w:p>
          <w:p w14:paraId="23A5BC01">
            <w:pPr>
              <w:pStyle w:val="2"/>
              <w:keepNext w:val="0"/>
              <w:keepLines w:val="0"/>
              <w:pageBreakBefore w:val="0"/>
              <w:widowControl w:val="0"/>
              <w:kinsoku/>
              <w:wordWrap/>
              <w:overflowPunct/>
              <w:topLinePunct w:val="0"/>
              <w:autoSpaceDE w:val="0"/>
              <w:autoSpaceDN w:val="0"/>
              <w:bidi w:val="0"/>
              <w:adjustRightInd w:val="0"/>
              <w:snapToGrid/>
              <w:spacing w:after="0" w:line="360" w:lineRule="auto"/>
              <w:ind w:firstLine="480" w:firstLineChars="20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参考</w:t>
            </w:r>
            <w:r>
              <w:rPr>
                <w:rFonts w:hint="eastAsia" w:ascii="Times New Roman" w:eastAsia="宋体" w:cs="Times New Roman"/>
                <w:color w:val="auto"/>
                <w:szCs w:val="24"/>
                <w:highlight w:val="none"/>
                <w:lang w:eastAsia="zh-CN"/>
              </w:rPr>
              <w:t>相关</w:t>
            </w:r>
            <w:r>
              <w:rPr>
                <w:rFonts w:ascii="Times New Roman" w:hAnsi="Times New Roman" w:eastAsia="宋体" w:cs="Times New Roman"/>
                <w:color w:val="auto"/>
                <w:szCs w:val="24"/>
                <w:highlight w:val="none"/>
              </w:rPr>
              <w:t>项目非甲烷总烃产污系数参考取值详见下表。</w:t>
            </w:r>
          </w:p>
          <w:p w14:paraId="02006AC6">
            <w:pPr>
              <w:pStyle w:val="117"/>
              <w:rPr>
                <w:rFonts w:eastAsia="宋体"/>
                <w:color w:val="auto"/>
                <w:highlight w:val="none"/>
              </w:rPr>
            </w:pPr>
            <w:bookmarkStart w:id="107" w:name="_Hlk134717749"/>
            <w:r>
              <w:rPr>
                <w:rFonts w:eastAsia="宋体"/>
                <w:color w:val="auto"/>
                <w:highlight w:val="none"/>
              </w:rPr>
              <w:t>表</w:t>
            </w:r>
            <w:r>
              <w:rPr>
                <w:rFonts w:hint="eastAsia" w:eastAsia="宋体"/>
                <w:color w:val="auto"/>
                <w:highlight w:val="none"/>
                <w:lang w:val="en-US" w:eastAsia="zh-CN"/>
              </w:rPr>
              <w:t xml:space="preserve">4-4 </w:t>
            </w:r>
            <w:r>
              <w:rPr>
                <w:rFonts w:eastAsia="宋体"/>
                <w:color w:val="auto"/>
                <w:highlight w:val="none"/>
              </w:rPr>
              <w:t>项目</w:t>
            </w:r>
            <w:r>
              <w:rPr>
                <w:rFonts w:hint="eastAsia" w:eastAsia="宋体"/>
                <w:color w:val="auto"/>
                <w:highlight w:val="none"/>
                <w:lang w:val="en-US" w:eastAsia="zh-CN"/>
              </w:rPr>
              <w:t>有机废气</w:t>
            </w:r>
            <w:r>
              <w:rPr>
                <w:rFonts w:eastAsia="宋体"/>
                <w:color w:val="auto"/>
                <w:highlight w:val="none"/>
              </w:rPr>
              <w:t>产污系数参考取值汇总表</w:t>
            </w:r>
          </w:p>
          <w:bookmarkEnd w:id="107"/>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0"/>
              <w:gridCol w:w="3437"/>
              <w:gridCol w:w="1007"/>
              <w:gridCol w:w="1436"/>
              <w:gridCol w:w="1483"/>
            </w:tblGrid>
            <w:tr w14:paraId="2ABB9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80" w:type="dxa"/>
                  <w:vAlign w:val="center"/>
                </w:tcPr>
                <w:p w14:paraId="547EC0BD">
                  <w:pPr>
                    <w:pStyle w:val="60"/>
                    <w:widowControl w:val="0"/>
                    <w:rPr>
                      <w:rFonts w:eastAsia="宋体"/>
                      <w:b/>
                      <w:bCs/>
                      <w:color w:val="auto"/>
                      <w:highlight w:val="none"/>
                    </w:rPr>
                  </w:pPr>
                  <w:r>
                    <w:rPr>
                      <w:rFonts w:eastAsia="宋体"/>
                      <w:b/>
                      <w:bCs/>
                      <w:color w:val="auto"/>
                      <w:highlight w:val="none"/>
                    </w:rPr>
                    <w:t>序号</w:t>
                  </w:r>
                </w:p>
              </w:tc>
              <w:tc>
                <w:tcPr>
                  <w:tcW w:w="3437" w:type="dxa"/>
                  <w:vAlign w:val="center"/>
                </w:tcPr>
                <w:p w14:paraId="0CF11837">
                  <w:pPr>
                    <w:pStyle w:val="60"/>
                    <w:widowControl w:val="0"/>
                    <w:rPr>
                      <w:rFonts w:eastAsia="宋体"/>
                      <w:b/>
                      <w:bCs/>
                      <w:color w:val="auto"/>
                      <w:highlight w:val="none"/>
                    </w:rPr>
                  </w:pPr>
                  <w:r>
                    <w:rPr>
                      <w:rFonts w:eastAsia="宋体"/>
                      <w:b/>
                      <w:bCs/>
                      <w:color w:val="auto"/>
                      <w:highlight w:val="none"/>
                    </w:rPr>
                    <w:t>名称</w:t>
                  </w:r>
                </w:p>
              </w:tc>
              <w:tc>
                <w:tcPr>
                  <w:tcW w:w="1007" w:type="dxa"/>
                  <w:vAlign w:val="center"/>
                </w:tcPr>
                <w:p w14:paraId="40F3277A">
                  <w:pPr>
                    <w:pStyle w:val="60"/>
                    <w:widowControl w:val="0"/>
                    <w:rPr>
                      <w:rFonts w:eastAsia="宋体"/>
                      <w:b/>
                      <w:bCs/>
                      <w:color w:val="auto"/>
                      <w:highlight w:val="none"/>
                    </w:rPr>
                  </w:pPr>
                  <w:r>
                    <w:rPr>
                      <w:rFonts w:eastAsia="宋体"/>
                      <w:b/>
                      <w:bCs/>
                      <w:color w:val="auto"/>
                      <w:highlight w:val="none"/>
                    </w:rPr>
                    <w:t>原料</w:t>
                  </w:r>
                </w:p>
              </w:tc>
              <w:tc>
                <w:tcPr>
                  <w:tcW w:w="1436" w:type="dxa"/>
                  <w:vAlign w:val="center"/>
                </w:tcPr>
                <w:p w14:paraId="78305BA2">
                  <w:pPr>
                    <w:pStyle w:val="60"/>
                    <w:widowControl w:val="0"/>
                    <w:rPr>
                      <w:rFonts w:eastAsia="宋体"/>
                      <w:b/>
                      <w:bCs/>
                      <w:color w:val="auto"/>
                      <w:highlight w:val="none"/>
                    </w:rPr>
                  </w:pPr>
                  <w:r>
                    <w:rPr>
                      <w:rFonts w:eastAsia="宋体"/>
                      <w:b/>
                      <w:bCs/>
                      <w:color w:val="auto"/>
                      <w:highlight w:val="none"/>
                    </w:rPr>
                    <w:t>生产工艺</w:t>
                  </w:r>
                </w:p>
              </w:tc>
              <w:tc>
                <w:tcPr>
                  <w:tcW w:w="1483" w:type="dxa"/>
                  <w:vAlign w:val="center"/>
                </w:tcPr>
                <w:p w14:paraId="68F990AB">
                  <w:pPr>
                    <w:pStyle w:val="60"/>
                    <w:widowControl w:val="0"/>
                    <w:rPr>
                      <w:rFonts w:eastAsia="宋体"/>
                      <w:b/>
                      <w:bCs/>
                      <w:color w:val="auto"/>
                      <w:highlight w:val="none"/>
                    </w:rPr>
                  </w:pPr>
                  <w:r>
                    <w:rPr>
                      <w:rFonts w:eastAsia="宋体"/>
                      <w:b/>
                      <w:bCs/>
                      <w:color w:val="auto"/>
                      <w:highlight w:val="none"/>
                    </w:rPr>
                    <w:t>非甲烷总烃产污系数取值</w:t>
                  </w:r>
                </w:p>
              </w:tc>
            </w:tr>
            <w:tr w14:paraId="62B73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80" w:type="dxa"/>
                  <w:vAlign w:val="center"/>
                </w:tcPr>
                <w:p w14:paraId="66908F4F">
                  <w:pPr>
                    <w:pStyle w:val="118"/>
                    <w:rPr>
                      <w:rFonts w:hint="eastAsia" w:eastAsia="宋体" w:cs="Times New Roman"/>
                      <w:color w:val="auto"/>
                      <w:szCs w:val="21"/>
                      <w:highlight w:val="none"/>
                      <w:lang w:eastAsia="zh-CN"/>
                    </w:rPr>
                  </w:pPr>
                  <w:r>
                    <w:rPr>
                      <w:rFonts w:hint="eastAsia" w:eastAsia="宋体" w:cs="Times New Roman"/>
                      <w:color w:val="auto"/>
                      <w:szCs w:val="21"/>
                      <w:highlight w:val="none"/>
                      <w:lang w:val="en-US" w:eastAsia="zh-CN"/>
                    </w:rPr>
                    <w:t>1</w:t>
                  </w:r>
                </w:p>
              </w:tc>
              <w:tc>
                <w:tcPr>
                  <w:tcW w:w="3437" w:type="dxa"/>
                  <w:vAlign w:val="center"/>
                </w:tcPr>
                <w:p w14:paraId="77BC6B9F">
                  <w:pPr>
                    <w:pStyle w:val="118"/>
                    <w:rPr>
                      <w:rFonts w:hint="eastAsia" w:eastAsia="宋体" w:cs="Times New Roman"/>
                      <w:color w:val="auto"/>
                      <w:highlight w:val="none"/>
                      <w:lang w:eastAsia="zh-CN"/>
                    </w:rPr>
                  </w:pPr>
                  <w:r>
                    <w:rPr>
                      <w:rFonts w:eastAsia="宋体" w:cs="Times New Roman"/>
                      <w:color w:val="auto"/>
                      <w:highlight w:val="none"/>
                    </w:rPr>
                    <w:t>参考《</w:t>
                  </w:r>
                  <w:r>
                    <w:rPr>
                      <w:rFonts w:hint="eastAsia" w:eastAsia="宋体" w:cs="Times New Roman"/>
                      <w:color w:val="auto"/>
                      <w:highlight w:val="none"/>
                      <w:lang w:eastAsia="zh-CN"/>
                    </w:rPr>
                    <w:t>韶关豪立再生资源利用有限公司玻璃纤维增强塑料制品制造生产线技术改造（扩建）项目环境影响报告表》</w:t>
                  </w:r>
                  <w:r>
                    <w:rPr>
                      <w:rFonts w:hint="eastAsia" w:eastAsia="宋体" w:cs="Times New Roman"/>
                      <w:color w:val="auto"/>
                      <w:highlight w:val="none"/>
                      <w:u w:val="none"/>
                    </w:rPr>
                    <w:t>工艺废气非甲烷总烃产生量系数</w:t>
                  </w:r>
                  <w:r>
                    <w:rPr>
                      <w:rFonts w:hint="eastAsia" w:eastAsia="宋体" w:cs="Times New Roman"/>
                      <w:color w:val="auto"/>
                      <w:highlight w:val="none"/>
                      <w:u w:val="none"/>
                      <w:lang w:eastAsia="zh-CN"/>
                    </w:rPr>
                    <w:t>及《</w:t>
                  </w:r>
                  <w:r>
                    <w:rPr>
                      <w:rFonts w:hint="eastAsia" w:eastAsia="宋体" w:cs="Times New Roman"/>
                      <w:color w:val="auto"/>
                      <w:highlight w:val="none"/>
                      <w:lang w:eastAsia="zh-CN"/>
                    </w:rPr>
                    <w:t>韶关豪立再生资源利用有限公司</w:t>
                  </w:r>
                  <w:r>
                    <w:rPr>
                      <w:rFonts w:hint="eastAsia" w:eastAsia="宋体" w:cs="Times New Roman"/>
                      <w:color w:val="auto"/>
                      <w:highlight w:val="none"/>
                      <w:u w:val="none"/>
                      <w:lang w:eastAsia="zh-CN"/>
                    </w:rPr>
                    <w:t>验收检测报告》内容（附件</w:t>
                  </w:r>
                  <w:r>
                    <w:rPr>
                      <w:rFonts w:hint="eastAsia" w:eastAsia="宋体" w:cs="Times New Roman"/>
                      <w:color w:val="auto"/>
                      <w:highlight w:val="none"/>
                      <w:u w:val="none"/>
                      <w:lang w:val="en-US" w:eastAsia="zh-CN"/>
                    </w:rPr>
                    <w:t>7</w:t>
                  </w:r>
                  <w:r>
                    <w:rPr>
                      <w:rFonts w:hint="eastAsia" w:eastAsia="宋体" w:cs="Times New Roman"/>
                      <w:color w:val="auto"/>
                      <w:highlight w:val="none"/>
                      <w:u w:val="none"/>
                      <w:lang w:eastAsia="zh-CN"/>
                    </w:rPr>
                    <w:t>）</w:t>
                  </w:r>
                </w:p>
              </w:tc>
              <w:tc>
                <w:tcPr>
                  <w:tcW w:w="1007" w:type="dxa"/>
                  <w:vAlign w:val="center"/>
                </w:tcPr>
                <w:p w14:paraId="6C5E4B4C">
                  <w:pPr>
                    <w:pStyle w:val="118"/>
                    <w:rPr>
                      <w:rFonts w:eastAsia="宋体" w:cs="Times New Roman"/>
                      <w:color w:val="auto"/>
                      <w:highlight w:val="none"/>
                    </w:rPr>
                  </w:pPr>
                  <w:r>
                    <w:rPr>
                      <w:rFonts w:hint="eastAsia" w:eastAsia="宋体" w:cs="Times New Roman"/>
                      <w:color w:val="auto"/>
                      <w:highlight w:val="none"/>
                    </w:rPr>
                    <w:t>不饱和聚酯树脂、色浆、固化剂</w:t>
                  </w:r>
                </w:p>
              </w:tc>
              <w:tc>
                <w:tcPr>
                  <w:tcW w:w="1436" w:type="dxa"/>
                  <w:vAlign w:val="center"/>
                </w:tcPr>
                <w:p w14:paraId="722724C3">
                  <w:pPr>
                    <w:pStyle w:val="118"/>
                    <w:rPr>
                      <w:rFonts w:eastAsia="宋体" w:cs="Times New Roman"/>
                      <w:color w:val="auto"/>
                      <w:highlight w:val="none"/>
                    </w:rPr>
                  </w:pPr>
                  <w:r>
                    <w:rPr>
                      <w:rFonts w:hint="default" w:ascii="Times New Roman" w:hAnsi="Times New Roman" w:cs="Times New Roman"/>
                      <w:bCs/>
                      <w:color w:val="auto"/>
                      <w:sz w:val="21"/>
                      <w:szCs w:val="21"/>
                      <w:highlight w:val="none"/>
                      <w:lang w:val="en-US" w:eastAsia="zh-CN"/>
                    </w:rPr>
                    <w:t>定型</w:t>
                  </w:r>
                </w:p>
              </w:tc>
              <w:tc>
                <w:tcPr>
                  <w:tcW w:w="1483" w:type="dxa"/>
                  <w:vAlign w:val="center"/>
                </w:tcPr>
                <w:p w14:paraId="121C4D37">
                  <w:pPr>
                    <w:pStyle w:val="118"/>
                    <w:rPr>
                      <w:rFonts w:hint="eastAsia" w:eastAsia="宋体" w:cs="Times New Roman"/>
                      <w:color w:val="auto"/>
                      <w:highlight w:val="none"/>
                      <w:lang w:eastAsia="zh-CN"/>
                    </w:rPr>
                  </w:pPr>
                  <w:r>
                    <w:rPr>
                      <w:rFonts w:hint="eastAsia" w:eastAsia="宋体" w:cs="Times New Roman"/>
                      <w:color w:val="auto"/>
                      <w:highlight w:val="none"/>
                      <w:lang w:val="en-US" w:eastAsia="zh-CN"/>
                    </w:rPr>
                    <w:t>非甲烷总烃2.132</w:t>
                  </w:r>
                  <w:r>
                    <w:rPr>
                      <w:rFonts w:eastAsia="宋体" w:cs="Times New Roman"/>
                      <w:color w:val="auto"/>
                      <w:highlight w:val="none"/>
                    </w:rPr>
                    <w:t>kg/t</w:t>
                  </w:r>
                  <w:r>
                    <w:rPr>
                      <w:rFonts w:hint="eastAsia" w:eastAsia="宋体" w:cs="Times New Roman"/>
                      <w:color w:val="auto"/>
                      <w:highlight w:val="none"/>
                      <w:lang w:val="en-US" w:eastAsia="zh-CN"/>
                    </w:rPr>
                    <w:t>-</w:t>
                  </w:r>
                  <w:r>
                    <w:rPr>
                      <w:rFonts w:eastAsia="宋体" w:cs="Times New Roman"/>
                      <w:color w:val="auto"/>
                      <w:highlight w:val="none"/>
                    </w:rPr>
                    <w:t>产品</w:t>
                  </w:r>
                  <w:r>
                    <w:rPr>
                      <w:rFonts w:hint="eastAsia" w:eastAsia="宋体" w:cs="Times New Roman"/>
                      <w:color w:val="auto"/>
                      <w:highlight w:val="none"/>
                      <w:lang w:eastAsia="zh-CN"/>
                    </w:rPr>
                    <w:t>；</w:t>
                  </w:r>
                </w:p>
                <w:p w14:paraId="5C8BE5CD">
                  <w:pPr>
                    <w:pStyle w:val="118"/>
                    <w:rPr>
                      <w:rFonts w:hint="eastAsia" w:eastAsia="宋体" w:cs="Times New Roman"/>
                      <w:color w:val="auto"/>
                      <w:highlight w:val="none"/>
                      <w:lang w:val="en-US" w:eastAsia="zh-CN"/>
                    </w:rPr>
                  </w:pPr>
                  <w:r>
                    <w:rPr>
                      <w:rFonts w:hint="eastAsia" w:eastAsia="宋体" w:cs="Times New Roman"/>
                      <w:color w:val="auto"/>
                      <w:highlight w:val="none"/>
                      <w:lang w:val="en-US" w:eastAsia="zh-CN"/>
                    </w:rPr>
                    <w:t>苯乙烯</w:t>
                  </w:r>
                  <w:r>
                    <w:rPr>
                      <w:rFonts w:hint="eastAsia" w:eastAsia="宋体" w:cs="Times New Roman"/>
                      <w:color w:val="auto"/>
                      <w:szCs w:val="24"/>
                      <w:highlight w:val="none"/>
                      <w:u w:val="none"/>
                      <w:lang w:val="en-US" w:eastAsia="zh-CN"/>
                    </w:rPr>
                    <w:t>0.92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w:t>
                  </w:r>
                </w:p>
              </w:tc>
            </w:tr>
            <w:tr w14:paraId="7CD8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0" w:type="dxa"/>
                  <w:vAlign w:val="center"/>
                </w:tcPr>
                <w:p w14:paraId="62907944">
                  <w:pPr>
                    <w:pStyle w:val="118"/>
                    <w:rPr>
                      <w:rFonts w:hint="eastAsia" w:eastAsia="宋体" w:cs="Times New Roman"/>
                      <w:color w:val="auto"/>
                      <w:szCs w:val="21"/>
                      <w:highlight w:val="none"/>
                      <w:lang w:val="en-US" w:eastAsia="zh-CN"/>
                    </w:rPr>
                  </w:pPr>
                  <w:r>
                    <w:rPr>
                      <w:rFonts w:hint="eastAsia" w:eastAsia="宋体" w:cs="Times New Roman"/>
                      <w:color w:val="auto"/>
                      <w:szCs w:val="21"/>
                      <w:highlight w:val="none"/>
                      <w:lang w:val="en-US" w:eastAsia="zh-CN"/>
                    </w:rPr>
                    <w:t>2</w:t>
                  </w:r>
                </w:p>
              </w:tc>
              <w:tc>
                <w:tcPr>
                  <w:tcW w:w="3437" w:type="dxa"/>
                  <w:vAlign w:val="center"/>
                </w:tcPr>
                <w:p w14:paraId="554F8E30">
                  <w:pPr>
                    <w:pStyle w:val="118"/>
                    <w:rPr>
                      <w:rFonts w:eastAsia="宋体" w:cs="Times New Roman"/>
                      <w:color w:val="auto"/>
                      <w:highlight w:val="none"/>
                    </w:rPr>
                  </w:pPr>
                  <w:r>
                    <w:rPr>
                      <w:rFonts w:hint="eastAsia" w:eastAsia="宋体" w:cs="Times New Roman"/>
                      <w:color w:val="auto"/>
                      <w:highlight w:val="none"/>
                      <w:lang w:val="en-US" w:eastAsia="zh-CN"/>
                    </w:rPr>
                    <w:t>参考</w:t>
                  </w:r>
                  <w:r>
                    <w:rPr>
                      <w:rFonts w:hint="eastAsia" w:eastAsia="宋体" w:cs="Times New Roman"/>
                      <w:color w:val="auto"/>
                      <w:highlight w:val="none"/>
                    </w:rPr>
                    <w:t>《排放源统计调查产排污核算方法和系数手册》中的《292 塑料制品行业系数手册》，“2927日用塑料制品制造行业</w:t>
                  </w:r>
                </w:p>
              </w:tc>
              <w:tc>
                <w:tcPr>
                  <w:tcW w:w="1007" w:type="dxa"/>
                  <w:vAlign w:val="center"/>
                </w:tcPr>
                <w:p w14:paraId="7E5457DA">
                  <w:pPr>
                    <w:pStyle w:val="118"/>
                    <w:rPr>
                      <w:rFonts w:hint="eastAsia" w:eastAsia="宋体" w:cs="Times New Roman"/>
                      <w:color w:val="auto"/>
                      <w:szCs w:val="21"/>
                      <w:highlight w:val="none"/>
                      <w:lang w:val="en-US" w:eastAsia="zh-CN"/>
                    </w:rPr>
                  </w:pPr>
                  <w:r>
                    <w:rPr>
                      <w:rFonts w:hint="eastAsia" w:eastAsia="宋体" w:cs="Times New Roman"/>
                      <w:color w:val="auto"/>
                      <w:szCs w:val="21"/>
                      <w:highlight w:val="none"/>
                      <w:lang w:val="en-US" w:eastAsia="zh-CN"/>
                    </w:rPr>
                    <w:t>/</w:t>
                  </w:r>
                </w:p>
              </w:tc>
              <w:tc>
                <w:tcPr>
                  <w:tcW w:w="1436" w:type="dxa"/>
                  <w:vAlign w:val="center"/>
                </w:tcPr>
                <w:p w14:paraId="05F69730">
                  <w:pPr>
                    <w:pStyle w:val="118"/>
                    <w:rPr>
                      <w:rFonts w:hint="default" w:eastAsia="宋体" w:cs="Times New Roman"/>
                      <w:color w:val="auto"/>
                      <w:szCs w:val="21"/>
                      <w:highlight w:val="none"/>
                      <w:lang w:val="en-US" w:eastAsia="zh-CN"/>
                    </w:rPr>
                  </w:pPr>
                  <w:r>
                    <w:rPr>
                      <w:rFonts w:hint="eastAsia" w:eastAsia="宋体" w:cs="Times New Roman"/>
                      <w:color w:val="auto"/>
                      <w:szCs w:val="21"/>
                      <w:highlight w:val="none"/>
                      <w:lang w:val="en-US" w:eastAsia="zh-CN"/>
                    </w:rPr>
                    <w:t>注塑</w:t>
                  </w:r>
                </w:p>
              </w:tc>
              <w:tc>
                <w:tcPr>
                  <w:tcW w:w="1483" w:type="dxa"/>
                  <w:vAlign w:val="center"/>
                </w:tcPr>
                <w:p w14:paraId="68236FB1">
                  <w:pPr>
                    <w:pStyle w:val="118"/>
                    <w:rPr>
                      <w:rFonts w:hint="eastAsia" w:eastAsia="宋体" w:cs="Times New Roman"/>
                      <w:color w:val="auto"/>
                      <w:highlight w:val="none"/>
                      <w:lang w:val="en-US" w:eastAsia="zh-CN"/>
                    </w:rPr>
                  </w:pPr>
                  <w:r>
                    <w:rPr>
                      <w:rFonts w:hint="eastAsia" w:eastAsia="宋体" w:cs="Times New Roman"/>
                      <w:color w:val="auto"/>
                      <w:highlight w:val="none"/>
                      <w:lang w:val="en-US" w:eastAsia="zh-CN"/>
                    </w:rPr>
                    <w:t>2.7kg/t-产品</w:t>
                  </w:r>
                </w:p>
              </w:tc>
            </w:tr>
          </w:tbl>
          <w:p w14:paraId="34285984">
            <w:pPr>
              <w:pStyle w:val="116"/>
              <w:ind w:firstLine="480"/>
              <w:rPr>
                <w:rFonts w:hint="eastAsia" w:eastAsia="宋体" w:cs="Times New Roman"/>
                <w:color w:val="auto"/>
                <w:highlight w:val="none"/>
                <w:lang w:eastAsia="zh-CN"/>
              </w:rPr>
            </w:pPr>
            <w:r>
              <w:rPr>
                <w:rFonts w:hint="eastAsia" w:eastAsia="宋体" w:cs="Times New Roman"/>
                <w:color w:val="auto"/>
                <w:highlight w:val="none"/>
                <w:lang w:eastAsia="zh-CN"/>
              </w:rPr>
              <w:t>定型过程产生有机废气产污系数</w:t>
            </w:r>
            <w:r>
              <w:rPr>
                <w:rFonts w:hint="eastAsia" w:eastAsia="宋体" w:cs="Times New Roman"/>
                <w:color w:val="auto"/>
                <w:highlight w:val="none"/>
                <w:lang w:val="en-US" w:eastAsia="zh-CN"/>
              </w:rPr>
              <w:t>与产生量计算如下</w:t>
            </w:r>
            <w:r>
              <w:rPr>
                <w:rFonts w:hint="eastAsia" w:eastAsia="宋体" w:cs="Times New Roman"/>
                <w:color w:val="auto"/>
                <w:highlight w:val="none"/>
                <w:lang w:eastAsia="zh-CN"/>
              </w:rPr>
              <w:t>：</w:t>
            </w:r>
          </w:p>
          <w:p w14:paraId="51201123">
            <w:pPr>
              <w:pStyle w:val="116"/>
              <w:ind w:firstLine="480"/>
              <w:rPr>
                <w:rFonts w:hint="default" w:eastAsia="宋体" w:cs="Times New Roman"/>
                <w:color w:val="auto"/>
                <w:highlight w:val="none"/>
                <w:vertAlign w:val="baseline"/>
                <w:lang w:val="en-US" w:eastAsia="zh-CN"/>
              </w:rPr>
            </w:pPr>
            <w:r>
              <w:rPr>
                <w:rFonts w:hint="eastAsia" w:eastAsia="宋体" w:cs="Times New Roman"/>
                <w:color w:val="auto"/>
                <w:highlight w:val="none"/>
                <w:lang w:eastAsia="zh-CN"/>
              </w:rPr>
              <w:t>根据</w:t>
            </w:r>
            <w:r>
              <w:rPr>
                <w:rFonts w:hint="eastAsia" w:eastAsia="宋体" w:cs="Times New Roman"/>
                <w:color w:val="auto"/>
                <w:highlight w:val="none"/>
                <w:u w:val="none"/>
                <w:lang w:eastAsia="zh-CN"/>
              </w:rPr>
              <w:t>《韶关豪立再生资源利用有限公司验收监测报告》内容（附件</w:t>
            </w:r>
            <w:r>
              <w:rPr>
                <w:rFonts w:hint="eastAsia" w:eastAsia="宋体" w:cs="Times New Roman"/>
                <w:color w:val="auto"/>
                <w:highlight w:val="none"/>
                <w:u w:val="none"/>
                <w:lang w:val="en-US" w:eastAsia="zh-CN"/>
              </w:rPr>
              <w:t>7</w:t>
            </w:r>
            <w:r>
              <w:rPr>
                <w:rFonts w:hint="eastAsia" w:eastAsia="宋体" w:cs="Times New Roman"/>
                <w:color w:val="auto"/>
                <w:highlight w:val="none"/>
                <w:u w:val="none"/>
                <w:lang w:eastAsia="zh-CN"/>
              </w:rPr>
              <w:t>）可知：</w:t>
            </w:r>
            <w:r>
              <w:rPr>
                <w:rFonts w:hint="eastAsia" w:eastAsia="宋体" w:cs="Times New Roman"/>
                <w:color w:val="auto"/>
                <w:highlight w:val="none"/>
                <w:u w:val="none"/>
                <w:lang w:val="en-US" w:eastAsia="zh-CN"/>
              </w:rPr>
              <w:t>监测期间内（2024.06.13~2024.06.14），定型工序废气</w:t>
            </w:r>
            <w:r>
              <w:rPr>
                <w:rFonts w:eastAsia="宋体" w:cs="Times New Roman"/>
                <w:color w:val="auto"/>
                <w:highlight w:val="none"/>
              </w:rPr>
              <w:t>处理前非甲烷总烃浓度</w:t>
            </w:r>
            <w:r>
              <w:rPr>
                <w:rFonts w:hint="eastAsia" w:eastAsia="宋体" w:cs="Times New Roman"/>
                <w:color w:val="auto"/>
                <w:highlight w:val="none"/>
                <w:lang w:val="en-US" w:eastAsia="zh-CN"/>
              </w:rPr>
              <w:t>在29.7</w:t>
            </w:r>
            <w:r>
              <w:rPr>
                <w:rFonts w:eastAsia="宋体" w:cs="Times New Roman"/>
                <w:color w:val="auto"/>
                <w:highlight w:val="none"/>
              </w:rPr>
              <w:t>~</w:t>
            </w:r>
            <w:r>
              <w:rPr>
                <w:rFonts w:hint="eastAsia" w:eastAsia="宋体" w:cs="Times New Roman"/>
                <w:color w:val="auto"/>
                <w:highlight w:val="no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本次评价</w:t>
            </w:r>
            <w:r>
              <w:rPr>
                <w:rFonts w:hint="eastAsia" w:eastAsia="宋体" w:cs="Times New Roman"/>
                <w:color w:val="auto"/>
                <w:highlight w:val="none"/>
                <w:vertAlign w:val="baseline"/>
                <w:lang w:eastAsia="zh-CN"/>
              </w:rPr>
              <w:t>取最大值</w:t>
            </w:r>
            <w:r>
              <w:rPr>
                <w:rFonts w:hint="eastAsia" w:eastAsia="宋体" w:cs="Times New Roman"/>
                <w:color w:val="auto"/>
                <w:highlight w:val="none"/>
                <w:vertAlign w:val="baseli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标杆流量在22184~22535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h，本次评价取最大值22535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w:t>
            </w:r>
          </w:p>
          <w:p w14:paraId="104257A1">
            <w:pPr>
              <w:pStyle w:val="116"/>
              <w:ind w:firstLine="480"/>
              <w:rPr>
                <w:rFonts w:hint="default" w:eastAsia="宋体"/>
                <w:color w:val="auto"/>
                <w:highlight w:val="none"/>
                <w:u w:val="single"/>
                <w:lang w:val="en-US" w:eastAsia="zh-CN"/>
              </w:rPr>
            </w:pPr>
            <w:r>
              <w:rPr>
                <w:rFonts w:hint="eastAsia" w:eastAsia="宋体" w:cs="Times New Roman"/>
                <w:color w:val="auto"/>
                <w:highlight w:val="none"/>
                <w:vertAlign w:val="baseline"/>
                <w:lang w:eastAsia="zh-CN"/>
              </w:rPr>
              <w:t>《韶关豪立再生资源利用有限公司</w:t>
            </w:r>
            <w:r>
              <w:rPr>
                <w:rFonts w:hint="eastAsia" w:eastAsia="宋体" w:cs="Times New Roman"/>
                <w:color w:val="auto"/>
                <w:highlight w:val="none"/>
                <w:u w:val="none"/>
                <w:lang w:eastAsia="zh-CN"/>
              </w:rPr>
              <w:t>玻璃纤维增强塑料制品制造生产线技术改造（扩建）项目环境影响报告表</w:t>
            </w:r>
            <w:r>
              <w:rPr>
                <w:rFonts w:hint="eastAsia" w:eastAsia="宋体" w:cs="Times New Roman"/>
                <w:color w:val="auto"/>
                <w:highlight w:val="none"/>
                <w:u w:val="none"/>
                <w:vertAlign w:val="baseline"/>
                <w:lang w:eastAsia="zh-CN"/>
              </w:rPr>
              <w:t>》中废气收集方式采用在</w:t>
            </w:r>
            <w:r>
              <w:rPr>
                <w:rFonts w:hint="default" w:ascii="Times New Roman" w:hAnsi="Times New Roman" w:cs="Times New Roman"/>
                <w:color w:val="auto"/>
                <w:sz w:val="24"/>
                <w:highlight w:val="none"/>
                <w:lang w:eastAsia="zh-CN"/>
              </w:rPr>
              <w:t>设备上方设置的集气罩</w:t>
            </w:r>
            <w:r>
              <w:rPr>
                <w:rFonts w:hint="eastAsia" w:ascii="Times New Roman" w:hAnsi="Times New Roman" w:cs="Times New Roman"/>
                <w:color w:val="auto"/>
                <w:sz w:val="24"/>
                <w:highlight w:val="none"/>
                <w:lang w:eastAsia="zh-CN"/>
              </w:rPr>
              <w:t>并在</w:t>
            </w:r>
            <w:r>
              <w:rPr>
                <w:rFonts w:hint="default" w:ascii="Times New Roman" w:hAnsi="Times New Roman" w:cs="Times New Roman"/>
                <w:color w:val="auto"/>
                <w:sz w:val="24"/>
                <w:highlight w:val="none"/>
                <w:lang w:eastAsia="zh-CN"/>
              </w:rPr>
              <w:t>四周安装透明帘</w:t>
            </w:r>
            <w:r>
              <w:rPr>
                <w:rFonts w:hint="eastAsia" w:ascii="Times New Roman" w:hAnsi="Times New Roman" w:cs="Times New Roman"/>
                <w:color w:val="auto"/>
                <w:sz w:val="24"/>
                <w:highlight w:val="none"/>
                <w:lang w:eastAsia="zh-CN"/>
              </w:rPr>
              <w:t>，</w:t>
            </w:r>
            <w:r>
              <w:rPr>
                <w:rFonts w:eastAsia="宋体"/>
                <w:color w:val="auto"/>
                <w:highlight w:val="none"/>
                <w:u w:val="none"/>
              </w:rPr>
              <w:t>废气收集效率</w:t>
            </w:r>
            <w:r>
              <w:rPr>
                <w:rFonts w:hint="eastAsia" w:eastAsia="宋体"/>
                <w:color w:val="auto"/>
                <w:highlight w:val="none"/>
                <w:u w:val="none"/>
                <w:lang w:val="en-US" w:eastAsia="zh-CN"/>
              </w:rPr>
              <w:t>为5</w:t>
            </w:r>
            <w:r>
              <w:rPr>
                <w:rFonts w:eastAsia="宋体"/>
                <w:color w:val="auto"/>
                <w:highlight w:val="none"/>
                <w:u w:val="none"/>
              </w:rPr>
              <w:t>0%</w:t>
            </w:r>
            <w:r>
              <w:rPr>
                <w:rFonts w:hint="eastAsia" w:eastAsia="宋体"/>
                <w:color w:val="auto"/>
                <w:highlight w:val="none"/>
                <w:u w:val="none"/>
                <w:lang w:eastAsia="zh-CN"/>
              </w:rPr>
              <w:t>；</w:t>
            </w:r>
            <w:r>
              <w:rPr>
                <w:rFonts w:hint="eastAsia" w:eastAsia="宋体"/>
                <w:color w:val="auto"/>
                <w:highlight w:val="none"/>
                <w:u w:val="none"/>
              </w:rPr>
              <w:t>监测期间</w:t>
            </w:r>
            <w:r>
              <w:rPr>
                <w:rFonts w:hint="eastAsia" w:eastAsia="宋体" w:cs="Times New Roman"/>
                <w:color w:val="auto"/>
                <w:highlight w:val="none"/>
                <w:u w:val="none"/>
                <w:lang w:val="en-US" w:eastAsia="zh-CN"/>
              </w:rPr>
              <w:t>内（2024.06.13~2024.06.14）</w:t>
            </w:r>
            <w:r>
              <w:rPr>
                <w:rFonts w:hint="eastAsia" w:eastAsia="宋体"/>
                <w:color w:val="auto"/>
                <w:highlight w:val="none"/>
                <w:u w:val="none"/>
                <w:lang w:val="en-US" w:eastAsia="zh-CN"/>
              </w:rPr>
              <w:t>生产工况平均为82.5%，达到75%以上；建设项目年生产时间为7200h，玻璃纤维制品产能最终落实为5940吨/年。</w:t>
            </w:r>
          </w:p>
          <w:p w14:paraId="4D9728A3">
            <w:pPr>
              <w:pStyle w:val="116"/>
              <w:ind w:firstLine="480"/>
              <w:rPr>
                <w:rFonts w:hint="default" w:eastAsia="宋体" w:cs="Times New Roman"/>
                <w:color w:val="auto"/>
                <w:szCs w:val="24"/>
                <w:highlight w:val="none"/>
                <w:u w:val="none"/>
                <w:lang w:val="en-US" w:eastAsia="zh-CN"/>
              </w:rPr>
            </w:pPr>
            <w:r>
              <w:rPr>
                <w:rFonts w:hint="eastAsia" w:eastAsia="宋体" w:cs="Times New Roman"/>
                <w:color w:val="auto"/>
                <w:highlight w:val="none"/>
                <w:vertAlign w:val="baseline"/>
                <w:lang w:eastAsia="zh-CN"/>
              </w:rPr>
              <w:t>根据实测数据，</w:t>
            </w:r>
            <w:r>
              <w:rPr>
                <w:rFonts w:eastAsia="宋体" w:cs="Times New Roman"/>
                <w:color w:val="auto"/>
                <w:szCs w:val="24"/>
                <w:highlight w:val="none"/>
                <w:u w:val="none"/>
              </w:rPr>
              <w:t>核算出满负荷工况下</w:t>
            </w:r>
            <w:r>
              <w:rPr>
                <w:rFonts w:hint="eastAsia" w:eastAsia="宋体" w:cs="Times New Roman"/>
                <w:color w:val="auto"/>
                <w:szCs w:val="24"/>
                <w:highlight w:val="none"/>
                <w:u w:val="none"/>
                <w:lang w:eastAsia="zh-CN"/>
              </w:rPr>
              <w:t>，</w:t>
            </w:r>
            <w:r>
              <w:rPr>
                <w:rFonts w:hint="eastAsia" w:eastAsia="宋体" w:cs="Times New Roman"/>
                <w:color w:val="auto"/>
                <w:szCs w:val="24"/>
                <w:highlight w:val="none"/>
                <w:u w:val="none"/>
                <w:lang w:val="en-US" w:eastAsia="zh-CN"/>
              </w:rPr>
              <w:t>该工序</w:t>
            </w:r>
            <w:r>
              <w:rPr>
                <w:rFonts w:eastAsia="宋体" w:cs="Times New Roman"/>
                <w:color w:val="auto"/>
                <w:szCs w:val="24"/>
                <w:highlight w:val="none"/>
                <w:u w:val="none"/>
              </w:rPr>
              <w:t>非甲烷总烃的</w:t>
            </w:r>
            <w:r>
              <w:rPr>
                <w:rFonts w:hint="eastAsia" w:eastAsia="宋体" w:cs="Times New Roman"/>
                <w:color w:val="auto"/>
                <w:szCs w:val="24"/>
                <w:highlight w:val="none"/>
                <w:u w:val="none"/>
                <w:lang w:val="en-US" w:eastAsia="zh-CN"/>
              </w:rPr>
              <w:t>最大年</w:t>
            </w:r>
            <w:r>
              <w:rPr>
                <w:rFonts w:eastAsia="宋体" w:cs="Times New Roman"/>
                <w:color w:val="auto"/>
                <w:szCs w:val="24"/>
                <w:highlight w:val="none"/>
                <w:u w:val="none"/>
              </w:rPr>
              <w:t>产生量</w:t>
            </w:r>
            <w:r>
              <w:rPr>
                <w:rFonts w:hint="eastAsia" w:eastAsia="宋体" w:cs="Times New Roman"/>
                <w:color w:val="auto"/>
                <w:szCs w:val="24"/>
                <w:highlight w:val="none"/>
                <w:u w:val="none"/>
                <w:lang w:val="en-US" w:eastAsia="zh-CN"/>
              </w:rPr>
              <w:t>=产生浓度（处理前浓度）×收集风量×生产时间/收集效率/生产负荷（生产工况）=</w:t>
            </w:r>
            <w:r>
              <w:rPr>
                <w:rFonts w:hint="eastAsia" w:eastAsia="宋体" w:cs="Times New Roman"/>
                <w:color w:val="auto"/>
                <w:highlight w:val="none"/>
                <w:vertAlign w:val="baseli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szCs w:val="24"/>
                <w:highlight w:val="none"/>
                <w:u w:val="none"/>
                <w:lang w:val="en-US" w:eastAsia="zh-CN"/>
              </w:rPr>
              <w:t>×</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h×7200h÷50%÷82.5%=12665.49kg/a。</w:t>
            </w:r>
          </w:p>
          <w:p w14:paraId="2F57F854">
            <w:pPr>
              <w:pStyle w:val="116"/>
              <w:ind w:firstLine="480"/>
              <w:rPr>
                <w:rFonts w:hint="eastAsia" w:eastAsia="宋体" w:cs="Times New Roman"/>
                <w:color w:val="auto"/>
                <w:highlight w:val="none"/>
                <w:u w:val="none"/>
                <w:lang w:val="en-US" w:eastAsia="zh-CN"/>
              </w:rPr>
            </w:pPr>
            <w:r>
              <w:rPr>
                <w:rFonts w:hint="eastAsia" w:eastAsia="宋体" w:cs="Times New Roman"/>
                <w:color w:val="auto"/>
                <w:szCs w:val="24"/>
                <w:highlight w:val="none"/>
                <w:u w:val="none"/>
                <w:lang w:val="en-US" w:eastAsia="zh-CN"/>
              </w:rPr>
              <w:t>已知玻璃纤维制品</w:t>
            </w:r>
            <w:r>
              <w:rPr>
                <w:rFonts w:eastAsia="宋体" w:cs="Times New Roman"/>
                <w:color w:val="auto"/>
                <w:szCs w:val="24"/>
                <w:highlight w:val="none"/>
                <w:u w:val="none"/>
              </w:rPr>
              <w:t>产能</w:t>
            </w:r>
            <w:r>
              <w:rPr>
                <w:rFonts w:hint="eastAsia" w:eastAsia="宋体" w:cs="Times New Roman"/>
                <w:color w:val="auto"/>
                <w:szCs w:val="24"/>
                <w:highlight w:val="none"/>
                <w:u w:val="none"/>
                <w:lang w:val="en-US" w:eastAsia="zh-CN"/>
              </w:rPr>
              <w:t>为</w:t>
            </w:r>
            <w:r>
              <w:rPr>
                <w:rFonts w:hint="eastAsia" w:eastAsia="宋体"/>
                <w:color w:val="auto"/>
                <w:highlight w:val="none"/>
                <w:u w:val="none"/>
                <w:lang w:val="en-US" w:eastAsia="zh-CN"/>
              </w:rPr>
              <w:t>5940吨/年</w:t>
            </w:r>
            <w:r>
              <w:rPr>
                <w:rFonts w:eastAsia="宋体" w:cs="Times New Roman"/>
                <w:color w:val="auto"/>
                <w:szCs w:val="24"/>
                <w:highlight w:val="none"/>
                <w:u w:val="none"/>
              </w:rPr>
              <w:t>，则</w:t>
            </w:r>
            <w:r>
              <w:rPr>
                <w:rFonts w:hint="eastAsia" w:eastAsia="宋体" w:cs="Times New Roman"/>
                <w:color w:val="auto"/>
                <w:szCs w:val="24"/>
                <w:highlight w:val="none"/>
                <w:u w:val="none"/>
                <w:lang w:val="en-US" w:eastAsia="zh-CN"/>
              </w:rPr>
              <w:t>该工序</w:t>
            </w:r>
            <w:r>
              <w:rPr>
                <w:rFonts w:eastAsia="宋体" w:cs="Times New Roman"/>
                <w:color w:val="auto"/>
                <w:szCs w:val="24"/>
                <w:highlight w:val="none"/>
                <w:u w:val="none"/>
              </w:rPr>
              <w:t>非甲烷总烃产生量系数为</w:t>
            </w:r>
            <w:r>
              <w:rPr>
                <w:rFonts w:hint="eastAsia" w:eastAsia="宋体" w:cs="Times New Roman"/>
                <w:color w:val="auto"/>
                <w:highlight w:val="none"/>
                <w:lang w:val="en-US" w:eastAsia="zh-CN"/>
              </w:rPr>
              <w:t>12665.49kg/a</w:t>
            </w:r>
            <w:r>
              <w:rPr>
                <w:rFonts w:cs="Times New Roman"/>
                <w:color w:val="auto"/>
                <w:szCs w:val="24"/>
                <w:highlight w:val="none"/>
                <w:u w:val="none"/>
              </w:rPr>
              <w:t>÷</w:t>
            </w:r>
            <w:r>
              <w:rPr>
                <w:rFonts w:hint="eastAsia" w:eastAsia="宋体"/>
                <w:color w:val="auto"/>
                <w:highlight w:val="none"/>
                <w:u w:val="none"/>
                <w:lang w:val="en-US" w:eastAsia="zh-CN"/>
              </w:rPr>
              <w:t>5940</w:t>
            </w:r>
            <w:r>
              <w:rPr>
                <w:rFonts w:eastAsia="宋体" w:cs="Times New Roman"/>
                <w:color w:val="auto"/>
                <w:szCs w:val="24"/>
                <w:highlight w:val="none"/>
                <w:u w:val="none"/>
              </w:rPr>
              <w:t>t/a=</w:t>
            </w:r>
            <w:r>
              <w:rPr>
                <w:rFonts w:hint="eastAsia" w:eastAsia="宋体" w:cs="Times New Roman"/>
                <w:color w:val="auto"/>
                <w:szCs w:val="24"/>
                <w:highlight w:val="none"/>
                <w:u w:val="none"/>
                <w:lang w:val="en-US" w:eastAsia="zh-CN"/>
              </w:rPr>
              <w:t>2.132</w:t>
            </w:r>
            <w:r>
              <w:rPr>
                <w:rFonts w:eastAsia="宋体" w:cs="Times New Roman"/>
                <w:color w:val="auto"/>
                <w:szCs w:val="24"/>
                <w:highlight w:val="none"/>
                <w:u w:val="none"/>
              </w:rPr>
              <w:t>kg/t</w:t>
            </w:r>
            <w:r>
              <w:rPr>
                <w:rFonts w:hint="eastAsia" w:eastAsia="宋体" w:cs="Times New Roman"/>
                <w:color w:val="auto"/>
                <w:szCs w:val="24"/>
                <w:highlight w:val="none"/>
                <w:u w:val="none"/>
                <w:lang w:val="en-US" w:eastAsia="zh-CN"/>
              </w:rPr>
              <w:t>-</w:t>
            </w:r>
            <w:r>
              <w:rPr>
                <w:rFonts w:eastAsia="宋体" w:cs="Times New Roman"/>
                <w:color w:val="auto"/>
                <w:szCs w:val="24"/>
                <w:highlight w:val="none"/>
                <w:u w:val="none"/>
              </w:rPr>
              <w:t>产品。</w:t>
            </w:r>
          </w:p>
          <w:p w14:paraId="503D2252">
            <w:pPr>
              <w:widowControl/>
              <w:spacing w:line="360" w:lineRule="auto"/>
              <w:ind w:firstLine="480" w:firstLineChars="200"/>
              <w:rPr>
                <w:rFonts w:hint="default" w:ascii="Times New Roman" w:hAnsi="Times New Roman" w:cs="Times New Roman"/>
                <w:color w:val="auto"/>
                <w:highlight w:val="none"/>
              </w:rPr>
            </w:pPr>
            <w:r>
              <w:rPr>
                <w:rFonts w:hint="eastAsia" w:eastAsia="宋体" w:cs="Times New Roman"/>
                <w:color w:val="auto"/>
                <w:highlight w:val="none"/>
                <w:u w:val="none"/>
                <w:lang w:val="en-US" w:eastAsia="zh-CN"/>
              </w:rPr>
              <w:t>由于本项目非甲烷总烃主要来源于本工序原料中不饱和聚酯树脂、固化剂、色浆的使用加工过程</w:t>
            </w:r>
            <w:r>
              <w:rPr>
                <w:rFonts w:hint="eastAsia" w:eastAsia="宋体" w:cs="Times New Roman"/>
                <w:color w:val="auto"/>
                <w:highlight w:val="none"/>
                <w:u w:val="none"/>
                <w:lang w:eastAsia="zh-CN"/>
              </w:rPr>
              <w:t>，</w:t>
            </w:r>
            <w:r>
              <w:rPr>
                <w:rFonts w:hint="eastAsia" w:eastAsia="宋体" w:cs="Times New Roman"/>
                <w:color w:val="auto"/>
                <w:highlight w:val="none"/>
                <w:u w:val="none"/>
                <w:lang w:val="en-US" w:eastAsia="zh-CN"/>
              </w:rPr>
              <w:t>因此</w:t>
            </w:r>
            <w:r>
              <w:rPr>
                <w:rFonts w:hint="eastAsia" w:eastAsia="宋体" w:cs="Times New Roman"/>
                <w:color w:val="auto"/>
                <w:highlight w:val="none"/>
                <w:u w:val="none"/>
                <w:lang w:eastAsia="zh-CN"/>
              </w:rPr>
              <w:t>本项目</w:t>
            </w:r>
            <w:r>
              <w:rPr>
                <w:rFonts w:hint="eastAsia" w:eastAsia="宋体" w:cs="Times New Roman"/>
                <w:color w:val="auto"/>
                <w:highlight w:val="none"/>
                <w:u w:val="none"/>
                <w:lang w:val="en-US" w:eastAsia="zh-CN"/>
              </w:rPr>
              <w:t>同类型</w:t>
            </w:r>
            <w:r>
              <w:rPr>
                <w:rFonts w:hint="eastAsia" w:eastAsia="宋体" w:cs="Times New Roman"/>
                <w:color w:val="auto"/>
                <w:highlight w:val="none"/>
                <w:u w:val="none"/>
              </w:rPr>
              <w:t>工艺废气非甲烷总烃产生量系数按照</w:t>
            </w:r>
            <w:r>
              <w:rPr>
                <w:rFonts w:hint="eastAsia" w:eastAsia="宋体" w:cs="Times New Roman"/>
                <w:color w:val="auto"/>
                <w:szCs w:val="24"/>
                <w:highlight w:val="none"/>
                <w:u w:val="none"/>
                <w:lang w:val="en-US" w:eastAsia="zh-CN"/>
              </w:rPr>
              <w:t>2.132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hint="eastAsia" w:cs="Times New Roman"/>
                <w:color w:val="auto"/>
                <w:highlight w:val="none"/>
                <w:u w:val="none"/>
                <w:lang w:eastAsia="zh-CN"/>
              </w:rPr>
              <w:t>（</w:t>
            </w:r>
            <w:r>
              <w:rPr>
                <w:rFonts w:hint="eastAsia" w:cs="Times New Roman"/>
                <w:color w:val="auto"/>
                <w:highlight w:val="none"/>
                <w:u w:val="none"/>
                <w:lang w:val="en-US" w:eastAsia="zh-CN"/>
              </w:rPr>
              <w:t>即源强更大</w:t>
            </w:r>
            <w:r>
              <w:rPr>
                <w:rFonts w:hint="eastAsia" w:cs="Times New Roman"/>
                <w:color w:val="auto"/>
                <w:highlight w:val="none"/>
                <w:u w:val="none"/>
                <w:lang w:eastAsia="zh-CN"/>
              </w:rPr>
              <w:t>）</w:t>
            </w:r>
            <w:r>
              <w:rPr>
                <w:rFonts w:eastAsia="宋体" w:cs="Times New Roman"/>
                <w:color w:val="auto"/>
                <w:highlight w:val="none"/>
                <w:u w:val="none"/>
              </w:rPr>
              <w:t>，是符合项目实际生产情况的，合理</w:t>
            </w:r>
            <w:r>
              <w:rPr>
                <w:rFonts w:hint="eastAsia" w:eastAsia="宋体" w:cs="Times New Roman"/>
                <w:color w:val="auto"/>
                <w:highlight w:val="none"/>
                <w:u w:val="none"/>
              </w:rPr>
              <w:t>有效</w:t>
            </w:r>
            <w:r>
              <w:rPr>
                <w:rFonts w:eastAsia="宋体" w:cs="Times New Roman"/>
                <w:color w:val="auto"/>
                <w:highlight w:val="none"/>
                <w:u w:val="none"/>
              </w:rPr>
              <w:t>的。</w:t>
            </w:r>
          </w:p>
          <w:p w14:paraId="05AD8875">
            <w:pPr>
              <w:widowControl/>
              <w:spacing w:line="360" w:lineRule="auto"/>
              <w:ind w:firstLine="480" w:firstLineChars="200"/>
              <w:rPr>
                <w:rFonts w:hint="eastAsia" w:cs="Times New Roman"/>
                <w:color w:val="auto"/>
                <w:highlight w:val="none"/>
                <w:lang w:eastAsia="zh-CN"/>
              </w:rPr>
            </w:pPr>
            <w:r>
              <w:rPr>
                <w:rFonts w:hint="default" w:ascii="Times New Roman" w:hAnsi="Times New Roman" w:cs="Times New Roman"/>
                <w:color w:val="auto"/>
                <w:highlight w:val="none"/>
              </w:rPr>
              <w:t>本项目年工作</w:t>
            </w:r>
            <w:r>
              <w:rPr>
                <w:rFonts w:hint="eastAsia" w:cs="Times New Roman"/>
                <w:color w:val="auto"/>
                <w:highlight w:val="none"/>
                <w:lang w:val="en-US" w:eastAsia="zh-CN"/>
              </w:rPr>
              <w:t>300</w:t>
            </w:r>
            <w:r>
              <w:rPr>
                <w:rFonts w:hint="default" w:ascii="Times New Roman" w:hAnsi="Times New Roman" w:cs="Times New Roman"/>
                <w:color w:val="auto"/>
                <w:highlight w:val="none"/>
              </w:rPr>
              <w:t>天，</w:t>
            </w:r>
            <w:r>
              <w:rPr>
                <w:rFonts w:hint="eastAsia" w:cs="Times New Roman"/>
                <w:color w:val="auto"/>
                <w:highlight w:val="none"/>
                <w:lang w:val="en-US" w:eastAsia="zh-CN"/>
              </w:rPr>
              <w:t>16</w:t>
            </w:r>
            <w:r>
              <w:rPr>
                <w:rFonts w:hint="default" w:ascii="Times New Roman" w:hAnsi="Times New Roman" w:cs="Times New Roman"/>
                <w:color w:val="auto"/>
                <w:highlight w:val="none"/>
              </w:rPr>
              <w:t>小时生产，即</w:t>
            </w:r>
            <w:r>
              <w:rPr>
                <w:rFonts w:hint="eastAsia" w:cs="Times New Roman"/>
                <w:color w:val="auto"/>
                <w:highlight w:val="none"/>
                <w:lang w:eastAsia="zh-CN"/>
              </w:rPr>
              <w:t>4</w:t>
            </w:r>
            <w:r>
              <w:rPr>
                <w:rFonts w:hint="eastAsia" w:cs="Times New Roman"/>
                <w:color w:val="auto"/>
                <w:highlight w:val="none"/>
                <w:lang w:val="en-US" w:eastAsia="zh-CN"/>
              </w:rPr>
              <w:t>800</w:t>
            </w:r>
            <w:r>
              <w:rPr>
                <w:rFonts w:hint="default" w:ascii="Times New Roman" w:hAnsi="Times New Roman" w:cs="Times New Roman"/>
                <w:color w:val="auto"/>
                <w:highlight w:val="none"/>
              </w:rPr>
              <w:t>h/a。</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sz w:val="24"/>
                <w:highlight w:val="none"/>
                <w:lang w:eastAsia="zh-CN"/>
              </w:rPr>
              <w:t>工序</w:t>
            </w:r>
            <w:r>
              <w:rPr>
                <w:rFonts w:hint="eastAsia" w:eastAsia="宋体" w:cs="Times New Roman"/>
                <w:color w:val="auto"/>
                <w:highlight w:val="none"/>
                <w:u w:val="none"/>
              </w:rPr>
              <w:t>非甲烷总烃产生量系数按照</w:t>
            </w:r>
            <w:r>
              <w:rPr>
                <w:rFonts w:hint="eastAsia" w:eastAsia="宋体" w:cs="Times New Roman"/>
                <w:color w:val="auto"/>
                <w:szCs w:val="24"/>
                <w:highlight w:val="none"/>
                <w:u w:val="none"/>
                <w:lang w:val="en-US" w:eastAsia="zh-CN"/>
              </w:rPr>
              <w:t>2.132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hint="default" w:ascii="Times New Roman" w:hAnsi="Times New Roman" w:cs="Times New Roman"/>
                <w:color w:val="auto"/>
                <w:highlight w:val="none"/>
              </w:rPr>
              <w:t>，本项目产</w:t>
            </w:r>
            <w:r>
              <w:rPr>
                <w:rFonts w:hint="default" w:ascii="Times New Roman" w:hAnsi="Times New Roman" w:cs="Times New Roman"/>
                <w:color w:val="auto"/>
                <w:sz w:val="24"/>
                <w:highlight w:val="none"/>
                <w:lang w:eastAsia="zh-CN"/>
              </w:rPr>
              <w:t>不饱和聚酯树脂、色浆、固化剂使用量合计为</w:t>
            </w:r>
            <w:r>
              <w:rPr>
                <w:rFonts w:hint="eastAsia" w:cs="Times New Roman"/>
                <w:color w:val="auto"/>
                <w:sz w:val="24"/>
                <w:highlight w:val="none"/>
                <w:lang w:val="en-US" w:eastAsia="zh-CN"/>
              </w:rPr>
              <w:t>784.35</w:t>
            </w:r>
            <w:r>
              <w:rPr>
                <w:rFonts w:hint="default" w:ascii="Times New Roman" w:hAnsi="Times New Roman" w:cs="Times New Roman"/>
                <w:color w:val="auto"/>
                <w:sz w:val="24"/>
                <w:highlight w:val="none"/>
                <w:lang w:eastAsia="zh-CN"/>
              </w:rPr>
              <w:t>吨/年</w:t>
            </w:r>
            <w:r>
              <w:rPr>
                <w:rFonts w:hint="default" w:ascii="Times New Roman" w:hAnsi="Times New Roman" w:cs="Times New Roman"/>
                <w:color w:val="auto"/>
                <w:highlight w:val="none"/>
              </w:rPr>
              <w:t>，则</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highlight w:val="none"/>
              </w:rPr>
              <w:t>过程非甲烷总烃产生量为</w:t>
            </w:r>
            <w:r>
              <w:rPr>
                <w:rFonts w:hint="default" w:ascii="Times New Roman" w:hAnsi="Times New Roman" w:cs="Times New Roman"/>
                <w:color w:val="auto"/>
                <w:sz w:val="24"/>
                <w:highlight w:val="none"/>
                <w:lang w:val="en-US" w:eastAsia="zh-CN"/>
              </w:rPr>
              <w:t>2241</w:t>
            </w:r>
            <w:r>
              <w:rPr>
                <w:rFonts w:hint="default" w:ascii="Times New Roman" w:hAnsi="Times New Roman" w:cs="Times New Roman"/>
                <w:color w:val="auto"/>
                <w:sz w:val="24"/>
                <w:highlight w:val="none"/>
                <w:lang w:eastAsia="zh-CN"/>
              </w:rPr>
              <w:t>t/a×</w:t>
            </w:r>
            <w:r>
              <w:rPr>
                <w:rFonts w:hint="eastAsia" w:eastAsia="宋体" w:cs="Times New Roman"/>
                <w:color w:val="auto"/>
                <w:szCs w:val="24"/>
                <w:highlight w:val="none"/>
                <w:u w:val="none"/>
                <w:lang w:val="en-US" w:eastAsia="zh-CN"/>
              </w:rPr>
              <w:t>2.132</w:t>
            </w:r>
            <w:r>
              <w:rPr>
                <w:rFonts w:hint="default" w:ascii="Times New Roman" w:hAnsi="Times New Roman" w:cs="Times New Roman"/>
                <w:color w:val="auto"/>
                <w:sz w:val="24"/>
                <w:highlight w:val="none"/>
                <w:lang w:eastAsia="zh-CN"/>
              </w:rPr>
              <w:t>kg/t-</w:t>
            </w:r>
            <w:r>
              <w:rPr>
                <w:rFonts w:hint="eastAsia" w:cs="Times New Roman"/>
                <w:color w:val="auto"/>
                <w:sz w:val="24"/>
                <w:highlight w:val="none"/>
                <w:lang w:eastAsia="zh-CN"/>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1.672</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，产生速率为</w:t>
            </w:r>
            <w:r>
              <w:rPr>
                <w:rFonts w:hint="eastAsia" w:cs="Times New Roman"/>
                <w:color w:val="auto"/>
                <w:highlight w:val="none"/>
                <w:lang w:val="en-US" w:eastAsia="zh-CN"/>
              </w:rPr>
              <w:t>0.348</w:t>
            </w:r>
            <w:r>
              <w:rPr>
                <w:rFonts w:hint="default" w:ascii="Times New Roman" w:hAnsi="Times New Roman" w:cs="Times New Roman"/>
                <w:color w:val="auto"/>
                <w:highlight w:val="none"/>
              </w:rPr>
              <w:t>kg/h</w:t>
            </w:r>
            <w:r>
              <w:rPr>
                <w:rFonts w:hint="eastAsia" w:cs="Times New Roman"/>
                <w:color w:val="auto"/>
                <w:highlight w:val="none"/>
                <w:lang w:eastAsia="zh-CN"/>
              </w:rPr>
              <w:t>。</w:t>
            </w:r>
          </w:p>
          <w:p w14:paraId="1AC26D92">
            <w:pPr>
              <w:widowControl/>
              <w:spacing w:line="360" w:lineRule="auto"/>
              <w:ind w:firstLine="480" w:firstLineChars="200"/>
              <w:rPr>
                <w:rFonts w:hint="eastAsia" w:eastAsia="宋体"/>
                <w:b/>
                <w:bCs/>
                <w:color w:val="auto"/>
                <w:highlight w:val="none"/>
                <w:u w:val="none"/>
                <w:lang w:val="en-US" w:eastAsia="zh-CN"/>
              </w:rPr>
            </w:pPr>
            <w:r>
              <w:rPr>
                <w:rFonts w:hint="eastAsia" w:cs="Times New Roman"/>
                <w:b/>
                <w:bCs/>
                <w:color w:val="auto"/>
                <w:sz w:val="24"/>
                <w:highlight w:val="none"/>
                <w:lang w:val="en-US" w:eastAsia="zh-CN"/>
              </w:rPr>
              <w:t>B.</w:t>
            </w:r>
            <w:r>
              <w:rPr>
                <w:rFonts w:hint="eastAsia" w:eastAsia="宋体"/>
                <w:b/>
                <w:bCs/>
                <w:color w:val="auto"/>
                <w:highlight w:val="none"/>
                <w:u w:val="none"/>
                <w:lang w:val="en-US" w:eastAsia="zh-CN"/>
              </w:rPr>
              <w:t>苯乙烯的产污系数与产生量计算</w:t>
            </w:r>
          </w:p>
          <w:p w14:paraId="573623D5">
            <w:pPr>
              <w:widowControl/>
              <w:spacing w:line="360" w:lineRule="auto"/>
              <w:ind w:firstLine="480" w:firstLineChars="200"/>
              <w:rPr>
                <w:rFonts w:hint="eastAsia" w:eastAsia="宋体" w:cs="Times New Roman"/>
                <w:color w:val="auto"/>
                <w:highlight w:val="none"/>
                <w:lang w:val="en-US" w:eastAsia="zh-CN"/>
              </w:rPr>
            </w:pPr>
            <w:r>
              <w:rPr>
                <w:rFonts w:hint="eastAsia" w:eastAsia="宋体"/>
                <w:color w:val="auto"/>
                <w:highlight w:val="none"/>
                <w:u w:val="none"/>
                <w:lang w:val="en-US" w:eastAsia="zh-CN"/>
              </w:rPr>
              <w:t>根据</w:t>
            </w:r>
            <w:r>
              <w:rPr>
                <w:rFonts w:hint="eastAsia" w:eastAsia="宋体" w:cs="Times New Roman"/>
                <w:color w:val="auto"/>
                <w:highlight w:val="none"/>
                <w:u w:val="none"/>
                <w:lang w:eastAsia="zh-CN"/>
              </w:rPr>
              <w:t>《韶关豪立再生资源利用有限公司验收监测报告》内容：</w:t>
            </w:r>
            <w:r>
              <w:rPr>
                <w:rFonts w:hint="eastAsia" w:eastAsia="宋体" w:cs="Times New Roman"/>
                <w:color w:val="auto"/>
                <w:highlight w:val="none"/>
                <w:u w:val="none"/>
                <w:lang w:val="en-US" w:eastAsia="zh-CN"/>
              </w:rPr>
              <w:t>监测期间内（2024.06.13~2024.06.14），定型工序废气</w:t>
            </w:r>
            <w:r>
              <w:rPr>
                <w:rFonts w:eastAsia="宋体" w:cs="Times New Roman"/>
                <w:color w:val="auto"/>
                <w:highlight w:val="none"/>
              </w:rPr>
              <w:t>处理前</w:t>
            </w:r>
            <w:r>
              <w:rPr>
                <w:rFonts w:hint="eastAsia" w:eastAsia="宋体" w:cs="Times New Roman"/>
                <w:color w:val="auto"/>
                <w:highlight w:val="none"/>
                <w:lang w:val="en-US" w:eastAsia="zh-CN"/>
              </w:rPr>
              <w:t>苯乙烯</w:t>
            </w:r>
            <w:r>
              <w:rPr>
                <w:rFonts w:eastAsia="宋体" w:cs="Times New Roman"/>
                <w:color w:val="auto"/>
                <w:highlight w:val="none"/>
              </w:rPr>
              <w:t>浓度</w:t>
            </w:r>
            <w:r>
              <w:rPr>
                <w:rFonts w:hint="eastAsia" w:eastAsia="宋体" w:cs="Times New Roman"/>
                <w:color w:val="auto"/>
                <w:highlight w:val="none"/>
                <w:lang w:val="en-US" w:eastAsia="zh-CN"/>
              </w:rPr>
              <w:t>在9.88</w:t>
            </w:r>
            <w:r>
              <w:rPr>
                <w:rFonts w:eastAsia="宋体" w:cs="Times New Roman"/>
                <w:color w:val="auto"/>
                <w:highlight w:val="none"/>
              </w:rPr>
              <w:t>~</w:t>
            </w:r>
            <w:r>
              <w:rPr>
                <w:rFonts w:hint="eastAsia" w:eastAsia="宋体" w:cs="Times New Roman"/>
                <w:color w:val="auto"/>
                <w:highlight w:val="no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本次评价</w:t>
            </w:r>
            <w:r>
              <w:rPr>
                <w:rFonts w:hint="eastAsia" w:eastAsia="宋体" w:cs="Times New Roman"/>
                <w:color w:val="auto"/>
                <w:highlight w:val="none"/>
                <w:vertAlign w:val="baseline"/>
                <w:lang w:eastAsia="zh-CN"/>
              </w:rPr>
              <w:t>取最大值</w:t>
            </w:r>
            <w:r>
              <w:rPr>
                <w:rFonts w:hint="eastAsia" w:eastAsia="宋体" w:cs="Times New Roman"/>
                <w:color w:val="auto"/>
                <w:highlight w:val="none"/>
                <w:vertAlign w:val="baseli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标杆流量</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h，其余参数与核算非甲烷总烃产排情况一致。</w:t>
            </w:r>
          </w:p>
          <w:p w14:paraId="4B46E983">
            <w:pPr>
              <w:pStyle w:val="116"/>
              <w:ind w:firstLine="480"/>
              <w:rPr>
                <w:rFonts w:hint="default" w:eastAsia="宋体" w:cs="Times New Roman"/>
                <w:color w:val="auto"/>
                <w:szCs w:val="24"/>
                <w:highlight w:val="none"/>
                <w:u w:val="none"/>
                <w:lang w:val="en-US" w:eastAsia="zh-CN"/>
              </w:rPr>
            </w:pPr>
            <w:r>
              <w:rPr>
                <w:rFonts w:hint="eastAsia" w:eastAsia="宋体" w:cs="Times New Roman"/>
                <w:color w:val="auto"/>
                <w:highlight w:val="none"/>
                <w:vertAlign w:val="baseline"/>
                <w:lang w:eastAsia="zh-CN"/>
              </w:rPr>
              <w:t>根据实测数据，</w:t>
            </w:r>
            <w:r>
              <w:rPr>
                <w:rFonts w:eastAsia="宋体" w:cs="Times New Roman"/>
                <w:color w:val="auto"/>
                <w:szCs w:val="24"/>
                <w:highlight w:val="none"/>
                <w:u w:val="none"/>
              </w:rPr>
              <w:t>核算出满负荷工况下</w:t>
            </w:r>
            <w:r>
              <w:rPr>
                <w:rFonts w:hint="eastAsia" w:eastAsia="宋体" w:cs="Times New Roman"/>
                <w:color w:val="auto"/>
                <w:szCs w:val="24"/>
                <w:highlight w:val="none"/>
                <w:u w:val="none"/>
                <w:lang w:eastAsia="zh-CN"/>
              </w:rPr>
              <w:t>，</w:t>
            </w:r>
            <w:r>
              <w:rPr>
                <w:rFonts w:hint="eastAsia" w:eastAsia="宋体" w:cs="Times New Roman"/>
                <w:color w:val="auto"/>
                <w:szCs w:val="24"/>
                <w:highlight w:val="none"/>
                <w:u w:val="none"/>
                <w:lang w:val="en-US" w:eastAsia="zh-CN"/>
              </w:rPr>
              <w:t>苯乙烯</w:t>
            </w:r>
            <w:r>
              <w:rPr>
                <w:rFonts w:eastAsia="宋体" w:cs="Times New Roman"/>
                <w:color w:val="auto"/>
                <w:szCs w:val="24"/>
                <w:highlight w:val="none"/>
                <w:u w:val="none"/>
              </w:rPr>
              <w:t>的</w:t>
            </w:r>
            <w:r>
              <w:rPr>
                <w:rFonts w:hint="eastAsia" w:eastAsia="宋体" w:cs="Times New Roman"/>
                <w:color w:val="auto"/>
                <w:szCs w:val="24"/>
                <w:highlight w:val="none"/>
                <w:u w:val="none"/>
                <w:lang w:val="en-US" w:eastAsia="zh-CN"/>
              </w:rPr>
              <w:t>最大年</w:t>
            </w:r>
            <w:r>
              <w:rPr>
                <w:rFonts w:eastAsia="宋体" w:cs="Times New Roman"/>
                <w:color w:val="auto"/>
                <w:szCs w:val="24"/>
                <w:highlight w:val="none"/>
                <w:u w:val="none"/>
              </w:rPr>
              <w:t>产生量</w:t>
            </w:r>
            <w:r>
              <w:rPr>
                <w:rFonts w:hint="eastAsia" w:eastAsia="宋体" w:cs="Times New Roman"/>
                <w:color w:val="auto"/>
                <w:szCs w:val="24"/>
                <w:highlight w:val="none"/>
                <w:u w:val="none"/>
                <w:lang w:val="en-US" w:eastAsia="zh-CN"/>
              </w:rPr>
              <w:t>=产生浓度（处理前浓度）×收集风量×生产时间/收集效率/生产负荷（生产工况）=</w:t>
            </w:r>
            <w:r>
              <w:rPr>
                <w:rFonts w:hint="eastAsia" w:eastAsia="宋体" w:cs="Times New Roman"/>
                <w:color w:val="auto"/>
                <w:highlight w:val="none"/>
                <w:vertAlign w:val="baseli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szCs w:val="24"/>
                <w:highlight w:val="none"/>
                <w:u w:val="none"/>
                <w:lang w:val="en-US" w:eastAsia="zh-CN"/>
              </w:rPr>
              <w:t>×</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h×7200h÷50%÷82.5%=5467.40kg/a。</w:t>
            </w:r>
          </w:p>
          <w:p w14:paraId="722C2A91">
            <w:pPr>
              <w:pStyle w:val="116"/>
              <w:ind w:firstLine="480"/>
              <w:rPr>
                <w:rFonts w:hint="eastAsia" w:eastAsia="宋体" w:cs="Times New Roman"/>
                <w:color w:val="auto"/>
                <w:highlight w:val="none"/>
                <w:u w:val="none"/>
                <w:lang w:val="en-US" w:eastAsia="zh-CN"/>
              </w:rPr>
            </w:pPr>
            <w:r>
              <w:rPr>
                <w:rFonts w:hint="eastAsia" w:eastAsia="宋体" w:cs="Times New Roman"/>
                <w:color w:val="auto"/>
                <w:szCs w:val="24"/>
                <w:highlight w:val="none"/>
                <w:u w:val="none"/>
                <w:lang w:val="en-US" w:eastAsia="zh-CN"/>
              </w:rPr>
              <w:t>已知玻璃纤维制品</w:t>
            </w:r>
            <w:r>
              <w:rPr>
                <w:rFonts w:eastAsia="宋体" w:cs="Times New Roman"/>
                <w:color w:val="auto"/>
                <w:szCs w:val="24"/>
                <w:highlight w:val="none"/>
                <w:u w:val="none"/>
              </w:rPr>
              <w:t>产能</w:t>
            </w:r>
            <w:r>
              <w:rPr>
                <w:rFonts w:hint="eastAsia" w:eastAsia="宋体" w:cs="Times New Roman"/>
                <w:color w:val="auto"/>
                <w:szCs w:val="24"/>
                <w:highlight w:val="none"/>
                <w:u w:val="none"/>
                <w:lang w:val="en-US" w:eastAsia="zh-CN"/>
              </w:rPr>
              <w:t>为</w:t>
            </w:r>
            <w:r>
              <w:rPr>
                <w:rFonts w:hint="eastAsia" w:eastAsia="宋体"/>
                <w:color w:val="auto"/>
                <w:highlight w:val="none"/>
                <w:u w:val="none"/>
                <w:lang w:val="en-US" w:eastAsia="zh-CN"/>
              </w:rPr>
              <w:t>5940吨/年</w:t>
            </w:r>
            <w:r>
              <w:rPr>
                <w:rFonts w:eastAsia="宋体" w:cs="Times New Roman"/>
                <w:color w:val="auto"/>
                <w:szCs w:val="24"/>
                <w:highlight w:val="none"/>
                <w:u w:val="none"/>
              </w:rPr>
              <w:t>，则</w:t>
            </w:r>
            <w:r>
              <w:rPr>
                <w:rFonts w:hint="eastAsia" w:eastAsia="宋体" w:cs="Times New Roman"/>
                <w:color w:val="auto"/>
                <w:szCs w:val="24"/>
                <w:highlight w:val="none"/>
                <w:u w:val="none"/>
                <w:lang w:val="en-US" w:eastAsia="zh-CN"/>
              </w:rPr>
              <w:t>苯乙烯排放</w:t>
            </w:r>
            <w:r>
              <w:rPr>
                <w:rFonts w:eastAsia="宋体" w:cs="Times New Roman"/>
                <w:color w:val="auto"/>
                <w:szCs w:val="24"/>
                <w:highlight w:val="none"/>
                <w:u w:val="none"/>
              </w:rPr>
              <w:t>系数为</w:t>
            </w:r>
            <w:r>
              <w:rPr>
                <w:rFonts w:hint="eastAsia" w:eastAsia="宋体" w:cs="Times New Roman"/>
                <w:color w:val="auto"/>
                <w:highlight w:val="none"/>
                <w:lang w:val="en-US" w:eastAsia="zh-CN"/>
              </w:rPr>
              <w:t>5467.40kg/a</w:t>
            </w:r>
            <w:r>
              <w:rPr>
                <w:rFonts w:cs="Times New Roman"/>
                <w:color w:val="auto"/>
                <w:szCs w:val="24"/>
                <w:highlight w:val="none"/>
                <w:u w:val="none"/>
              </w:rPr>
              <w:t>÷</w:t>
            </w:r>
            <w:r>
              <w:rPr>
                <w:rFonts w:hint="eastAsia" w:eastAsia="宋体"/>
                <w:color w:val="auto"/>
                <w:highlight w:val="none"/>
                <w:u w:val="none"/>
                <w:lang w:val="en-US" w:eastAsia="zh-CN"/>
              </w:rPr>
              <w:t>5940</w:t>
            </w:r>
            <w:r>
              <w:rPr>
                <w:rFonts w:eastAsia="宋体" w:cs="Times New Roman"/>
                <w:color w:val="auto"/>
                <w:szCs w:val="24"/>
                <w:highlight w:val="none"/>
                <w:u w:val="none"/>
              </w:rPr>
              <w:t>t/a=</w:t>
            </w:r>
            <w:r>
              <w:rPr>
                <w:rFonts w:hint="eastAsia" w:eastAsia="宋体" w:cs="Times New Roman"/>
                <w:color w:val="auto"/>
                <w:szCs w:val="24"/>
                <w:highlight w:val="none"/>
                <w:u w:val="none"/>
                <w:lang w:val="en-US" w:eastAsia="zh-CN"/>
              </w:rPr>
              <w:t>0.92</w:t>
            </w:r>
            <w:r>
              <w:rPr>
                <w:rFonts w:eastAsia="宋体" w:cs="Times New Roman"/>
                <w:color w:val="auto"/>
                <w:szCs w:val="24"/>
                <w:highlight w:val="none"/>
                <w:u w:val="none"/>
              </w:rPr>
              <w:t>kg/t</w:t>
            </w:r>
            <w:r>
              <w:rPr>
                <w:rFonts w:hint="eastAsia" w:eastAsia="宋体" w:cs="Times New Roman"/>
                <w:color w:val="auto"/>
                <w:szCs w:val="24"/>
                <w:highlight w:val="none"/>
                <w:u w:val="none"/>
                <w:lang w:val="en-US" w:eastAsia="zh-CN"/>
              </w:rPr>
              <w:t>-</w:t>
            </w:r>
            <w:r>
              <w:rPr>
                <w:rFonts w:eastAsia="宋体" w:cs="Times New Roman"/>
                <w:color w:val="auto"/>
                <w:szCs w:val="24"/>
                <w:highlight w:val="none"/>
                <w:u w:val="none"/>
              </w:rPr>
              <w:t>产品。</w:t>
            </w:r>
          </w:p>
          <w:p w14:paraId="2270121A">
            <w:pPr>
              <w:widowControl/>
              <w:spacing w:line="360" w:lineRule="auto"/>
              <w:ind w:firstLine="480" w:firstLineChars="200"/>
              <w:rPr>
                <w:rFonts w:hint="default" w:ascii="Times New Roman" w:hAnsi="Times New Roman" w:cs="Times New Roman"/>
                <w:color w:val="auto"/>
                <w:highlight w:val="none"/>
              </w:rPr>
            </w:pPr>
            <w:r>
              <w:rPr>
                <w:rFonts w:hint="eastAsia" w:eastAsia="宋体" w:cs="Times New Roman"/>
                <w:color w:val="auto"/>
                <w:highlight w:val="none"/>
                <w:u w:val="none"/>
                <w:lang w:val="en-US" w:eastAsia="zh-CN"/>
              </w:rPr>
              <w:t>由于本项目苯乙烯主要来源于生产原料中不饱和聚酯树脂的使用加工过程</w:t>
            </w:r>
            <w:r>
              <w:rPr>
                <w:rFonts w:hint="eastAsia" w:eastAsia="宋体" w:cs="Times New Roman"/>
                <w:color w:val="auto"/>
                <w:highlight w:val="none"/>
                <w:u w:val="none"/>
                <w:lang w:eastAsia="zh-CN"/>
              </w:rPr>
              <w:t>，</w:t>
            </w:r>
            <w:r>
              <w:rPr>
                <w:rFonts w:hint="eastAsia" w:eastAsia="宋体" w:cs="Times New Roman"/>
                <w:color w:val="auto"/>
                <w:highlight w:val="none"/>
                <w:u w:val="none"/>
                <w:lang w:val="en-US" w:eastAsia="zh-CN"/>
              </w:rPr>
              <w:t>因此苯乙烯</w:t>
            </w:r>
            <w:r>
              <w:rPr>
                <w:rFonts w:hint="eastAsia" w:eastAsia="宋体" w:cs="Times New Roman"/>
                <w:color w:val="auto"/>
                <w:highlight w:val="none"/>
                <w:u w:val="none"/>
              </w:rPr>
              <w:t>产生量系数按照</w:t>
            </w:r>
            <w:r>
              <w:rPr>
                <w:rFonts w:hint="eastAsia" w:eastAsia="宋体" w:cs="Times New Roman"/>
                <w:color w:val="auto"/>
                <w:szCs w:val="24"/>
                <w:highlight w:val="none"/>
                <w:u w:val="none"/>
                <w:lang w:val="en-US" w:eastAsia="zh-CN"/>
              </w:rPr>
              <w:t>0.92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eastAsia="宋体" w:cs="Times New Roman"/>
                <w:color w:val="auto"/>
                <w:highlight w:val="none"/>
                <w:u w:val="none"/>
              </w:rPr>
              <w:t>，是符合项目实际生产情况的，合理</w:t>
            </w:r>
            <w:r>
              <w:rPr>
                <w:rFonts w:hint="eastAsia" w:eastAsia="宋体" w:cs="Times New Roman"/>
                <w:color w:val="auto"/>
                <w:highlight w:val="none"/>
                <w:u w:val="none"/>
              </w:rPr>
              <w:t>有效</w:t>
            </w:r>
            <w:r>
              <w:rPr>
                <w:rFonts w:eastAsia="宋体" w:cs="Times New Roman"/>
                <w:color w:val="auto"/>
                <w:highlight w:val="none"/>
                <w:u w:val="none"/>
              </w:rPr>
              <w:t>的。</w:t>
            </w:r>
          </w:p>
          <w:p w14:paraId="478E34EB">
            <w:pPr>
              <w:widowControl/>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综上，本项目中</w:t>
            </w:r>
            <w:r>
              <w:rPr>
                <w:rFonts w:hint="default" w:ascii="Times New Roman" w:hAnsi="Times New Roman" w:cs="Times New Roman"/>
                <w:color w:val="auto"/>
                <w:sz w:val="24"/>
                <w:highlight w:val="none"/>
                <w:lang w:eastAsia="zh-CN"/>
              </w:rPr>
              <w:t>不饱和聚酯树脂用量为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则</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highlight w:val="none"/>
              </w:rPr>
              <w:t>过程</w:t>
            </w:r>
            <w:r>
              <w:rPr>
                <w:rFonts w:hint="eastAsia" w:cs="Times New Roman"/>
                <w:color w:val="auto"/>
                <w:highlight w:val="none"/>
                <w:lang w:val="en-US" w:eastAsia="zh-CN"/>
              </w:rPr>
              <w:t>苯乙烯</w:t>
            </w:r>
            <w:r>
              <w:rPr>
                <w:rFonts w:hint="default" w:ascii="Times New Roman" w:hAnsi="Times New Roman" w:cs="Times New Roman"/>
                <w:color w:val="auto"/>
                <w:highlight w:val="none"/>
              </w:rPr>
              <w:t>产生量为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w:t>
            </w:r>
            <w:r>
              <w:rPr>
                <w:rFonts w:hint="eastAsia" w:eastAsia="宋体" w:cs="Times New Roman"/>
                <w:color w:val="auto"/>
                <w:szCs w:val="24"/>
                <w:highlight w:val="none"/>
                <w:u w:val="none"/>
                <w:lang w:val="en-US" w:eastAsia="zh-CN"/>
              </w:rPr>
              <w:t>0.92</w:t>
            </w:r>
            <w:r>
              <w:rPr>
                <w:rFonts w:hint="default" w:ascii="Times New Roman" w:hAnsi="Times New Roman" w:cs="Times New Roman"/>
                <w:color w:val="auto"/>
                <w:sz w:val="24"/>
                <w:highlight w:val="none"/>
                <w:lang w:eastAsia="zh-CN"/>
              </w:rPr>
              <w:t>kg/t-</w:t>
            </w:r>
            <w:r>
              <w:rPr>
                <w:rFonts w:hint="eastAsia" w:cs="Times New Roman"/>
                <w:color w:val="auto"/>
                <w:sz w:val="24"/>
                <w:highlight w:val="none"/>
                <w:lang w:eastAsia="zh-CN"/>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，产生速率为</w:t>
            </w:r>
            <w:r>
              <w:rPr>
                <w:rFonts w:hint="eastAsia" w:cs="Times New Roman"/>
                <w:color w:val="auto"/>
                <w:highlight w:val="none"/>
                <w:lang w:val="en-US" w:eastAsia="zh-CN"/>
              </w:rPr>
              <w:t>0.146</w:t>
            </w:r>
            <w:r>
              <w:rPr>
                <w:rFonts w:hint="default" w:ascii="Times New Roman" w:hAnsi="Times New Roman" w:cs="Times New Roman"/>
                <w:color w:val="auto"/>
                <w:highlight w:val="none"/>
              </w:rPr>
              <w:t>kg/h</w:t>
            </w:r>
            <w:r>
              <w:rPr>
                <w:rFonts w:hint="eastAsia" w:cs="Times New Roman"/>
                <w:color w:val="auto"/>
                <w:highlight w:val="none"/>
                <w:lang w:eastAsia="zh-CN"/>
              </w:rPr>
              <w:t>。</w:t>
            </w:r>
          </w:p>
          <w:p w14:paraId="2AC4BA40">
            <w:pPr>
              <w:spacing w:line="360" w:lineRule="auto"/>
              <w:ind w:firstLine="480" w:firstLineChars="200"/>
              <w:rPr>
                <w:rFonts w:hint="default" w:ascii="Times New Roman" w:hAnsi="Times New Roman" w:cs="Times New Roman"/>
                <w:b/>
                <w:bCs/>
                <w:color w:val="auto"/>
                <w:sz w:val="24"/>
                <w:highlight w:val="none"/>
                <w:lang w:eastAsia="zh-CN"/>
              </w:rPr>
            </w:pPr>
            <w:r>
              <w:rPr>
                <w:rFonts w:hint="eastAsia" w:cs="Times New Roman"/>
                <w:b/>
                <w:bCs/>
                <w:color w:val="auto"/>
                <w:sz w:val="24"/>
                <w:highlight w:val="none"/>
                <w:lang w:val="en-US" w:eastAsia="zh-CN"/>
              </w:rPr>
              <w:t>②</w:t>
            </w:r>
            <w:r>
              <w:rPr>
                <w:rFonts w:hint="eastAsia" w:ascii="Times New Roman" w:hAnsi="Times New Roman" w:cs="Times New Roman"/>
                <w:b/>
                <w:bCs/>
                <w:color w:val="auto"/>
                <w:sz w:val="24"/>
                <w:highlight w:val="none"/>
                <w:lang w:eastAsia="zh-CN"/>
              </w:rPr>
              <w:t>注塑工序</w:t>
            </w:r>
          </w:p>
          <w:p w14:paraId="16C8D8C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本项目注塑工序中由于高温熔融会产生少量的有机废气，主要污染物非甲烷总烃</w:t>
            </w:r>
            <w:r>
              <w:rPr>
                <w:rFonts w:hint="eastAsia" w:cs="Times New Roman"/>
                <w:color w:val="auto"/>
                <w:sz w:val="24"/>
                <w:highlight w:val="none"/>
                <w:lang w:val="en-US" w:eastAsia="zh-CN"/>
              </w:rPr>
              <w:t>以及少量氨气游离单体</w:t>
            </w:r>
            <w:r>
              <w:rPr>
                <w:rFonts w:hint="default" w:ascii="Times New Roman" w:hAnsi="Times New Roman" w:cs="Times New Roman"/>
                <w:color w:val="auto"/>
                <w:sz w:val="24"/>
                <w:highlight w:val="none"/>
                <w:lang w:eastAsia="zh-CN"/>
              </w:rPr>
              <w:t>。该工序加热温度为210℃~220℃，项目用塑料分解温度在250℃以上，因此加热过程不发生热裂解反应，但塑料中残存未聚合的反应单体在受热时会产生有机成分会挥发至空气中，从而形成有机废气，以非甲烷总烃表征。非甲烷总烃产生量参考生态环境部2021年6月发布的《排放源统计调查产排污核算方法和系数手册》中的《292 塑料制品行业系数手册》</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eastAsia="zh-CN"/>
              </w:rPr>
              <w:t>“2927日用塑料制品制造行业--注塑工艺挥发性有机物产生系数为2.7千克/吨-产品”。</w:t>
            </w:r>
            <w:r>
              <w:rPr>
                <w:rFonts w:hint="eastAsia" w:ascii="Times New Roman" w:hAnsi="Times New Roman" w:cs="Times New Roman"/>
                <w:color w:val="auto"/>
                <w:sz w:val="24"/>
                <w:highlight w:val="none"/>
                <w:lang w:eastAsia="zh-CN"/>
              </w:rPr>
              <w:t>本次评价采用聚丙烯</w:t>
            </w:r>
            <w:r>
              <w:rPr>
                <w:rFonts w:hint="default" w:ascii="Times New Roman" w:hAnsi="Times New Roman" w:cs="Times New Roman"/>
                <w:color w:val="auto"/>
                <w:sz w:val="24"/>
                <w:highlight w:val="none"/>
                <w:lang w:eastAsia="zh-CN"/>
              </w:rPr>
              <w:t>的总用量计算项目非甲烷总烃产生量，则项目生产过程中非甲烷总烃的产生量为</w:t>
            </w:r>
            <w:r>
              <w:rPr>
                <w:rFonts w:hint="eastAsia" w:cs="Times New Roman"/>
                <w:color w:val="auto"/>
                <w:sz w:val="24"/>
                <w:highlight w:val="none"/>
                <w:lang w:val="en-US" w:eastAsia="zh-CN"/>
              </w:rPr>
              <w:t>5.2</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t/a×</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lang w:eastAsia="zh-CN"/>
              </w:rPr>
              <w:t>kg/t-产品×10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0.0</w:t>
            </w:r>
            <w:r>
              <w:rPr>
                <w:rFonts w:hint="eastAsia" w:cs="Times New Roman"/>
                <w:color w:val="auto"/>
                <w:sz w:val="24"/>
                <w:highlight w:val="none"/>
                <w:lang w:val="en-US" w:eastAsia="zh-CN"/>
              </w:rPr>
              <w:t>1418</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氨气游离单体产生量少，对环境影响不大，仅作定性分析。</w:t>
            </w:r>
          </w:p>
          <w:p w14:paraId="72BEF45D">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综上所述，项目</w:t>
            </w:r>
            <w:r>
              <w:rPr>
                <w:rFonts w:hint="default" w:ascii="Times New Roman" w:hAnsi="Times New Roman" w:cs="Times New Roman"/>
                <w:color w:val="auto"/>
                <w:sz w:val="24"/>
                <w:szCs w:val="24"/>
                <w:highlight w:val="none"/>
                <w:lang w:eastAsia="zh-CN"/>
              </w:rPr>
              <w:t>定型</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注塑</w:t>
            </w:r>
            <w:r>
              <w:rPr>
                <w:rFonts w:hint="default" w:ascii="Times New Roman" w:hAnsi="Times New Roman" w:cs="Times New Roman"/>
                <w:color w:val="auto"/>
                <w:sz w:val="24"/>
                <w:highlight w:val="none"/>
                <w:lang w:eastAsia="zh-CN"/>
              </w:rPr>
              <w:t>工序非甲烷总烃总产生量为</w:t>
            </w:r>
            <w:r>
              <w:rPr>
                <w:rFonts w:hint="eastAsia" w:cs="Times New Roman"/>
                <w:color w:val="auto"/>
                <w:sz w:val="24"/>
                <w:highlight w:val="none"/>
                <w:lang w:val="en-US" w:eastAsia="zh-CN"/>
              </w:rPr>
              <w:t>1.6848</w:t>
            </w:r>
            <w:r>
              <w:rPr>
                <w:rFonts w:hint="default" w:ascii="Times New Roman" w:hAnsi="Times New Roman" w:cs="Times New Roman"/>
                <w:color w:val="auto"/>
                <w:sz w:val="24"/>
                <w:highlight w:val="none"/>
                <w:lang w:eastAsia="zh-CN"/>
              </w:rPr>
              <w:t>t/a，其中苯乙烯产生量为</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lang w:eastAsia="zh-CN"/>
              </w:rPr>
              <w:t>t/a。项目拟将</w:t>
            </w:r>
            <w:r>
              <w:rPr>
                <w:rFonts w:hint="default" w:ascii="Times New Roman" w:hAnsi="Times New Roman" w:cs="Times New Roman"/>
                <w:color w:val="auto"/>
                <w:sz w:val="24"/>
                <w:szCs w:val="24"/>
                <w:highlight w:val="none"/>
                <w:lang w:eastAsia="zh-CN"/>
              </w:rPr>
              <w:t>定型</w:t>
            </w:r>
            <w:r>
              <w:rPr>
                <w:rFonts w:hint="eastAsia" w:cs="Times New Roman"/>
                <w:color w:val="auto"/>
                <w:sz w:val="24"/>
                <w:szCs w:val="24"/>
                <w:highlight w:val="none"/>
                <w:lang w:eastAsia="zh-CN"/>
              </w:rPr>
              <w:t>、</w:t>
            </w:r>
            <w:r>
              <w:rPr>
                <w:rFonts w:hint="default" w:ascii="Times New Roman" w:hAnsi="Times New Roman" w:cs="Times New Roman"/>
                <w:color w:val="auto"/>
                <w:sz w:val="24"/>
                <w:highlight w:val="none"/>
                <w:lang w:eastAsia="zh-CN"/>
              </w:rPr>
              <w:t>注塑工序产生的非甲烷总烃废气经集气罩收集后由管道引至1套两级活性炭吸附装置处理后引至高空排放</w:t>
            </w:r>
            <w:r>
              <w:rPr>
                <w:rFonts w:hint="eastAsia" w:cs="Times New Roman"/>
                <w:color w:val="auto"/>
                <w:sz w:val="24"/>
                <w:highlight w:val="none"/>
                <w:lang w:eastAsia="zh-CN"/>
              </w:rPr>
              <w:t>，</w:t>
            </w:r>
            <w:r>
              <w:rPr>
                <w:rFonts w:hint="eastAsia" w:cs="Times New Roman"/>
                <w:color w:val="auto"/>
                <w:sz w:val="24"/>
                <w:highlight w:val="none"/>
                <w:lang w:val="en-US" w:eastAsia="zh-CN"/>
              </w:rPr>
              <w:t>排气筒编号为DA001</w:t>
            </w:r>
            <w:r>
              <w:rPr>
                <w:rFonts w:hint="eastAsia" w:cs="Times New Roman"/>
                <w:color w:val="auto"/>
                <w:sz w:val="24"/>
                <w:highlight w:val="none"/>
                <w:lang w:eastAsia="zh-CN"/>
              </w:rPr>
              <w:t>；</w:t>
            </w:r>
            <w:r>
              <w:rPr>
                <w:rFonts w:hint="eastAsia" w:cs="Times New Roman"/>
                <w:color w:val="auto"/>
                <w:sz w:val="24"/>
                <w:highlight w:val="none"/>
                <w:lang w:val="en-US" w:eastAsia="zh-CN"/>
              </w:rPr>
              <w:t>调胶、浸酯工序产生的非甲烷总烃为少量仅作定性分析，加强车间通风后于车间内无组织排放</w:t>
            </w:r>
            <w:r>
              <w:rPr>
                <w:rFonts w:hint="default" w:ascii="Times New Roman" w:hAnsi="Times New Roman" w:cs="Times New Roman"/>
                <w:color w:val="auto"/>
                <w:sz w:val="24"/>
                <w:highlight w:val="none"/>
                <w:lang w:eastAsia="zh-CN"/>
              </w:rPr>
              <w:t>。</w:t>
            </w:r>
          </w:p>
          <w:p w14:paraId="69CD43BC">
            <w:pPr>
              <w:spacing w:line="360" w:lineRule="auto"/>
              <w:ind w:firstLine="480" w:firstLineChars="200"/>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③</w:t>
            </w:r>
            <w:r>
              <w:rPr>
                <w:rFonts w:hint="default" w:ascii="Times New Roman" w:hAnsi="Times New Roman" w:cs="Times New Roman"/>
                <w:b/>
                <w:bCs/>
                <w:color w:val="auto"/>
                <w:sz w:val="24"/>
                <w:highlight w:val="none"/>
              </w:rPr>
              <w:t>粉尘</w:t>
            </w:r>
          </w:p>
          <w:p w14:paraId="1887EAF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A.</w:t>
            </w:r>
            <w:r>
              <w:rPr>
                <w:rFonts w:hint="eastAsia" w:ascii="Times New Roman" w:hAnsi="Times New Roman" w:cs="Times New Roman"/>
                <w:color w:val="auto"/>
                <w:sz w:val="24"/>
                <w:highlight w:val="none"/>
                <w:lang w:eastAsia="zh-CN"/>
              </w:rPr>
              <w:t>投料粉尘</w:t>
            </w:r>
          </w:p>
          <w:p w14:paraId="46A886A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eastAsia="zh-CN"/>
              </w:rPr>
              <w:t>碳酸钙</w:t>
            </w:r>
            <w:r>
              <w:rPr>
                <w:rFonts w:hint="default" w:ascii="Times New Roman" w:hAnsi="Times New Roman" w:cs="Times New Roman"/>
                <w:color w:val="auto"/>
                <w:sz w:val="24"/>
                <w:highlight w:val="none"/>
              </w:rPr>
              <w:t>为粉状原料，投料</w:t>
            </w:r>
            <w:r>
              <w:rPr>
                <w:rFonts w:hint="eastAsia" w:cs="Times New Roman"/>
                <w:color w:val="auto"/>
                <w:sz w:val="24"/>
                <w:highlight w:val="none"/>
                <w:lang w:val="en-US" w:eastAsia="zh-CN"/>
              </w:rPr>
              <w:t>调胶</w:t>
            </w:r>
            <w:r>
              <w:rPr>
                <w:rFonts w:hint="default" w:ascii="Times New Roman" w:hAnsi="Times New Roman" w:cs="Times New Roman"/>
                <w:color w:val="auto"/>
                <w:sz w:val="24"/>
                <w:highlight w:val="none"/>
              </w:rPr>
              <w:t>过程会产生少量粉尘，产生系数参照《逸散性工业粉尘控制技术》中的混合过程逸散损失粉尘产污系数1kg/t原料，项目</w:t>
            </w:r>
            <w:r>
              <w:rPr>
                <w:rFonts w:hint="default" w:ascii="Times New Roman" w:hAnsi="Times New Roman" w:cs="Times New Roman"/>
                <w:color w:val="auto"/>
                <w:sz w:val="24"/>
                <w:highlight w:val="none"/>
                <w:lang w:eastAsia="zh-CN"/>
              </w:rPr>
              <w:t>碳酸钙</w:t>
            </w:r>
            <w:r>
              <w:rPr>
                <w:rFonts w:hint="default" w:ascii="Times New Roman" w:hAnsi="Times New Roman" w:cs="Times New Roman"/>
                <w:color w:val="auto"/>
                <w:sz w:val="24"/>
                <w:highlight w:val="none"/>
              </w:rPr>
              <w:t>使用量为</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rPr>
              <w:t>t/a，则</w:t>
            </w:r>
            <w:r>
              <w:rPr>
                <w:rFonts w:hint="eastAsia" w:cs="Times New Roman"/>
                <w:color w:val="auto"/>
                <w:sz w:val="24"/>
                <w:highlight w:val="none"/>
                <w:lang w:val="en-US" w:eastAsia="zh-CN"/>
              </w:rPr>
              <w:t>调胶</w:t>
            </w:r>
            <w:r>
              <w:rPr>
                <w:rFonts w:hint="default" w:ascii="Times New Roman" w:hAnsi="Times New Roman" w:cs="Times New Roman"/>
                <w:color w:val="auto"/>
                <w:sz w:val="24"/>
                <w:highlight w:val="none"/>
              </w:rPr>
              <w:t>工序颗粒物的产生量为</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lang w:eastAsia="zh-CN"/>
              </w:rPr>
              <w:t>kg/t</w:t>
            </w:r>
            <w:r>
              <w:rPr>
                <w:rFonts w:hint="default" w:ascii="Times New Roman" w:hAnsi="Times New Roman" w:cs="Times New Roman"/>
                <w:color w:val="auto"/>
                <w:sz w:val="24"/>
                <w:highlight w:val="none"/>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加强通风后于调胶间内无组织排放</w:t>
            </w:r>
            <w:r>
              <w:rPr>
                <w:rFonts w:hint="default" w:ascii="Times New Roman" w:hAnsi="Times New Roman" w:cs="Times New Roman"/>
                <w:color w:val="auto"/>
                <w:sz w:val="24"/>
                <w:highlight w:val="none"/>
              </w:rPr>
              <w:t>。</w:t>
            </w:r>
          </w:p>
          <w:p w14:paraId="0D355D6F">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B.</w:t>
            </w:r>
            <w:r>
              <w:rPr>
                <w:rFonts w:hint="default" w:ascii="Times New Roman" w:hAnsi="Times New Roman" w:cs="Times New Roman"/>
                <w:b w:val="0"/>
                <w:bCs w:val="0"/>
                <w:color w:val="auto"/>
                <w:sz w:val="24"/>
                <w:highlight w:val="none"/>
                <w:lang w:val="en-US" w:eastAsia="zh-CN"/>
              </w:rPr>
              <w:t>织布</w:t>
            </w:r>
            <w:r>
              <w:rPr>
                <w:rFonts w:hint="eastAsia" w:ascii="Times New Roman" w:hAnsi="Times New Roman" w:cs="Times New Roman"/>
                <w:b w:val="0"/>
                <w:bCs w:val="0"/>
                <w:color w:val="auto"/>
                <w:sz w:val="24"/>
                <w:highlight w:val="none"/>
                <w:lang w:val="en-US" w:eastAsia="zh-CN"/>
              </w:rPr>
              <w:t>粉尘</w:t>
            </w:r>
          </w:p>
          <w:p w14:paraId="1108885A">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本项目原材料为玻璃纤维纱，在整经、织布工序会产生极少量粉尘，主要成分为玻璃纤维，类比《福建爱瑞斯新材料有限公司玻璃纤维布生产项目环境影响报告表》（2021.06），该项目在产品（玻璃纤维布）、原料（</w:t>
            </w:r>
            <w:r>
              <w:rPr>
                <w:rFonts w:hint="eastAsia" w:cs="Times New Roman"/>
                <w:b w:val="0"/>
                <w:bCs w:val="0"/>
                <w:color w:val="auto"/>
                <w:sz w:val="24"/>
                <w:highlight w:val="none"/>
                <w:lang w:val="en-US" w:eastAsia="zh-CN"/>
              </w:rPr>
              <w:t>玻璃纤维纱</w:t>
            </w:r>
            <w:r>
              <w:rPr>
                <w:rFonts w:hint="default" w:ascii="Times New Roman" w:hAnsi="Times New Roman" w:cs="Times New Roman"/>
                <w:b w:val="0"/>
                <w:bCs w:val="0"/>
                <w:color w:val="auto"/>
                <w:sz w:val="24"/>
                <w:highlight w:val="none"/>
                <w:lang w:val="en-US" w:eastAsia="zh-CN"/>
              </w:rPr>
              <w:t>）、主要设备（织布机、整经机等）、主要工艺（整经织布等）与本项目有高度类比性，通过类比，粉尘产生量为原材料的0.01‰。本项目原料用量约为</w:t>
            </w:r>
            <w:r>
              <w:rPr>
                <w:rFonts w:hint="eastAsia" w:cs="Times New Roman"/>
                <w:b w:val="0"/>
                <w:bCs w:val="0"/>
                <w:color w:val="auto"/>
                <w:sz w:val="24"/>
                <w:highlight w:val="none"/>
                <w:lang w:val="en-US" w:eastAsia="zh-CN"/>
              </w:rPr>
              <w:t>4</w:t>
            </w:r>
            <w:r>
              <w:rPr>
                <w:rFonts w:hint="eastAsia" w:ascii="Times New Roman" w:hAnsi="Times New Roman" w:cs="Times New Roman"/>
                <w:b w:val="0"/>
                <w:bCs w:val="0"/>
                <w:color w:val="auto"/>
                <w:sz w:val="24"/>
                <w:highlight w:val="none"/>
                <w:lang w:val="en-US" w:eastAsia="zh-CN"/>
              </w:rPr>
              <w:t>20</w:t>
            </w:r>
            <w:r>
              <w:rPr>
                <w:rFonts w:hint="default" w:ascii="Times New Roman" w:hAnsi="Times New Roman" w:cs="Times New Roman"/>
                <w:b w:val="0"/>
                <w:bCs w:val="0"/>
                <w:color w:val="auto"/>
                <w:sz w:val="24"/>
                <w:highlight w:val="none"/>
                <w:lang w:val="en-US" w:eastAsia="zh-CN"/>
              </w:rPr>
              <w:t>t/a，则粉尘产生量约为0.0</w:t>
            </w:r>
            <w:r>
              <w:rPr>
                <w:rFonts w:hint="eastAsia" w:cs="Times New Roman"/>
                <w:b w:val="0"/>
                <w:bCs w:val="0"/>
                <w:color w:val="auto"/>
                <w:sz w:val="24"/>
                <w:highlight w:val="none"/>
                <w:lang w:val="en-US" w:eastAsia="zh-CN"/>
              </w:rPr>
              <w:t>04</w:t>
            </w:r>
            <w:r>
              <w:rPr>
                <w:rFonts w:hint="eastAsia" w:ascii="Times New Roman" w:hAnsi="Times New Roman" w:cs="Times New Roman"/>
                <w:b w:val="0"/>
                <w:bCs w:val="0"/>
                <w:color w:val="auto"/>
                <w:sz w:val="24"/>
                <w:highlight w:val="none"/>
                <w:lang w:val="en-US" w:eastAsia="zh-CN"/>
              </w:rPr>
              <w:t>2</w:t>
            </w:r>
            <w:r>
              <w:rPr>
                <w:rFonts w:hint="default" w:ascii="Times New Roman" w:hAnsi="Times New Roman" w:cs="Times New Roman"/>
                <w:b w:val="0"/>
                <w:bCs w:val="0"/>
                <w:color w:val="auto"/>
                <w:sz w:val="24"/>
                <w:highlight w:val="none"/>
                <w:lang w:val="en-US" w:eastAsia="zh-CN"/>
              </w:rPr>
              <w:t>t/a，加强车间通风，于车间内无组织排放，对周边空气环境影响较小。</w:t>
            </w:r>
          </w:p>
          <w:p w14:paraId="6AEEE7BB">
            <w:pPr>
              <w:numPr>
                <w:ilvl w:val="0"/>
                <w:numId w:val="11"/>
              </w:numPr>
              <w:spacing w:line="360" w:lineRule="auto"/>
              <w:ind w:firstLine="480" w:firstLineChars="200"/>
              <w:rPr>
                <w:rFonts w:hint="eastAsia" w:cs="Times New Roman"/>
                <w:b/>
                <w:bCs/>
                <w:color w:val="auto"/>
                <w:sz w:val="24"/>
                <w:highlight w:val="none"/>
                <w:lang w:val="en-US" w:eastAsia="zh-CN"/>
              </w:rPr>
            </w:pPr>
            <w:r>
              <w:rPr>
                <w:rFonts w:hint="eastAsia" w:cs="Times New Roman"/>
                <w:b/>
                <w:bCs/>
                <w:color w:val="auto"/>
                <w:sz w:val="24"/>
                <w:highlight w:val="none"/>
                <w:lang w:val="en-US" w:eastAsia="zh-CN"/>
              </w:rPr>
              <w:t>碳纤维制品产污</w:t>
            </w:r>
          </w:p>
          <w:p w14:paraId="27F933EF">
            <w:pPr>
              <w:numPr>
                <w:ilvl w:val="0"/>
                <w:numId w:val="0"/>
              </w:numPr>
              <w:spacing w:line="360" w:lineRule="auto"/>
              <w:ind w:firstLine="480" w:firstLineChars="200"/>
              <w:rPr>
                <w:rFonts w:hint="default"/>
                <w:color w:val="auto"/>
                <w:highlight w:val="none"/>
                <w:lang w:val="en-US" w:eastAsia="zh-CN"/>
              </w:rPr>
            </w:pPr>
            <w:r>
              <w:rPr>
                <w:rFonts w:hint="eastAsia"/>
                <w:color w:val="auto"/>
                <w:highlight w:val="none"/>
                <w:lang w:val="en-US" w:eastAsia="zh-CN"/>
              </w:rPr>
              <w:t>碳纤维制品生产过程中主要为裁布、切断、修边冲孔、烫芯、热压、固化、喷漆抽漆、烘干等工序有废气污染物产生。其中裁布、修边冲孔、切断等工序污染物产生量极少，主要为VOCs、颗粒物和臭气浓度，无组织排放于车间，对环境影响很小，仅作定性分析。</w:t>
            </w:r>
          </w:p>
          <w:p w14:paraId="72A6E275">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①碳纤维预浸料烫芯、热压、固化工序</w:t>
            </w:r>
          </w:p>
          <w:p w14:paraId="1ACDCD8D">
            <w:pPr>
              <w:spacing w:line="360" w:lineRule="auto"/>
              <w:ind w:firstLine="480" w:firstLineChars="200"/>
              <w:rPr>
                <w:rFonts w:hint="default" w:ascii="Times New Roman" w:hAnsi="Times New Roman" w:eastAsia="宋体" w:cs="Times New Roman"/>
                <w:color w:val="auto"/>
                <w:sz w:val="24"/>
                <w:highlight w:val="none"/>
                <w:vertAlign w:val="baseline"/>
                <w:lang w:val="en-US" w:eastAsia="zh-CN"/>
              </w:rPr>
            </w:pPr>
            <w:r>
              <w:rPr>
                <w:rFonts w:hint="eastAsia" w:cs="Times New Roman"/>
                <w:color w:val="auto"/>
                <w:sz w:val="24"/>
                <w:highlight w:val="none"/>
                <w:lang w:val="en-US" w:eastAsia="zh-CN"/>
              </w:rPr>
              <w:t>根据国家标准《碳纤维预浸料》GB/T 28461-2012表3物理性能要求，碳纤维预浸料的挥发分含量为≤1.5%。为保守取值，本环评对碳纤维预浸料挥发分含量取10%，本项目年用碳纤维预浸料42万m，面密度为224g/m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，物料宽度为1m，预浸布中环氧树脂含量为38%，则烫芯、热压、固化工段产生的非甲烷总烃量为42万m×1m×224g/m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×10</w:t>
            </w:r>
            <w:r>
              <w:rPr>
                <w:rFonts w:hint="eastAsia" w:cs="Times New Roman"/>
                <w:color w:val="auto"/>
                <w:sz w:val="24"/>
                <w:highlight w:val="none"/>
                <w:vertAlign w:val="superscript"/>
                <w:lang w:val="en-US" w:eastAsia="zh-CN"/>
              </w:rPr>
              <w:t>-6</w:t>
            </w:r>
            <w:r>
              <w:rPr>
                <w:rFonts w:hint="eastAsia" w:cs="Times New Roman"/>
                <w:color w:val="auto"/>
                <w:sz w:val="24"/>
                <w:highlight w:val="none"/>
                <w:vertAlign w:val="baseline"/>
                <w:lang w:val="en-US" w:eastAsia="zh-CN"/>
              </w:rPr>
              <w:t>×38%×10%=3.575t/a。</w:t>
            </w:r>
          </w:p>
          <w:p w14:paraId="15A408DF">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②喷漆、抽漆、烘干废气</w:t>
            </w:r>
          </w:p>
          <w:p w14:paraId="0FFCA8A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包括调漆、喷漆、抽漆、烘干工序，主要为非甲烷总烃、苯系物、颗粒物，收集后由一套废气处理设施处理。</w:t>
            </w:r>
          </w:p>
          <w:p w14:paraId="7EF2F39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根据前文表2-7调配后各漆料用料一览表、表2-9涉VOCs原辅材料VOCs含量情况一览表可知，喷涂工序VOCs产生量如下：</w:t>
            </w:r>
          </w:p>
          <w:p w14:paraId="504F708A">
            <w:pPr>
              <w:pageBreakBefore w:val="0"/>
              <w:kinsoku/>
              <w:wordWrap w:val="0"/>
              <w:overflowPunct/>
              <w:topLinePunct w:val="0"/>
              <w:bidi w:val="0"/>
              <w:spacing w:line="36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表4-5调漆、喷漆、抽漆、烘干工序VOCs产生情况一览表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227"/>
              <w:gridCol w:w="1609"/>
              <w:gridCol w:w="2054"/>
              <w:gridCol w:w="1733"/>
            </w:tblGrid>
            <w:tr w14:paraId="5D8C2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2FCAB58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1230" w:type="dxa"/>
                  <w:vAlign w:val="center"/>
                </w:tcPr>
                <w:p w14:paraId="23EB1D9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使用量</w:t>
                  </w:r>
                  <w:r>
                    <w:rPr>
                      <w:rFonts w:hint="eastAsia" w:cs="Times New Roman"/>
                      <w:b/>
                      <w:bCs/>
                      <w:color w:val="auto"/>
                      <w:sz w:val="21"/>
                      <w:szCs w:val="21"/>
                      <w:highlight w:val="none"/>
                      <w:vertAlign w:val="baseline"/>
                      <w:lang w:val="en-US" w:eastAsia="zh-CN"/>
                    </w:rPr>
                    <w:t>L</w:t>
                  </w:r>
                  <w:r>
                    <w:rPr>
                      <w:rFonts w:hint="default" w:ascii="Times New Roman" w:hAnsi="Times New Roman" w:cs="Times New Roman"/>
                      <w:b/>
                      <w:bCs/>
                      <w:color w:val="auto"/>
                      <w:sz w:val="21"/>
                      <w:szCs w:val="21"/>
                      <w:highlight w:val="none"/>
                      <w:vertAlign w:val="baseline"/>
                      <w:lang w:val="en-US" w:eastAsia="zh-CN"/>
                    </w:rPr>
                    <w:t>/a</w:t>
                  </w:r>
                </w:p>
              </w:tc>
              <w:tc>
                <w:tcPr>
                  <w:tcW w:w="1620" w:type="dxa"/>
                  <w:vAlign w:val="center"/>
                </w:tcPr>
                <w:p w14:paraId="1E41F316">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VOCs含量</w:t>
                  </w:r>
                  <w:r>
                    <w:rPr>
                      <w:rFonts w:hint="default" w:ascii="Times New Roman" w:hAnsi="Times New Roman" w:cs="Times New Roman"/>
                      <w:bCs/>
                      <w:color w:val="auto"/>
                      <w:sz w:val="21"/>
                      <w:szCs w:val="21"/>
                      <w:highlight w:val="none"/>
                    </w:rPr>
                    <w:t>g/L</w:t>
                  </w:r>
                </w:p>
              </w:tc>
              <w:tc>
                <w:tcPr>
                  <w:tcW w:w="2070" w:type="dxa"/>
                  <w:vAlign w:val="center"/>
                </w:tcPr>
                <w:p w14:paraId="134225B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VOCs产生量t/a</w:t>
                  </w:r>
                </w:p>
              </w:tc>
              <w:tc>
                <w:tcPr>
                  <w:tcW w:w="1745" w:type="dxa"/>
                  <w:vAlign w:val="center"/>
                </w:tcPr>
                <w:p w14:paraId="1033CB04">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3C78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4699349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油性漆</w:t>
                  </w:r>
                </w:p>
              </w:tc>
              <w:tc>
                <w:tcPr>
                  <w:tcW w:w="1230" w:type="dxa"/>
                  <w:vAlign w:val="center"/>
                </w:tcPr>
                <w:p w14:paraId="5C425174">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965.11 </w:t>
                  </w:r>
                </w:p>
              </w:tc>
              <w:tc>
                <w:tcPr>
                  <w:tcW w:w="1620" w:type="dxa"/>
                  <w:vAlign w:val="center"/>
                </w:tcPr>
                <w:p w14:paraId="7E3817C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363.3</w:t>
                  </w:r>
                </w:p>
              </w:tc>
              <w:tc>
                <w:tcPr>
                  <w:tcW w:w="2070" w:type="dxa"/>
                  <w:vAlign w:val="center"/>
                </w:tcPr>
                <w:p w14:paraId="6695812E">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0.351 </w:t>
                  </w:r>
                </w:p>
              </w:tc>
              <w:tc>
                <w:tcPr>
                  <w:tcW w:w="1745" w:type="dxa"/>
                  <w:vAlign w:val="center"/>
                </w:tcPr>
                <w:p w14:paraId="07CC6D0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0.073 </w:t>
                  </w:r>
                </w:p>
              </w:tc>
            </w:tr>
            <w:tr w14:paraId="54CC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74B35A58">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水性漆</w:t>
                  </w:r>
                </w:p>
              </w:tc>
              <w:tc>
                <w:tcPr>
                  <w:tcW w:w="1230" w:type="dxa"/>
                  <w:vAlign w:val="center"/>
                </w:tcPr>
                <w:p w14:paraId="6C325C1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12272.80 </w:t>
                  </w:r>
                </w:p>
              </w:tc>
              <w:tc>
                <w:tcPr>
                  <w:tcW w:w="1620" w:type="dxa"/>
                  <w:vAlign w:val="center"/>
                </w:tcPr>
                <w:p w14:paraId="0D3814D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2070" w:type="dxa"/>
                  <w:vAlign w:val="center"/>
                </w:tcPr>
                <w:p w14:paraId="60CB9E7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0.233 </w:t>
                  </w:r>
                </w:p>
              </w:tc>
              <w:tc>
                <w:tcPr>
                  <w:tcW w:w="1745" w:type="dxa"/>
                  <w:vAlign w:val="center"/>
                </w:tcPr>
                <w:p w14:paraId="690BC0A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0.049 </w:t>
                  </w:r>
                </w:p>
              </w:tc>
            </w:tr>
            <w:tr w14:paraId="17F6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0817116A">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230" w:type="dxa"/>
                  <w:vAlign w:val="center"/>
                </w:tcPr>
                <w:p w14:paraId="4C5ABB4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13237.90 </w:t>
                  </w:r>
                </w:p>
              </w:tc>
              <w:tc>
                <w:tcPr>
                  <w:tcW w:w="1620" w:type="dxa"/>
                  <w:vAlign w:val="center"/>
                </w:tcPr>
                <w:p w14:paraId="32A111C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070" w:type="dxa"/>
                  <w:vAlign w:val="center"/>
                </w:tcPr>
                <w:p w14:paraId="54D110E2">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0.584 </w:t>
                  </w:r>
                </w:p>
              </w:tc>
              <w:tc>
                <w:tcPr>
                  <w:tcW w:w="1745" w:type="dxa"/>
                  <w:vAlign w:val="center"/>
                </w:tcPr>
                <w:p w14:paraId="24AC3DD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0.122 </w:t>
                  </w:r>
                </w:p>
              </w:tc>
            </w:tr>
          </w:tbl>
          <w:p w14:paraId="38EF9D7D">
            <w:pPr>
              <w:pageBreakBefore w:val="0"/>
              <w:kinsoku/>
              <w:wordWrap w:val="0"/>
              <w:overflowPunct/>
              <w:topLinePunct w:val="0"/>
              <w:bidi w:val="0"/>
              <w:spacing w:line="360" w:lineRule="auto"/>
              <w:ind w:firstLine="480" w:firstLineChars="200"/>
              <w:rPr>
                <w:rFonts w:hint="default" w:cs="Times New Roman"/>
                <w:b/>
                <w:bCs/>
                <w:color w:val="auto"/>
                <w:sz w:val="21"/>
                <w:szCs w:val="21"/>
                <w:highlight w:val="none"/>
                <w:lang w:val="en-US" w:eastAsia="zh-CN"/>
              </w:rPr>
            </w:pPr>
            <w:r>
              <w:rPr>
                <w:rFonts w:hint="eastAsia" w:cs="Times New Roman"/>
                <w:color w:val="auto"/>
                <w:sz w:val="24"/>
                <w:highlight w:val="none"/>
                <w:lang w:val="en-US" w:eastAsia="zh-CN"/>
              </w:rPr>
              <w:t>即调漆、喷漆、抽漆、烘干工序VOCs产生量为</w:t>
            </w:r>
            <w:r>
              <w:rPr>
                <w:rFonts w:hint="eastAsia" w:cs="Times New Roman"/>
                <w:i w:val="0"/>
                <w:iCs w:val="0"/>
                <w:color w:val="auto"/>
                <w:kern w:val="0"/>
                <w:sz w:val="24"/>
                <w:szCs w:val="24"/>
                <w:highlight w:val="none"/>
                <w:u w:val="none"/>
                <w:lang w:val="en-US" w:eastAsia="zh-CN"/>
              </w:rPr>
              <w:t>0.584</w:t>
            </w:r>
            <w:r>
              <w:rPr>
                <w:rFonts w:hint="eastAsia" w:cs="Times New Roman"/>
                <w:color w:val="auto"/>
                <w:sz w:val="24"/>
                <w:highlight w:val="none"/>
                <w:lang w:val="en-US" w:eastAsia="zh-CN"/>
              </w:rPr>
              <w:t>t/a。</w:t>
            </w:r>
          </w:p>
          <w:p w14:paraId="500D60FC">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③苯系物</w:t>
            </w:r>
            <w:r>
              <w:rPr>
                <w:rFonts w:hint="eastAsia" w:cs="Times New Roman"/>
                <w:color w:val="auto"/>
                <w:sz w:val="24"/>
                <w:highlight w:val="none"/>
                <w:lang w:eastAsia="zh-CN"/>
              </w:rPr>
              <w:t>（</w:t>
            </w:r>
            <w:r>
              <w:rPr>
                <w:rFonts w:hint="eastAsia" w:cs="Times New Roman"/>
                <w:color w:val="auto"/>
                <w:sz w:val="24"/>
                <w:highlight w:val="none"/>
                <w:lang w:val="en-US" w:eastAsia="zh-CN"/>
              </w:rPr>
              <w:t>喷涂工序、烘干过程</w:t>
            </w:r>
            <w:r>
              <w:rPr>
                <w:rFonts w:hint="eastAsia" w:cs="Times New Roman"/>
                <w:color w:val="auto"/>
                <w:sz w:val="24"/>
                <w:highlight w:val="none"/>
                <w:lang w:eastAsia="zh-CN"/>
              </w:rPr>
              <w:t>）</w:t>
            </w:r>
          </w:p>
          <w:p w14:paraId="0756B5BE">
            <w:pPr>
              <w:pageBreakBefore w:val="0"/>
              <w:kinsoku/>
              <w:wordWrap w:val="0"/>
              <w:overflowPunct/>
              <w:topLinePunct w:val="0"/>
              <w:bidi w:val="0"/>
              <w:spacing w:line="360" w:lineRule="auto"/>
              <w:ind w:firstLine="480" w:firstLineChars="200"/>
              <w:rPr>
                <w:rFonts w:hint="eastAsia" w:cs="Times New Roman"/>
                <w:bCs/>
                <w:color w:val="auto"/>
                <w:sz w:val="24"/>
                <w:szCs w:val="24"/>
                <w:highlight w:val="none"/>
                <w:lang w:val="en-US" w:eastAsia="zh-CN"/>
              </w:rPr>
            </w:pPr>
            <w:r>
              <w:rPr>
                <w:rFonts w:hint="eastAsia" w:cs="Times New Roman"/>
                <w:color w:val="auto"/>
                <w:sz w:val="24"/>
                <w:highlight w:val="none"/>
                <w:lang w:val="en-US" w:eastAsia="zh-CN"/>
              </w:rPr>
              <w:t>主要来自PU漆，根据物料检测报告，PU漆二甲苯含量为6%。根据物料MSDS，稀释剂二甲苯含量为10%~30%，按全部为苯系物计（取30%），则油性漆使用过程中苯系物产量为1.096t/a×6%+0.1t/a×30%=0.096</w:t>
            </w:r>
            <w:r>
              <w:rPr>
                <w:rFonts w:hint="eastAsia" w:ascii="Times New Roman" w:hAnsi="Times New Roman" w:cs="Times New Roman"/>
                <w:bCs/>
                <w:color w:val="auto"/>
                <w:sz w:val="24"/>
                <w:szCs w:val="24"/>
                <w:highlight w:val="none"/>
                <w:lang w:val="en-US" w:eastAsia="zh-CN"/>
              </w:rPr>
              <w:t>t/a</w:t>
            </w:r>
            <w:r>
              <w:rPr>
                <w:rFonts w:hint="eastAsia" w:cs="Times New Roman"/>
                <w:bCs/>
                <w:color w:val="auto"/>
                <w:sz w:val="24"/>
                <w:szCs w:val="24"/>
                <w:highlight w:val="none"/>
                <w:lang w:val="en-US" w:eastAsia="zh-CN"/>
              </w:rPr>
              <w:t>。</w:t>
            </w:r>
          </w:p>
          <w:p w14:paraId="6234E193">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④漆雾</w:t>
            </w:r>
          </w:p>
          <w:p w14:paraId="3A5E108F">
            <w:pPr>
              <w:pageBreakBefore w:val="0"/>
              <w:kinsoku/>
              <w:wordWrap w:val="0"/>
              <w:overflowPunct/>
              <w:topLinePunct w:val="0"/>
              <w:bidi w:val="0"/>
              <w:spacing w:line="360" w:lineRule="auto"/>
              <w:ind w:firstLine="480" w:firstLineChars="200"/>
              <w:rPr>
                <w:rFonts w:hint="eastAsia"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本项目</w:t>
            </w:r>
            <w:r>
              <w:rPr>
                <w:rFonts w:hint="eastAsia" w:cs="Times New Roman"/>
                <w:b w:val="0"/>
                <w:bCs w:val="0"/>
                <w:color w:val="auto"/>
                <w:sz w:val="24"/>
                <w:highlight w:val="none"/>
                <w:lang w:val="en-US" w:eastAsia="zh-CN"/>
              </w:rPr>
              <w:t>喷涂工序会产生一定量的漆雾，以颗粒物表征。漆雾产生量计算公式为：涂料用量×（1-上漆率）×固含量，计算结果如下表所示：</w:t>
            </w:r>
          </w:p>
          <w:p w14:paraId="1DA53643">
            <w:pPr>
              <w:pageBreakBefore w:val="0"/>
              <w:kinsoku/>
              <w:wordWrap w:val="0"/>
              <w:overflowPunct/>
              <w:topLinePunct w:val="0"/>
              <w:bidi w:val="0"/>
              <w:spacing w:line="24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表4-6   漆雾产生情况一览表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100"/>
              <w:gridCol w:w="950"/>
              <w:gridCol w:w="887"/>
              <w:gridCol w:w="1688"/>
              <w:gridCol w:w="2005"/>
            </w:tblGrid>
            <w:tr w14:paraId="78E5C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469B646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1100" w:type="dxa"/>
                  <w:vAlign w:val="center"/>
                </w:tcPr>
                <w:p w14:paraId="045C3A75">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漆料用量t/a</w:t>
                  </w:r>
                </w:p>
              </w:tc>
              <w:tc>
                <w:tcPr>
                  <w:tcW w:w="950" w:type="dxa"/>
                  <w:vAlign w:val="center"/>
                </w:tcPr>
                <w:p w14:paraId="6BCD56F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上漆率%</w:t>
                  </w:r>
                </w:p>
              </w:tc>
              <w:tc>
                <w:tcPr>
                  <w:tcW w:w="887" w:type="dxa"/>
                  <w:vAlign w:val="center"/>
                </w:tcPr>
                <w:p w14:paraId="5F4A0080">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固含量</w:t>
                  </w:r>
                </w:p>
              </w:tc>
              <w:tc>
                <w:tcPr>
                  <w:tcW w:w="1688" w:type="dxa"/>
                  <w:vAlign w:val="center"/>
                </w:tcPr>
                <w:p w14:paraId="1334486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漆雾产生量t/a</w:t>
                  </w:r>
                </w:p>
              </w:tc>
              <w:tc>
                <w:tcPr>
                  <w:tcW w:w="2005" w:type="dxa"/>
                  <w:vAlign w:val="center"/>
                </w:tcPr>
                <w:p w14:paraId="7C9A9B1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2BD3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shd w:val="clear" w:color="auto" w:fill="auto"/>
                  <w:vAlign w:val="center"/>
                </w:tcPr>
                <w:p w14:paraId="37882192">
                  <w:pPr>
                    <w:pageBreakBefore w:val="0"/>
                    <w:kinsoku/>
                    <w:wordWrap w:val="0"/>
                    <w:overflowPunct/>
                    <w:topLinePunct w:val="0"/>
                    <w:bidi w:val="0"/>
                    <w:spacing w:line="240" w:lineRule="auto"/>
                    <w:jc w:val="center"/>
                    <w:outlineLvl w:val="3"/>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油性漆</w:t>
                  </w:r>
                </w:p>
              </w:tc>
              <w:tc>
                <w:tcPr>
                  <w:tcW w:w="1100" w:type="dxa"/>
                  <w:shd w:val="clear" w:color="auto" w:fill="auto"/>
                  <w:vAlign w:val="center"/>
                </w:tcPr>
                <w:p w14:paraId="2AAA8F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1.187 </w:t>
                  </w:r>
                </w:p>
              </w:tc>
              <w:tc>
                <w:tcPr>
                  <w:tcW w:w="950" w:type="dxa"/>
                  <w:vAlign w:val="center"/>
                </w:tcPr>
                <w:p w14:paraId="7676717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0.500 </w:t>
                  </w:r>
                </w:p>
              </w:tc>
              <w:tc>
                <w:tcPr>
                  <w:tcW w:w="887" w:type="dxa"/>
                  <w:shd w:val="clear" w:color="auto" w:fill="auto"/>
                  <w:vAlign w:val="center"/>
                </w:tcPr>
                <w:p w14:paraId="0C831F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0.705 </w:t>
                  </w:r>
                </w:p>
              </w:tc>
              <w:tc>
                <w:tcPr>
                  <w:tcW w:w="1688" w:type="dxa"/>
                  <w:shd w:val="clear" w:color="auto" w:fill="auto"/>
                  <w:vAlign w:val="center"/>
                </w:tcPr>
                <w:p w14:paraId="494404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0.418 </w:t>
                  </w:r>
                </w:p>
              </w:tc>
              <w:tc>
                <w:tcPr>
                  <w:tcW w:w="2005" w:type="dxa"/>
                  <w:shd w:val="clear" w:color="auto" w:fill="auto"/>
                  <w:vAlign w:val="center"/>
                </w:tcPr>
                <w:p w14:paraId="30F645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0.087 </w:t>
                  </w:r>
                </w:p>
              </w:tc>
            </w:tr>
            <w:tr w14:paraId="4F9F9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6ED1471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水性漆</w:t>
                  </w:r>
                </w:p>
              </w:tc>
              <w:tc>
                <w:tcPr>
                  <w:tcW w:w="1100" w:type="dxa"/>
                  <w:vAlign w:val="center"/>
                </w:tcPr>
                <w:p w14:paraId="5212F24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c>
                <w:tcPr>
                  <w:tcW w:w="950" w:type="dxa"/>
                  <w:vAlign w:val="center"/>
                </w:tcPr>
                <w:p w14:paraId="39F9998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0.500 </w:t>
                  </w:r>
                </w:p>
              </w:tc>
              <w:tc>
                <w:tcPr>
                  <w:tcW w:w="887" w:type="dxa"/>
                  <w:vAlign w:val="center"/>
                </w:tcPr>
                <w:p w14:paraId="51DE937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0.783 </w:t>
                  </w:r>
                </w:p>
              </w:tc>
              <w:tc>
                <w:tcPr>
                  <w:tcW w:w="1688" w:type="dxa"/>
                  <w:vAlign w:val="center"/>
                </w:tcPr>
                <w:p w14:paraId="5FF546D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5.285 </w:t>
                  </w:r>
                </w:p>
              </w:tc>
              <w:tc>
                <w:tcPr>
                  <w:tcW w:w="2005" w:type="dxa"/>
                  <w:vAlign w:val="center"/>
                </w:tcPr>
                <w:p w14:paraId="2E30DF45">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1.101 </w:t>
                  </w:r>
                </w:p>
              </w:tc>
            </w:tr>
            <w:tr w14:paraId="63499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01454711">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100" w:type="dxa"/>
                  <w:vAlign w:val="center"/>
                </w:tcPr>
                <w:p w14:paraId="0D71C83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14.687 </w:t>
                  </w:r>
                </w:p>
              </w:tc>
              <w:tc>
                <w:tcPr>
                  <w:tcW w:w="950" w:type="dxa"/>
                  <w:vAlign w:val="center"/>
                </w:tcPr>
                <w:p w14:paraId="4A07080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1.000 </w:t>
                  </w:r>
                </w:p>
              </w:tc>
              <w:tc>
                <w:tcPr>
                  <w:tcW w:w="887" w:type="dxa"/>
                  <w:vAlign w:val="center"/>
                </w:tcPr>
                <w:p w14:paraId="1AC8552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1.488 </w:t>
                  </w:r>
                </w:p>
              </w:tc>
              <w:tc>
                <w:tcPr>
                  <w:tcW w:w="1688" w:type="dxa"/>
                  <w:shd w:val="clear" w:color="auto" w:fill="auto"/>
                  <w:vAlign w:val="center"/>
                </w:tcPr>
                <w:p w14:paraId="6110D5C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5.704 </w:t>
                  </w:r>
                </w:p>
              </w:tc>
              <w:tc>
                <w:tcPr>
                  <w:tcW w:w="2005" w:type="dxa"/>
                  <w:vAlign w:val="center"/>
                </w:tcPr>
                <w:p w14:paraId="101FB15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1.188 </w:t>
                  </w:r>
                </w:p>
              </w:tc>
            </w:tr>
          </w:tbl>
          <w:p w14:paraId="2C43BECE">
            <w:pPr>
              <w:pageBreakBefore w:val="0"/>
              <w:kinsoku/>
              <w:wordWrap w:val="0"/>
              <w:overflowPunct/>
              <w:topLinePunct w:val="0"/>
              <w:bidi w:val="0"/>
              <w:spacing w:line="360" w:lineRule="auto"/>
              <w:ind w:firstLine="480" w:firstLineChars="200"/>
              <w:rPr>
                <w:rFonts w:hint="eastAsia" w:eastAsia="宋体"/>
                <w:color w:val="auto"/>
                <w:highlight w:val="none"/>
                <w:lang w:val="en-US" w:eastAsia="zh-CN"/>
              </w:rPr>
            </w:pPr>
            <w:r>
              <w:rPr>
                <w:rFonts w:hint="eastAsia" w:cs="Times New Roman"/>
                <w:color w:val="auto"/>
                <w:sz w:val="24"/>
                <w:highlight w:val="none"/>
                <w:lang w:val="en-US" w:eastAsia="zh-CN"/>
              </w:rPr>
              <w:t>即喷漆房漆雾颗粒物产生量为5.704t/a</w:t>
            </w:r>
            <w:r>
              <w:rPr>
                <w:rFonts w:hint="eastAsia"/>
                <w:color w:val="auto"/>
                <w:highlight w:val="none"/>
                <w:lang w:val="en-US" w:eastAsia="zh-CN"/>
              </w:rPr>
              <w:t>。</w:t>
            </w:r>
          </w:p>
          <w:p w14:paraId="7131B3C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）臭气浓度</w:t>
            </w:r>
          </w:p>
          <w:p w14:paraId="19E9027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喷漆抽漆、烘干、</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sz w:val="24"/>
                <w:highlight w:val="none"/>
                <w:lang w:eastAsia="zh-CN"/>
              </w:rPr>
              <w:t>、注塑</w:t>
            </w:r>
            <w:r>
              <w:rPr>
                <w:rFonts w:hint="default" w:ascii="Times New Roman" w:hAnsi="Times New Roman" w:cs="Times New Roman"/>
                <w:color w:val="auto"/>
                <w:sz w:val="24"/>
                <w:highlight w:val="none"/>
              </w:rPr>
              <w:t>工序中会伴有明显的异味，需要作为恶臭进行管理和控制。本次评价统一以臭气浓度进行描述。该类异味覆盖范围仅限于生产设备至生产车间边界，对外环境影响较小。</w:t>
            </w:r>
          </w:p>
          <w:p w14:paraId="2CB503C7">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5、废气风量核算</w:t>
            </w:r>
          </w:p>
          <w:p w14:paraId="63730AE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1#厂房除喷漆房和烘干房外的所有生产设备均为密闭设备，设备排放口直连集气管。根据前文计算，1#厂房废气处理设施的设计风量为35000m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/h，</w:t>
            </w:r>
            <w:r>
              <w:rPr>
                <w:rFonts w:hint="default" w:ascii="Times New Roman" w:hAnsi="Times New Roman" w:cs="Times New Roman"/>
                <w:color w:val="auto"/>
                <w:sz w:val="24"/>
                <w:highlight w:val="none"/>
              </w:rPr>
              <w:t>废气收集后经</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吸附装置”处理后经15m高的排气筒</w:t>
            </w:r>
            <w:r>
              <w:rPr>
                <w:rFonts w:hint="eastAsia" w:cs="Times New Roman"/>
                <w:color w:val="auto"/>
                <w:sz w:val="24"/>
                <w:highlight w:val="none"/>
                <w:lang w:val="en-US" w:eastAsia="zh-CN"/>
              </w:rPr>
              <w:t>DA001</w:t>
            </w:r>
            <w:r>
              <w:rPr>
                <w:rFonts w:hint="default" w:ascii="Times New Roman" w:hAnsi="Times New Roman" w:cs="Times New Roman"/>
                <w:color w:val="auto"/>
                <w:sz w:val="24"/>
                <w:highlight w:val="none"/>
              </w:rPr>
              <w:t>排放。</w:t>
            </w:r>
          </w:p>
          <w:p w14:paraId="78FCCAA4">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4#厂房的</w:t>
            </w:r>
            <w:r>
              <w:rPr>
                <w:rFonts w:hint="eastAsia" w:ascii="Times New Roman" w:hAnsi="Times New Roman" w:cs="Times New Roman"/>
                <w:color w:val="auto"/>
                <w:sz w:val="24"/>
                <w:highlight w:val="none"/>
                <w:lang w:eastAsia="zh-CN"/>
              </w:rPr>
              <w:t>浸酯槽、</w:t>
            </w:r>
            <w:r>
              <w:rPr>
                <w:rFonts w:hint="eastAsia" w:ascii="Times New Roman" w:hAnsi="Times New Roman" w:cs="Times New Roman"/>
                <w:color w:val="auto"/>
                <w:sz w:val="24"/>
                <w:highlight w:val="none"/>
                <w:lang w:val="en-US" w:eastAsia="zh-CN"/>
              </w:rPr>
              <w:t>模具加热板、注塑机产污口</w:t>
            </w:r>
            <w:r>
              <w:rPr>
                <w:rFonts w:hint="eastAsia" w:cs="Times New Roman"/>
                <w:color w:val="auto"/>
                <w:sz w:val="24"/>
                <w:highlight w:val="none"/>
                <w:lang w:val="en-US" w:eastAsia="zh-CN"/>
              </w:rPr>
              <w:t>分别</w:t>
            </w:r>
            <w:r>
              <w:rPr>
                <w:rFonts w:hint="eastAsia" w:ascii="Times New Roman" w:hAnsi="Times New Roman" w:cs="Times New Roman"/>
                <w:color w:val="auto"/>
                <w:sz w:val="24"/>
                <w:highlight w:val="none"/>
                <w:lang w:eastAsia="zh-CN"/>
              </w:rPr>
              <w:t>设置顶吸式</w:t>
            </w:r>
            <w:r>
              <w:rPr>
                <w:rFonts w:hint="default" w:ascii="Times New Roman" w:hAnsi="Times New Roman" w:cs="Times New Roman"/>
                <w:color w:val="auto"/>
                <w:sz w:val="24"/>
                <w:highlight w:val="none"/>
              </w:rPr>
              <w:t>集气罩</w:t>
            </w:r>
            <w:r>
              <w:rPr>
                <w:rFonts w:hint="eastAsia" w:cs="Times New Roman"/>
                <w:color w:val="auto"/>
                <w:sz w:val="24"/>
                <w:highlight w:val="none"/>
                <w:lang w:eastAsia="zh-CN"/>
              </w:rPr>
              <w:t>，其中</w:t>
            </w:r>
            <w:r>
              <w:rPr>
                <w:rFonts w:hint="eastAsia" w:ascii="Times New Roman" w:hAnsi="Times New Roman" w:cs="Times New Roman"/>
                <w:color w:val="auto"/>
                <w:sz w:val="24"/>
                <w:highlight w:val="none"/>
                <w:lang w:eastAsia="zh-CN"/>
              </w:rPr>
              <w:t>浸酯槽和</w:t>
            </w:r>
            <w:r>
              <w:rPr>
                <w:rFonts w:hint="eastAsia" w:ascii="Times New Roman" w:hAnsi="Times New Roman" w:cs="Times New Roman"/>
                <w:color w:val="auto"/>
                <w:sz w:val="24"/>
                <w:highlight w:val="none"/>
                <w:lang w:val="en-US" w:eastAsia="zh-CN"/>
              </w:rPr>
              <w:t>模具加热板共用一个集气罩</w:t>
            </w:r>
            <w:r>
              <w:rPr>
                <w:rFonts w:hint="default" w:ascii="Times New Roman" w:hAnsi="Times New Roman" w:cs="Times New Roman"/>
                <w:color w:val="auto"/>
                <w:sz w:val="24"/>
                <w:highlight w:val="none"/>
              </w:rPr>
              <w:t>，废气</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收集后经</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吸附装置”处理后经15m高的排气筒排放。</w:t>
            </w:r>
          </w:p>
          <w:p w14:paraId="336E2DB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废气风量核算过程：</w:t>
            </w:r>
          </w:p>
          <w:p w14:paraId="30EEA923">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4#厂房中</w:t>
            </w:r>
            <w:r>
              <w:rPr>
                <w:rFonts w:hint="default" w:ascii="Times New Roman" w:hAnsi="Times New Roman" w:cs="Times New Roman"/>
                <w:color w:val="auto"/>
                <w:sz w:val="24"/>
                <w:highlight w:val="none"/>
              </w:rPr>
              <w:t>玻璃纤维增强塑料制品</w:t>
            </w:r>
            <w:r>
              <w:rPr>
                <w:rFonts w:hint="eastAsia" w:cs="Times New Roman"/>
                <w:color w:val="auto"/>
                <w:sz w:val="24"/>
                <w:highlight w:val="none"/>
                <w:lang w:eastAsia="zh-CN"/>
              </w:rPr>
              <w:t>生产线设有</w:t>
            </w:r>
            <w:r>
              <w:rPr>
                <w:rFonts w:hint="eastAsia" w:cs="Times New Roman"/>
                <w:color w:val="auto"/>
                <w:sz w:val="24"/>
                <w:highlight w:val="none"/>
                <w:lang w:val="en-US" w:eastAsia="zh-CN"/>
              </w:rPr>
              <w:t>12条，即</w:t>
            </w:r>
            <w:r>
              <w:rPr>
                <w:rFonts w:hint="default" w:ascii="Times New Roman" w:hAnsi="Times New Roman" w:cs="Times New Roman"/>
                <w:color w:val="auto"/>
                <w:sz w:val="24"/>
                <w:highlight w:val="none"/>
              </w:rPr>
              <w:t>设有</w:t>
            </w:r>
            <w:r>
              <w:rPr>
                <w:rFonts w:hint="eastAsia" w:ascii="Times New Roman" w:hAnsi="Times New Roman" w:cs="Times New Roman"/>
                <w:color w:val="auto"/>
                <w:sz w:val="24"/>
                <w:highlight w:val="none"/>
                <w:lang w:val="en-US" w:eastAsia="zh-CN"/>
              </w:rPr>
              <w:t>12</w:t>
            </w:r>
            <w:r>
              <w:rPr>
                <w:rFonts w:hint="eastAsia" w:cs="Times New Roman"/>
                <w:color w:val="auto"/>
                <w:sz w:val="24"/>
                <w:highlight w:val="none"/>
                <w:lang w:eastAsia="zh-CN"/>
              </w:rPr>
              <w:t>台</w:t>
            </w:r>
            <w:r>
              <w:rPr>
                <w:rFonts w:hint="eastAsia" w:ascii="Times New Roman" w:hAnsi="Times New Roman" w:cs="Times New Roman"/>
                <w:color w:val="auto"/>
                <w:sz w:val="24"/>
                <w:highlight w:val="none"/>
                <w:lang w:eastAsia="zh-CN"/>
              </w:rPr>
              <w:t>浸酯槽</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模具加热板</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4台注塑机</w:t>
            </w:r>
            <w:r>
              <w:rPr>
                <w:rFonts w:hint="default" w:ascii="Times New Roman" w:hAnsi="Times New Roman" w:cs="Times New Roman"/>
                <w:color w:val="auto"/>
                <w:sz w:val="24"/>
                <w:highlight w:val="none"/>
              </w:rPr>
              <w:t>，共需要设置</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rPr>
              <w:t>个集气罩。</w:t>
            </w:r>
          </w:p>
          <w:p w14:paraId="62B120C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参照《废气处理工程技术手册》（化学工业出版社，2013年版）中的顶吸罩风量计算：</w:t>
            </w:r>
          </w:p>
          <w:p w14:paraId="45701F98">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L=3600（W+B）HVx</w:t>
            </w:r>
          </w:p>
          <w:p w14:paraId="1061B32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其中：L——集气罩排气量，m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p>
          <w:p w14:paraId="74B36DC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W——集气罩口长度，m；</w:t>
            </w:r>
          </w:p>
          <w:p w14:paraId="70D4B8E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B——集气罩口宽度，m；</w:t>
            </w:r>
          </w:p>
          <w:p w14:paraId="759C166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H——排气罩至污染源的距离，m；</w:t>
            </w:r>
          </w:p>
          <w:p w14:paraId="446DA5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Vx——控制风速，项目废气以较低的速度散发到较平静的空气中，集气罩吸入速度取0.5m/s；</w:t>
            </w:r>
          </w:p>
          <w:p w14:paraId="5D6D0AAC">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集气罩风量计算如下表所示：</w:t>
            </w:r>
          </w:p>
          <w:p w14:paraId="6C2F926E">
            <w:pPr>
              <w:widowControl/>
              <w:spacing w:line="240" w:lineRule="auto"/>
              <w:jc w:val="center"/>
              <w:rPr>
                <w:rFonts w:hint="eastAsia" w:cs="Times New Roman"/>
                <w:b/>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 xml:space="preserve"> 集气罩风量计算表</w:t>
            </w:r>
          </w:p>
          <w:tbl>
            <w:tblPr>
              <w:tblStyle w:val="46"/>
              <w:tblW w:w="4994" w:type="pct"/>
              <w:jc w:val="center"/>
              <w:tblLayout w:type="autofit"/>
              <w:tblCellMar>
                <w:top w:w="0" w:type="dxa"/>
                <w:left w:w="0" w:type="dxa"/>
                <w:bottom w:w="0" w:type="dxa"/>
                <w:right w:w="0" w:type="dxa"/>
              </w:tblCellMar>
            </w:tblPr>
            <w:tblGrid>
              <w:gridCol w:w="887"/>
              <w:gridCol w:w="1557"/>
              <w:gridCol w:w="895"/>
              <w:gridCol w:w="895"/>
              <w:gridCol w:w="898"/>
              <w:gridCol w:w="915"/>
              <w:gridCol w:w="898"/>
              <w:gridCol w:w="899"/>
            </w:tblGrid>
            <w:tr w14:paraId="121AE005">
              <w:tblPrEx>
                <w:tblCellMar>
                  <w:top w:w="0" w:type="dxa"/>
                  <w:left w:w="0" w:type="dxa"/>
                  <w:bottom w:w="0" w:type="dxa"/>
                  <w:right w:w="0" w:type="dxa"/>
                </w:tblCellMar>
              </w:tblPrEx>
              <w:trPr>
                <w:cantSplit/>
                <w:trHeight w:val="911" w:hRule="atLeast"/>
                <w:jc w:val="center"/>
              </w:trPr>
              <w:tc>
                <w:tcPr>
                  <w:tcW w:w="584" w:type="pct"/>
                  <w:tcBorders>
                    <w:top w:val="single" w:color="auto" w:sz="4" w:space="0"/>
                    <w:left w:val="single" w:color="auto" w:sz="6" w:space="0"/>
                    <w:bottom w:val="single" w:color="auto" w:sz="4" w:space="0"/>
                    <w:right w:val="single" w:color="auto" w:sz="6" w:space="0"/>
                  </w:tcBorders>
                  <w:vAlign w:val="center"/>
                </w:tcPr>
                <w:p w14:paraId="06D3CFA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设备</w:t>
                  </w:r>
                </w:p>
              </w:tc>
              <w:tc>
                <w:tcPr>
                  <w:tcW w:w="858" w:type="pct"/>
                  <w:tcBorders>
                    <w:top w:val="single" w:color="auto" w:sz="4" w:space="0"/>
                    <w:left w:val="single" w:color="auto" w:sz="6" w:space="0"/>
                    <w:bottom w:val="single" w:color="auto" w:sz="4" w:space="0"/>
                    <w:right w:val="single" w:color="auto" w:sz="6" w:space="0"/>
                  </w:tcBorders>
                  <w:vAlign w:val="center"/>
                </w:tcPr>
                <w:p w14:paraId="5CCCD7E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集气罩尺寸</w:t>
                  </w:r>
                </w:p>
              </w:tc>
              <w:tc>
                <w:tcPr>
                  <w:tcW w:w="589" w:type="pct"/>
                  <w:tcBorders>
                    <w:top w:val="single" w:color="auto" w:sz="4" w:space="0"/>
                    <w:left w:val="single" w:color="auto" w:sz="6" w:space="0"/>
                    <w:bottom w:val="single" w:color="auto" w:sz="4" w:space="0"/>
                    <w:right w:val="single" w:color="auto" w:sz="6" w:space="0"/>
                  </w:tcBorders>
                  <w:vAlign w:val="center"/>
                </w:tcPr>
                <w:p w14:paraId="39CB9ED5">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控制风速（m/s）</w:t>
                  </w:r>
                </w:p>
              </w:tc>
              <w:tc>
                <w:tcPr>
                  <w:tcW w:w="589" w:type="pct"/>
                  <w:tcBorders>
                    <w:top w:val="single" w:color="auto" w:sz="4" w:space="0"/>
                    <w:left w:val="single" w:color="auto" w:sz="6" w:space="0"/>
                    <w:bottom w:val="single" w:color="auto" w:sz="4" w:space="0"/>
                    <w:right w:val="single" w:color="auto" w:sz="6" w:space="0"/>
                  </w:tcBorders>
                  <w:vAlign w:val="center"/>
                </w:tcPr>
                <w:p w14:paraId="105AE05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排气罩至污染源距离（m）</w:t>
                  </w:r>
                </w:p>
              </w:tc>
              <w:tc>
                <w:tcPr>
                  <w:tcW w:w="591" w:type="pct"/>
                  <w:tcBorders>
                    <w:top w:val="single" w:color="auto" w:sz="4" w:space="0"/>
                    <w:left w:val="single" w:color="auto" w:sz="6" w:space="0"/>
                    <w:bottom w:val="single" w:color="auto" w:sz="4" w:space="0"/>
                    <w:right w:val="single" w:color="auto" w:sz="6" w:space="0"/>
                  </w:tcBorders>
                  <w:vAlign w:val="center"/>
                </w:tcPr>
                <w:p w14:paraId="79161768">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单个集气罩风量（m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/h）</w:t>
                  </w:r>
                </w:p>
              </w:tc>
              <w:tc>
                <w:tcPr>
                  <w:tcW w:w="602" w:type="pct"/>
                  <w:tcBorders>
                    <w:top w:val="single" w:color="auto" w:sz="4" w:space="0"/>
                    <w:left w:val="single" w:color="auto" w:sz="6" w:space="0"/>
                    <w:bottom w:val="single" w:color="auto" w:sz="6" w:space="0"/>
                    <w:right w:val="single" w:color="auto" w:sz="6" w:space="0"/>
                  </w:tcBorders>
                  <w:vAlign w:val="center"/>
                </w:tcPr>
                <w:p w14:paraId="7E56BFFF">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集气罩个数（个）</w:t>
                  </w:r>
                </w:p>
              </w:tc>
              <w:tc>
                <w:tcPr>
                  <w:tcW w:w="591" w:type="pct"/>
                  <w:tcBorders>
                    <w:top w:val="single" w:color="auto" w:sz="4" w:space="0"/>
                    <w:left w:val="single" w:color="auto" w:sz="6" w:space="0"/>
                    <w:bottom w:val="single" w:color="auto" w:sz="6" w:space="0"/>
                    <w:right w:val="single" w:color="auto" w:sz="4" w:space="0"/>
                  </w:tcBorders>
                  <w:vAlign w:val="center"/>
                </w:tcPr>
                <w:p w14:paraId="7A1C23FF">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总风量（</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591" w:type="pct"/>
                  <w:tcBorders>
                    <w:top w:val="single" w:color="auto" w:sz="4" w:space="0"/>
                    <w:left w:val="single" w:color="auto" w:sz="6" w:space="0"/>
                    <w:bottom w:val="single" w:color="auto" w:sz="6" w:space="0"/>
                    <w:right w:val="single" w:color="auto" w:sz="4" w:space="0"/>
                  </w:tcBorders>
                  <w:vAlign w:val="center"/>
                </w:tcPr>
                <w:p w14:paraId="48D0FE9A">
                  <w:pPr>
                    <w:spacing w:line="240" w:lineRule="auto"/>
                    <w:jc w:val="center"/>
                    <w:rPr>
                      <w:rFonts w:hint="default"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val="en-US" w:eastAsia="zh-CN"/>
                    </w:rPr>
                    <w:t>合计风量</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r>
            <w:tr w14:paraId="26E34573">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3EB37D7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val="en-US" w:eastAsia="zh-CN"/>
                    </w:rPr>
                    <w:t>其他设备直连</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373141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3E0738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020539E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04AF06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7BB19CC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77FD75E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4000</w:t>
                  </w:r>
                </w:p>
              </w:tc>
              <w:tc>
                <w:tcPr>
                  <w:tcW w:w="591" w:type="pct"/>
                  <w:vMerge w:val="restart"/>
                  <w:tcBorders>
                    <w:top w:val="single" w:color="auto" w:sz="6" w:space="0"/>
                    <w:left w:val="single" w:color="auto" w:sz="6" w:space="0"/>
                    <w:right w:val="single" w:color="auto" w:sz="4" w:space="0"/>
                  </w:tcBorders>
                  <w:shd w:val="clear" w:color="auto" w:fill="auto"/>
                  <w:vAlign w:val="center"/>
                </w:tcPr>
                <w:p w14:paraId="22D26C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33764.8</w:t>
                  </w:r>
                </w:p>
              </w:tc>
            </w:tr>
            <w:tr w14:paraId="77EF6C52">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3B821F1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喷漆房</w:t>
                  </w:r>
                  <w:r>
                    <w:rPr>
                      <w:rFonts w:hint="eastAsia" w:cs="Times New Roman"/>
                      <w:color w:val="auto"/>
                      <w:kern w:val="2"/>
                      <w:sz w:val="21"/>
                      <w:szCs w:val="21"/>
                      <w:highlight w:val="none"/>
                      <w:lang w:val="en-US" w:eastAsia="zh-CN" w:bidi="ar-SA"/>
                    </w:rPr>
                    <w:t>1#</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7C805D6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9CA81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3F6DC0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5D1259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03EC9A51">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33A72C43">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1447E65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p>
              </w:tc>
            </w:tr>
            <w:tr w14:paraId="0974E514">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666FF126">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喷</w:t>
                  </w:r>
                  <w:r>
                    <w:rPr>
                      <w:rFonts w:hint="eastAsia" w:ascii="Times New Roman" w:hAnsi="Times New Roman" w:cs="Times New Roman"/>
                      <w:color w:val="auto"/>
                      <w:kern w:val="2"/>
                      <w:sz w:val="21"/>
                      <w:szCs w:val="21"/>
                      <w:highlight w:val="none"/>
                      <w:lang w:val="en-US" w:eastAsia="zh-CN" w:bidi="ar-SA"/>
                    </w:rPr>
                    <w:t>漆房</w:t>
                  </w:r>
                  <w:r>
                    <w:rPr>
                      <w:rFonts w:hint="eastAsia" w:cs="Times New Roman"/>
                      <w:color w:val="auto"/>
                      <w:kern w:val="2"/>
                      <w:sz w:val="21"/>
                      <w:szCs w:val="21"/>
                      <w:highlight w:val="none"/>
                      <w:lang w:val="en-US" w:eastAsia="zh-CN" w:bidi="ar-SA"/>
                    </w:rPr>
                    <w:t>2#</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F317587">
                  <w:pPr>
                    <w:spacing w:line="240" w:lineRule="auto"/>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5283E14">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3587C6B">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22560531">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6E7C21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427F461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5781E2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60B5E594">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6D3F6854">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烘干房1#</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0F215200">
                  <w:pPr>
                    <w:spacing w:line="240" w:lineRule="auto"/>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1EBB8AA4">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19CC4BFC">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567A305B">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4E61F91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37EB95F">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2DFA6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65692805">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7BCD5748">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烘干房2#</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25C1E9DA">
                  <w:pPr>
                    <w:spacing w:line="240" w:lineRule="auto"/>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5215F6E8">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D6FD93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74E7CA24">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35AE91C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55BFAB8">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bottom w:val="single" w:color="auto" w:sz="6" w:space="0"/>
                    <w:right w:val="single" w:color="auto" w:sz="4" w:space="0"/>
                  </w:tcBorders>
                  <w:shd w:val="clear" w:color="auto" w:fill="auto"/>
                  <w:vAlign w:val="center"/>
                </w:tcPr>
                <w:p w14:paraId="5DB13C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55D88BD">
              <w:tblPrEx>
                <w:tblCellMar>
                  <w:top w:w="0" w:type="dxa"/>
                  <w:left w:w="0" w:type="dxa"/>
                  <w:bottom w:w="0" w:type="dxa"/>
                  <w:right w:w="0" w:type="dxa"/>
                </w:tblCellMar>
              </w:tblPrEx>
              <w:trPr>
                <w:cantSplit/>
                <w:trHeight w:val="61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72695FB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浸酯槽</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模具加热板</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872AE2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*1.5</w:t>
                  </w:r>
                  <w:r>
                    <w:rPr>
                      <w:rFonts w:hint="eastAsia" w:cs="Times New Roman"/>
                      <w:color w:val="auto"/>
                      <w:sz w:val="21"/>
                      <w:szCs w:val="21"/>
                      <w:highlight w:val="none"/>
                      <w:lang w:val="en-US" w:eastAsia="zh-CN"/>
                    </w:rPr>
                    <w:t>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7A38A0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093642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674F35E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2160</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1B1C6D7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D522C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25920</w:t>
                  </w:r>
                </w:p>
              </w:tc>
              <w:tc>
                <w:tcPr>
                  <w:tcW w:w="591" w:type="pct"/>
                  <w:vMerge w:val="restart"/>
                  <w:tcBorders>
                    <w:top w:val="single" w:color="auto" w:sz="6" w:space="0"/>
                    <w:left w:val="single" w:color="auto" w:sz="6" w:space="0"/>
                    <w:right w:val="single" w:color="auto" w:sz="4" w:space="0"/>
                  </w:tcBorders>
                  <w:shd w:val="clear" w:color="auto" w:fill="auto"/>
                  <w:vAlign w:val="center"/>
                </w:tcPr>
                <w:p w14:paraId="1AFE99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28080</w:t>
                  </w:r>
                </w:p>
              </w:tc>
            </w:tr>
            <w:tr w14:paraId="1B535ACA">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vAlign w:val="center"/>
                </w:tcPr>
                <w:p w14:paraId="0B37E861">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注塑机</w:t>
                  </w:r>
                </w:p>
              </w:tc>
              <w:tc>
                <w:tcPr>
                  <w:tcW w:w="858" w:type="pct"/>
                  <w:tcBorders>
                    <w:top w:val="single" w:color="auto" w:sz="4" w:space="0"/>
                    <w:left w:val="single" w:color="auto" w:sz="6" w:space="0"/>
                    <w:bottom w:val="single" w:color="auto" w:sz="4" w:space="0"/>
                    <w:right w:val="single" w:color="auto" w:sz="4" w:space="0"/>
                  </w:tcBorders>
                  <w:vAlign w:val="center"/>
                </w:tcPr>
                <w:p w14:paraId="2D1144FE">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*0.5</w:t>
                  </w:r>
                  <w:r>
                    <w:rPr>
                      <w:rFonts w:hint="eastAsia" w:cs="Times New Roman"/>
                      <w:color w:val="auto"/>
                      <w:sz w:val="21"/>
                      <w:szCs w:val="21"/>
                      <w:highlight w:val="none"/>
                      <w:lang w:val="en-US" w:eastAsia="zh-CN"/>
                    </w:rPr>
                    <w:t>m</w:t>
                  </w:r>
                </w:p>
              </w:tc>
              <w:tc>
                <w:tcPr>
                  <w:tcW w:w="589" w:type="pct"/>
                  <w:tcBorders>
                    <w:top w:val="single" w:color="auto" w:sz="4" w:space="0"/>
                    <w:left w:val="single" w:color="auto" w:sz="6" w:space="0"/>
                    <w:bottom w:val="single" w:color="auto" w:sz="4" w:space="0"/>
                    <w:right w:val="single" w:color="auto" w:sz="4" w:space="0"/>
                  </w:tcBorders>
                  <w:vAlign w:val="center"/>
                </w:tcPr>
                <w:p w14:paraId="413AF59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vAlign w:val="center"/>
                </w:tcPr>
                <w:p w14:paraId="4B3C080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0.3</w:t>
                  </w:r>
                </w:p>
              </w:tc>
              <w:tc>
                <w:tcPr>
                  <w:tcW w:w="591" w:type="pct"/>
                  <w:tcBorders>
                    <w:top w:val="single" w:color="auto" w:sz="4" w:space="0"/>
                    <w:left w:val="single" w:color="auto" w:sz="6" w:space="0"/>
                    <w:bottom w:val="single" w:color="auto" w:sz="4" w:space="0"/>
                    <w:right w:val="single" w:color="auto" w:sz="4" w:space="0"/>
                  </w:tcBorders>
                  <w:vAlign w:val="center"/>
                </w:tcPr>
                <w:p w14:paraId="4CC92A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540</w:t>
                  </w:r>
                </w:p>
              </w:tc>
              <w:tc>
                <w:tcPr>
                  <w:tcW w:w="602" w:type="pct"/>
                  <w:tcBorders>
                    <w:top w:val="single" w:color="auto" w:sz="6" w:space="0"/>
                    <w:left w:val="single" w:color="auto" w:sz="4" w:space="0"/>
                    <w:bottom w:val="single" w:color="auto" w:sz="6" w:space="0"/>
                    <w:right w:val="single" w:color="auto" w:sz="6" w:space="0"/>
                  </w:tcBorders>
                  <w:vAlign w:val="center"/>
                </w:tcPr>
                <w:p w14:paraId="1D3C96C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591" w:type="pct"/>
                  <w:tcBorders>
                    <w:top w:val="single" w:color="auto" w:sz="6" w:space="0"/>
                    <w:left w:val="single" w:color="auto" w:sz="6" w:space="0"/>
                    <w:bottom w:val="single" w:color="auto" w:sz="6" w:space="0"/>
                    <w:right w:val="single" w:color="auto" w:sz="4" w:space="0"/>
                  </w:tcBorders>
                  <w:vAlign w:val="center"/>
                </w:tcPr>
                <w:p w14:paraId="74B4481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2160</w:t>
                  </w:r>
                </w:p>
              </w:tc>
              <w:tc>
                <w:tcPr>
                  <w:tcW w:w="591" w:type="pct"/>
                  <w:vMerge w:val="continue"/>
                  <w:tcBorders>
                    <w:left w:val="single" w:color="auto" w:sz="6" w:space="0"/>
                    <w:bottom w:val="single" w:color="auto" w:sz="6" w:space="0"/>
                    <w:right w:val="single" w:color="auto" w:sz="4" w:space="0"/>
                  </w:tcBorders>
                  <w:vAlign w:val="center"/>
                </w:tcPr>
                <w:p w14:paraId="2F61B0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bl>
          <w:p w14:paraId="2667D65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综上所述，项目</w:t>
            </w: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设备总抽风量应不小于</w:t>
            </w:r>
            <w:r>
              <w:rPr>
                <w:rFonts w:hint="eastAsia" w:cs="Times New Roman"/>
                <w:color w:val="auto"/>
                <w:sz w:val="24"/>
                <w:highlight w:val="none"/>
                <w:lang w:val="en-US" w:eastAsia="zh-CN"/>
              </w:rPr>
              <w:t>33764.8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设备总抽风量应不小于</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8080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/h，考虑损耗等因素，</w:t>
            </w:r>
            <w:r>
              <w:rPr>
                <w:rFonts w:hint="eastAsia" w:cs="Times New Roman"/>
                <w:color w:val="auto"/>
                <w:sz w:val="24"/>
                <w:highlight w:val="none"/>
                <w:lang w:val="en-US" w:eastAsia="zh-CN"/>
              </w:rPr>
              <w:t>1#厂房设备</w:t>
            </w:r>
            <w:r>
              <w:rPr>
                <w:rFonts w:hint="default" w:ascii="Times New Roman" w:hAnsi="Times New Roman" w:cs="Times New Roman"/>
                <w:color w:val="auto"/>
                <w:sz w:val="24"/>
                <w:highlight w:val="none"/>
              </w:rPr>
              <w:t>设计风量为</w:t>
            </w:r>
            <w:r>
              <w:rPr>
                <w:rFonts w:hint="eastAsia" w:ascii="Times New Roman" w:hAnsi="Times New Roman" w:cs="Times New Roman"/>
                <w:color w:val="auto"/>
                <w:sz w:val="24"/>
                <w:highlight w:val="none"/>
                <w:lang w:val="en-US" w:eastAsia="zh-CN"/>
              </w:rPr>
              <w:t>3</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4#厂房设备</w:t>
            </w:r>
            <w:r>
              <w:rPr>
                <w:rFonts w:hint="default" w:ascii="Times New Roman" w:hAnsi="Times New Roman" w:cs="Times New Roman"/>
                <w:color w:val="auto"/>
                <w:sz w:val="24"/>
                <w:highlight w:val="none"/>
              </w:rPr>
              <w:t>设计风量为</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两栋厂房</w:t>
            </w:r>
            <w:r>
              <w:rPr>
                <w:rFonts w:hint="default" w:ascii="Times New Roman" w:hAnsi="Times New Roman" w:cs="Times New Roman"/>
                <w:color w:val="auto"/>
                <w:sz w:val="24"/>
                <w:highlight w:val="none"/>
              </w:rPr>
              <w:t>年工作</w:t>
            </w:r>
            <w:r>
              <w:rPr>
                <w:rFonts w:hint="eastAsia" w:cs="Times New Roman"/>
                <w:color w:val="auto"/>
                <w:sz w:val="24"/>
                <w:highlight w:val="none"/>
                <w:lang w:val="en-US" w:eastAsia="zh-CN"/>
              </w:rPr>
              <w:t>48</w:t>
            </w:r>
            <w:r>
              <w:rPr>
                <w:rFonts w:hint="default" w:ascii="Times New Roman" w:hAnsi="Times New Roman" w:cs="Times New Roman"/>
                <w:color w:val="auto"/>
                <w:sz w:val="24"/>
                <w:highlight w:val="none"/>
              </w:rPr>
              <w:t>00小时，则</w:t>
            </w: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总风量约为</w:t>
            </w:r>
            <w:r>
              <w:rPr>
                <w:rFonts w:hint="eastAsia" w:cs="Times New Roman"/>
                <w:color w:val="auto"/>
                <w:sz w:val="24"/>
                <w:highlight w:val="none"/>
                <w:lang w:val="en-US" w:eastAsia="zh-CN"/>
              </w:rPr>
              <w:t>168</w:t>
            </w:r>
            <w:r>
              <w:rPr>
                <w:rFonts w:hint="eastAsia" w:ascii="Times New Roman" w:hAnsi="Times New Roman" w:cs="Times New Roman"/>
                <w:color w:val="auto"/>
                <w:sz w:val="24"/>
                <w:highlight w:val="none"/>
                <w:lang w:val="en-US" w:eastAsia="zh-CN"/>
              </w:rPr>
              <w:t>00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总风量约为1440</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p>
          <w:p w14:paraId="5343089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风量合理性分析：</w:t>
            </w:r>
            <w:r>
              <w:rPr>
                <w:rFonts w:hint="default" w:ascii="Times New Roman" w:hAnsi="Times New Roman" w:cs="Times New Roman"/>
                <w:color w:val="auto"/>
                <w:sz w:val="24"/>
                <w:highlight w:val="none"/>
              </w:rPr>
              <w:t>参考《吸附法工业有机废气治理工程技术规范》（HJ2026-2013），选用蜂窝状吸附剂时设施空塔气体流速宜低于1.2m/s，本项目</w:t>
            </w:r>
            <w:r>
              <w:rPr>
                <w:rFonts w:hint="eastAsia" w:cs="Times New Roman"/>
                <w:color w:val="auto"/>
                <w:sz w:val="24"/>
                <w:highlight w:val="none"/>
                <w:lang w:val="en-US" w:eastAsia="zh-CN"/>
              </w:rPr>
              <w:t>1#厂房和4#厂房分别设置1套</w:t>
            </w:r>
            <w:r>
              <w:rPr>
                <w:rFonts w:hint="default" w:ascii="Times New Roman" w:hAnsi="Times New Roman" w:cs="Times New Roman"/>
                <w:color w:val="auto"/>
                <w:sz w:val="24"/>
                <w:highlight w:val="none"/>
              </w:rPr>
              <w:t>“</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w:t>
            </w:r>
            <w:r>
              <w:rPr>
                <w:rFonts w:hint="eastAsia" w:cs="Times New Roman"/>
                <w:color w:val="auto"/>
                <w:sz w:val="24"/>
                <w:highlight w:val="none"/>
                <w:lang w:eastAsia="zh-CN"/>
              </w:rPr>
              <w:t>，</w:t>
            </w:r>
            <w:r>
              <w:rPr>
                <w:rFonts w:hint="eastAsia" w:cs="Times New Roman"/>
                <w:color w:val="auto"/>
                <w:sz w:val="24"/>
                <w:highlight w:val="none"/>
                <w:lang w:val="en-US" w:eastAsia="zh-CN"/>
              </w:rPr>
              <w:t>设计</w:t>
            </w:r>
            <w:r>
              <w:rPr>
                <w:rFonts w:hint="default" w:ascii="Times New Roman" w:hAnsi="Times New Roman" w:cs="Times New Roman"/>
                <w:color w:val="auto"/>
                <w:sz w:val="24"/>
                <w:highlight w:val="none"/>
              </w:rPr>
              <w:t>风量</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35000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/h，项目活性炭吸附装置的装碳箱的尺寸</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75</w:t>
            </w:r>
            <w:r>
              <w:rPr>
                <w:rFonts w:hint="default" w:ascii="Times New Roman" w:hAnsi="Times New Roman" w:cs="Times New Roman"/>
                <w:color w:val="auto"/>
                <w:sz w:val="24"/>
                <w:highlight w:val="none"/>
              </w:rPr>
              <w:t>m×1.</w:t>
            </w:r>
            <w:r>
              <w:rPr>
                <w:rFonts w:hint="eastAsia" w:ascii="Times New Roman" w:hAnsi="Times New Roman" w:cs="Times New Roman"/>
                <w:color w:val="auto"/>
                <w:sz w:val="24"/>
                <w:highlight w:val="none"/>
                <w:lang w:val="en-US" w:eastAsia="zh-CN"/>
              </w:rPr>
              <w:t>5</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m×1</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m</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1.8</w:t>
            </w:r>
            <w:r>
              <w:rPr>
                <w:rFonts w:hint="default" w:ascii="Times New Roman" w:hAnsi="Times New Roman" w:cs="Times New Roman"/>
                <w:color w:val="auto"/>
                <w:sz w:val="24"/>
                <w:highlight w:val="none"/>
              </w:rPr>
              <w:t>m×1.</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m×1m，单个碳箱可填装</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层活性炭，因此每层吸附面积</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，总吸附面积为</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17.04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10.8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。气体流速</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000÷3600÷</w:t>
            </w:r>
            <w:r>
              <w:rPr>
                <w:rFonts w:hint="eastAsia" w:cs="Times New Roman"/>
                <w:color w:val="auto"/>
                <w:sz w:val="24"/>
                <w:highlight w:val="none"/>
                <w:lang w:val="en-US" w:eastAsia="zh-CN"/>
              </w:rPr>
              <w:t>17.04</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0.57</w:t>
            </w:r>
            <w:r>
              <w:rPr>
                <w:rFonts w:hint="default" w:ascii="Times New Roman" w:hAnsi="Times New Roman" w:cs="Times New Roman"/>
                <w:color w:val="auto"/>
                <w:sz w:val="24"/>
                <w:highlight w:val="none"/>
              </w:rPr>
              <w:t>m/s</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000÷3600÷</w:t>
            </w:r>
            <w:r>
              <w:rPr>
                <w:rFonts w:hint="eastAsia" w:ascii="Times New Roman" w:hAnsi="Times New Roman" w:cs="Times New Roman"/>
                <w:color w:val="auto"/>
                <w:sz w:val="24"/>
                <w:highlight w:val="none"/>
                <w:lang w:val="en-US" w:eastAsia="zh-CN"/>
              </w:rPr>
              <w:t>10.8</w:t>
            </w:r>
            <w:r>
              <w:rPr>
                <w:rFonts w:hint="default" w:ascii="Times New Roman" w:hAnsi="Times New Roman" w:cs="Times New Roman"/>
                <w:color w:val="auto"/>
                <w:sz w:val="24"/>
                <w:highlight w:val="none"/>
              </w:rPr>
              <w:t>=0.</w:t>
            </w:r>
            <w:r>
              <w:rPr>
                <w:rFonts w:hint="eastAsia" w:ascii="Times New Roman" w:hAnsi="Times New Roman" w:cs="Times New Roman"/>
                <w:color w:val="auto"/>
                <w:sz w:val="24"/>
                <w:highlight w:val="none"/>
                <w:lang w:val="en-US" w:eastAsia="zh-CN"/>
              </w:rPr>
              <w:t>772</w:t>
            </w:r>
            <w:r>
              <w:rPr>
                <w:rFonts w:hint="default" w:ascii="Times New Roman" w:hAnsi="Times New Roman" w:cs="Times New Roman"/>
                <w:color w:val="auto"/>
                <w:sz w:val="24"/>
                <w:highlight w:val="none"/>
              </w:rPr>
              <w:t>m/s，</w:t>
            </w:r>
            <w:r>
              <w:rPr>
                <w:rFonts w:hint="eastAsia" w:cs="Times New Roman"/>
                <w:color w:val="auto"/>
                <w:sz w:val="24"/>
                <w:highlight w:val="none"/>
                <w:lang w:val="en-US" w:eastAsia="zh-CN"/>
              </w:rPr>
              <w:t>均</w:t>
            </w:r>
            <w:r>
              <w:rPr>
                <w:rFonts w:hint="default" w:ascii="Times New Roman" w:hAnsi="Times New Roman" w:cs="Times New Roman"/>
                <w:color w:val="auto"/>
                <w:sz w:val="24"/>
                <w:highlight w:val="none"/>
              </w:rPr>
              <w:t>低于1.2m/s，</w:t>
            </w:r>
            <w:r>
              <w:rPr>
                <w:rFonts w:hint="eastAsia" w:cs="Times New Roman"/>
                <w:color w:val="auto"/>
                <w:kern w:val="2"/>
                <w:sz w:val="24"/>
                <w:szCs w:val="24"/>
                <w:highlight w:val="none"/>
                <w:lang w:val="en-US" w:eastAsia="zh-CN" w:bidi="ar-SA"/>
              </w:rPr>
              <w:t>有机废气停留时间为0.79s、0.32s，</w:t>
            </w:r>
            <w:r>
              <w:rPr>
                <w:rFonts w:hint="default" w:ascii="Times New Roman" w:hAnsi="Times New Roman" w:cs="Times New Roman"/>
                <w:color w:val="auto"/>
                <w:sz w:val="24"/>
                <w:highlight w:val="none"/>
              </w:rPr>
              <w:t>风量设计合理。</w:t>
            </w:r>
          </w:p>
          <w:p w14:paraId="0D57532F">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废气收集效率分析：</w:t>
            </w:r>
          </w:p>
          <w:p w14:paraId="44BAA15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参考《广东省生态环境厅关于印发</w:t>
            </w:r>
            <w:r>
              <w:rPr>
                <w:rFonts w:hint="eastAsia" w:cs="Times New Roman"/>
                <w:color w:val="auto"/>
                <w:sz w:val="24"/>
                <w:highlight w:val="none"/>
                <w:lang w:val="en-US" w:eastAsia="zh-CN"/>
              </w:rPr>
              <w:t>&lt;</w:t>
            </w:r>
            <w:r>
              <w:rPr>
                <w:rFonts w:hint="default" w:ascii="Times New Roman" w:hAnsi="Times New Roman" w:cs="Times New Roman"/>
                <w:color w:val="auto"/>
                <w:sz w:val="24"/>
                <w:highlight w:val="none"/>
              </w:rPr>
              <w:t>工业源挥发性有机物和氮氧化物减排量核算方法</w:t>
            </w:r>
            <w:r>
              <w:rPr>
                <w:rFonts w:hint="eastAsia" w:cs="Times New Roman"/>
                <w:color w:val="auto"/>
                <w:sz w:val="24"/>
                <w:highlight w:val="none"/>
                <w:lang w:val="en-US" w:eastAsia="zh-CN"/>
              </w:rPr>
              <w:t>&gt;</w:t>
            </w:r>
            <w:r>
              <w:rPr>
                <w:rFonts w:hint="default" w:ascii="Times New Roman" w:hAnsi="Times New Roman" w:cs="Times New Roman"/>
                <w:color w:val="auto"/>
                <w:sz w:val="24"/>
                <w:highlight w:val="none"/>
              </w:rPr>
              <w:t>的通知》（粤环函〔2023〕538号），VOCs收集效率见下表：</w:t>
            </w:r>
          </w:p>
          <w:p w14:paraId="43E64F4E">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 xml:space="preserve">8 </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VOCs认定收集效率表</w:t>
            </w:r>
          </w:p>
          <w:tbl>
            <w:tblPr>
              <w:tblStyle w:val="46"/>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697"/>
              <w:gridCol w:w="2532"/>
              <w:gridCol w:w="3423"/>
              <w:gridCol w:w="1191"/>
            </w:tblGrid>
            <w:tr w14:paraId="1E577AF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bottom w:val="single" w:color="auto" w:sz="4" w:space="0"/>
                    <w:right w:val="single" w:color="auto" w:sz="6" w:space="0"/>
                  </w:tcBorders>
                  <w:vAlign w:val="center"/>
                </w:tcPr>
                <w:p w14:paraId="4A40A5E0">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废气收集类型</w:t>
                  </w:r>
                </w:p>
              </w:tc>
              <w:tc>
                <w:tcPr>
                  <w:tcW w:w="1614" w:type="pct"/>
                  <w:tcBorders>
                    <w:left w:val="single" w:color="auto" w:sz="6" w:space="0"/>
                    <w:bottom w:val="single" w:color="auto" w:sz="4" w:space="0"/>
                    <w:right w:val="single" w:color="auto" w:sz="6" w:space="0"/>
                  </w:tcBorders>
                  <w:vAlign w:val="center"/>
                </w:tcPr>
                <w:p w14:paraId="4910B74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废气收集方式</w:t>
                  </w:r>
                </w:p>
              </w:tc>
              <w:tc>
                <w:tcPr>
                  <w:tcW w:w="2182" w:type="pct"/>
                  <w:tcBorders>
                    <w:left w:val="single" w:color="auto" w:sz="6" w:space="0"/>
                    <w:bottom w:val="single" w:color="auto" w:sz="6" w:space="0"/>
                    <w:right w:val="single" w:color="auto" w:sz="6" w:space="0"/>
                  </w:tcBorders>
                  <w:vAlign w:val="center"/>
                </w:tcPr>
                <w:p w14:paraId="2E08B6E7">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情况说明</w:t>
                  </w:r>
                </w:p>
              </w:tc>
              <w:tc>
                <w:tcPr>
                  <w:tcW w:w="758" w:type="pct"/>
                  <w:tcBorders>
                    <w:left w:val="single" w:color="auto" w:sz="6" w:space="0"/>
                    <w:bottom w:val="single" w:color="auto" w:sz="6" w:space="0"/>
                  </w:tcBorders>
                  <w:vAlign w:val="center"/>
                </w:tcPr>
                <w:p w14:paraId="11B01367">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收集效率%</w:t>
                  </w:r>
                </w:p>
              </w:tc>
            </w:tr>
            <w:tr w14:paraId="6649DF9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0800567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全密封设备/空间</w:t>
                  </w:r>
                </w:p>
              </w:tc>
              <w:tc>
                <w:tcPr>
                  <w:tcW w:w="1614" w:type="pct"/>
                  <w:tcBorders>
                    <w:top w:val="single" w:color="auto" w:sz="4" w:space="0"/>
                    <w:left w:val="single" w:color="auto" w:sz="6" w:space="0"/>
                    <w:bottom w:val="single" w:color="auto" w:sz="4" w:space="0"/>
                    <w:right w:val="single" w:color="auto" w:sz="4" w:space="0"/>
                  </w:tcBorders>
                  <w:vAlign w:val="center"/>
                </w:tcPr>
                <w:p w14:paraId="46FD353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单层密闭负压</w:t>
                  </w:r>
                </w:p>
              </w:tc>
              <w:tc>
                <w:tcPr>
                  <w:tcW w:w="2182" w:type="pct"/>
                  <w:tcBorders>
                    <w:top w:val="single" w:color="auto" w:sz="6" w:space="0"/>
                    <w:left w:val="single" w:color="auto" w:sz="4" w:space="0"/>
                    <w:bottom w:val="single" w:color="auto" w:sz="6" w:space="0"/>
                    <w:right w:val="single" w:color="auto" w:sz="6" w:space="0"/>
                  </w:tcBorders>
                  <w:vAlign w:val="center"/>
                </w:tcPr>
                <w:p w14:paraId="0A9971E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VOCs产生源设置在密闭车间、密闭设备（含反应釜）、密闭管道内，所有开口处，包括人员或物料进出口处呈负压</w:t>
                  </w:r>
                </w:p>
              </w:tc>
              <w:tc>
                <w:tcPr>
                  <w:tcW w:w="758" w:type="pct"/>
                  <w:tcBorders>
                    <w:top w:val="single" w:color="auto" w:sz="6" w:space="0"/>
                    <w:left w:val="single" w:color="auto" w:sz="6" w:space="0"/>
                    <w:bottom w:val="single" w:color="auto" w:sz="6" w:space="0"/>
                  </w:tcBorders>
                  <w:vAlign w:val="center"/>
                </w:tcPr>
                <w:p w14:paraId="725DEDC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w:t>
                  </w:r>
                  <w:r>
                    <w:rPr>
                      <w:rFonts w:hint="eastAsia" w:cs="Times New Roman"/>
                      <w:color w:val="auto"/>
                      <w:sz w:val="21"/>
                      <w:szCs w:val="21"/>
                      <w:highlight w:val="none"/>
                      <w:lang w:val="en-US" w:eastAsia="zh-CN"/>
                    </w:rPr>
                    <w:t>0</w:t>
                  </w:r>
                </w:p>
              </w:tc>
            </w:tr>
            <w:tr w14:paraId="15921AC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37AC624F">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479FCEF9">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单层密闭正压</w:t>
                  </w:r>
                </w:p>
              </w:tc>
              <w:tc>
                <w:tcPr>
                  <w:tcW w:w="2182" w:type="pct"/>
                  <w:tcBorders>
                    <w:top w:val="single" w:color="auto" w:sz="6" w:space="0"/>
                    <w:left w:val="single" w:color="auto" w:sz="4" w:space="0"/>
                    <w:bottom w:val="single" w:color="auto" w:sz="6" w:space="0"/>
                    <w:right w:val="single" w:color="auto" w:sz="6" w:space="0"/>
                  </w:tcBorders>
                  <w:vAlign w:val="center"/>
                </w:tcPr>
                <w:p w14:paraId="2478F92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 产生源设置在密闭车间内，所有开口处，包括人员或物料进出口处呈正压，且无明显泄漏点</w:t>
                  </w:r>
                </w:p>
              </w:tc>
              <w:tc>
                <w:tcPr>
                  <w:tcW w:w="758" w:type="pct"/>
                  <w:tcBorders>
                    <w:top w:val="single" w:color="auto" w:sz="6" w:space="0"/>
                    <w:left w:val="single" w:color="auto" w:sz="6" w:space="0"/>
                    <w:bottom w:val="single" w:color="auto" w:sz="6" w:space="0"/>
                  </w:tcBorders>
                  <w:vAlign w:val="center"/>
                </w:tcPr>
                <w:p w14:paraId="2E66656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r>
                    <w:rPr>
                      <w:rFonts w:hint="eastAsia" w:cs="Times New Roman"/>
                      <w:color w:val="auto"/>
                      <w:sz w:val="21"/>
                      <w:szCs w:val="21"/>
                      <w:highlight w:val="none"/>
                      <w:lang w:val="en-US" w:eastAsia="zh-CN"/>
                    </w:rPr>
                    <w:t>0</w:t>
                  </w:r>
                </w:p>
              </w:tc>
            </w:tr>
            <w:tr w14:paraId="04B8C38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17B6199F">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0ECECF54">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双层密闭空间</w:t>
                  </w:r>
                </w:p>
              </w:tc>
              <w:tc>
                <w:tcPr>
                  <w:tcW w:w="2182" w:type="pct"/>
                  <w:tcBorders>
                    <w:top w:val="single" w:color="auto" w:sz="6" w:space="0"/>
                    <w:left w:val="single" w:color="auto" w:sz="4" w:space="0"/>
                    <w:bottom w:val="single" w:color="auto" w:sz="6" w:space="0"/>
                    <w:right w:val="single" w:color="auto" w:sz="6" w:space="0"/>
                  </w:tcBorders>
                  <w:vAlign w:val="center"/>
                </w:tcPr>
                <w:p w14:paraId="0A48BDCD">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内层空间密闭正压、外层空间密闭负压</w:t>
                  </w:r>
                </w:p>
              </w:tc>
              <w:tc>
                <w:tcPr>
                  <w:tcW w:w="758" w:type="pct"/>
                  <w:tcBorders>
                    <w:top w:val="single" w:color="auto" w:sz="6" w:space="0"/>
                    <w:left w:val="single" w:color="auto" w:sz="6" w:space="0"/>
                    <w:bottom w:val="single" w:color="auto" w:sz="6" w:space="0"/>
                  </w:tcBorders>
                  <w:vAlign w:val="center"/>
                </w:tcPr>
                <w:p w14:paraId="62659C5D">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98</w:t>
                  </w:r>
                </w:p>
              </w:tc>
            </w:tr>
            <w:tr w14:paraId="3C0E357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08F0133E">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1B206E20">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设备排放口直连</w:t>
                  </w:r>
                </w:p>
              </w:tc>
              <w:tc>
                <w:tcPr>
                  <w:tcW w:w="2182" w:type="pct"/>
                  <w:tcBorders>
                    <w:top w:val="single" w:color="auto" w:sz="6" w:space="0"/>
                    <w:left w:val="single" w:color="auto" w:sz="4" w:space="0"/>
                    <w:bottom w:val="single" w:color="auto" w:sz="6" w:space="0"/>
                    <w:right w:val="single" w:color="auto" w:sz="6" w:space="0"/>
                  </w:tcBorders>
                  <w:vAlign w:val="center"/>
                </w:tcPr>
                <w:p w14:paraId="1D629E2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设备有固定排放管（或口）直接与风管连接，设备整体密闭只留产品进出口，且进出口处有废气收集措施，收集系统运行时周边基本无VOCs散发</w:t>
                  </w:r>
                </w:p>
              </w:tc>
              <w:tc>
                <w:tcPr>
                  <w:tcW w:w="758" w:type="pct"/>
                  <w:tcBorders>
                    <w:top w:val="single" w:color="auto" w:sz="6" w:space="0"/>
                    <w:left w:val="single" w:color="auto" w:sz="6" w:space="0"/>
                    <w:bottom w:val="single" w:color="auto" w:sz="6" w:space="0"/>
                  </w:tcBorders>
                  <w:vAlign w:val="center"/>
                </w:tcPr>
                <w:p w14:paraId="08CEC44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r>
            <w:tr w14:paraId="2407291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6ACE176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半密闭型集气设备（含排气柜）</w:t>
                  </w:r>
                </w:p>
              </w:tc>
              <w:tc>
                <w:tcPr>
                  <w:tcW w:w="1614" w:type="pct"/>
                  <w:vMerge w:val="restart"/>
                  <w:tcBorders>
                    <w:top w:val="single" w:color="auto" w:sz="4" w:space="0"/>
                    <w:left w:val="single" w:color="auto" w:sz="4" w:space="0"/>
                    <w:right w:val="single" w:color="auto" w:sz="4" w:space="0"/>
                  </w:tcBorders>
                  <w:vAlign w:val="center"/>
                </w:tcPr>
                <w:p w14:paraId="1E0A3D53">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污染物产生点（或生产设施）四周及上下有围挡设施，符合</w:t>
                  </w:r>
                  <w:r>
                    <w:rPr>
                      <w:rFonts w:hint="eastAsia" w:cs="Times New Roman"/>
                      <w:b/>
                      <w:bCs/>
                      <w:color w:val="auto"/>
                      <w:sz w:val="21"/>
                      <w:szCs w:val="21"/>
                      <w:highlight w:val="none"/>
                      <w:lang w:val="en-US" w:eastAsia="zh-CN"/>
                    </w:rPr>
                    <w:t>以</w:t>
                  </w:r>
                  <w:r>
                    <w:rPr>
                      <w:rFonts w:hint="default" w:ascii="Times New Roman" w:hAnsi="Times New Roman" w:eastAsia="宋体" w:cs="Times New Roman"/>
                      <w:b/>
                      <w:bCs/>
                      <w:color w:val="auto"/>
                      <w:sz w:val="21"/>
                      <w:szCs w:val="21"/>
                      <w:highlight w:val="none"/>
                      <w:lang w:eastAsia="zh-CN"/>
                    </w:rPr>
                    <w:t>下三种情况：</w:t>
                  </w:r>
                </w:p>
                <w:p w14:paraId="0B11F6B7">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1、仅保留一个操作工位面；</w:t>
                  </w:r>
                </w:p>
                <w:p w14:paraId="7539469B">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2、仅保留物料进出通道，通道敞开面小于1个操作工位面</w:t>
                  </w:r>
                  <w:r>
                    <w:rPr>
                      <w:rFonts w:hint="eastAsia" w:cs="Times New Roman"/>
                      <w:b/>
                      <w:bCs/>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3297EAC3">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52C5B39C">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b/>
                      <w:bCs/>
                      <w:color w:val="auto"/>
                      <w:sz w:val="21"/>
                      <w:szCs w:val="21"/>
                      <w:highlight w:val="none"/>
                      <w:lang w:val="en-US" w:eastAsia="zh-CN"/>
                    </w:rPr>
                    <w:t>65</w:t>
                  </w:r>
                </w:p>
              </w:tc>
            </w:tr>
            <w:tr w14:paraId="2E542CF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002C298">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712BCEB5">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711D445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73D008E8">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3E3E1E5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3FB2C37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包围型集气设备</w:t>
                  </w:r>
                </w:p>
              </w:tc>
              <w:tc>
                <w:tcPr>
                  <w:tcW w:w="1614" w:type="pct"/>
                  <w:vMerge w:val="restart"/>
                  <w:tcBorders>
                    <w:top w:val="single" w:color="auto" w:sz="4" w:space="0"/>
                    <w:left w:val="single" w:color="auto" w:sz="4" w:space="0"/>
                    <w:right w:val="single" w:color="auto" w:sz="4" w:space="0"/>
                  </w:tcBorders>
                  <w:vAlign w:val="center"/>
                </w:tcPr>
                <w:p w14:paraId="6FCA1316">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通过软质垂帘四周围挡（偶有部分敞开）</w:t>
                  </w:r>
                </w:p>
              </w:tc>
              <w:tc>
                <w:tcPr>
                  <w:tcW w:w="2182" w:type="pct"/>
                  <w:tcBorders>
                    <w:top w:val="single" w:color="auto" w:sz="6" w:space="0"/>
                    <w:left w:val="single" w:color="auto" w:sz="4" w:space="0"/>
                    <w:bottom w:val="single" w:color="auto" w:sz="6" w:space="0"/>
                    <w:right w:val="single" w:color="auto" w:sz="6" w:space="0"/>
                  </w:tcBorders>
                  <w:vAlign w:val="center"/>
                </w:tcPr>
                <w:p w14:paraId="16C35993">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4435593A">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lang w:val="en-US" w:eastAsia="zh-CN"/>
                    </w:rPr>
                    <w:t>0</w:t>
                  </w:r>
                </w:p>
              </w:tc>
            </w:tr>
            <w:tr w14:paraId="587093F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D06C480">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346BCB2B">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192931D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56E37CB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2E4B242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44465B7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外部型集气设备</w:t>
                  </w:r>
                </w:p>
              </w:tc>
              <w:tc>
                <w:tcPr>
                  <w:tcW w:w="1614" w:type="pct"/>
                  <w:vMerge w:val="restart"/>
                  <w:tcBorders>
                    <w:top w:val="single" w:color="auto" w:sz="4" w:space="0"/>
                    <w:left w:val="single" w:color="auto" w:sz="6" w:space="0"/>
                    <w:bottom w:val="single" w:color="auto" w:sz="4" w:space="0"/>
                    <w:right w:val="single" w:color="auto" w:sz="4" w:space="0"/>
                  </w:tcBorders>
                  <w:vAlign w:val="center"/>
                </w:tcPr>
                <w:p w14:paraId="651F97F1">
                  <w:pPr>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71154554">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相应工位所有VOCs逸散点控制风速不小于0.</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70DFEFA2">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r>
            <w:tr w14:paraId="7C894C4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722062A5">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top w:val="single" w:color="auto" w:sz="4" w:space="0"/>
                    <w:left w:val="single" w:color="auto" w:sz="6" w:space="0"/>
                    <w:bottom w:val="single" w:color="auto" w:sz="4" w:space="0"/>
                    <w:right w:val="single" w:color="auto" w:sz="4" w:space="0"/>
                  </w:tcBorders>
                  <w:vAlign w:val="center"/>
                </w:tcPr>
                <w:p w14:paraId="73AC34D1">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07B43C8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相应工位所有VOCs逸散点控制风速小于0.3m/s，或存在强对流干扰</w:t>
                  </w:r>
                </w:p>
              </w:tc>
              <w:tc>
                <w:tcPr>
                  <w:tcW w:w="758" w:type="pct"/>
                  <w:tcBorders>
                    <w:top w:val="single" w:color="auto" w:sz="6" w:space="0"/>
                    <w:left w:val="single" w:color="auto" w:sz="6" w:space="0"/>
                    <w:bottom w:val="single" w:color="auto" w:sz="6" w:space="0"/>
                  </w:tcBorders>
                  <w:vAlign w:val="center"/>
                </w:tcPr>
                <w:p w14:paraId="2CA8A5B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783DD08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top w:val="single" w:color="auto" w:sz="4" w:space="0"/>
                    <w:bottom w:val="single" w:color="auto" w:sz="4" w:space="0"/>
                    <w:right w:val="single" w:color="auto" w:sz="6" w:space="0"/>
                  </w:tcBorders>
                  <w:vAlign w:val="center"/>
                </w:tcPr>
                <w:p w14:paraId="12414982">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无集气设施</w:t>
                  </w:r>
                </w:p>
              </w:tc>
              <w:tc>
                <w:tcPr>
                  <w:tcW w:w="1614" w:type="pct"/>
                  <w:tcBorders>
                    <w:top w:val="single" w:color="auto" w:sz="4" w:space="0"/>
                    <w:left w:val="single" w:color="auto" w:sz="6" w:space="0"/>
                    <w:bottom w:val="single" w:color="auto" w:sz="4" w:space="0"/>
                    <w:right w:val="single" w:color="auto" w:sz="4" w:space="0"/>
                  </w:tcBorders>
                  <w:vAlign w:val="center"/>
                </w:tcPr>
                <w:p w14:paraId="37A1AC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1B97A24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1、无集气设施；2、集气设施运行不正常</w:t>
                  </w:r>
                </w:p>
              </w:tc>
              <w:tc>
                <w:tcPr>
                  <w:tcW w:w="758" w:type="pct"/>
                  <w:tcBorders>
                    <w:top w:val="single" w:color="auto" w:sz="6" w:space="0"/>
                    <w:left w:val="single" w:color="auto" w:sz="6" w:space="0"/>
                    <w:bottom w:val="single" w:color="auto" w:sz="6" w:space="0"/>
                  </w:tcBorders>
                  <w:vAlign w:val="center"/>
                </w:tcPr>
                <w:p w14:paraId="2386ABD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125BEEB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5000" w:type="pct"/>
                  <w:gridSpan w:val="4"/>
                  <w:tcBorders>
                    <w:top w:val="single" w:color="auto" w:sz="4" w:space="0"/>
                  </w:tcBorders>
                  <w:vAlign w:val="center"/>
                </w:tcPr>
                <w:p w14:paraId="38430C1E">
                  <w:pPr>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备注：同一工序具有多种废气收集类型的，该工序按照废气收集效率最高的类型取值。</w:t>
                  </w:r>
                </w:p>
              </w:tc>
            </w:tr>
          </w:tbl>
          <w:p w14:paraId="3E84E053">
            <w:pPr>
              <w:spacing w:line="360" w:lineRule="auto"/>
              <w:ind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针对</w:t>
            </w:r>
            <w:r>
              <w:rPr>
                <w:rFonts w:hint="eastAsia" w:cs="Times New Roman"/>
                <w:b w:val="0"/>
                <w:bCs w:val="0"/>
                <w:color w:val="auto"/>
                <w:sz w:val="24"/>
                <w:highlight w:val="none"/>
                <w:lang w:val="en-US" w:eastAsia="zh-CN"/>
              </w:rPr>
              <w:t>玻璃纤维制品、玻纤布、塑料配件和生活用品生产线，</w:t>
            </w:r>
            <w:r>
              <w:rPr>
                <w:rFonts w:hint="default" w:ascii="Times New Roman" w:hAnsi="Times New Roman" w:cs="Times New Roman"/>
                <w:color w:val="auto"/>
                <w:sz w:val="24"/>
                <w:highlight w:val="none"/>
                <w:lang w:eastAsia="zh-CN"/>
              </w:rPr>
              <w:t>为提高废气收集效率，建议建设单位在定型、注塑</w:t>
            </w:r>
            <w:r>
              <w:rPr>
                <w:rFonts w:hint="eastAsia" w:cs="Times New Roman"/>
                <w:color w:val="auto"/>
                <w:sz w:val="24"/>
                <w:highlight w:val="none"/>
                <w:lang w:val="en-US" w:eastAsia="zh-CN"/>
              </w:rPr>
              <w:t>工序</w:t>
            </w:r>
            <w:r>
              <w:rPr>
                <w:rFonts w:hint="default" w:ascii="Times New Roman" w:hAnsi="Times New Roman" w:cs="Times New Roman"/>
                <w:color w:val="auto"/>
                <w:sz w:val="24"/>
                <w:highlight w:val="none"/>
                <w:lang w:eastAsia="zh-CN"/>
              </w:rPr>
              <w:t>设备上方设置的集气罩四周安装透明帘使定型、注塑区域保持相对密闭环境</w:t>
            </w:r>
            <w:r>
              <w:rPr>
                <w:rFonts w:hint="eastAsia" w:cs="Times New Roman"/>
                <w:color w:val="auto"/>
                <w:sz w:val="24"/>
                <w:highlight w:val="none"/>
                <w:lang w:eastAsia="zh-CN"/>
              </w:rPr>
              <w:t>。废气收集类型为包围型集气设备，废气收集方式为通过软质垂帘四周围挡（偶有部分敞开），敞开面控制风速不小于0.</w:t>
            </w:r>
            <w:r>
              <w:rPr>
                <w:rFonts w:hint="eastAsia" w:cs="Times New Roman"/>
                <w:color w:val="auto"/>
                <w:sz w:val="24"/>
                <w:highlight w:val="none"/>
                <w:lang w:val="en-US" w:eastAsia="zh-CN"/>
              </w:rPr>
              <w:t>3</w:t>
            </w:r>
            <w:r>
              <w:rPr>
                <w:rFonts w:hint="eastAsia" w:cs="Times New Roman"/>
                <w:color w:val="auto"/>
                <w:sz w:val="24"/>
                <w:highlight w:val="none"/>
                <w:lang w:eastAsia="zh-CN"/>
              </w:rPr>
              <w:t>m/s的，集气效率取</w:t>
            </w:r>
            <w:r>
              <w:rPr>
                <w:rFonts w:hint="eastAsia" w:cs="Times New Roman"/>
                <w:color w:val="auto"/>
                <w:sz w:val="24"/>
                <w:highlight w:val="none"/>
                <w:lang w:val="en-US" w:eastAsia="zh-CN"/>
              </w:rPr>
              <w:t>5</w:t>
            </w:r>
            <w:r>
              <w:rPr>
                <w:rFonts w:hint="eastAsia" w:cs="Times New Roman"/>
                <w:color w:val="auto"/>
                <w:sz w:val="24"/>
                <w:highlight w:val="none"/>
                <w:lang w:eastAsia="zh-CN"/>
              </w:rPr>
              <w:t>0%，故项目有机废气收集效率按</w:t>
            </w:r>
            <w:r>
              <w:rPr>
                <w:rFonts w:hint="eastAsia" w:cs="Times New Roman"/>
                <w:color w:val="auto"/>
                <w:sz w:val="24"/>
                <w:highlight w:val="none"/>
                <w:lang w:val="en-US" w:eastAsia="zh-CN"/>
              </w:rPr>
              <w:t>5</w:t>
            </w:r>
            <w:r>
              <w:rPr>
                <w:rFonts w:hint="eastAsia" w:cs="Times New Roman"/>
                <w:color w:val="auto"/>
                <w:sz w:val="24"/>
                <w:highlight w:val="none"/>
                <w:lang w:eastAsia="zh-CN"/>
              </w:rPr>
              <w:t>0%计算。</w:t>
            </w:r>
          </w:p>
          <w:p w14:paraId="7AB0E6BB">
            <w:pPr>
              <w:spacing w:line="360" w:lineRule="auto"/>
              <w:ind w:firstLine="480" w:firstLineChars="200"/>
              <w:rPr>
                <w:rFonts w:hint="default"/>
                <w:color w:val="auto"/>
                <w:highlight w:val="none"/>
                <w:lang w:val="en-US" w:eastAsia="zh-CN"/>
              </w:rPr>
            </w:pPr>
            <w:r>
              <w:rPr>
                <w:rFonts w:hint="eastAsia" w:cs="Times New Roman"/>
                <w:color w:val="auto"/>
                <w:sz w:val="24"/>
                <w:highlight w:val="none"/>
                <w:lang w:val="en-US" w:eastAsia="zh-CN"/>
              </w:rPr>
              <w:t>碳纤维制品生产线其余生产设备为设备排放口直连，但考虑实际生产过程中，生产设备难以做到整体密闭，因此选取“</w:t>
            </w:r>
            <w:r>
              <w:rPr>
                <w:rFonts w:hint="default" w:ascii="Times New Roman" w:hAnsi="Times New Roman" w:cs="Times New Roman"/>
                <w:color w:val="auto"/>
                <w:sz w:val="24"/>
                <w:szCs w:val="24"/>
                <w:highlight w:val="none"/>
              </w:rPr>
              <w:t>半密闭型集气设备（含排气柜）</w:t>
            </w:r>
            <w:r>
              <w:rPr>
                <w:rFonts w:hint="eastAsia" w:ascii="Times New Roman" w:hAnsi="Times New Roman" w:cs="Times New Roman"/>
                <w:color w:val="auto"/>
                <w:sz w:val="24"/>
                <w:szCs w:val="24"/>
                <w:highlight w:val="none"/>
                <w:lang w:val="en-US" w:eastAsia="zh-CN"/>
              </w:rPr>
              <w:t>-污染物产生点（或生产设施）四周及上下有围挡设施，符合</w:t>
            </w:r>
            <w:r>
              <w:rPr>
                <w:rFonts w:hint="eastAsia" w:cs="Times New Roman"/>
                <w:color w:val="auto"/>
                <w:sz w:val="24"/>
                <w:szCs w:val="24"/>
                <w:highlight w:val="none"/>
                <w:lang w:val="en-US" w:eastAsia="zh-CN"/>
              </w:rPr>
              <w:t>以</w:t>
            </w:r>
            <w:r>
              <w:rPr>
                <w:rFonts w:hint="eastAsia" w:ascii="Times New Roman" w:hAnsi="Times New Roman" w:cs="Times New Roman"/>
                <w:color w:val="auto"/>
                <w:sz w:val="24"/>
                <w:szCs w:val="24"/>
                <w:highlight w:val="none"/>
                <w:lang w:val="en-US" w:eastAsia="zh-CN"/>
              </w:rPr>
              <w:t>下三种情况：1、仅保留一个操作工位面；2、仅保留物料进出通道，通道敞开面小于1个操作工位面</w:t>
            </w:r>
            <w:r>
              <w:rPr>
                <w:rFonts w:hint="eastAsia" w:cs="Times New Roman"/>
                <w:color w:val="auto"/>
                <w:sz w:val="24"/>
                <w:highlight w:val="none"/>
                <w:lang w:val="en-US" w:eastAsia="zh-CN"/>
              </w:rPr>
              <w:t>”，废气收集效率取</w:t>
            </w:r>
            <w:r>
              <w:rPr>
                <w:rFonts w:hint="eastAsia" w:cs="Times New Roman"/>
                <w:color w:val="auto"/>
                <w:sz w:val="24"/>
                <w:szCs w:val="24"/>
                <w:highlight w:val="none"/>
                <w:lang w:val="en-US" w:eastAsia="zh-CN"/>
              </w:rPr>
              <w:t>65%；其余未被收集的粉尘逸散到车间外环境中视为无组织排放。</w:t>
            </w:r>
          </w:p>
          <w:p w14:paraId="6A9DE198">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废气处理效率分析：</w:t>
            </w:r>
          </w:p>
          <w:p w14:paraId="5B9F2CD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项目拟</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设置</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处理废气参考《广东省家具行业挥发性有机化合物废气治理技术指南》（粤环</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2013</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79号）中对有机废气治理设施的治理效率可得，吸附法处理效率为50～80%（本报告一级活性炭处理效率取60%，二级活性炭处理效率取50%），项目采取两级活性炭串联方式，当存在两种或两种以上治理设施联合治理时，治理效率可按公式η=1-（1-η</w:t>
            </w:r>
            <w:r>
              <w:rPr>
                <w:rFonts w:hint="default" w:ascii="Times New Roman" w:hAnsi="Times New Roman" w:cs="Times New Roman"/>
                <w:color w:val="auto"/>
                <w:sz w:val="24"/>
                <w:highlight w:val="none"/>
                <w:vertAlign w:val="subscript"/>
              </w:rPr>
              <w:t>1</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n</w:t>
            </w:r>
            <w:r>
              <w:rPr>
                <w:rFonts w:hint="default" w:ascii="Times New Roman" w:hAnsi="Times New Roman" w:cs="Times New Roman"/>
                <w:color w:val="auto"/>
                <w:sz w:val="24"/>
                <w:highlight w:val="none"/>
              </w:rPr>
              <w:t>）进行计算，则本项目废气处理工艺对有机废气总处理效率合计为1-（1-60%）×（1-50%）=80%。</w:t>
            </w:r>
          </w:p>
          <w:p w14:paraId="6655B1E7">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lang w:val="en-US" w:eastAsia="zh-CN"/>
              </w:rPr>
              <w:t>6、事故工况（非正常工况）废气污染物排放</w:t>
            </w:r>
          </w:p>
          <w:p w14:paraId="4EEF63A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本项目的非正常工况主要是污染物排放控制措施达不到应有效率，即处理设施发生故障，造成有机废气未经处理直接排放，其排放情况如下表。</w:t>
            </w:r>
          </w:p>
          <w:p w14:paraId="1D8DEDF3">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8</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非正常工况有机废气排放情况</w:t>
            </w:r>
          </w:p>
          <w:tbl>
            <w:tblPr>
              <w:tblStyle w:val="46"/>
              <w:tblW w:w="4966"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57" w:type="dxa"/>
                <w:bottom w:w="0" w:type="dxa"/>
                <w:right w:w="57" w:type="dxa"/>
              </w:tblCellMar>
            </w:tblPr>
            <w:tblGrid>
              <w:gridCol w:w="1278"/>
              <w:gridCol w:w="1295"/>
              <w:gridCol w:w="1297"/>
              <w:gridCol w:w="1297"/>
              <w:gridCol w:w="1297"/>
              <w:gridCol w:w="1326"/>
            </w:tblGrid>
            <w:tr w14:paraId="0FFAC6E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right w:val="single" w:color="auto" w:sz="6" w:space="0"/>
                  </w:tcBorders>
                  <w:vAlign w:val="center"/>
                </w:tcPr>
                <w:p w14:paraId="3E84280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污染源</w:t>
                  </w:r>
                </w:p>
              </w:tc>
              <w:tc>
                <w:tcPr>
                  <w:tcW w:w="831" w:type="pct"/>
                  <w:vMerge w:val="restart"/>
                  <w:tcBorders>
                    <w:left w:val="single" w:color="auto" w:sz="6" w:space="0"/>
                    <w:right w:val="single" w:color="auto" w:sz="6" w:space="0"/>
                  </w:tcBorders>
                  <w:vAlign w:val="center"/>
                </w:tcPr>
                <w:p w14:paraId="05A3DCE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832" w:type="pct"/>
                  <w:vMerge w:val="restart"/>
                  <w:tcBorders>
                    <w:left w:val="single" w:color="auto" w:sz="6" w:space="0"/>
                    <w:right w:val="single" w:color="auto" w:sz="6" w:space="0"/>
                  </w:tcBorders>
                  <w:vAlign w:val="center"/>
                </w:tcPr>
                <w:p w14:paraId="3C1799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w:t>
                  </w:r>
                </w:p>
                <w:p w14:paraId="47065C0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原因</w:t>
                  </w:r>
                </w:p>
              </w:tc>
              <w:tc>
                <w:tcPr>
                  <w:tcW w:w="2515" w:type="pct"/>
                  <w:gridSpan w:val="3"/>
                  <w:tcBorders>
                    <w:left w:val="single" w:color="auto" w:sz="6" w:space="0"/>
                    <w:bottom w:val="single" w:color="auto" w:sz="6" w:space="0"/>
                    <w:right w:val="single" w:color="auto" w:sz="6" w:space="0"/>
                  </w:tcBorders>
                  <w:vAlign w:val="center"/>
                </w:tcPr>
                <w:p w14:paraId="7563F2E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非正常排放状况</w:t>
                  </w:r>
                </w:p>
              </w:tc>
            </w:tr>
            <w:tr w14:paraId="64773BA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bottom w:val="single" w:color="auto" w:sz="4" w:space="0"/>
                    <w:right w:val="single" w:color="auto" w:sz="6" w:space="0"/>
                  </w:tcBorders>
                  <w:vAlign w:val="center"/>
                </w:tcPr>
                <w:p w14:paraId="4D7BE2A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1" w:type="pct"/>
                  <w:vMerge w:val="continue"/>
                  <w:tcBorders>
                    <w:left w:val="single" w:color="auto" w:sz="6" w:space="0"/>
                    <w:bottom w:val="single" w:color="auto" w:sz="4" w:space="0"/>
                    <w:right w:val="single" w:color="auto" w:sz="6" w:space="0"/>
                  </w:tcBorders>
                  <w:vAlign w:val="center"/>
                </w:tcPr>
                <w:p w14:paraId="7D071DD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vMerge w:val="continue"/>
                  <w:tcBorders>
                    <w:left w:val="single" w:color="auto" w:sz="6" w:space="0"/>
                    <w:bottom w:val="single" w:color="auto" w:sz="4" w:space="0"/>
                    <w:right w:val="single" w:color="auto" w:sz="6" w:space="0"/>
                  </w:tcBorders>
                  <w:vAlign w:val="center"/>
                </w:tcPr>
                <w:p w14:paraId="7BFBBC4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tcBorders>
                    <w:left w:val="single" w:color="auto" w:sz="6" w:space="0"/>
                    <w:bottom w:val="single" w:color="auto" w:sz="4" w:space="0"/>
                    <w:right w:val="single" w:color="auto" w:sz="6" w:space="0"/>
                  </w:tcBorders>
                  <w:vAlign w:val="center"/>
                </w:tcPr>
                <w:p w14:paraId="75A9E4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频次及持续时间</w:t>
                  </w:r>
                </w:p>
              </w:tc>
              <w:tc>
                <w:tcPr>
                  <w:tcW w:w="832" w:type="pct"/>
                  <w:tcBorders>
                    <w:left w:val="single" w:color="auto" w:sz="6" w:space="0"/>
                    <w:bottom w:val="single" w:color="auto" w:sz="4" w:space="0"/>
                    <w:right w:val="single" w:color="auto" w:sz="6" w:space="0"/>
                  </w:tcBorders>
                  <w:vAlign w:val="center"/>
                </w:tcPr>
                <w:p w14:paraId="492E11F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66381F6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850" w:type="pct"/>
                  <w:tcBorders>
                    <w:left w:val="nil"/>
                    <w:bottom w:val="single" w:color="auto" w:sz="4" w:space="0"/>
                    <w:right w:val="single" w:color="auto" w:sz="6" w:space="0"/>
                  </w:tcBorders>
                  <w:vAlign w:val="center"/>
                </w:tcPr>
                <w:p w14:paraId="7E3CC3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7153912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r>
            <w:tr w14:paraId="6C4D257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top w:val="single" w:color="auto" w:sz="4" w:space="0"/>
                    <w:bottom w:val="single" w:color="auto" w:sz="4" w:space="0"/>
                    <w:right w:val="single" w:color="auto" w:sz="4" w:space="0"/>
                  </w:tcBorders>
                  <w:vAlign w:val="center"/>
                </w:tcPr>
                <w:p w14:paraId="76FEFF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1#厂房有机废气</w:t>
                  </w:r>
                </w:p>
              </w:tc>
              <w:tc>
                <w:tcPr>
                  <w:tcW w:w="831" w:type="pct"/>
                  <w:tcBorders>
                    <w:top w:val="single" w:color="auto" w:sz="4" w:space="0"/>
                    <w:left w:val="single" w:color="auto" w:sz="4" w:space="0"/>
                    <w:bottom w:val="single" w:color="auto" w:sz="4" w:space="0"/>
                    <w:right w:val="single" w:color="auto" w:sz="4" w:space="0"/>
                  </w:tcBorders>
                  <w:vAlign w:val="center"/>
                </w:tcPr>
                <w:p w14:paraId="4B6F83C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非甲烷总烃</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26751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7B38C48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4C0E1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2" w:type="pct"/>
                  <w:tcBorders>
                    <w:top w:val="single" w:color="auto" w:sz="4" w:space="0"/>
                    <w:left w:val="single" w:color="auto" w:sz="4" w:space="0"/>
                    <w:bottom w:val="single" w:color="auto" w:sz="4" w:space="0"/>
                    <w:right w:val="single" w:color="auto" w:sz="4" w:space="0"/>
                  </w:tcBorders>
                  <w:vAlign w:val="center"/>
                </w:tcPr>
                <w:p w14:paraId="56275CC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0.594 </w:t>
                  </w:r>
                </w:p>
              </w:tc>
              <w:tc>
                <w:tcPr>
                  <w:tcW w:w="850" w:type="pct"/>
                  <w:tcBorders>
                    <w:top w:val="single" w:color="auto" w:sz="4" w:space="0"/>
                    <w:left w:val="single" w:color="auto" w:sz="4" w:space="0"/>
                    <w:bottom w:val="single" w:color="auto" w:sz="4" w:space="0"/>
                    <w:right w:val="single" w:color="auto" w:sz="4" w:space="0"/>
                  </w:tcBorders>
                  <w:vAlign w:val="center"/>
                </w:tcPr>
                <w:p w14:paraId="413B81C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17.0</w:t>
                  </w:r>
                </w:p>
              </w:tc>
            </w:tr>
            <w:tr w14:paraId="3F4BC63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4378399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3B6E3A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661C1D2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69A6A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832" w:type="pct"/>
                  <w:tcBorders>
                    <w:top w:val="single" w:color="auto" w:sz="4" w:space="0"/>
                    <w:left w:val="single" w:color="auto" w:sz="4" w:space="0"/>
                    <w:bottom w:val="single" w:color="auto" w:sz="4" w:space="0"/>
                    <w:right w:val="single" w:color="auto" w:sz="4" w:space="0"/>
                  </w:tcBorders>
                  <w:vAlign w:val="center"/>
                </w:tcPr>
                <w:p w14:paraId="45B181D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17</w:t>
                  </w:r>
                </w:p>
              </w:tc>
              <w:tc>
                <w:tcPr>
                  <w:tcW w:w="850" w:type="pct"/>
                  <w:tcBorders>
                    <w:top w:val="single" w:color="auto" w:sz="4" w:space="0"/>
                    <w:left w:val="single" w:color="auto" w:sz="4" w:space="0"/>
                    <w:bottom w:val="single" w:color="auto" w:sz="4" w:space="0"/>
                    <w:right w:val="single" w:color="auto" w:sz="4" w:space="0"/>
                  </w:tcBorders>
                  <w:vAlign w:val="center"/>
                </w:tcPr>
                <w:p w14:paraId="0744FC5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0.5</w:t>
                  </w:r>
                </w:p>
              </w:tc>
            </w:tr>
            <w:tr w14:paraId="217E6E1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7DE7D5C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071EA7EA">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漆雾颗粒物</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40C05B1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46D9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2D8FD1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1.069</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15B411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30.6</w:t>
                  </w:r>
                </w:p>
              </w:tc>
            </w:tr>
            <w:tr w14:paraId="6824A68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4EF931F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61B3729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62ECF37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76DAC33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vAlign w:val="center"/>
                </w:tcPr>
                <w:p w14:paraId="4D31AC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bottom w:val="single" w:color="auto" w:sz="4" w:space="0"/>
                    <w:right w:val="single" w:color="auto" w:sz="4" w:space="0"/>
                  </w:tcBorders>
                  <w:vAlign w:val="center"/>
                </w:tcPr>
                <w:p w14:paraId="58FC65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r w14:paraId="630D555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top w:val="single" w:color="auto" w:sz="4" w:space="0"/>
                    <w:bottom w:val="single" w:color="auto" w:sz="4" w:space="0"/>
                    <w:right w:val="single" w:color="auto" w:sz="4" w:space="0"/>
                  </w:tcBorders>
                  <w:shd w:val="clear" w:color="auto" w:fill="auto"/>
                  <w:vAlign w:val="center"/>
                </w:tcPr>
                <w:p w14:paraId="5B39D3A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厂房</w:t>
                  </w:r>
                  <w:r>
                    <w:rPr>
                      <w:rFonts w:hint="default" w:ascii="Times New Roman" w:hAnsi="Times New Roman" w:cs="Times New Roman"/>
                      <w:color w:val="auto"/>
                      <w:sz w:val="21"/>
                      <w:szCs w:val="21"/>
                      <w:highlight w:val="none"/>
                    </w:rPr>
                    <w:t>有机废气</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0B021F80">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非甲烷总烃</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F9A10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1C146B3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B13B9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1次/a，1h/次</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554F81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ascii="Times New Roman" w:hAnsi="Times New Roman" w:cs="Times New Roman"/>
                      <w:i w:val="0"/>
                      <w:iCs w:val="0"/>
                      <w:color w:val="auto"/>
                      <w:kern w:val="0"/>
                      <w:sz w:val="21"/>
                      <w:szCs w:val="21"/>
                      <w:highlight w:val="none"/>
                      <w:u w:val="none"/>
                      <w:lang w:val="en-US" w:eastAsia="zh-CN"/>
                    </w:rPr>
                    <w:t>17</w:t>
                  </w:r>
                  <w:r>
                    <w:rPr>
                      <w:rFonts w:hint="eastAsia" w:cs="Times New Roman"/>
                      <w:i w:val="0"/>
                      <w:iCs w:val="0"/>
                      <w:color w:val="auto"/>
                      <w:kern w:val="0"/>
                      <w:sz w:val="21"/>
                      <w:szCs w:val="21"/>
                      <w:highlight w:val="none"/>
                      <w:u w:val="none"/>
                      <w:lang w:val="en-US" w:eastAsia="zh-CN"/>
                    </w:rPr>
                    <w:t>6</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1F49D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5.</w:t>
                  </w:r>
                  <w:r>
                    <w:rPr>
                      <w:rFonts w:hint="eastAsia" w:cs="Times New Roman"/>
                      <w:i w:val="0"/>
                      <w:iCs w:val="0"/>
                      <w:color w:val="auto"/>
                      <w:kern w:val="0"/>
                      <w:sz w:val="21"/>
                      <w:szCs w:val="21"/>
                      <w:highlight w:val="none"/>
                      <w:u w:val="none"/>
                      <w:lang w:val="en-US" w:eastAsia="zh-CN"/>
                    </w:rPr>
                    <w:t>9</w:t>
                  </w:r>
                </w:p>
              </w:tc>
            </w:tr>
            <w:tr w14:paraId="5809FC2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right w:val="single" w:color="auto" w:sz="4" w:space="0"/>
                  </w:tcBorders>
                  <w:shd w:val="clear" w:color="auto" w:fill="auto"/>
                  <w:vAlign w:val="center"/>
                </w:tcPr>
                <w:p w14:paraId="7BE181DC">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1ADB836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苯乙烯</w:t>
                  </w:r>
                </w:p>
              </w:tc>
              <w:tc>
                <w:tcPr>
                  <w:tcW w:w="832" w:type="pct"/>
                  <w:vMerge w:val="continue"/>
                  <w:tcBorders>
                    <w:left w:val="single" w:color="auto" w:sz="4" w:space="0"/>
                    <w:right w:val="single" w:color="auto" w:sz="4" w:space="0"/>
                  </w:tcBorders>
                  <w:shd w:val="clear" w:color="auto" w:fill="auto"/>
                  <w:vAlign w:val="center"/>
                </w:tcPr>
                <w:p w14:paraId="736AA1E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left w:val="single" w:color="auto" w:sz="4" w:space="0"/>
                    <w:right w:val="single" w:color="auto" w:sz="4" w:space="0"/>
                  </w:tcBorders>
                  <w:shd w:val="clear" w:color="auto" w:fill="auto"/>
                  <w:vAlign w:val="center"/>
                </w:tcPr>
                <w:p w14:paraId="55D0A0D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0F1BB8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0.073</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25967D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2.4</w:t>
                  </w:r>
                </w:p>
              </w:tc>
            </w:tr>
            <w:tr w14:paraId="31F19DD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right w:val="single" w:color="auto" w:sz="4" w:space="0"/>
                  </w:tcBorders>
                  <w:shd w:val="clear" w:color="auto" w:fill="auto"/>
                  <w:vAlign w:val="center"/>
                </w:tcPr>
                <w:p w14:paraId="62B2F750">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04D65317">
                  <w:pPr>
                    <w:keepNext w:val="0"/>
                    <w:keepLines w:val="0"/>
                    <w:pageBreakBefore w:val="0"/>
                    <w:kinsoku/>
                    <w:wordWrap/>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832" w:type="pct"/>
                  <w:vMerge w:val="continue"/>
                  <w:tcBorders>
                    <w:left w:val="single" w:color="auto" w:sz="4" w:space="0"/>
                    <w:right w:val="single" w:color="auto" w:sz="4" w:space="0"/>
                  </w:tcBorders>
                  <w:shd w:val="clear" w:color="auto" w:fill="auto"/>
                  <w:vAlign w:val="center"/>
                </w:tcPr>
                <w:p w14:paraId="620A5F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left w:val="single" w:color="auto" w:sz="4" w:space="0"/>
                    <w:right w:val="single" w:color="auto" w:sz="4" w:space="0"/>
                  </w:tcBorders>
                  <w:shd w:val="clear" w:color="auto" w:fill="auto"/>
                  <w:vAlign w:val="center"/>
                </w:tcPr>
                <w:p w14:paraId="26E8B93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3FD320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6178F3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r w14:paraId="734F77C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right w:val="single" w:color="auto" w:sz="4" w:space="0"/>
                  </w:tcBorders>
                  <w:vAlign w:val="center"/>
                </w:tcPr>
                <w:p w14:paraId="2C17928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right w:val="single" w:color="auto" w:sz="4" w:space="0"/>
                  </w:tcBorders>
                  <w:shd w:val="clear" w:color="auto" w:fill="auto"/>
                  <w:vAlign w:val="center"/>
                </w:tcPr>
                <w:p w14:paraId="3C487E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臭气浓度</w:t>
                  </w:r>
                </w:p>
              </w:tc>
              <w:tc>
                <w:tcPr>
                  <w:tcW w:w="832" w:type="pct"/>
                  <w:vMerge w:val="continue"/>
                  <w:tcBorders>
                    <w:top w:val="single" w:color="auto" w:sz="4" w:space="0"/>
                    <w:left w:val="single" w:color="auto" w:sz="4" w:space="0"/>
                    <w:right w:val="single" w:color="auto" w:sz="4" w:space="0"/>
                  </w:tcBorders>
                  <w:vAlign w:val="center"/>
                </w:tcPr>
                <w:p w14:paraId="441DE5A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right w:val="single" w:color="auto" w:sz="4" w:space="0"/>
                  </w:tcBorders>
                  <w:vAlign w:val="center"/>
                </w:tcPr>
                <w:p w14:paraId="6A8E013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right w:val="single" w:color="auto" w:sz="4" w:space="0"/>
                  </w:tcBorders>
                  <w:shd w:val="clear" w:color="auto" w:fill="auto"/>
                  <w:vAlign w:val="center"/>
                </w:tcPr>
                <w:p w14:paraId="7CB1D4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right w:val="single" w:color="auto" w:sz="4" w:space="0"/>
                  </w:tcBorders>
                  <w:shd w:val="clear" w:color="auto" w:fill="auto"/>
                  <w:vAlign w:val="center"/>
                </w:tcPr>
                <w:p w14:paraId="4BA44A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bl>
          <w:p w14:paraId="1CC3776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7E4FCE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①安排专人负责环保设备的日常维护和管理，每个固定时间检查、汇报情况，及时发现废气处理设备的隐患，确保废气处理系统正常运行；</w:t>
            </w:r>
          </w:p>
          <w:p w14:paraId="424993F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②建立健全的环保管理机构，对环保管理人员和技术人员进行岗位培训，委托具有专业资质的环境检测单位对项目排放的各类污染物进行定期检测；</w:t>
            </w:r>
          </w:p>
          <w:p w14:paraId="71B5425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③应定期维护、检修废气净化装置，以保持废气处理装置的净化能力和净化容量；</w:t>
            </w:r>
          </w:p>
          <w:p w14:paraId="5C0909B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④定期更换活性炭，每</w:t>
            </w:r>
            <w:r>
              <w:rPr>
                <w:rFonts w:hint="eastAsia" w:cs="Times New Roman"/>
                <w:color w:val="auto"/>
                <w:sz w:val="24"/>
                <w:highlight w:val="none"/>
                <w:lang w:val="en-US" w:eastAsia="zh-CN"/>
              </w:rPr>
              <w:t>3个月更换</w:t>
            </w:r>
            <w:r>
              <w:rPr>
                <w:rFonts w:hint="default" w:ascii="Times New Roman" w:hAnsi="Times New Roman" w:cs="Times New Roman"/>
                <w:color w:val="auto"/>
                <w:sz w:val="24"/>
                <w:highlight w:val="none"/>
              </w:rPr>
              <w:t>一次。</w:t>
            </w:r>
          </w:p>
          <w:p w14:paraId="50E0DA3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7、达标排放情况</w:t>
            </w:r>
          </w:p>
          <w:p w14:paraId="0C5616CB">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非甲烷总烃、</w:t>
            </w:r>
            <w:r>
              <w:rPr>
                <w:rFonts w:hint="eastAsia" w:cs="Times New Roman"/>
                <w:color w:val="auto"/>
                <w:sz w:val="24"/>
                <w:highlight w:val="none"/>
                <w:lang w:val="en-US" w:eastAsia="zh-CN"/>
              </w:rPr>
              <w:t>苯系物、颗粒物</w:t>
            </w:r>
            <w:r>
              <w:rPr>
                <w:rFonts w:hint="default" w:ascii="Times New Roman" w:hAnsi="Times New Roman" w:cs="Times New Roman"/>
                <w:color w:val="auto"/>
                <w:sz w:val="24"/>
                <w:highlight w:val="none"/>
              </w:rPr>
              <w:t>：项目非甲烷总烃产生量为</w:t>
            </w:r>
            <w:r>
              <w:rPr>
                <w:rFonts w:hint="eastAsia" w:cs="Times New Roman"/>
                <w:color w:val="auto"/>
                <w:sz w:val="24"/>
                <w:highlight w:val="none"/>
                <w:lang w:val="en-US" w:eastAsia="zh-CN"/>
              </w:rPr>
              <w:t>4.159</w:t>
            </w:r>
            <w:r>
              <w:rPr>
                <w:rFonts w:hint="default" w:ascii="Times New Roman" w:hAnsi="Times New Roman" w:cs="Times New Roman"/>
                <w:color w:val="auto"/>
                <w:sz w:val="24"/>
                <w:highlight w:val="none"/>
              </w:rPr>
              <w:t>t/a，</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产生量为</w:t>
            </w:r>
            <w:r>
              <w:rPr>
                <w:rFonts w:hint="eastAsia" w:cs="Times New Roman"/>
                <w:color w:val="auto"/>
                <w:sz w:val="24"/>
                <w:highlight w:val="none"/>
                <w:lang w:val="en-US" w:eastAsia="zh-CN"/>
              </w:rPr>
              <w:t>0.096</w:t>
            </w:r>
            <w:r>
              <w:rPr>
                <w:rFonts w:hint="default" w:ascii="Times New Roman" w:hAnsi="Times New Roman" w:cs="Times New Roman"/>
                <w:color w:val="auto"/>
                <w:sz w:val="24"/>
                <w:highlight w:val="none"/>
              </w:rPr>
              <w:t>t/a</w:t>
            </w:r>
            <w:r>
              <w:rPr>
                <w:rFonts w:hint="eastAsia" w:cs="Times New Roman"/>
                <w:color w:val="auto"/>
                <w:sz w:val="24"/>
                <w:highlight w:val="none"/>
                <w:lang w:eastAsia="zh-CN"/>
              </w:rPr>
              <w:t>，</w:t>
            </w:r>
            <w:r>
              <w:rPr>
                <w:rFonts w:hint="eastAsia" w:cs="Times New Roman"/>
                <w:color w:val="auto"/>
                <w:sz w:val="24"/>
                <w:highlight w:val="none"/>
                <w:lang w:val="en-US" w:eastAsia="zh-CN"/>
              </w:rPr>
              <w:t>颗粒物产生量5.704t/a</w:t>
            </w:r>
            <w:r>
              <w:rPr>
                <w:rFonts w:hint="default" w:ascii="Times New Roman" w:hAnsi="Times New Roman" w:cs="Times New Roman"/>
                <w:color w:val="auto"/>
                <w:sz w:val="24"/>
                <w:highlight w:val="none"/>
              </w:rPr>
              <w:t>，生产时间</w:t>
            </w:r>
            <w:r>
              <w:rPr>
                <w:rFonts w:hint="eastAsia" w:ascii="Times New Roman" w:hAnsi="Times New Roman" w:cs="Times New Roman"/>
                <w:color w:val="auto"/>
                <w:sz w:val="24"/>
                <w:highlight w:val="none"/>
                <w:lang w:val="en-US" w:eastAsia="zh-CN"/>
              </w:rPr>
              <w:t>48</w:t>
            </w:r>
            <w:r>
              <w:rPr>
                <w:rFonts w:hint="default" w:ascii="Times New Roman" w:hAnsi="Times New Roman" w:cs="Times New Roman"/>
                <w:color w:val="auto"/>
                <w:sz w:val="24"/>
                <w:highlight w:val="none"/>
              </w:rPr>
              <w:t>00h/a，</w:t>
            </w:r>
            <w:r>
              <w:rPr>
                <w:rFonts w:hint="eastAsia" w:cs="Times New Roman"/>
                <w:color w:val="auto"/>
                <w:sz w:val="24"/>
                <w:highlight w:val="none"/>
                <w:lang w:val="en-US" w:eastAsia="zh-CN"/>
              </w:rPr>
              <w:t>喷漆房烘干房废水收集效率按90%计，其余设备</w:t>
            </w:r>
            <w:r>
              <w:rPr>
                <w:rFonts w:hint="default" w:ascii="Times New Roman" w:hAnsi="Times New Roman" w:cs="Times New Roman"/>
                <w:color w:val="auto"/>
                <w:sz w:val="24"/>
                <w:highlight w:val="none"/>
              </w:rPr>
              <w:t>废气收集效率约为</w:t>
            </w:r>
            <w:r>
              <w:rPr>
                <w:rFonts w:hint="eastAsia" w:cs="Times New Roman"/>
                <w:color w:val="auto"/>
                <w:sz w:val="24"/>
                <w:highlight w:val="none"/>
                <w:lang w:val="en-US" w:eastAsia="zh-CN"/>
              </w:rPr>
              <w:t>65</w:t>
            </w:r>
            <w:r>
              <w:rPr>
                <w:rFonts w:hint="default" w:ascii="Times New Roman" w:hAnsi="Times New Roman" w:cs="Times New Roman"/>
                <w:color w:val="auto"/>
                <w:sz w:val="24"/>
                <w:highlight w:val="none"/>
              </w:rPr>
              <w:t>%，废气收集后引至1套“</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吸附装置”处理后高空排放，收集风量为</w:t>
            </w:r>
            <w:r>
              <w:rPr>
                <w:rFonts w:hint="eastAsia" w:cs="Times New Roman"/>
                <w:color w:val="auto"/>
                <w:sz w:val="24"/>
                <w:highlight w:val="none"/>
                <w:lang w:val="en-US" w:eastAsia="zh-CN"/>
              </w:rPr>
              <w:t>35</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/h，处理效率为80%。</w:t>
            </w:r>
          </w:p>
          <w:p w14:paraId="6A4C3910">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非甲烷总烃、苯乙烯：项目非甲烷总烃产生量为</w:t>
            </w:r>
            <w:r>
              <w:rPr>
                <w:rFonts w:hint="eastAsia" w:cs="Times New Roman"/>
                <w:color w:val="auto"/>
                <w:sz w:val="24"/>
                <w:highlight w:val="none"/>
                <w:lang w:val="en-US" w:eastAsia="zh-CN"/>
              </w:rPr>
              <w:t>1.686</w:t>
            </w:r>
            <w:r>
              <w:rPr>
                <w:rFonts w:hint="default" w:ascii="Times New Roman" w:hAnsi="Times New Roman" w:cs="Times New Roman"/>
                <w:color w:val="auto"/>
                <w:sz w:val="24"/>
                <w:highlight w:val="none"/>
              </w:rPr>
              <w:t>t/a，苯乙烯产生量为</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rPr>
              <w:t>t/a，生产时间</w:t>
            </w:r>
            <w:r>
              <w:rPr>
                <w:rFonts w:hint="eastAsia" w:ascii="Times New Roman" w:hAnsi="Times New Roman" w:cs="Times New Roman"/>
                <w:color w:val="auto"/>
                <w:sz w:val="24"/>
                <w:highlight w:val="none"/>
                <w:lang w:val="en-US" w:eastAsia="zh-CN"/>
              </w:rPr>
              <w:t>48</w:t>
            </w:r>
            <w:r>
              <w:rPr>
                <w:rFonts w:hint="default" w:ascii="Times New Roman" w:hAnsi="Times New Roman" w:cs="Times New Roman"/>
                <w:color w:val="auto"/>
                <w:sz w:val="24"/>
                <w:highlight w:val="none"/>
              </w:rPr>
              <w:t>00h/a，废气收集效率约为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0%，废气收集后引至1套“</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吸附装置”处理后高空排放，收集风量为</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/h，处理效率为80%。颗粒物产</w:t>
            </w:r>
            <w:r>
              <w:rPr>
                <w:rFonts w:hint="eastAsia" w:cs="Times New Roman"/>
                <w:color w:val="auto"/>
                <w:sz w:val="24"/>
                <w:highlight w:val="none"/>
                <w:lang w:val="en-US" w:eastAsia="zh-CN"/>
              </w:rPr>
              <w:t>排</w:t>
            </w:r>
            <w:r>
              <w:rPr>
                <w:rFonts w:hint="default" w:ascii="Times New Roman" w:hAnsi="Times New Roman" w:cs="Times New Roman"/>
                <w:color w:val="auto"/>
                <w:sz w:val="24"/>
                <w:highlight w:val="none"/>
              </w:rPr>
              <w:t>量为</w:t>
            </w:r>
            <w:r>
              <w:rPr>
                <w:rFonts w:hint="eastAsia" w:cs="Times New Roman"/>
                <w:color w:val="auto"/>
                <w:sz w:val="24"/>
                <w:highlight w:val="none"/>
                <w:lang w:val="en-US" w:eastAsia="zh-CN"/>
              </w:rPr>
              <w:t>0.24</w:t>
            </w:r>
            <w:r>
              <w:rPr>
                <w:rFonts w:hint="default" w:ascii="Times New Roman" w:hAnsi="Times New Roman" w:cs="Times New Roman"/>
                <w:color w:val="auto"/>
                <w:sz w:val="24"/>
                <w:highlight w:val="none"/>
              </w:rPr>
              <w:t>t/a，经</w:t>
            </w:r>
            <w:r>
              <w:rPr>
                <w:rFonts w:hint="eastAsia" w:cs="Times New Roman"/>
                <w:color w:val="auto"/>
                <w:sz w:val="24"/>
                <w:highlight w:val="none"/>
                <w:lang w:val="en-US" w:eastAsia="zh-CN"/>
              </w:rPr>
              <w:t>车间通风后无组织排放</w:t>
            </w:r>
            <w:r>
              <w:rPr>
                <w:rFonts w:hint="default" w:ascii="Times New Roman" w:hAnsi="Times New Roman" w:cs="Times New Roman"/>
                <w:color w:val="auto"/>
                <w:sz w:val="24"/>
                <w:highlight w:val="none"/>
              </w:rPr>
              <w:t>。</w:t>
            </w:r>
          </w:p>
          <w:p w14:paraId="51647C9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项目废气产排情况见下表：</w:t>
            </w:r>
          </w:p>
          <w:p w14:paraId="4164FA9C">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 xml:space="preserve">9 </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本项目废气产排情况</w:t>
            </w:r>
            <w:r>
              <w:rPr>
                <w:rFonts w:hint="default" w:ascii="Times New Roman" w:hAnsi="Times New Roman" w:cs="Times New Roman"/>
                <w:b/>
                <w:color w:val="auto"/>
                <w:sz w:val="21"/>
                <w:szCs w:val="21"/>
                <w:highlight w:val="none"/>
              </w:rPr>
              <w:t>一览表</w:t>
            </w:r>
          </w:p>
          <w:tbl>
            <w:tblPr>
              <w:tblStyle w:val="46"/>
              <w:tblW w:w="50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19"/>
              <w:gridCol w:w="1219"/>
              <w:gridCol w:w="785"/>
              <w:gridCol w:w="843"/>
              <w:gridCol w:w="843"/>
              <w:gridCol w:w="843"/>
              <w:gridCol w:w="843"/>
              <w:gridCol w:w="846"/>
              <w:gridCol w:w="846"/>
            </w:tblGrid>
            <w:tr w14:paraId="5A5D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643" w:hRule="atLeast"/>
                <w:jc w:val="center"/>
              </w:trPr>
              <w:tc>
                <w:tcPr>
                  <w:tcW w:w="519" w:type="pct"/>
                  <w:vAlign w:val="center"/>
                </w:tcPr>
                <w:p w14:paraId="72393E33">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污染物</w:t>
                  </w:r>
                </w:p>
              </w:tc>
              <w:tc>
                <w:tcPr>
                  <w:tcW w:w="772" w:type="pct"/>
                  <w:vAlign w:val="center"/>
                </w:tcPr>
                <w:p w14:paraId="1763D72C">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w:t>
                  </w:r>
                </w:p>
                <w:p w14:paraId="313AAAE6">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形式</w:t>
                  </w:r>
                </w:p>
              </w:tc>
              <w:tc>
                <w:tcPr>
                  <w:tcW w:w="497" w:type="pct"/>
                  <w:vAlign w:val="center"/>
                </w:tcPr>
                <w:p w14:paraId="27668627">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产生量</w:t>
                  </w:r>
                </w:p>
                <w:p w14:paraId="15DCC8A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t/a</w:t>
                  </w:r>
                </w:p>
              </w:tc>
              <w:tc>
                <w:tcPr>
                  <w:tcW w:w="534" w:type="pct"/>
                  <w:vAlign w:val="center"/>
                </w:tcPr>
                <w:p w14:paraId="240CAA4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产生速率</w:t>
                  </w:r>
                </w:p>
                <w:p w14:paraId="086407B1">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534" w:type="pct"/>
                  <w:vAlign w:val="center"/>
                </w:tcPr>
                <w:p w14:paraId="5CC1A623">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产生浓度</w:t>
                  </w:r>
                </w:p>
                <w:p w14:paraId="359BC69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534" w:type="pct"/>
                  <w:vAlign w:val="center"/>
                </w:tcPr>
                <w:p w14:paraId="79B128C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排放量</w:t>
                  </w:r>
                </w:p>
                <w:p w14:paraId="3BE28CCF">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t/a</w:t>
                  </w:r>
                </w:p>
              </w:tc>
              <w:tc>
                <w:tcPr>
                  <w:tcW w:w="534" w:type="pct"/>
                  <w:vAlign w:val="center"/>
                </w:tcPr>
                <w:p w14:paraId="6E1F160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27528218">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536" w:type="pct"/>
                  <w:vAlign w:val="center"/>
                </w:tcPr>
                <w:p w14:paraId="4455AEC1">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2BE5A265">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536" w:type="pct"/>
                  <w:vAlign w:val="center"/>
                </w:tcPr>
                <w:p w14:paraId="403F6C02">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color w:val="auto"/>
                      <w:sz w:val="21"/>
                      <w:szCs w:val="21"/>
                      <w:highlight w:val="none"/>
                      <w:lang w:val="en-US" w:eastAsia="zh-CN"/>
                    </w:rPr>
                    <w:t>备注</w:t>
                  </w:r>
                </w:p>
              </w:tc>
            </w:tr>
            <w:tr w14:paraId="68991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537945D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772" w:type="pct"/>
                  <w:vAlign w:val="center"/>
                </w:tcPr>
                <w:p w14:paraId="0DC9B8A9">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有组织</w:t>
                  </w:r>
                </w:p>
              </w:tc>
              <w:tc>
                <w:tcPr>
                  <w:tcW w:w="785" w:type="dxa"/>
                  <w:vAlign w:val="center"/>
                </w:tcPr>
                <w:p w14:paraId="632BFA2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2.849 </w:t>
                  </w:r>
                </w:p>
              </w:tc>
              <w:tc>
                <w:tcPr>
                  <w:tcW w:w="843" w:type="dxa"/>
                  <w:vAlign w:val="center"/>
                </w:tcPr>
                <w:p w14:paraId="29ECF30D">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0.594 </w:t>
                  </w:r>
                </w:p>
              </w:tc>
              <w:tc>
                <w:tcPr>
                  <w:tcW w:w="843" w:type="dxa"/>
                  <w:vAlign w:val="center"/>
                </w:tcPr>
                <w:p w14:paraId="21297D52">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17.0 </w:t>
                  </w:r>
                </w:p>
              </w:tc>
              <w:tc>
                <w:tcPr>
                  <w:tcW w:w="843" w:type="dxa"/>
                  <w:vAlign w:val="center"/>
                </w:tcPr>
                <w:p w14:paraId="0E03E46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139BFBF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6" w:type="dxa"/>
                  <w:vAlign w:val="center"/>
                </w:tcPr>
                <w:p w14:paraId="5E20CF7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3.4 </w:t>
                  </w:r>
                </w:p>
              </w:tc>
              <w:tc>
                <w:tcPr>
                  <w:tcW w:w="536" w:type="pct"/>
                  <w:vMerge w:val="restart"/>
                  <w:vAlign w:val="center"/>
                </w:tcPr>
                <w:p w14:paraId="627C99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1#厂房</w:t>
                  </w:r>
                </w:p>
              </w:tc>
            </w:tr>
            <w:tr w14:paraId="1CC2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33E6EE32">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18A2CEC6">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785" w:type="dxa"/>
                  <w:vAlign w:val="center"/>
                </w:tcPr>
                <w:p w14:paraId="50A7AC6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1.310 </w:t>
                  </w:r>
                </w:p>
              </w:tc>
              <w:tc>
                <w:tcPr>
                  <w:tcW w:w="843" w:type="dxa"/>
                  <w:vAlign w:val="center"/>
                </w:tcPr>
                <w:p w14:paraId="3A209CA5">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0.273 </w:t>
                  </w:r>
                </w:p>
              </w:tc>
              <w:tc>
                <w:tcPr>
                  <w:tcW w:w="843" w:type="dxa"/>
                  <w:vAlign w:val="center"/>
                </w:tcPr>
                <w:p w14:paraId="05F7DF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45DF2909">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1.310 </w:t>
                  </w:r>
                </w:p>
              </w:tc>
              <w:tc>
                <w:tcPr>
                  <w:tcW w:w="843" w:type="dxa"/>
                  <w:vAlign w:val="center"/>
                </w:tcPr>
                <w:p w14:paraId="624F1E7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0.273 </w:t>
                  </w:r>
                </w:p>
              </w:tc>
              <w:tc>
                <w:tcPr>
                  <w:tcW w:w="846" w:type="dxa"/>
                  <w:vAlign w:val="center"/>
                </w:tcPr>
                <w:p w14:paraId="18B6184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66EFD5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2A692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520425AD">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772" w:type="pct"/>
                  <w:vAlign w:val="center"/>
                </w:tcPr>
                <w:p w14:paraId="7CDA052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有组织</w:t>
                  </w:r>
                </w:p>
              </w:tc>
              <w:tc>
                <w:tcPr>
                  <w:tcW w:w="785" w:type="dxa"/>
                  <w:vAlign w:val="center"/>
                </w:tcPr>
                <w:p w14:paraId="22CB8AC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0.086 </w:t>
                  </w:r>
                </w:p>
              </w:tc>
              <w:tc>
                <w:tcPr>
                  <w:tcW w:w="843" w:type="dxa"/>
                  <w:vAlign w:val="center"/>
                </w:tcPr>
                <w:p w14:paraId="2F00064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0.018 </w:t>
                  </w:r>
                </w:p>
              </w:tc>
              <w:tc>
                <w:tcPr>
                  <w:tcW w:w="843" w:type="dxa"/>
                  <w:vAlign w:val="center"/>
                </w:tcPr>
                <w:p w14:paraId="0C4BEFE4">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 </w:t>
                  </w:r>
                </w:p>
              </w:tc>
              <w:tc>
                <w:tcPr>
                  <w:tcW w:w="843" w:type="dxa"/>
                  <w:vAlign w:val="center"/>
                </w:tcPr>
                <w:p w14:paraId="42AB0E9A">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0.017 </w:t>
                  </w:r>
                </w:p>
              </w:tc>
              <w:tc>
                <w:tcPr>
                  <w:tcW w:w="843" w:type="dxa"/>
                  <w:vAlign w:val="center"/>
                </w:tcPr>
                <w:p w14:paraId="7E705B0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0.004 </w:t>
                  </w:r>
                </w:p>
              </w:tc>
              <w:tc>
                <w:tcPr>
                  <w:tcW w:w="846" w:type="dxa"/>
                  <w:vAlign w:val="center"/>
                </w:tcPr>
                <w:p w14:paraId="1B479AF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0.10 </w:t>
                  </w:r>
                </w:p>
              </w:tc>
              <w:tc>
                <w:tcPr>
                  <w:tcW w:w="536" w:type="pct"/>
                  <w:vMerge w:val="continue"/>
                  <w:vAlign w:val="center"/>
                </w:tcPr>
                <w:p w14:paraId="3ECB79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777FB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3B90247F">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0464318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无组织</w:t>
                  </w:r>
                </w:p>
              </w:tc>
              <w:tc>
                <w:tcPr>
                  <w:tcW w:w="785" w:type="dxa"/>
                  <w:vAlign w:val="center"/>
                </w:tcPr>
                <w:p w14:paraId="38FBE78C">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0.010 </w:t>
                  </w:r>
                </w:p>
              </w:tc>
              <w:tc>
                <w:tcPr>
                  <w:tcW w:w="843" w:type="dxa"/>
                  <w:vAlign w:val="center"/>
                </w:tcPr>
                <w:p w14:paraId="2F2EEB0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0.002 </w:t>
                  </w:r>
                </w:p>
              </w:tc>
              <w:tc>
                <w:tcPr>
                  <w:tcW w:w="843" w:type="dxa"/>
                  <w:vAlign w:val="center"/>
                </w:tcPr>
                <w:p w14:paraId="6D944AF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5B3892F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0.010 </w:t>
                  </w:r>
                </w:p>
              </w:tc>
              <w:tc>
                <w:tcPr>
                  <w:tcW w:w="843" w:type="dxa"/>
                  <w:vAlign w:val="center"/>
                </w:tcPr>
                <w:p w14:paraId="086CC75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0.002 </w:t>
                  </w:r>
                </w:p>
              </w:tc>
              <w:tc>
                <w:tcPr>
                  <w:tcW w:w="846" w:type="dxa"/>
                  <w:vAlign w:val="center"/>
                </w:tcPr>
                <w:p w14:paraId="01BF5A1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159C03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412B2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1B19FBD0">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漆雾</w:t>
                  </w:r>
                  <w:r>
                    <w:rPr>
                      <w:rFonts w:hint="default" w:ascii="Times New Roman" w:hAnsi="Times New Roman" w:cs="Times New Roman"/>
                      <w:color w:val="auto"/>
                      <w:sz w:val="21"/>
                      <w:szCs w:val="21"/>
                      <w:highlight w:val="none"/>
                    </w:rPr>
                    <w:t>颗粒物</w:t>
                  </w:r>
                </w:p>
              </w:tc>
              <w:tc>
                <w:tcPr>
                  <w:tcW w:w="772" w:type="pct"/>
                  <w:vAlign w:val="center"/>
                </w:tcPr>
                <w:p w14:paraId="0EF18CD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有组织</w:t>
                  </w:r>
                </w:p>
              </w:tc>
              <w:tc>
                <w:tcPr>
                  <w:tcW w:w="785" w:type="dxa"/>
                  <w:vAlign w:val="center"/>
                </w:tcPr>
                <w:p w14:paraId="0E86284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5.133 </w:t>
                  </w:r>
                </w:p>
              </w:tc>
              <w:tc>
                <w:tcPr>
                  <w:tcW w:w="843" w:type="dxa"/>
                  <w:vAlign w:val="center"/>
                </w:tcPr>
                <w:p w14:paraId="6F2C5D0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1.069 </w:t>
                  </w:r>
                </w:p>
              </w:tc>
              <w:tc>
                <w:tcPr>
                  <w:tcW w:w="843" w:type="dxa"/>
                  <w:vAlign w:val="center"/>
                </w:tcPr>
                <w:p w14:paraId="286BA5A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30.6 </w:t>
                  </w:r>
                </w:p>
              </w:tc>
              <w:tc>
                <w:tcPr>
                  <w:tcW w:w="843" w:type="dxa"/>
                  <w:vAlign w:val="center"/>
                </w:tcPr>
                <w:p w14:paraId="5DF2709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1.027 </w:t>
                  </w:r>
                </w:p>
              </w:tc>
              <w:tc>
                <w:tcPr>
                  <w:tcW w:w="843" w:type="dxa"/>
                  <w:vAlign w:val="center"/>
                </w:tcPr>
                <w:p w14:paraId="60CCE3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0.214 </w:t>
                  </w:r>
                </w:p>
              </w:tc>
              <w:tc>
                <w:tcPr>
                  <w:tcW w:w="846" w:type="dxa"/>
                  <w:vAlign w:val="center"/>
                </w:tcPr>
                <w:p w14:paraId="6D27D57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6.1 </w:t>
                  </w:r>
                </w:p>
              </w:tc>
              <w:tc>
                <w:tcPr>
                  <w:tcW w:w="536" w:type="pct"/>
                  <w:vMerge w:val="continue"/>
                  <w:vAlign w:val="center"/>
                </w:tcPr>
                <w:p w14:paraId="43C15A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22175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6F0452EF">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6151B091">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785" w:type="dxa"/>
                  <w:vAlign w:val="center"/>
                </w:tcPr>
                <w:p w14:paraId="3AD1738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59494FE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3" w:type="dxa"/>
                  <w:vAlign w:val="center"/>
                </w:tcPr>
                <w:p w14:paraId="76A998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40E8855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0904B2E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6" w:type="dxa"/>
                  <w:vAlign w:val="center"/>
                </w:tcPr>
                <w:p w14:paraId="105324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666D48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78E6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shd w:val="clear" w:color="auto" w:fill="auto"/>
                  <w:vAlign w:val="center"/>
                </w:tcPr>
                <w:p w14:paraId="360CAED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非甲烷总烃</w:t>
                  </w:r>
                </w:p>
              </w:tc>
              <w:tc>
                <w:tcPr>
                  <w:tcW w:w="772" w:type="pct"/>
                  <w:shd w:val="clear" w:color="auto" w:fill="auto"/>
                  <w:vAlign w:val="center"/>
                </w:tcPr>
                <w:p w14:paraId="236DABC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有组织</w:t>
                  </w:r>
                </w:p>
              </w:tc>
              <w:tc>
                <w:tcPr>
                  <w:tcW w:w="497" w:type="pct"/>
                  <w:shd w:val="clear" w:color="auto" w:fill="auto"/>
                  <w:vAlign w:val="center"/>
                </w:tcPr>
                <w:p w14:paraId="2BC645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735E6E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4" w:type="pct"/>
                  <w:shd w:val="clear" w:color="auto" w:fill="auto"/>
                  <w:vAlign w:val="center"/>
                </w:tcPr>
                <w:p w14:paraId="78426A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5.9</w:t>
                  </w:r>
                </w:p>
              </w:tc>
              <w:tc>
                <w:tcPr>
                  <w:tcW w:w="534" w:type="pct"/>
                  <w:shd w:val="clear" w:color="auto" w:fill="auto"/>
                  <w:vAlign w:val="center"/>
                </w:tcPr>
                <w:p w14:paraId="0D3BF8B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0.169</w:t>
                  </w:r>
                </w:p>
              </w:tc>
              <w:tc>
                <w:tcPr>
                  <w:tcW w:w="534" w:type="pct"/>
                  <w:shd w:val="clear" w:color="auto" w:fill="auto"/>
                  <w:vAlign w:val="center"/>
                </w:tcPr>
                <w:p w14:paraId="3191DC3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0.035</w:t>
                  </w:r>
                </w:p>
              </w:tc>
              <w:tc>
                <w:tcPr>
                  <w:tcW w:w="536" w:type="pct"/>
                  <w:shd w:val="clear" w:color="auto" w:fill="auto"/>
                  <w:vAlign w:val="center"/>
                </w:tcPr>
                <w:p w14:paraId="617FB0F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536" w:type="pct"/>
                  <w:vMerge w:val="restart"/>
                  <w:shd w:val="clear" w:color="auto" w:fill="auto"/>
                  <w:vAlign w:val="center"/>
                </w:tcPr>
                <w:p w14:paraId="10E99A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4#厂房</w:t>
                  </w:r>
                </w:p>
              </w:tc>
            </w:tr>
            <w:tr w14:paraId="362F6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41D9453C">
                  <w:pPr>
                    <w:spacing w:line="240" w:lineRule="auto"/>
                    <w:jc w:val="center"/>
                    <w:rPr>
                      <w:rFonts w:hint="default" w:ascii="Times New Roman" w:hAnsi="Times New Roman" w:cs="Times New Roman"/>
                      <w:color w:val="auto"/>
                      <w:sz w:val="21"/>
                      <w:szCs w:val="21"/>
                      <w:highlight w:val="none"/>
                    </w:rPr>
                  </w:pPr>
                </w:p>
              </w:tc>
              <w:tc>
                <w:tcPr>
                  <w:tcW w:w="772" w:type="pct"/>
                  <w:shd w:val="clear" w:color="auto" w:fill="auto"/>
                  <w:vAlign w:val="center"/>
                </w:tcPr>
                <w:p w14:paraId="412C6F6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2AB44BB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4D7F8A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4" w:type="pct"/>
                  <w:shd w:val="clear" w:color="auto" w:fill="auto"/>
                  <w:vAlign w:val="center"/>
                </w:tcPr>
                <w:p w14:paraId="2125340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34" w:type="pct"/>
                  <w:shd w:val="clear" w:color="auto" w:fill="auto"/>
                  <w:vAlign w:val="center"/>
                </w:tcPr>
                <w:p w14:paraId="63AAA4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408E38A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6" w:type="pct"/>
                  <w:shd w:val="clear" w:color="auto" w:fill="auto"/>
                  <w:vAlign w:val="center"/>
                </w:tcPr>
                <w:p w14:paraId="0D961B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7B7693E6">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highlight w:val="none"/>
                      <w:u w:val="none"/>
                      <w:lang w:val="en-US" w:eastAsia="zh-CN"/>
                    </w:rPr>
                  </w:pPr>
                </w:p>
              </w:tc>
            </w:tr>
            <w:tr w14:paraId="26C82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shd w:val="clear" w:color="auto" w:fill="auto"/>
                  <w:vAlign w:val="center"/>
                </w:tcPr>
                <w:p w14:paraId="2704323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苯乙烯</w:t>
                  </w:r>
                </w:p>
              </w:tc>
              <w:tc>
                <w:tcPr>
                  <w:tcW w:w="772" w:type="pct"/>
                  <w:shd w:val="clear" w:color="auto" w:fill="auto"/>
                  <w:vAlign w:val="center"/>
                </w:tcPr>
                <w:p w14:paraId="2E39D57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有组织</w:t>
                  </w:r>
                </w:p>
              </w:tc>
              <w:tc>
                <w:tcPr>
                  <w:tcW w:w="497" w:type="pct"/>
                  <w:shd w:val="clear" w:color="auto" w:fill="auto"/>
                  <w:vAlign w:val="center"/>
                </w:tcPr>
                <w:p w14:paraId="68FD96E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6DDDA8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4" w:type="pct"/>
                  <w:shd w:val="clear" w:color="auto" w:fill="auto"/>
                  <w:vAlign w:val="center"/>
                </w:tcPr>
                <w:p w14:paraId="53D5358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2.4</w:t>
                  </w:r>
                </w:p>
              </w:tc>
              <w:tc>
                <w:tcPr>
                  <w:tcW w:w="534" w:type="pct"/>
                  <w:shd w:val="clear" w:color="auto" w:fill="auto"/>
                  <w:vAlign w:val="center"/>
                </w:tcPr>
                <w:p w14:paraId="19EFCB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0.070</w:t>
                  </w:r>
                </w:p>
              </w:tc>
              <w:tc>
                <w:tcPr>
                  <w:tcW w:w="534" w:type="pct"/>
                  <w:shd w:val="clear" w:color="auto" w:fill="auto"/>
                  <w:vAlign w:val="center"/>
                </w:tcPr>
                <w:p w14:paraId="11800A7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0.015</w:t>
                  </w:r>
                </w:p>
              </w:tc>
              <w:tc>
                <w:tcPr>
                  <w:tcW w:w="536" w:type="pct"/>
                  <w:shd w:val="clear" w:color="auto" w:fill="auto"/>
                  <w:vAlign w:val="center"/>
                </w:tcPr>
                <w:p w14:paraId="28AE3EA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36" w:type="pct"/>
                  <w:vMerge w:val="continue"/>
                  <w:shd w:val="clear" w:color="auto" w:fill="auto"/>
                  <w:vAlign w:val="center"/>
                </w:tcPr>
                <w:p w14:paraId="1611C1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B2A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18881527">
                  <w:pPr>
                    <w:spacing w:line="240" w:lineRule="auto"/>
                    <w:jc w:val="center"/>
                    <w:rPr>
                      <w:rFonts w:hint="default" w:ascii="Times New Roman" w:hAnsi="Times New Roman" w:cs="Times New Roman"/>
                      <w:color w:val="auto"/>
                      <w:sz w:val="21"/>
                      <w:szCs w:val="21"/>
                      <w:highlight w:val="none"/>
                    </w:rPr>
                  </w:pPr>
                </w:p>
              </w:tc>
              <w:tc>
                <w:tcPr>
                  <w:tcW w:w="772" w:type="pct"/>
                  <w:shd w:val="clear" w:color="auto" w:fill="auto"/>
                  <w:vAlign w:val="center"/>
                </w:tcPr>
                <w:p w14:paraId="07EC345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457F2C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5868F10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4" w:type="pct"/>
                  <w:shd w:val="clear" w:color="auto" w:fill="auto"/>
                  <w:vAlign w:val="center"/>
                </w:tcPr>
                <w:p w14:paraId="1B91381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4" w:type="pct"/>
                  <w:shd w:val="clear" w:color="auto" w:fill="auto"/>
                  <w:vAlign w:val="center"/>
                </w:tcPr>
                <w:p w14:paraId="540771F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67D6A5C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6" w:type="pct"/>
                  <w:shd w:val="clear" w:color="auto" w:fill="auto"/>
                  <w:vAlign w:val="center"/>
                </w:tcPr>
                <w:p w14:paraId="40C1CC4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156A5E73">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highlight w:val="none"/>
                      <w:u w:val="none"/>
                      <w:lang w:val="en-US" w:eastAsia="zh-CN"/>
                    </w:rPr>
                  </w:pPr>
                </w:p>
              </w:tc>
            </w:tr>
            <w:tr w14:paraId="0DF48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6FC2BE07">
                  <w:pPr>
                    <w:spacing w:line="240" w:lineRule="auto"/>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772" w:type="pct"/>
                  <w:shd w:val="clear" w:color="auto" w:fill="auto"/>
                  <w:vAlign w:val="center"/>
                </w:tcPr>
                <w:p w14:paraId="69CA644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3DE38B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240</w:t>
                  </w:r>
                </w:p>
              </w:tc>
              <w:tc>
                <w:tcPr>
                  <w:tcW w:w="534" w:type="pct"/>
                  <w:shd w:val="clear" w:color="auto" w:fill="auto"/>
                  <w:vAlign w:val="center"/>
                </w:tcPr>
                <w:p w14:paraId="0273F9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50</w:t>
                  </w:r>
                </w:p>
              </w:tc>
              <w:tc>
                <w:tcPr>
                  <w:tcW w:w="534" w:type="pct"/>
                  <w:shd w:val="clear" w:color="auto" w:fill="auto"/>
                  <w:vAlign w:val="center"/>
                </w:tcPr>
                <w:p w14:paraId="0348F69A">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68B4A1A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240</w:t>
                  </w:r>
                </w:p>
              </w:tc>
              <w:tc>
                <w:tcPr>
                  <w:tcW w:w="534" w:type="pct"/>
                  <w:shd w:val="clear" w:color="auto" w:fill="auto"/>
                  <w:vAlign w:val="center"/>
                </w:tcPr>
                <w:p w14:paraId="14E4E11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50</w:t>
                  </w:r>
                </w:p>
              </w:tc>
              <w:tc>
                <w:tcPr>
                  <w:tcW w:w="536" w:type="pct"/>
                  <w:shd w:val="clear" w:color="auto" w:fill="auto"/>
                  <w:vAlign w:val="center"/>
                </w:tcPr>
                <w:p w14:paraId="22F70A5B">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223B901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r w14:paraId="283A2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1A369B24">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氨</w:t>
                  </w:r>
                </w:p>
              </w:tc>
              <w:tc>
                <w:tcPr>
                  <w:tcW w:w="772" w:type="pct"/>
                  <w:shd w:val="clear" w:color="auto" w:fill="auto"/>
                  <w:vAlign w:val="center"/>
                </w:tcPr>
                <w:p w14:paraId="12F0D050">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2C6248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534" w:type="pct"/>
                  <w:shd w:val="clear" w:color="auto" w:fill="auto"/>
                  <w:vAlign w:val="center"/>
                </w:tcPr>
                <w:p w14:paraId="1BDD4A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57CEFF6C">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730DBF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534" w:type="pct"/>
                  <w:shd w:val="clear" w:color="auto" w:fill="auto"/>
                  <w:vAlign w:val="center"/>
                </w:tcPr>
                <w:p w14:paraId="799FF8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6" w:type="pct"/>
                  <w:shd w:val="clear" w:color="auto" w:fill="auto"/>
                  <w:vAlign w:val="center"/>
                </w:tcPr>
                <w:p w14:paraId="331FB8FF">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54D8CCC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r w14:paraId="4B560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1A4FEA5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臭气浓度</w:t>
                  </w:r>
                </w:p>
              </w:tc>
              <w:tc>
                <w:tcPr>
                  <w:tcW w:w="772" w:type="pct"/>
                  <w:shd w:val="clear" w:color="auto" w:fill="auto"/>
                  <w:vAlign w:val="center"/>
                </w:tcPr>
                <w:p w14:paraId="116200D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785" w:type="dxa"/>
                  <w:shd w:val="clear" w:color="auto" w:fill="auto"/>
                  <w:vAlign w:val="center"/>
                </w:tcPr>
                <w:p w14:paraId="5CED938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少量</w:t>
                  </w:r>
                </w:p>
              </w:tc>
              <w:tc>
                <w:tcPr>
                  <w:tcW w:w="843" w:type="dxa"/>
                  <w:shd w:val="clear" w:color="auto" w:fill="auto"/>
                  <w:vAlign w:val="center"/>
                </w:tcPr>
                <w:p w14:paraId="18B33C3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3" w:type="dxa"/>
                  <w:shd w:val="clear" w:color="auto" w:fill="auto"/>
                  <w:vAlign w:val="center"/>
                </w:tcPr>
                <w:p w14:paraId="769FBDC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3" w:type="dxa"/>
                  <w:shd w:val="clear" w:color="auto" w:fill="auto"/>
                  <w:vAlign w:val="center"/>
                </w:tcPr>
                <w:p w14:paraId="2069FE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少量</w:t>
                  </w:r>
                </w:p>
              </w:tc>
              <w:tc>
                <w:tcPr>
                  <w:tcW w:w="843" w:type="dxa"/>
                  <w:shd w:val="clear" w:color="auto" w:fill="auto"/>
                  <w:vAlign w:val="center"/>
                </w:tcPr>
                <w:p w14:paraId="058D35B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6" w:type="dxa"/>
                  <w:shd w:val="clear" w:color="auto" w:fill="auto"/>
                  <w:vAlign w:val="center"/>
                </w:tcPr>
                <w:p w14:paraId="2816A97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6B2A9A1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bl>
          <w:p w14:paraId="1DEF64AD">
            <w:pPr>
              <w:keepNext w:val="0"/>
              <w:keepLines w:val="0"/>
              <w:suppressLineNumbers w:val="0"/>
              <w:tabs>
                <w:tab w:val="left" w:pos="2790"/>
              </w:tabs>
              <w:spacing w:before="0" w:beforeAutospacing="0" w:after="0" w:afterAutospacing="0" w:line="360" w:lineRule="auto"/>
              <w:ind w:left="0" w:right="0" w:firstLine="480" w:firstLineChars="200"/>
              <w:rPr>
                <w:rFonts w:hint="default" w:eastAsia="宋体" w:cs="Times New Roman"/>
                <w:color w:val="auto"/>
                <w:sz w:val="24"/>
                <w:szCs w:val="24"/>
                <w:highlight w:val="none"/>
                <w:lang w:val="en-US" w:eastAsia="zh-CN"/>
              </w:rPr>
            </w:pPr>
            <w:r>
              <w:rPr>
                <w:rFonts w:hint="eastAsia" w:cs="Times New Roman"/>
                <w:color w:val="auto"/>
                <w:sz w:val="24"/>
                <w:highlight w:val="none"/>
                <w:lang w:val="en-US" w:eastAsia="zh-CN"/>
              </w:rPr>
              <w:t>综上</w:t>
            </w:r>
            <w:r>
              <w:rPr>
                <w:rFonts w:hint="default" w:ascii="Times New Roman" w:hAnsi="Times New Roman" w:cs="Times New Roman"/>
                <w:color w:val="auto"/>
                <w:sz w:val="24"/>
                <w:highlight w:val="none"/>
              </w:rPr>
              <w:t>可知</w:t>
            </w:r>
            <w:r>
              <w:rPr>
                <w:rFonts w:hint="eastAsia" w:cs="Times New Roman"/>
                <w:color w:val="auto"/>
                <w:sz w:val="24"/>
                <w:highlight w:val="none"/>
                <w:lang w:eastAsia="zh-CN"/>
              </w:rPr>
              <w:t>，</w:t>
            </w:r>
            <w:r>
              <w:rPr>
                <w:rFonts w:hint="eastAsia" w:cs="Times New Roman"/>
                <w:color w:val="auto"/>
                <w:sz w:val="24"/>
                <w:highlight w:val="none"/>
                <w:lang w:val="en-US" w:eastAsia="zh-CN"/>
              </w:rPr>
              <w:t>1#厂房工艺废气收集经</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w:t>
            </w:r>
            <w:r>
              <w:rPr>
                <w:rFonts w:hint="eastAsia" w:cs="Times New Roman"/>
                <w:color w:val="auto"/>
                <w:sz w:val="24"/>
                <w:highlight w:val="none"/>
                <w:lang w:val="en-US" w:eastAsia="zh-CN"/>
              </w:rPr>
              <w:t>通过排气筒DA001排放，废气排放因子颗粒物、非甲烷总烃、苯系物</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szCs w:val="24"/>
                <w:highlight w:val="none"/>
                <w:lang w:val="en-US" w:eastAsia="zh-CN"/>
              </w:rPr>
              <w:t>《合成树脂工业污染物排放标准》（GB31572-2015）</w:t>
            </w:r>
            <w:r>
              <w:rPr>
                <w:rFonts w:hint="default" w:ascii="Times New Roman" w:hAnsi="Times New Roman" w:cs="Times New Roman"/>
                <w:b w:val="0"/>
                <w:bCs/>
                <w:color w:val="auto"/>
                <w:sz w:val="24"/>
                <w:szCs w:val="24"/>
                <w:highlight w:val="none"/>
              </w:rPr>
              <w:t>表5大气污染物特别排放限值</w:t>
            </w:r>
            <w:r>
              <w:rPr>
                <w:rFonts w:hint="eastAsia" w:cs="Times New Roman"/>
                <w:b w:val="0"/>
                <w:bCs/>
                <w:color w:val="auto"/>
                <w:sz w:val="24"/>
                <w:szCs w:val="24"/>
                <w:highlight w:val="none"/>
                <w:lang w:val="en-US" w:eastAsia="zh-CN"/>
              </w:rPr>
              <w:t>和</w:t>
            </w:r>
            <w:r>
              <w:rPr>
                <w:rFonts w:hint="default" w:ascii="Times New Roman" w:hAnsi="Times New Roman" w:eastAsia="宋体" w:cs="Times New Roman"/>
                <w:color w:val="auto"/>
                <w:sz w:val="24"/>
                <w:szCs w:val="24"/>
                <w:highlight w:val="none"/>
                <w:lang w:val="en-US" w:eastAsia="zh-CN"/>
              </w:rPr>
              <w:t>广东省《固定污染源挥发性有机物综合排放标准》（DB44/2367-2022）中表</w:t>
            </w:r>
            <w:r>
              <w:rPr>
                <w:rFonts w:hint="eastAsia" w:cs="Times New Roman"/>
                <w:color w:val="auto"/>
                <w:sz w:val="24"/>
                <w:szCs w:val="24"/>
                <w:highlight w:val="none"/>
                <w:lang w:val="en-US" w:eastAsia="zh-CN"/>
              </w:rPr>
              <w:t>1挥发性有机物排放限值两者中较严者。</w:t>
            </w:r>
            <w:r>
              <w:rPr>
                <w:rFonts w:hint="default" w:ascii="Times New Roman" w:hAnsi="Times New Roman" w:eastAsia="宋体" w:cs="Times New Roman"/>
                <w:color w:val="auto"/>
                <w:sz w:val="24"/>
                <w:highlight w:val="none"/>
              </w:rPr>
              <w:t>臭气浓度有组织排放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《恶臭污染物排放标准》（GB14554-93）中表2恶臭污染物排放标准值</w:t>
            </w:r>
            <w:r>
              <w:rPr>
                <w:rFonts w:hint="eastAsia" w:ascii="Times New Roman" w:hAnsi="Times New Roman" w:cs="Times New Roman"/>
                <w:color w:val="auto"/>
                <w:sz w:val="24"/>
                <w:highlight w:val="none"/>
                <w:lang w:eastAsia="zh-CN"/>
              </w:rPr>
              <w:t>。</w:t>
            </w:r>
          </w:p>
          <w:p w14:paraId="4CB2885A">
            <w:pPr>
              <w:keepNext w:val="0"/>
              <w:keepLines w:val="0"/>
              <w:suppressLineNumbers w:val="0"/>
              <w:tabs>
                <w:tab w:val="left" w:pos="2790"/>
              </w:tabs>
              <w:spacing w:before="0" w:beforeAutospacing="0" w:after="0" w:afterAutospacing="0" w:line="360" w:lineRule="auto"/>
              <w:ind w:left="0" w:right="0" w:firstLine="480" w:firstLineChars="200"/>
              <w:rPr>
                <w:rFonts w:hint="default" w:cs="Times New Roman"/>
                <w:color w:val="auto"/>
                <w:sz w:val="24"/>
                <w:highlight w:val="none"/>
                <w:vertAlign w:val="baseline"/>
                <w:lang w:val="en-US" w:eastAsia="zh-CN"/>
              </w:rPr>
            </w:pPr>
            <w:r>
              <w:rPr>
                <w:rFonts w:hint="eastAsia" w:cs="Times New Roman"/>
                <w:color w:val="auto"/>
                <w:sz w:val="24"/>
                <w:highlight w:val="none"/>
                <w:lang w:val="en-US" w:eastAsia="zh-CN"/>
              </w:rPr>
              <w:t>4#厂房工艺</w:t>
            </w:r>
            <w:r>
              <w:rPr>
                <w:rFonts w:hint="default" w:ascii="Times New Roman" w:hAnsi="Times New Roman" w:eastAsia="宋体" w:cs="Times New Roman"/>
                <w:color w:val="auto"/>
                <w:sz w:val="24"/>
                <w:highlight w:val="none"/>
              </w:rPr>
              <w:t>废气</w:t>
            </w:r>
            <w:r>
              <w:rPr>
                <w:rFonts w:hint="eastAsia" w:cs="Times New Roman"/>
                <w:color w:val="auto"/>
                <w:sz w:val="24"/>
                <w:highlight w:val="none"/>
                <w:lang w:val="en-US" w:eastAsia="zh-CN"/>
              </w:rPr>
              <w:t>收集经</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w:t>
            </w:r>
            <w:r>
              <w:rPr>
                <w:rFonts w:hint="eastAsia" w:cs="Times New Roman"/>
                <w:color w:val="auto"/>
                <w:sz w:val="24"/>
                <w:highlight w:val="none"/>
                <w:lang w:val="en-US" w:eastAsia="zh-CN"/>
              </w:rPr>
              <w:t>通过排气筒DA002排放，废气排放因子</w:t>
            </w:r>
            <w:r>
              <w:rPr>
                <w:rFonts w:hint="default" w:ascii="Times New Roman" w:hAnsi="Times New Roman" w:eastAsia="宋体" w:cs="Times New Roman"/>
                <w:color w:val="auto"/>
                <w:sz w:val="24"/>
                <w:highlight w:val="none"/>
              </w:rPr>
              <w:t>非甲烷总烃、苯乙烯有组织排放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大气污染物</w:t>
            </w:r>
            <w:r>
              <w:rPr>
                <w:rFonts w:hint="eastAsia" w:cs="Times New Roman"/>
                <w:color w:val="auto"/>
                <w:sz w:val="24"/>
                <w:highlight w:val="none"/>
                <w:lang w:eastAsia="zh-CN"/>
              </w:rPr>
              <w:t>特别</w:t>
            </w:r>
            <w:r>
              <w:rPr>
                <w:rFonts w:hint="default" w:ascii="Times New Roman" w:hAnsi="Times New Roman" w:eastAsia="宋体" w:cs="Times New Roman"/>
                <w:color w:val="auto"/>
                <w:sz w:val="24"/>
                <w:highlight w:val="none"/>
              </w:rPr>
              <w:t>排放限值</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臭气浓度有组织排放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《恶臭污染物排放标准》（GB14554-93）中表2恶臭污染物排放标准值</w:t>
            </w:r>
            <w:r>
              <w:rPr>
                <w:rFonts w:hint="eastAsia" w:ascii="Times New Roman" w:hAnsi="Times New Roman" w:cs="Times New Roman"/>
                <w:color w:val="auto"/>
                <w:sz w:val="24"/>
                <w:highlight w:val="none"/>
                <w:lang w:eastAsia="zh-CN"/>
              </w:rPr>
              <w:t>。</w:t>
            </w:r>
          </w:p>
          <w:p w14:paraId="3E5C7A95">
            <w:pPr>
              <w:keepNext w:val="0"/>
              <w:keepLines w:val="0"/>
              <w:suppressLineNumbers w:val="0"/>
              <w:tabs>
                <w:tab w:val="left" w:pos="2790"/>
              </w:tabs>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项目通过设置密闭车间，并加强车间管理，减少无组织排放，</w:t>
            </w:r>
            <w:r>
              <w:rPr>
                <w:rFonts w:hint="default" w:ascii="Times New Roman" w:hAnsi="Times New Roman" w:eastAsia="宋体" w:cs="Times New Roman"/>
                <w:color w:val="auto"/>
                <w:sz w:val="24"/>
                <w:highlight w:val="none"/>
              </w:rPr>
              <w:t>厂界非甲烷总烃无组织排放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《合成树脂工业污染物排放标准》（GB31572-2015）表9企业边界大气污染物浓度限值，</w:t>
            </w:r>
            <w:r>
              <w:rPr>
                <w:rFonts w:hint="eastAsia" w:ascii="Times New Roman" w:hAnsi="Times New Roman" w:cs="Times New Roman"/>
                <w:color w:val="auto"/>
                <w:sz w:val="24"/>
                <w:highlight w:val="none"/>
                <w:lang w:val="en-US" w:eastAsia="zh-CN"/>
              </w:rPr>
              <w:t>臭气浓度、</w:t>
            </w:r>
            <w:r>
              <w:rPr>
                <w:rFonts w:hint="default" w:ascii="Times New Roman" w:hAnsi="Times New Roman" w:eastAsia="宋体" w:cs="Times New Roman"/>
                <w:color w:val="auto"/>
                <w:sz w:val="24"/>
                <w:highlight w:val="none"/>
              </w:rPr>
              <w:t>苯乙烯</w:t>
            </w:r>
            <w:r>
              <w:rPr>
                <w:rFonts w:hint="eastAsia" w:cs="Times New Roman"/>
                <w:color w:val="auto"/>
                <w:sz w:val="24"/>
                <w:highlight w:val="none"/>
                <w:lang w:eastAsia="zh-CN"/>
              </w:rPr>
              <w:t>、</w:t>
            </w:r>
            <w:r>
              <w:rPr>
                <w:rFonts w:hint="eastAsia" w:cs="Times New Roman"/>
                <w:color w:val="auto"/>
                <w:sz w:val="24"/>
                <w:highlight w:val="none"/>
                <w:lang w:val="en-US" w:eastAsia="zh-CN"/>
              </w:rPr>
              <w:t>氨</w:t>
            </w:r>
            <w:r>
              <w:rPr>
                <w:rFonts w:hint="default" w:ascii="Times New Roman" w:hAnsi="Times New Roman" w:eastAsia="宋体" w:cs="Times New Roman"/>
                <w:color w:val="auto"/>
                <w:sz w:val="24"/>
                <w:highlight w:val="none"/>
              </w:rPr>
              <w:t>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《恶臭污染物排放标准》（GB14554-93）中表1恶臭污染物厂界标准值二级新扩改建标准；</w:t>
            </w:r>
            <w:r>
              <w:rPr>
                <w:rFonts w:hint="eastAsia" w:ascii="Times New Roman" w:hAnsi="Times New Roman" w:cs="Times New Roman"/>
                <w:color w:val="auto"/>
                <w:sz w:val="24"/>
                <w:highlight w:val="none"/>
                <w:lang w:val="en-US" w:eastAsia="zh-CN"/>
              </w:rPr>
              <w:t>颗粒物</w:t>
            </w:r>
            <w:r>
              <w:rPr>
                <w:rFonts w:hint="default" w:ascii="Times New Roman" w:hAnsi="Times New Roman" w:eastAsia="宋体" w:cs="Times New Roman"/>
                <w:color w:val="auto"/>
                <w:sz w:val="24"/>
                <w:highlight w:val="none"/>
              </w:rPr>
              <w:t>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《合成树脂工业污染物排放标准》（GB31572-2015）表9企业边界大气污染物浓度限值</w:t>
            </w:r>
            <w:r>
              <w:rPr>
                <w:rFonts w:hint="eastAsia"/>
                <w:color w:val="auto"/>
                <w:highlight w:val="none"/>
                <w:lang w:eastAsia="zh-CN"/>
              </w:rPr>
              <w:t>，</w:t>
            </w:r>
            <w:r>
              <w:rPr>
                <w:rFonts w:hint="eastAsia"/>
                <w:color w:val="auto"/>
                <w:highlight w:val="none"/>
                <w:lang w:val="en-US" w:eastAsia="zh-CN"/>
              </w:rPr>
              <w:t>苯系物无组织排放</w:t>
            </w:r>
            <w:r>
              <w:rPr>
                <w:rFonts w:hint="eastAsia" w:ascii="Times New Roman" w:hAnsi="Times New Roman" w:cs="Times New Roman"/>
                <w:color w:val="auto"/>
                <w:sz w:val="24"/>
                <w:highlight w:val="none"/>
                <w:lang w:val="en-US" w:eastAsia="zh-CN"/>
              </w:rPr>
              <w:t>满足</w:t>
            </w:r>
            <w:r>
              <w:rPr>
                <w:rFonts w:hint="eastAsia"/>
                <w:color w:val="auto"/>
                <w:highlight w:val="none"/>
                <w:lang w:val="en-US" w:eastAsia="zh-CN"/>
              </w:rPr>
              <w:t>广东省《大气污染物排放限值》(DB44/27-2001)第二时段无组织排放监控浓度限值</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rPr>
              <w:t>厂区内</w:t>
            </w:r>
            <w:r>
              <w:rPr>
                <w:rFonts w:hint="eastAsia" w:ascii="Times New Roman" w:hAnsi="Times New Roman" w:cs="Times New Roman"/>
                <w:color w:val="auto"/>
                <w:sz w:val="24"/>
                <w:highlight w:val="none"/>
                <w:lang w:val="en-US" w:eastAsia="zh-CN"/>
              </w:rPr>
              <w:t>NMHC满足</w:t>
            </w:r>
            <w:r>
              <w:rPr>
                <w:rFonts w:hint="default" w:ascii="Times New Roman" w:hAnsi="Times New Roman" w:eastAsia="宋体" w:cs="Times New Roman"/>
                <w:color w:val="auto"/>
                <w:sz w:val="24"/>
                <w:highlight w:val="none"/>
              </w:rPr>
              <w:t>广东省《固定污染源挥发性有机物综合排放标准》（DB44/2367-2022）</w:t>
            </w:r>
            <w:r>
              <w:rPr>
                <w:rFonts w:hint="eastAsia"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表3厂区内VOCs无组织排放限值</w:t>
            </w:r>
          </w:p>
          <w:p w14:paraId="5D73A02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项目严格控制VOCs（非甲烷总烃、苯乙烯</w:t>
            </w:r>
            <w:r>
              <w:rPr>
                <w:rFonts w:hint="eastAsia" w:cs="Times New Roman"/>
                <w:color w:val="auto"/>
                <w:sz w:val="24"/>
                <w:highlight w:val="none"/>
                <w:lang w:eastAsia="zh-CN"/>
              </w:rPr>
              <w:t>、</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）无组织废气排放，厂区内无组织排放控制符合广东省《固定污染源挥发性有机物综合排放标准》（DB442367-2022）的要求：</w:t>
            </w:r>
          </w:p>
          <w:p w14:paraId="203E8C8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VOCs物料储存无组织排放控制要求：</w:t>
            </w:r>
          </w:p>
          <w:p w14:paraId="441A1A3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项目所用的物料均采用密封袋贮存于室内；危险废物经分类收集后用加厚胶袋盛装并进行密闭，暂存于专门的危废仓。故储存过程无VOCs的产生。因此，项目符合VOCs物料储存无组织排放控制要求。</w:t>
            </w:r>
          </w:p>
          <w:p w14:paraId="3E31665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VOCs物料转移和输送无组织排放控制要求：</w:t>
            </w:r>
          </w:p>
          <w:p w14:paraId="196206F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项目使用的原辅材料常温下不会挥发有机废气；危险废物经分类收集后用加厚胶袋密闭盛装后进行转移。因此，项目符合VOCs物料转移和输送无组织排放控制要求。</w:t>
            </w:r>
          </w:p>
          <w:p w14:paraId="4DD1853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工艺过程VOCs无组织排放控制要求：</w:t>
            </w:r>
          </w:p>
          <w:p w14:paraId="7ECAF8FB">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VOCs质量占比大于等于10%的含VOCs产品，其使用过程应采用密闭设备或在密闭空间内操作，废气应排至VOCs废气收集处理系统</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无法密闭的，应采取局部气体收集措施，废气应排至VOCs废气收集处理系统</w:t>
            </w:r>
            <w:r>
              <w:rPr>
                <w:rFonts w:hint="eastAsia" w:cs="Times New Roman"/>
                <w:color w:val="auto"/>
                <w:sz w:val="24"/>
                <w:highlight w:val="none"/>
                <w:lang w:eastAsia="zh-CN"/>
              </w:rPr>
              <w:t>。</w:t>
            </w:r>
          </w:p>
          <w:p w14:paraId="45F8A3FF">
            <w:pPr>
              <w:spacing w:line="360" w:lineRule="auto"/>
              <w:ind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rPr>
              <w:t>项目拟将定型</w:t>
            </w:r>
            <w:r>
              <w:rPr>
                <w:rFonts w:hint="eastAsia" w:cs="Times New Roman"/>
                <w:color w:val="auto"/>
                <w:sz w:val="24"/>
                <w:highlight w:val="none"/>
                <w:lang w:eastAsia="zh-CN"/>
              </w:rPr>
              <w:t>、</w:t>
            </w:r>
            <w:r>
              <w:rPr>
                <w:rFonts w:hint="eastAsia" w:cs="Times New Roman"/>
                <w:color w:val="auto"/>
                <w:sz w:val="24"/>
                <w:highlight w:val="none"/>
                <w:lang w:val="en-US" w:eastAsia="zh-CN"/>
              </w:rPr>
              <w:t>注塑</w:t>
            </w:r>
            <w:r>
              <w:rPr>
                <w:rFonts w:hint="default" w:ascii="Times New Roman" w:hAnsi="Times New Roman" w:cs="Times New Roman"/>
                <w:color w:val="auto"/>
                <w:sz w:val="24"/>
                <w:highlight w:val="none"/>
              </w:rPr>
              <w:t>工序</w:t>
            </w:r>
            <w:r>
              <w:rPr>
                <w:rFonts w:hint="eastAsia" w:cs="Times New Roman"/>
                <w:color w:val="auto"/>
                <w:sz w:val="24"/>
                <w:highlight w:val="none"/>
                <w:lang w:eastAsia="zh-CN"/>
              </w:rPr>
              <w:t>上方</w:t>
            </w:r>
            <w:r>
              <w:rPr>
                <w:rFonts w:hint="default" w:ascii="Times New Roman" w:hAnsi="Times New Roman" w:cs="Times New Roman"/>
                <w:color w:val="auto"/>
                <w:sz w:val="24"/>
                <w:highlight w:val="none"/>
              </w:rPr>
              <w:t>设置集气装置</w:t>
            </w:r>
            <w:r>
              <w:rPr>
                <w:rFonts w:hint="eastAsia" w:cs="Times New Roman"/>
                <w:color w:val="auto"/>
                <w:sz w:val="24"/>
                <w:highlight w:val="none"/>
                <w:lang w:eastAsia="zh-CN"/>
              </w:rPr>
              <w:t>四周加装软质垂帘，</w:t>
            </w:r>
            <w:r>
              <w:rPr>
                <w:rFonts w:hint="default" w:ascii="Times New Roman" w:hAnsi="Times New Roman" w:cs="Times New Roman"/>
                <w:color w:val="auto"/>
                <w:sz w:val="24"/>
                <w:highlight w:val="none"/>
              </w:rPr>
              <w:t>对定型</w:t>
            </w:r>
            <w:r>
              <w:rPr>
                <w:rFonts w:hint="default" w:ascii="Times New Roman" w:hAnsi="Times New Roman" w:cs="Times New Roman"/>
                <w:color w:val="auto"/>
                <w:sz w:val="24"/>
                <w:highlight w:val="none"/>
                <w:lang w:eastAsia="zh-CN"/>
              </w:rPr>
              <w:t>、注塑</w:t>
            </w:r>
            <w:r>
              <w:rPr>
                <w:rFonts w:hint="default" w:ascii="Times New Roman" w:hAnsi="Times New Roman" w:cs="Times New Roman"/>
                <w:color w:val="auto"/>
                <w:sz w:val="24"/>
                <w:highlight w:val="none"/>
              </w:rPr>
              <w:t>工序有机废气进行收集，收集效率约为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0%，收集后的废气再经“</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吸附装置”处理后高空排放，处理效率为80%</w:t>
            </w:r>
            <w:r>
              <w:rPr>
                <w:rFonts w:hint="eastAsia" w:cs="Times New Roman"/>
                <w:color w:val="auto"/>
                <w:sz w:val="24"/>
                <w:highlight w:val="none"/>
                <w:lang w:eastAsia="zh-CN"/>
              </w:rPr>
              <w:t>；</w:t>
            </w:r>
          </w:p>
          <w:p w14:paraId="44C8E191">
            <w:pPr>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①项目设喷漆房用于喷漆抽漆工序，调漆工序设在密闭喷漆房内。喷漆房进出口设软帘，喷漆作业时漆房密闭，配套专用引风系统，操作期间保持房内微负压状态（负压值控制在 5-15Pa），使房外空气仅能通过专用补风通道进入房内，房内漆雾及有机废气无法向外逸散，从气流层面强化密闭效果；补风通道加装高效过滤装置，同时做密封处理，无无组织进风点。</w:t>
            </w:r>
          </w:p>
          <w:p w14:paraId="697CA28B">
            <w:pPr>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②项目调胶工序设置在4#车间内的调胶间内进行。调胶间本身为密闭空间，</w:t>
            </w:r>
            <w:r>
              <w:rPr>
                <w:rFonts w:hint="default" w:ascii="Times New Roman" w:hAnsi="Times New Roman" w:cs="Times New Roman"/>
                <w:color w:val="auto"/>
                <w:sz w:val="24"/>
                <w:highlight w:val="none"/>
                <w:lang w:eastAsia="zh-CN"/>
              </w:rPr>
              <w:t>不饱和聚酯树脂用量为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t/a，占不饱和聚酯树脂、色浆、固化剂总用量的</w:t>
            </w:r>
            <w:r>
              <w:rPr>
                <w:rFonts w:hint="default" w:ascii="Times New Roman" w:hAnsi="Times New Roman" w:cs="Times New Roman"/>
                <w:color w:val="auto"/>
                <w:sz w:val="24"/>
                <w:highlight w:val="none"/>
                <w:lang w:val="en-US" w:eastAsia="zh-CN"/>
              </w:rPr>
              <w:t>97.3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常温下不易挥发。</w:t>
            </w:r>
            <w:r>
              <w:rPr>
                <w:rFonts w:hint="default" w:ascii="Times New Roman" w:hAnsi="Times New Roman" w:cs="Times New Roman"/>
                <w:color w:val="auto"/>
                <w:sz w:val="24"/>
                <w:highlight w:val="none"/>
                <w:lang w:eastAsia="zh-CN"/>
              </w:rPr>
              <w:t>根据不饱和聚酯树脂MSDS报告，不饱和聚酯树脂含苯乙烯</w:t>
            </w:r>
            <w:r>
              <w:rPr>
                <w:rFonts w:hint="eastAsia" w:cs="Times New Roman"/>
                <w:color w:val="auto"/>
                <w:sz w:val="24"/>
                <w:highlight w:val="none"/>
                <w:lang w:val="en-US" w:eastAsia="zh-CN"/>
              </w:rPr>
              <w:t>38</w:t>
            </w:r>
            <w:r>
              <w:rPr>
                <w:rFonts w:hint="default" w:ascii="Times New Roman" w:hAnsi="Times New Roman" w:cs="Times New Roman"/>
                <w:color w:val="auto"/>
                <w:sz w:val="24"/>
                <w:highlight w:val="none"/>
                <w:lang w:eastAsia="zh-CN"/>
              </w:rPr>
              <w:t>%。</w:t>
            </w:r>
          </w:p>
          <w:p w14:paraId="276501C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根据《低苯乙烯挥发不饱和聚酯树脂苯乙烯挥发限量标准》（中国合成树脂供销协会）表1低苯乙烯挥发不饱和聚酯树脂苯乙烯绝对挥发量6%，故本项目类比可得不饱和聚酯树脂逸散的挥发性-苯乙烯百分比为：</w:t>
            </w:r>
            <w:r>
              <w:rPr>
                <w:rFonts w:hint="eastAsia" w:cs="Times New Roman"/>
                <w:color w:val="auto"/>
                <w:sz w:val="24"/>
                <w:highlight w:val="none"/>
                <w:lang w:val="en-US" w:eastAsia="zh-CN"/>
              </w:rPr>
              <w:t>38</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2.28</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w:t>
            </w:r>
            <w:r>
              <w:rPr>
                <w:rFonts w:hint="eastAsia" w:cs="Times New Roman"/>
                <w:color w:val="auto"/>
                <w:sz w:val="24"/>
                <w:highlight w:val="none"/>
                <w:lang w:val="en-US" w:eastAsia="zh-CN"/>
              </w:rPr>
              <w:t>以上VOCs质量占比均未大于等于10%。且调胶工序操作时间较短，操作流程为在调胶间内对原料桶开盖-加料搅拌，完成搅拌后立即将原料桶转移至浸酯槽附近进行投料。每日仅需进行几次调胶后即可满足当日生产需求，无需连续作业，属于间歇性工序，且调胶间设置位置紧邻玻璃纤维增强塑料制品生产线的摆放位置，VOCs物料完成搅拌后立刻转移投入浸酯槽内，因此，调胶间内不设置VOCs收集系统。</w:t>
            </w:r>
          </w:p>
          <w:p w14:paraId="57E93854">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综上</w:t>
            </w:r>
            <w:r>
              <w:rPr>
                <w:rFonts w:hint="default" w:ascii="Times New Roman" w:hAnsi="Times New Roman" w:cs="Times New Roman"/>
                <w:color w:val="auto"/>
                <w:sz w:val="24"/>
                <w:highlight w:val="none"/>
              </w:rPr>
              <w:t>，项目符合VOCs工艺过程VOCs无组织排放控制要求。</w:t>
            </w:r>
          </w:p>
          <w:p w14:paraId="21E8ED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敞开液面VOCs无组织排放控制要求：</w:t>
            </w:r>
          </w:p>
          <w:p w14:paraId="541A7F2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项目生产过程中无含VOCs废水的排放。</w:t>
            </w:r>
          </w:p>
          <w:p w14:paraId="3ACB8D0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记录要求：企业拟建立台账，记录废气收集系统、VOCs处理设施的主要运行和维护信息，如运行时间、废气处理量、操作温度、停留时间、吸附剂再生/更换周期和更换量等关键运行参数。台账保存期限不少于5年。因此，项目符合VOCs无组织排放废气收集处理系统要求。</w:t>
            </w:r>
          </w:p>
          <w:p w14:paraId="53C13D95">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本项</w:t>
            </w:r>
            <w:r>
              <w:rPr>
                <w:rFonts w:hint="eastAsia" w:ascii="Times New Roman" w:hAnsi="Times New Roman" w:cs="Times New Roman"/>
                <w:b/>
                <w:bCs/>
                <w:color w:val="auto"/>
                <w:sz w:val="21"/>
                <w:szCs w:val="21"/>
                <w:highlight w:val="none"/>
                <w:lang w:val="en-US" w:eastAsia="zh-CN"/>
              </w:rPr>
              <w:t>目全厂废气排放核算表</w:t>
            </w:r>
          </w:p>
          <w:tbl>
            <w:tblPr>
              <w:tblStyle w:val="46"/>
              <w:tblW w:w="7812" w:type="dxa"/>
              <w:tblInd w:w="-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603"/>
              <w:gridCol w:w="2603"/>
              <w:gridCol w:w="2606"/>
            </w:tblGrid>
            <w:tr w14:paraId="0EEB4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2603" w:type="dxa"/>
                  <w:tcBorders>
                    <w:top w:val="single" w:color="auto" w:sz="4" w:space="0"/>
                    <w:left w:val="single" w:color="auto" w:sz="0" w:space="0"/>
                    <w:bottom w:val="single" w:color="auto" w:sz="4" w:space="0"/>
                    <w:right w:val="single" w:color="auto" w:sz="4" w:space="0"/>
                  </w:tcBorders>
                  <w:shd w:val="clear" w:color="auto" w:fill="auto"/>
                  <w:noWrap/>
                  <w:vAlign w:val="center"/>
                </w:tcPr>
                <w:p w14:paraId="7262728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排放形式</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8D2CF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污染物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C872C8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r>
            <w:tr w14:paraId="15E93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8"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E258E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有组织</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48BD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非</w:t>
                  </w:r>
                  <w:r>
                    <w:rPr>
                      <w:rFonts w:hint="eastAsia" w:ascii="Times New Roman" w:hAnsi="Times New Roman" w:eastAsia="宋体" w:cs="Times New Roman"/>
                      <w:i w:val="0"/>
                      <w:iCs w:val="0"/>
                      <w:color w:val="auto"/>
                      <w:kern w:val="0"/>
                      <w:sz w:val="21"/>
                      <w:szCs w:val="21"/>
                      <w:highlight w:val="none"/>
                      <w:u w:val="none"/>
                      <w:lang w:val="en-US" w:eastAsia="zh-CN"/>
                    </w:rPr>
                    <w:t>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E3FC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0.738 </w:t>
                  </w:r>
                </w:p>
              </w:tc>
            </w:tr>
            <w:tr w14:paraId="52C11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17972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CADF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BFAE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0.070 </w:t>
                  </w:r>
                </w:p>
              </w:tc>
            </w:tr>
            <w:tr w14:paraId="0FB4ED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4"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F1F12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79C1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70DC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0.017 </w:t>
                  </w:r>
                </w:p>
              </w:tc>
            </w:tr>
            <w:tr w14:paraId="48B03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84E1D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B279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6541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1.027 </w:t>
                  </w:r>
                </w:p>
              </w:tc>
            </w:tr>
            <w:tr w14:paraId="35056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4"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2DD25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C935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A3DA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2.153 </w:t>
                  </w:r>
                </w:p>
              </w:tc>
            </w:tr>
            <w:tr w14:paraId="2A103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41E3D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ED14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FF232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0.351 </w:t>
                  </w:r>
                </w:p>
              </w:tc>
            </w:tr>
            <w:tr w14:paraId="54314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BBADC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E75E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F375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0.010 </w:t>
                  </w:r>
                </w:p>
              </w:tc>
            </w:tr>
            <w:tr w14:paraId="10BDB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D14B6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B10E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C3F4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0.802 </w:t>
                  </w:r>
                </w:p>
              </w:tc>
            </w:tr>
            <w:tr w14:paraId="751DED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5B09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全厂合计</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B78A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16DE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2.891 </w:t>
                  </w:r>
                </w:p>
              </w:tc>
            </w:tr>
            <w:tr w14:paraId="3E425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9394C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A381A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ED0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0.421 </w:t>
                  </w:r>
                </w:p>
              </w:tc>
            </w:tr>
            <w:tr w14:paraId="0FA492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94C30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9B37C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88A0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0.027 </w:t>
                  </w:r>
                </w:p>
              </w:tc>
            </w:tr>
            <w:tr w14:paraId="0E7E4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A9F27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971FC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3C90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1.829 </w:t>
                  </w:r>
                </w:p>
              </w:tc>
            </w:tr>
          </w:tbl>
          <w:p w14:paraId="56BD3828">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8、废气影响分析</w:t>
            </w:r>
          </w:p>
          <w:p w14:paraId="1A9D0F44">
            <w:pPr>
              <w:shd w:val="clear" w:color="auto" w:fill="auto"/>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highlight w:val="none"/>
              </w:rPr>
              <w:t>《韶关市生态环境保护战略规划（2020-2035）》</w:t>
            </w:r>
            <w:r>
              <w:rPr>
                <w:rFonts w:hint="default" w:ascii="Times New Roman" w:hAnsi="Times New Roman" w:cs="Times New Roman"/>
                <w:color w:val="auto"/>
                <w:sz w:val="24"/>
                <w:highlight w:val="none"/>
              </w:rPr>
              <w:t>，项目所在地属环境空气二类区域，根据</w:t>
            </w:r>
            <w:r>
              <w:rPr>
                <w:rFonts w:hint="default" w:ascii="Times New Roman" w:hAnsi="Times New Roman" w:cs="Times New Roman"/>
                <w:color w:val="auto"/>
                <w:highlight w:val="none"/>
              </w:rPr>
              <w:t>《韶关市生态环境状况公报》（202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sz w:val="24"/>
                <w:highlight w:val="none"/>
              </w:rPr>
              <w:t>中的数据可知，</w:t>
            </w:r>
            <w:r>
              <w:rPr>
                <w:rFonts w:hint="default" w:ascii="Times New Roman" w:hAnsi="Times New Roman" w:cs="Times New Roman"/>
                <w:color w:val="auto"/>
                <w:highlight w:val="none"/>
              </w:rPr>
              <w:t>韶关市区各常规监测因子均可满足国家《环境空气质量标准》（GB3095-2012）</w:t>
            </w:r>
            <w:r>
              <w:rPr>
                <w:rFonts w:hint="default" w:ascii="Times New Roman" w:hAnsi="Times New Roman" w:cs="Times New Roman"/>
                <w:color w:val="auto"/>
                <w:highlight w:val="none"/>
                <w:lang w:val="en-US" w:eastAsia="zh-CN"/>
              </w:rPr>
              <w:t>及其2018年</w:t>
            </w:r>
            <w:r>
              <w:rPr>
                <w:rFonts w:hint="default" w:ascii="Times New Roman" w:hAnsi="Times New Roman" w:cs="Times New Roman"/>
                <w:color w:val="auto"/>
                <w:highlight w:val="none"/>
              </w:rPr>
              <w:t>修改单中二级标准要求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项目所在地属于达标区。</w:t>
            </w:r>
          </w:p>
          <w:p w14:paraId="2CE3B87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本项目生产过程中产生的废气</w:t>
            </w:r>
            <w:r>
              <w:rPr>
                <w:rFonts w:hint="eastAsia" w:cs="Times New Roman"/>
                <w:color w:val="auto"/>
                <w:sz w:val="24"/>
                <w:highlight w:val="none"/>
                <w:lang w:val="en-US" w:eastAsia="zh-CN"/>
              </w:rPr>
              <w:t>污染物</w:t>
            </w:r>
            <w:r>
              <w:rPr>
                <w:rFonts w:hint="default" w:ascii="Times New Roman" w:hAnsi="Times New Roman" w:cs="Times New Roman"/>
                <w:color w:val="auto"/>
                <w:sz w:val="24"/>
                <w:highlight w:val="none"/>
              </w:rPr>
              <w:t>主要为非甲烷总烃、</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苯乙烯、臭气浓度和颗粒物，经收集送至“</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吸附装置”处理达标后高空排放，因此，不会对周围大气造成明显影响。项目附近主要环境空气敏感点为</w:t>
            </w:r>
            <w:r>
              <w:rPr>
                <w:rFonts w:hint="eastAsia" w:cs="Times New Roman"/>
                <w:color w:val="auto"/>
                <w:sz w:val="24"/>
                <w:highlight w:val="none"/>
                <w:lang w:eastAsia="zh-CN"/>
              </w:rPr>
              <w:t>东北面</w:t>
            </w:r>
            <w:r>
              <w:rPr>
                <w:rFonts w:hint="default" w:ascii="Times New Roman" w:hAnsi="Times New Roman" w:cs="Times New Roman"/>
                <w:color w:val="auto"/>
                <w:sz w:val="24"/>
                <w:highlight w:val="none"/>
                <w:lang w:val="en-US" w:eastAsia="zh-CN"/>
              </w:rPr>
              <w:t>194</w:t>
            </w:r>
            <w:r>
              <w:rPr>
                <w:rFonts w:hint="default" w:ascii="Times New Roman" w:hAnsi="Times New Roman" w:cs="Times New Roman"/>
                <w:color w:val="auto"/>
                <w:sz w:val="24"/>
                <w:highlight w:val="none"/>
              </w:rPr>
              <w:t>米处的</w:t>
            </w:r>
            <w:r>
              <w:rPr>
                <w:rFonts w:hint="default" w:ascii="Times New Roman" w:hAnsi="Times New Roman" w:cs="Times New Roman"/>
                <w:color w:val="auto"/>
                <w:sz w:val="24"/>
                <w:highlight w:val="none"/>
                <w:lang w:val="en-US" w:eastAsia="zh-CN"/>
              </w:rPr>
              <w:t>付村</w:t>
            </w:r>
            <w:r>
              <w:rPr>
                <w:rFonts w:hint="default" w:ascii="Times New Roman" w:hAnsi="Times New Roman" w:cs="Times New Roman"/>
                <w:color w:val="auto"/>
                <w:sz w:val="24"/>
                <w:highlight w:val="none"/>
              </w:rPr>
              <w:t>。</w:t>
            </w:r>
          </w:p>
          <w:p w14:paraId="4361530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项目颗粒物、非甲烷总烃、</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苯乙烯、臭气浓度经处理后均能达标排放，对环境保护目标影响较小。项目最近的敏感保护目标处于项目东</w:t>
            </w:r>
            <w:r>
              <w:rPr>
                <w:rFonts w:hint="eastAsia" w:cs="Times New Roman"/>
                <w:color w:val="auto"/>
                <w:sz w:val="24"/>
                <w:highlight w:val="none"/>
                <w:lang w:eastAsia="zh-CN"/>
              </w:rPr>
              <w:t>北</w:t>
            </w:r>
            <w:r>
              <w:rPr>
                <w:rFonts w:hint="default" w:ascii="Times New Roman" w:hAnsi="Times New Roman" w:cs="Times New Roman"/>
                <w:color w:val="auto"/>
                <w:sz w:val="24"/>
                <w:highlight w:val="none"/>
              </w:rPr>
              <w:t>面，不是处于项目常年主导风下风向的位置，其余敏感点与项目距离较远，经大气的稀释扩散、绿色植物的吸收后，对项目所在地环境空气保护目标影响不大。</w:t>
            </w:r>
          </w:p>
          <w:p w14:paraId="61896118">
            <w:pPr>
              <w:keepNext/>
              <w:keepLines/>
              <w:tabs>
                <w:tab w:val="left" w:pos="0"/>
              </w:tabs>
              <w:ind w:firstLine="480" w:firstLineChars="200"/>
              <w:outlineLvl w:val="3"/>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二、</w:t>
            </w:r>
            <w:r>
              <w:rPr>
                <w:rFonts w:ascii="Times New Roman" w:hAnsi="Times New Roman" w:eastAsia="宋体" w:cs="Times New Roman"/>
                <w:b/>
                <w:bCs/>
                <w:color w:val="auto"/>
                <w:highlight w:val="none"/>
                <w:lang w:val="en-US" w:eastAsia="zh-CN"/>
              </w:rPr>
              <w:t>废水污染源</w:t>
            </w:r>
          </w:p>
          <w:p w14:paraId="2203DB77">
            <w:pPr>
              <w:keepNext/>
              <w:keepLines/>
              <w:tabs>
                <w:tab w:val="left" w:pos="0"/>
              </w:tabs>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64B5B8E3">
            <w:pPr>
              <w:keepNext/>
              <w:keepLines/>
              <w:numPr>
                <w:ilvl w:val="4"/>
                <w:numId w:val="0"/>
              </w:numPr>
              <w:tabs>
                <w:tab w:val="left" w:pos="0"/>
              </w:tabs>
              <w:ind w:left="-960" w:firstLine="1440"/>
              <w:outlineLvl w:val="4"/>
              <w:rPr>
                <w:rFonts w:ascii="Times New Roman" w:hAnsi="Times New Roman" w:eastAsia="宋体" w:cs="Times New Roman"/>
                <w:b/>
                <w:bCs/>
                <w:color w:val="auto"/>
                <w:highlight w:val="none"/>
              </w:rPr>
            </w:pPr>
            <w:r>
              <w:rPr>
                <w:rFonts w:hint="eastAsia" w:ascii="Times New Roman" w:hAnsi="Times New Roman" w:eastAsia="宋体" w:cs="宋体"/>
                <w:b/>
                <w:bCs/>
                <w:color w:val="auto"/>
                <w:highlight w:val="none"/>
              </w:rPr>
              <w:t>（1）</w:t>
            </w:r>
            <w:r>
              <w:rPr>
                <w:rFonts w:ascii="Times New Roman" w:hAnsi="Times New Roman" w:eastAsia="宋体" w:cs="Times New Roman"/>
                <w:b/>
                <w:bCs/>
                <w:color w:val="auto"/>
                <w:highlight w:val="none"/>
              </w:rPr>
              <w:t>生活污水</w:t>
            </w:r>
          </w:p>
          <w:p w14:paraId="02DF4FC1">
            <w:pPr>
              <w:widowControl/>
              <w:ind w:firstLine="480" w:firstLineChars="200"/>
              <w:jc w:val="both"/>
              <w:rPr>
                <w:rFonts w:ascii="Times New Roman" w:hAnsi="Times New Roman" w:eastAsia="宋体" w:cs="Times New Roman"/>
                <w:color w:val="auto"/>
                <w:kern w:val="0"/>
                <w:highlight w:val="none"/>
              </w:rPr>
            </w:pPr>
            <w:r>
              <w:rPr>
                <w:rFonts w:ascii="Times New Roman" w:hAnsi="Times New Roman" w:eastAsia="宋体" w:cs="Times New Roman"/>
                <w:color w:val="auto"/>
                <w:kern w:val="0"/>
                <w:highlight w:val="none"/>
              </w:rPr>
              <w:t>项目</w:t>
            </w:r>
            <w:r>
              <w:rPr>
                <w:rFonts w:ascii="Times New Roman" w:hAnsi="Times New Roman" w:eastAsia="宋体" w:cs="Times New Roman"/>
                <w:color w:val="auto"/>
                <w:highlight w:val="none"/>
              </w:rPr>
              <w:t>劳动定员</w:t>
            </w:r>
            <w:r>
              <w:rPr>
                <w:rFonts w:hint="eastAsia" w:ascii="Times New Roman" w:hAnsi="Times New Roman" w:eastAsia="宋体" w:cs="Times New Roman"/>
                <w:color w:val="auto"/>
                <w:highlight w:val="none"/>
                <w:lang w:val="en-US" w:eastAsia="zh-CN"/>
              </w:rPr>
              <w:t>35</w:t>
            </w:r>
            <w:r>
              <w:rPr>
                <w:rFonts w:ascii="Times New Roman" w:hAnsi="Times New Roman" w:eastAsia="宋体" w:cs="Times New Roman"/>
                <w:color w:val="auto"/>
                <w:highlight w:val="none"/>
              </w:rPr>
              <w:t>名</w:t>
            </w:r>
            <w:r>
              <w:rPr>
                <w:rFonts w:ascii="Times New Roman" w:hAnsi="Times New Roman" w:eastAsia="宋体" w:cs="Times New Roman"/>
                <w:color w:val="auto"/>
                <w:kern w:val="0"/>
                <w:highlight w:val="none"/>
              </w:rPr>
              <w:t>，</w:t>
            </w:r>
            <w:r>
              <w:rPr>
                <w:rFonts w:hint="eastAsia" w:ascii="Times New Roman" w:hAnsi="Times New Roman" w:eastAsia="宋体" w:cs="Times New Roman"/>
                <w:color w:val="auto"/>
                <w:kern w:val="0"/>
                <w:highlight w:val="none"/>
                <w:lang w:val="en-US" w:eastAsia="zh-CN"/>
              </w:rPr>
              <w:t>不</w:t>
            </w:r>
            <w:r>
              <w:rPr>
                <w:rFonts w:ascii="Times New Roman" w:hAnsi="Times New Roman" w:eastAsia="宋体" w:cs="Times New Roman"/>
                <w:color w:val="auto"/>
                <w:kern w:val="0"/>
                <w:highlight w:val="none"/>
              </w:rPr>
              <w:t>在项目内住宿就餐，年工作时间300天</w:t>
            </w:r>
            <w:r>
              <w:rPr>
                <w:rFonts w:hint="eastAsia" w:ascii="Times New Roman" w:hAnsi="Times New Roman" w:eastAsia="宋体" w:cs="Times New Roman"/>
                <w:color w:val="auto"/>
                <w:kern w:val="0"/>
                <w:highlight w:val="none"/>
              </w:rPr>
              <w:t>，实行8小时</w:t>
            </w:r>
            <w:r>
              <w:rPr>
                <w:rFonts w:hint="eastAsia" w:cs="Times New Roman"/>
                <w:color w:val="auto"/>
                <w:kern w:val="0"/>
                <w:highlight w:val="none"/>
                <w:lang w:val="en-US" w:eastAsia="zh-CN"/>
              </w:rPr>
              <w:t>2</w:t>
            </w:r>
            <w:r>
              <w:rPr>
                <w:rFonts w:hint="eastAsia" w:ascii="Times New Roman" w:hAnsi="Times New Roman" w:eastAsia="宋体" w:cs="Times New Roman"/>
                <w:color w:val="auto"/>
                <w:kern w:val="0"/>
                <w:highlight w:val="none"/>
              </w:rPr>
              <w:t>班制</w:t>
            </w:r>
            <w:r>
              <w:rPr>
                <w:rFonts w:ascii="Times New Roman" w:hAnsi="Times New Roman" w:eastAsia="宋体" w:cs="Times New Roman"/>
                <w:color w:val="auto"/>
                <w:kern w:val="0"/>
                <w:highlight w:val="none"/>
              </w:rPr>
              <w:t>。</w:t>
            </w:r>
            <w:r>
              <w:rPr>
                <w:rFonts w:hint="default" w:ascii="Times New Roman" w:hAnsi="Times New Roman" w:eastAsia="宋体" w:cs="Times New Roman"/>
                <w:color w:val="auto"/>
                <w:kern w:val="0"/>
                <w:sz w:val="24"/>
                <w:szCs w:val="24"/>
                <w:highlight w:val="none"/>
              </w:rPr>
              <w:t>参考《广东省用水定额</w:t>
            </w:r>
            <w:r>
              <w:rPr>
                <w:rFonts w:hint="default" w:ascii="Times New Roman" w:hAnsi="Times New Roman" w:eastAsia="宋体" w:cs="Times New Roman"/>
                <w:color w:val="auto"/>
                <w:kern w:val="0"/>
                <w:sz w:val="24"/>
                <w:szCs w:val="24"/>
                <w:highlight w:val="none"/>
                <w:lang w:val="en-US" w:eastAsia="zh-CN"/>
              </w:rPr>
              <w:t xml:space="preserve"> 第3部分：生活</w:t>
            </w:r>
            <w:r>
              <w:rPr>
                <w:rFonts w:hint="default" w:ascii="Times New Roman" w:hAnsi="Times New Roman" w:eastAsia="宋体" w:cs="Times New Roman"/>
                <w:color w:val="auto"/>
                <w:kern w:val="0"/>
                <w:sz w:val="24"/>
                <w:szCs w:val="24"/>
                <w:highlight w:val="none"/>
              </w:rPr>
              <w:t>》（DB44/T</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1461</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-20</w:t>
            </w:r>
            <w:r>
              <w:rPr>
                <w:rFonts w:hint="default" w:ascii="Times New Roman" w:hAnsi="Times New Roman" w:eastAsia="宋体"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中</w:t>
            </w:r>
            <w:r>
              <w:rPr>
                <w:rFonts w:hint="default" w:ascii="Times New Roman" w:hAnsi="Times New Roman" w:eastAsia="宋体" w:cs="Times New Roman"/>
                <w:bCs/>
                <w:color w:val="auto"/>
                <w:kern w:val="2"/>
                <w:sz w:val="24"/>
                <w:szCs w:val="24"/>
                <w:highlight w:val="none"/>
                <w:lang w:val="en-US" w:eastAsia="zh-CN" w:bidi="ar-SA"/>
              </w:rPr>
              <w:t>表A.1中国家机构-国家行政机构-办公楼-无食堂和浴室</w:t>
            </w:r>
            <w:r>
              <w:rPr>
                <w:rFonts w:hint="eastAsia" w:eastAsia="宋体" w:cs="Times New Roman"/>
                <w:bCs/>
                <w:color w:val="auto"/>
                <w:kern w:val="2"/>
                <w:sz w:val="24"/>
                <w:szCs w:val="24"/>
                <w:highlight w:val="none"/>
                <w:lang w:val="en-US" w:eastAsia="zh-CN" w:bidi="ar-SA"/>
              </w:rPr>
              <w:t>通用</w:t>
            </w:r>
            <w:r>
              <w:rPr>
                <w:rFonts w:hint="default" w:ascii="Times New Roman" w:hAnsi="Times New Roman" w:eastAsia="宋体" w:cs="Times New Roman"/>
                <w:bCs/>
                <w:color w:val="auto"/>
                <w:kern w:val="2"/>
                <w:sz w:val="24"/>
                <w:szCs w:val="24"/>
                <w:highlight w:val="none"/>
                <w:lang w:val="en-US" w:eastAsia="zh-CN" w:bidi="ar-SA"/>
              </w:rPr>
              <w:t>值定额</w:t>
            </w:r>
            <w:r>
              <w:rPr>
                <w:rFonts w:hint="eastAsia" w:eastAsia="宋体" w:cs="Times New Roman"/>
                <w:bCs/>
                <w:color w:val="auto"/>
                <w:kern w:val="2"/>
                <w:sz w:val="24"/>
                <w:szCs w:val="24"/>
                <w:highlight w:val="none"/>
                <w:lang w:val="en-US" w:eastAsia="zh-CN" w:bidi="ar-SA"/>
              </w:rPr>
              <w:t>38</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/（人·a）计算，项目年运行</w:t>
            </w:r>
            <w:r>
              <w:rPr>
                <w:rFonts w:hint="eastAsia" w:eastAsia="宋体" w:cs="Times New Roman"/>
                <w:bCs/>
                <w:color w:val="auto"/>
                <w:kern w:val="2"/>
                <w:sz w:val="24"/>
                <w:szCs w:val="24"/>
                <w:highlight w:val="none"/>
                <w:lang w:val="en-US" w:eastAsia="zh-CN" w:bidi="ar-SA"/>
              </w:rPr>
              <w:t>3</w:t>
            </w:r>
            <w:r>
              <w:rPr>
                <w:rFonts w:hint="eastAsia" w:cs="Times New Roman"/>
                <w:bCs/>
                <w:color w:val="auto"/>
                <w:kern w:val="2"/>
                <w:sz w:val="24"/>
                <w:szCs w:val="24"/>
                <w:highlight w:val="none"/>
                <w:lang w:val="en-US" w:eastAsia="zh-CN" w:bidi="ar-SA"/>
              </w:rPr>
              <w:t>0</w:t>
            </w:r>
            <w:r>
              <w:rPr>
                <w:rFonts w:hint="eastAsia" w:eastAsia="宋体" w:cs="Times New Roman"/>
                <w:bCs/>
                <w:color w:val="auto"/>
                <w:kern w:val="2"/>
                <w:sz w:val="24"/>
                <w:szCs w:val="24"/>
                <w:highlight w:val="none"/>
                <w:lang w:val="en-US" w:eastAsia="zh-CN" w:bidi="ar-SA"/>
              </w:rPr>
              <w:t>0</w:t>
            </w:r>
            <w:r>
              <w:rPr>
                <w:rFonts w:hint="default" w:ascii="Times New Roman" w:hAnsi="Times New Roman" w:eastAsia="宋体" w:cs="Times New Roman"/>
                <w:bCs/>
                <w:color w:val="auto"/>
                <w:kern w:val="2"/>
                <w:sz w:val="24"/>
                <w:szCs w:val="24"/>
                <w:highlight w:val="none"/>
                <w:lang w:val="en-US" w:eastAsia="zh-CN" w:bidi="ar-SA"/>
              </w:rPr>
              <w:t>天，</w:t>
            </w:r>
            <w:r>
              <w:rPr>
                <w:rFonts w:hint="default" w:ascii="Times New Roman" w:hAnsi="Times New Roman" w:eastAsia="宋体" w:cs="Times New Roman"/>
                <w:color w:val="auto"/>
                <w:kern w:val="0"/>
                <w:sz w:val="24"/>
                <w:szCs w:val="24"/>
                <w:highlight w:val="none"/>
                <w:lang w:val="en-US" w:eastAsia="zh-CN"/>
              </w:rPr>
              <w:t>对应</w:t>
            </w:r>
            <w:r>
              <w:rPr>
                <w:rFonts w:hint="default" w:ascii="Times New Roman" w:hAnsi="Times New Roman" w:eastAsia="宋体" w:cs="Times New Roman"/>
                <w:color w:val="auto"/>
                <w:kern w:val="0"/>
                <w:sz w:val="24"/>
                <w:szCs w:val="24"/>
                <w:highlight w:val="none"/>
              </w:rPr>
              <w:t>生活用水量为</w:t>
            </w:r>
            <w:r>
              <w:rPr>
                <w:rFonts w:hint="eastAsia" w:ascii="Times New Roman" w:hAnsi="Times New Roman" w:eastAsia="宋体" w:cs="Times New Roman"/>
                <w:color w:val="auto"/>
                <w:kern w:val="0"/>
                <w:sz w:val="24"/>
                <w:szCs w:val="24"/>
                <w:highlight w:val="none"/>
                <w:lang w:val="en-US" w:eastAsia="zh-CN"/>
              </w:rPr>
              <w:t>35</w:t>
            </w:r>
            <w:r>
              <w:rPr>
                <w:rFonts w:hint="default" w:ascii="Times New Roman" w:hAnsi="Times New Roman" w:eastAsia="宋体" w:cs="Times New Roman"/>
                <w:color w:val="auto"/>
                <w:kern w:val="0"/>
                <w:sz w:val="24"/>
                <w:szCs w:val="24"/>
                <w:highlight w:val="none"/>
                <w:lang w:val="en-US" w:eastAsia="zh-CN"/>
              </w:rPr>
              <w:t>人×</w:t>
            </w:r>
            <w:r>
              <w:rPr>
                <w:rFonts w:hint="eastAsia" w:cs="Times New Roman"/>
                <w:color w:val="auto"/>
                <w:kern w:val="0"/>
                <w:sz w:val="24"/>
                <w:szCs w:val="24"/>
                <w:highlight w:val="none"/>
                <w:lang w:val="en-US" w:eastAsia="zh-CN"/>
              </w:rPr>
              <w:t>38</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/（人·a）</w:t>
            </w:r>
            <w:r>
              <w:rPr>
                <w:rFonts w:hint="default" w:ascii="Times New Roman" w:hAnsi="Times New Roman" w:eastAsia="宋体" w:cs="Times New Roman"/>
                <w:color w:val="auto"/>
                <w:kern w:val="0"/>
                <w:sz w:val="24"/>
                <w:szCs w:val="24"/>
                <w:highlight w:val="none"/>
                <w:lang w:val="en-US" w:eastAsia="zh-CN"/>
              </w:rPr>
              <w:t>=</w:t>
            </w:r>
            <w:r>
              <w:rPr>
                <w:rFonts w:hint="eastAsia" w:cs="Times New Roman"/>
                <w:color w:val="auto"/>
                <w:kern w:val="0"/>
                <w:sz w:val="24"/>
                <w:szCs w:val="24"/>
                <w:highlight w:val="none"/>
                <w:lang w:val="en-US" w:eastAsia="zh-CN"/>
              </w:rPr>
              <w:t>1330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。按照排污系数0.9计算，则生活污水排放量为</w:t>
            </w:r>
            <w:r>
              <w:rPr>
                <w:rFonts w:hint="eastAsia" w:cs="Times New Roman"/>
                <w:color w:val="auto"/>
                <w:kern w:val="0"/>
                <w:sz w:val="24"/>
                <w:szCs w:val="24"/>
                <w:highlight w:val="none"/>
                <w:lang w:val="en-US" w:eastAsia="zh-CN"/>
              </w:rPr>
              <w:t>1197</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kern w:val="0"/>
                <w:sz w:val="24"/>
                <w:szCs w:val="24"/>
                <w:highlight w:val="none"/>
                <w:lang w:eastAsia="zh-CN"/>
              </w:rPr>
              <w:t>生活</w:t>
            </w:r>
            <w:r>
              <w:rPr>
                <w:rFonts w:hint="default" w:ascii="Times New Roman" w:hAnsi="Times New Roman" w:eastAsia="宋体" w:cs="Times New Roman"/>
                <w:color w:val="auto"/>
                <w:kern w:val="0"/>
                <w:sz w:val="24"/>
                <w:szCs w:val="24"/>
                <w:highlight w:val="none"/>
              </w:rPr>
              <w:t>污水经过三级化粪池处理后排入园区污水处理厂，处理达标后排入武江（乐昌城-犁市河段）</w:t>
            </w:r>
            <w:r>
              <w:rPr>
                <w:rFonts w:hint="eastAsia" w:cs="Times New Roman"/>
                <w:color w:val="auto"/>
                <w:kern w:val="0"/>
                <w:sz w:val="24"/>
                <w:szCs w:val="24"/>
                <w:highlight w:val="none"/>
                <w:lang w:eastAsia="zh-CN"/>
              </w:rPr>
              <w:t>。</w:t>
            </w:r>
          </w:p>
          <w:p w14:paraId="117F20FE">
            <w:pPr>
              <w:widowControl/>
              <w:ind w:firstLine="480" w:firstLineChars="200"/>
              <w:jc w:val="left"/>
              <w:rPr>
                <w:rFonts w:ascii="Times New Roman" w:hAnsi="Times New Roman" w:eastAsia="宋体" w:cs="Times New Roman"/>
                <w:color w:val="auto"/>
                <w:highlight w:val="none"/>
              </w:rPr>
            </w:pPr>
            <w:r>
              <w:rPr>
                <w:rFonts w:ascii="Times New Roman" w:hAnsi="Times New Roman" w:eastAsia="宋体" w:cs="Times New Roman"/>
                <w:color w:val="auto"/>
                <w:highlight w:val="none"/>
              </w:rPr>
              <w:t>污染物产生浓度参考《给排水设计手册》第五册《城镇排水》表4-1典型生活污水水质示例中的中浓度水质指标。生活污水的主要污染物为COD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、SS、NH</w:t>
            </w:r>
            <w:r>
              <w:rPr>
                <w:rFonts w:ascii="Times New Roman" w:hAnsi="Times New Roman" w:eastAsia="宋体" w:cs="Times New Roman"/>
                <w:color w:val="auto"/>
                <w:highlight w:val="none"/>
                <w:vertAlign w:val="subscript"/>
              </w:rPr>
              <w:t>3</w:t>
            </w:r>
            <w:r>
              <w:rPr>
                <w:rFonts w:ascii="Times New Roman" w:hAnsi="Times New Roman" w:eastAsia="宋体" w:cs="Times New Roman"/>
                <w:color w:val="auto"/>
                <w:highlight w:val="none"/>
              </w:rPr>
              <w:t>-N。</w:t>
            </w:r>
          </w:p>
          <w:p w14:paraId="5DBCE4B1">
            <w:pPr>
              <w:widowControl w:val="0"/>
              <w:autoSpaceDE w:val="0"/>
              <w:autoSpaceDN w:val="0"/>
              <w:adjustRightInd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参考《给排水设计手册》（第5册城镇排水）中关于化粪池的处理效率，“三级化粪池”对SS的去除效率</w:t>
            </w:r>
            <w:r>
              <w:rPr>
                <w:rFonts w:hint="eastAsia" w:ascii="Times New Roman" w:hAnsi="Times New Roman" w:eastAsia="宋体" w:cs="Times New Roman"/>
                <w:color w:val="auto"/>
                <w:kern w:val="2"/>
                <w:sz w:val="24"/>
                <w:szCs w:val="24"/>
                <w:highlight w:val="none"/>
                <w:lang w:val="en-US" w:eastAsia="zh-CN" w:bidi="ar-SA"/>
              </w:rPr>
              <w:t>达</w:t>
            </w:r>
            <w:r>
              <w:rPr>
                <w:rFonts w:ascii="Times New Roman" w:hAnsi="Times New Roman" w:eastAsia="宋体" w:cs="Times New Roman"/>
                <w:color w:val="auto"/>
                <w:kern w:val="2"/>
                <w:sz w:val="24"/>
                <w:szCs w:val="24"/>
                <w:highlight w:val="none"/>
                <w:lang w:val="en-US" w:eastAsia="zh-CN" w:bidi="ar-SA"/>
              </w:rPr>
              <w:t>30%，项目生活污水经三级化粪池处理效率参考《第一次全国污染源普查城镇生活源产排污系数手册》三级化粪池产排污系数计算的处理效率，即COD</w:t>
            </w:r>
            <w:r>
              <w:rPr>
                <w:rFonts w:ascii="Times New Roman" w:hAnsi="Times New Roman" w:eastAsia="宋体" w:cs="Times New Roman"/>
                <w:color w:val="auto"/>
                <w:kern w:val="2"/>
                <w:sz w:val="24"/>
                <w:szCs w:val="24"/>
                <w:highlight w:val="none"/>
                <w:vertAlign w:val="subscript"/>
                <w:lang w:val="en-US" w:eastAsia="zh-CN" w:bidi="ar-SA"/>
              </w:rPr>
              <w:t>Cr</w:t>
            </w:r>
            <w:r>
              <w:rPr>
                <w:rFonts w:ascii="Times New Roman" w:hAnsi="Times New Roman" w:eastAsia="宋体" w:cs="Times New Roman"/>
                <w:color w:val="auto"/>
                <w:kern w:val="2"/>
                <w:sz w:val="24"/>
                <w:szCs w:val="24"/>
                <w:highlight w:val="none"/>
                <w:lang w:val="en-US" w:eastAsia="zh-CN" w:bidi="ar-SA"/>
              </w:rPr>
              <w:t>去除率为20%，NH</w:t>
            </w:r>
            <w:r>
              <w:rPr>
                <w:rFonts w:ascii="Times New Roman" w:hAnsi="Times New Roman" w:eastAsia="宋体" w:cs="Times New Roman"/>
                <w:color w:val="auto"/>
                <w:kern w:val="2"/>
                <w:sz w:val="24"/>
                <w:szCs w:val="24"/>
                <w:highlight w:val="none"/>
                <w:vertAlign w:val="subscript"/>
                <w:lang w:val="en-US" w:eastAsia="zh-CN" w:bidi="ar-SA"/>
              </w:rPr>
              <w:t>3</w:t>
            </w:r>
            <w:r>
              <w:rPr>
                <w:rFonts w:ascii="Times New Roman" w:hAnsi="Times New Roman" w:eastAsia="宋体" w:cs="Times New Roman"/>
                <w:color w:val="auto"/>
                <w:kern w:val="2"/>
                <w:sz w:val="24"/>
                <w:szCs w:val="24"/>
                <w:highlight w:val="none"/>
                <w:lang w:val="en-US" w:eastAsia="zh-CN" w:bidi="ar-SA"/>
              </w:rPr>
              <w:t>-N去除率为3%）。</w:t>
            </w:r>
            <w:r>
              <w:rPr>
                <w:rFonts w:hint="eastAsia" w:ascii="Times New Roman" w:hAnsi="Times New Roman" w:eastAsia="宋体" w:cs="Times New Roman"/>
                <w:color w:val="auto"/>
                <w:kern w:val="2"/>
                <w:sz w:val="24"/>
                <w:szCs w:val="24"/>
                <w:highlight w:val="none"/>
                <w:lang w:val="en-US" w:eastAsia="zh-CN" w:bidi="ar-SA"/>
              </w:rPr>
              <w:t>处理效率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去除效率为去除效率29%～72%，因此本项目BOD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去除效率取29%。</w:t>
            </w:r>
          </w:p>
          <w:p w14:paraId="71076ABE">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11</w:t>
            </w:r>
            <w:r>
              <w:rPr>
                <w:rFonts w:ascii="Times New Roman" w:hAnsi="Times New Roman" w:eastAsia="宋体" w:cs="Times New Roman"/>
                <w:b/>
                <w:bCs/>
                <w:color w:val="auto"/>
                <w:kern w:val="2"/>
                <w:sz w:val="21"/>
                <w:szCs w:val="21"/>
                <w:highlight w:val="none"/>
                <w:lang w:val="en-US" w:eastAsia="zh-CN" w:bidi="ar-SA"/>
              </w:rPr>
              <w:t xml:space="preserve"> 污水污染源源强核算结果及相关参数一览表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0"/>
              <w:gridCol w:w="545"/>
              <w:gridCol w:w="812"/>
              <w:gridCol w:w="463"/>
              <w:gridCol w:w="673"/>
              <w:gridCol w:w="568"/>
              <w:gridCol w:w="762"/>
              <w:gridCol w:w="527"/>
              <w:gridCol w:w="438"/>
              <w:gridCol w:w="554"/>
              <w:gridCol w:w="554"/>
              <w:gridCol w:w="830"/>
              <w:gridCol w:w="562"/>
            </w:tblGrid>
            <w:tr w14:paraId="52BEC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restart"/>
                  <w:vAlign w:val="center"/>
                </w:tcPr>
                <w:p w14:paraId="29BF4E8F">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工序/生产线</w:t>
                  </w:r>
                </w:p>
              </w:tc>
              <w:tc>
                <w:tcPr>
                  <w:tcW w:w="348" w:type="pct"/>
                  <w:vMerge w:val="restart"/>
                  <w:vAlign w:val="center"/>
                </w:tcPr>
                <w:p w14:paraId="65E6BB53">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装置</w:t>
                  </w:r>
                </w:p>
              </w:tc>
              <w:tc>
                <w:tcPr>
                  <w:tcW w:w="518" w:type="pct"/>
                  <w:vMerge w:val="restart"/>
                  <w:vAlign w:val="center"/>
                </w:tcPr>
                <w:p w14:paraId="7E1BAEB8">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w:t>
                  </w:r>
                </w:p>
              </w:tc>
              <w:tc>
                <w:tcPr>
                  <w:tcW w:w="1572" w:type="pct"/>
                  <w:gridSpan w:val="4"/>
                  <w:vAlign w:val="center"/>
                </w:tcPr>
                <w:p w14:paraId="220C8C6C">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污染物产生</w:t>
                  </w:r>
                </w:p>
              </w:tc>
              <w:tc>
                <w:tcPr>
                  <w:tcW w:w="615" w:type="pct"/>
                  <w:gridSpan w:val="2"/>
                  <w:vAlign w:val="center"/>
                </w:tcPr>
                <w:p w14:paraId="35FE0F6F">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治理措施</w:t>
                  </w:r>
                </w:p>
              </w:tc>
              <w:tc>
                <w:tcPr>
                  <w:tcW w:w="1235" w:type="pct"/>
                  <w:gridSpan w:val="3"/>
                  <w:vAlign w:val="center"/>
                </w:tcPr>
                <w:p w14:paraId="5C07587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污染物排放</w:t>
                  </w:r>
                </w:p>
              </w:tc>
              <w:tc>
                <w:tcPr>
                  <w:tcW w:w="358" w:type="pct"/>
                  <w:vMerge w:val="restart"/>
                  <w:vAlign w:val="center"/>
                </w:tcPr>
                <w:p w14:paraId="176EEBA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排放时间h/a</w:t>
                  </w:r>
                </w:p>
              </w:tc>
            </w:tr>
            <w:tr w14:paraId="2B6B6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7CBBBC0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1507C12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Merge w:val="continue"/>
                  <w:vAlign w:val="center"/>
                </w:tcPr>
                <w:p w14:paraId="625531D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95" w:type="pct"/>
                  <w:vAlign w:val="center"/>
                </w:tcPr>
                <w:p w14:paraId="2B1F16B4">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429" w:type="pct"/>
                  <w:vAlign w:val="center"/>
                </w:tcPr>
                <w:p w14:paraId="042719C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废水</w:t>
                  </w:r>
                  <w:r>
                    <w:rPr>
                      <w:rFonts w:ascii="Times New Roman" w:hAnsi="Times New Roman" w:eastAsia="宋体" w:cs="Times New Roman"/>
                      <w:b/>
                      <w:bCs/>
                      <w:color w:val="auto"/>
                      <w:position w:val="-10"/>
                      <w:sz w:val="21"/>
                      <w:szCs w:val="21"/>
                      <w:highlight w:val="none"/>
                      <w:lang w:val="en-US" w:eastAsia="zh-CN" w:bidi="ar-SA"/>
                    </w:rPr>
                    <w:t>产生量</w:t>
                  </w:r>
                </w:p>
                <w:p w14:paraId="51EAF29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62" w:type="pct"/>
                  <w:vAlign w:val="center"/>
                </w:tcPr>
                <w:p w14:paraId="20CFAC9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产生浓度mg/L</w:t>
                  </w:r>
                </w:p>
              </w:tc>
              <w:tc>
                <w:tcPr>
                  <w:tcW w:w="484" w:type="pct"/>
                  <w:vAlign w:val="center"/>
                </w:tcPr>
                <w:p w14:paraId="6525C69B">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产生量</w:t>
                  </w:r>
                </w:p>
                <w:p w14:paraId="7362050D">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36" w:type="pct"/>
                  <w:vAlign w:val="center"/>
                </w:tcPr>
                <w:p w14:paraId="3D1C5159">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工艺</w:t>
                  </w:r>
                </w:p>
              </w:tc>
              <w:tc>
                <w:tcPr>
                  <w:tcW w:w="279" w:type="pct"/>
                  <w:vAlign w:val="center"/>
                </w:tcPr>
                <w:p w14:paraId="3AF81EE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效率</w:t>
                  </w:r>
                </w:p>
              </w:tc>
              <w:tc>
                <w:tcPr>
                  <w:tcW w:w="353" w:type="pct"/>
                  <w:vAlign w:val="center"/>
                </w:tcPr>
                <w:p w14:paraId="623AEBE3">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353" w:type="pct"/>
                  <w:vAlign w:val="center"/>
                </w:tcPr>
                <w:p w14:paraId="7C0FDE7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排放浓度</w:t>
                  </w:r>
                </w:p>
                <w:p w14:paraId="601EC03C">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mg/L</w:t>
                  </w:r>
                </w:p>
              </w:tc>
              <w:tc>
                <w:tcPr>
                  <w:tcW w:w="528" w:type="pct"/>
                  <w:vAlign w:val="center"/>
                </w:tcPr>
                <w:p w14:paraId="5F55B4CB">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排放量</w:t>
                  </w:r>
                </w:p>
                <w:p w14:paraId="3450E527">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58" w:type="pct"/>
                  <w:vMerge w:val="continue"/>
                  <w:vAlign w:val="center"/>
                </w:tcPr>
                <w:p w14:paraId="09AC3C65">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05A3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jc w:val="center"/>
              </w:trPr>
              <w:tc>
                <w:tcPr>
                  <w:tcW w:w="351" w:type="pct"/>
                  <w:vMerge w:val="restart"/>
                  <w:vAlign w:val="center"/>
                </w:tcPr>
                <w:p w14:paraId="3BB38425">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办公生活</w:t>
                  </w:r>
                </w:p>
              </w:tc>
              <w:tc>
                <w:tcPr>
                  <w:tcW w:w="348" w:type="pct"/>
                  <w:vMerge w:val="restart"/>
                  <w:vAlign w:val="center"/>
                </w:tcPr>
                <w:p w14:paraId="29C1167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三级化粪池</w:t>
                  </w:r>
                </w:p>
              </w:tc>
              <w:tc>
                <w:tcPr>
                  <w:tcW w:w="518" w:type="pct"/>
                  <w:vAlign w:val="center"/>
                </w:tcPr>
                <w:p w14:paraId="2DB0CCE2">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p>
              </w:tc>
              <w:tc>
                <w:tcPr>
                  <w:tcW w:w="295" w:type="pct"/>
                  <w:vMerge w:val="restart"/>
                  <w:vAlign w:val="center"/>
                </w:tcPr>
                <w:p w14:paraId="29E8994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产污系数法</w:t>
                  </w:r>
                </w:p>
              </w:tc>
              <w:tc>
                <w:tcPr>
                  <w:tcW w:w="429" w:type="pct"/>
                  <w:vMerge w:val="restart"/>
                  <w:vAlign w:val="center"/>
                </w:tcPr>
                <w:p w14:paraId="32BCF0E2">
                  <w:pPr>
                    <w:wordWrap w:val="0"/>
                    <w:autoSpaceDE w:val="0"/>
                    <w:autoSpaceDN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1197</w:t>
                  </w:r>
                </w:p>
              </w:tc>
              <w:tc>
                <w:tcPr>
                  <w:tcW w:w="362" w:type="pct"/>
                  <w:vAlign w:val="center"/>
                </w:tcPr>
                <w:p w14:paraId="7D96AEC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250</w:t>
                  </w:r>
                </w:p>
              </w:tc>
              <w:tc>
                <w:tcPr>
                  <w:tcW w:w="763" w:type="dxa"/>
                  <w:vAlign w:val="center"/>
                </w:tcPr>
                <w:p w14:paraId="68E5CBB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0.299 </w:t>
                  </w:r>
                </w:p>
              </w:tc>
              <w:tc>
                <w:tcPr>
                  <w:tcW w:w="336" w:type="pct"/>
                  <w:vMerge w:val="restart"/>
                  <w:vAlign w:val="center"/>
                </w:tcPr>
                <w:p w14:paraId="1C54558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厌氧工艺</w:t>
                  </w:r>
                </w:p>
              </w:tc>
              <w:tc>
                <w:tcPr>
                  <w:tcW w:w="279" w:type="pct"/>
                  <w:vAlign w:val="center"/>
                </w:tcPr>
                <w:p w14:paraId="692472DC">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w:t>
                  </w:r>
                  <w:r>
                    <w:rPr>
                      <w:rFonts w:ascii="Times New Roman" w:hAnsi="Times New Roman" w:eastAsia="宋体" w:cs="Times New Roman"/>
                      <w:color w:val="auto"/>
                      <w:sz w:val="21"/>
                      <w:szCs w:val="21"/>
                      <w:highlight w:val="none"/>
                    </w:rPr>
                    <w:t>%</w:t>
                  </w:r>
                </w:p>
              </w:tc>
              <w:tc>
                <w:tcPr>
                  <w:tcW w:w="353" w:type="pct"/>
                  <w:vMerge w:val="restart"/>
                  <w:vAlign w:val="center"/>
                </w:tcPr>
                <w:p w14:paraId="694E39C4">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排污系数法</w:t>
                  </w:r>
                </w:p>
              </w:tc>
              <w:tc>
                <w:tcPr>
                  <w:tcW w:w="353" w:type="pct"/>
                  <w:vAlign w:val="center"/>
                </w:tcPr>
                <w:p w14:paraId="2F03AA5E">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830" w:type="dxa"/>
                  <w:vAlign w:val="center"/>
                </w:tcPr>
                <w:p w14:paraId="23D94D0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c>
                <w:tcPr>
                  <w:tcW w:w="358" w:type="pct"/>
                  <w:vMerge w:val="restart"/>
                  <w:vAlign w:val="center"/>
                </w:tcPr>
                <w:p w14:paraId="3DA8A75F">
                  <w:pPr>
                    <w:wordWrap w:val="0"/>
                    <w:autoSpaceDE w:val="0"/>
                    <w:autoSpaceDN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4800</w:t>
                  </w:r>
                </w:p>
              </w:tc>
            </w:tr>
            <w:tr w14:paraId="0E54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3E20AFF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458A3F31">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3FA8C90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p>
              </w:tc>
              <w:tc>
                <w:tcPr>
                  <w:tcW w:w="295" w:type="pct"/>
                  <w:vMerge w:val="continue"/>
                  <w:vAlign w:val="center"/>
                </w:tcPr>
                <w:p w14:paraId="078713C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4E23DE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3417C83B">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110</w:t>
                  </w:r>
                </w:p>
              </w:tc>
              <w:tc>
                <w:tcPr>
                  <w:tcW w:w="763" w:type="dxa"/>
                  <w:vAlign w:val="center"/>
                </w:tcPr>
                <w:p w14:paraId="3C9019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0.132 </w:t>
                  </w:r>
                </w:p>
              </w:tc>
              <w:tc>
                <w:tcPr>
                  <w:tcW w:w="336" w:type="pct"/>
                  <w:vMerge w:val="continue"/>
                  <w:vAlign w:val="center"/>
                </w:tcPr>
                <w:p w14:paraId="5F564F97">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2C84EC3">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29</w:t>
                  </w:r>
                  <w:r>
                    <w:rPr>
                      <w:rFonts w:ascii="Times New Roman" w:hAnsi="Times New Roman" w:eastAsia="宋体" w:cs="Times New Roman"/>
                      <w:color w:val="auto"/>
                      <w:sz w:val="21"/>
                      <w:szCs w:val="21"/>
                      <w:highlight w:val="none"/>
                    </w:rPr>
                    <w:t>%</w:t>
                  </w:r>
                </w:p>
              </w:tc>
              <w:tc>
                <w:tcPr>
                  <w:tcW w:w="353" w:type="pct"/>
                  <w:vMerge w:val="continue"/>
                  <w:vAlign w:val="center"/>
                </w:tcPr>
                <w:p w14:paraId="1E7ACE2A">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7D45EF6C">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78</w:t>
                  </w:r>
                </w:p>
              </w:tc>
              <w:tc>
                <w:tcPr>
                  <w:tcW w:w="830" w:type="dxa"/>
                  <w:vAlign w:val="center"/>
                </w:tcPr>
                <w:p w14:paraId="175B19C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c>
                <w:tcPr>
                  <w:tcW w:w="358" w:type="pct"/>
                  <w:vMerge w:val="continue"/>
                  <w:vAlign w:val="center"/>
                </w:tcPr>
                <w:p w14:paraId="36E0000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47A87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B331DD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7A01D5C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B5F14B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SS</w:t>
                  </w:r>
                </w:p>
              </w:tc>
              <w:tc>
                <w:tcPr>
                  <w:tcW w:w="295" w:type="pct"/>
                  <w:vMerge w:val="continue"/>
                  <w:vAlign w:val="center"/>
                </w:tcPr>
                <w:p w14:paraId="3BC67121">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3E4657B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1BFF8BF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100</w:t>
                  </w:r>
                </w:p>
              </w:tc>
              <w:tc>
                <w:tcPr>
                  <w:tcW w:w="763" w:type="dxa"/>
                  <w:vAlign w:val="center"/>
                </w:tcPr>
                <w:p w14:paraId="54DD740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0.120 </w:t>
                  </w:r>
                </w:p>
              </w:tc>
              <w:tc>
                <w:tcPr>
                  <w:tcW w:w="336" w:type="pct"/>
                  <w:vMerge w:val="continue"/>
                  <w:vAlign w:val="center"/>
                </w:tcPr>
                <w:p w14:paraId="2AF3395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24329A18">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r>
                    <w:rPr>
                      <w:rFonts w:ascii="Times New Roman" w:hAnsi="Times New Roman" w:eastAsia="宋体" w:cs="Times New Roman"/>
                      <w:color w:val="auto"/>
                      <w:sz w:val="21"/>
                      <w:szCs w:val="21"/>
                      <w:highlight w:val="none"/>
                    </w:rPr>
                    <w:t>%</w:t>
                  </w:r>
                </w:p>
              </w:tc>
              <w:tc>
                <w:tcPr>
                  <w:tcW w:w="353" w:type="pct"/>
                  <w:vMerge w:val="continue"/>
                  <w:vAlign w:val="center"/>
                </w:tcPr>
                <w:p w14:paraId="221C516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3E9A87E6">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830" w:type="dxa"/>
                  <w:vAlign w:val="center"/>
                </w:tcPr>
                <w:p w14:paraId="159FE65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c>
                <w:tcPr>
                  <w:tcW w:w="358" w:type="pct"/>
                  <w:vMerge w:val="continue"/>
                  <w:vAlign w:val="center"/>
                </w:tcPr>
                <w:p w14:paraId="737B771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75DD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38E06E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268E3757">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4A34F8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NH</w:t>
                  </w:r>
                  <w:r>
                    <w:rPr>
                      <w:rFonts w:ascii="Times New Roman" w:hAnsi="Times New Roman" w:eastAsia="宋体" w:cs="Times New Roman"/>
                      <w:color w:val="auto"/>
                      <w:position w:val="-10"/>
                      <w:sz w:val="21"/>
                      <w:szCs w:val="21"/>
                      <w:highlight w:val="none"/>
                      <w:vertAlign w:val="subscript"/>
                      <w:lang w:val="en-US" w:eastAsia="zh-CN" w:bidi="ar-SA"/>
                    </w:rPr>
                    <w:t>3</w:t>
                  </w:r>
                  <w:r>
                    <w:rPr>
                      <w:rFonts w:ascii="Times New Roman" w:hAnsi="Times New Roman" w:eastAsia="宋体" w:cs="Times New Roman"/>
                      <w:color w:val="auto"/>
                      <w:position w:val="-10"/>
                      <w:sz w:val="21"/>
                      <w:szCs w:val="21"/>
                      <w:highlight w:val="none"/>
                      <w:lang w:val="en-US" w:eastAsia="zh-CN" w:bidi="ar-SA"/>
                    </w:rPr>
                    <w:t>-N</w:t>
                  </w:r>
                </w:p>
              </w:tc>
              <w:tc>
                <w:tcPr>
                  <w:tcW w:w="295" w:type="pct"/>
                  <w:vMerge w:val="continue"/>
                  <w:vAlign w:val="center"/>
                </w:tcPr>
                <w:p w14:paraId="16A9B53A">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2037379">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2589B96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20</w:t>
                  </w:r>
                </w:p>
              </w:tc>
              <w:tc>
                <w:tcPr>
                  <w:tcW w:w="763" w:type="dxa"/>
                  <w:vAlign w:val="center"/>
                </w:tcPr>
                <w:p w14:paraId="6005EA2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0.024 </w:t>
                  </w:r>
                </w:p>
              </w:tc>
              <w:tc>
                <w:tcPr>
                  <w:tcW w:w="336" w:type="pct"/>
                  <w:vMerge w:val="continue"/>
                  <w:vAlign w:val="center"/>
                </w:tcPr>
                <w:p w14:paraId="6D08F87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549BF7A">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r>
                    <w:rPr>
                      <w:rFonts w:ascii="Times New Roman" w:hAnsi="Times New Roman" w:eastAsia="宋体" w:cs="Times New Roman"/>
                      <w:color w:val="auto"/>
                      <w:sz w:val="21"/>
                      <w:szCs w:val="21"/>
                      <w:highlight w:val="none"/>
                    </w:rPr>
                    <w:t>%</w:t>
                  </w:r>
                </w:p>
              </w:tc>
              <w:tc>
                <w:tcPr>
                  <w:tcW w:w="353" w:type="pct"/>
                  <w:vMerge w:val="continue"/>
                  <w:vAlign w:val="center"/>
                </w:tcPr>
                <w:p w14:paraId="0FFB50BF">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423D8322">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830" w:type="dxa"/>
                  <w:vAlign w:val="center"/>
                </w:tcPr>
                <w:p w14:paraId="4A38BA1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c>
                <w:tcPr>
                  <w:tcW w:w="358" w:type="pct"/>
                  <w:vMerge w:val="continue"/>
                  <w:vAlign w:val="center"/>
                </w:tcPr>
                <w:p w14:paraId="3C3B1A9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bl>
          <w:p w14:paraId="49123B24">
            <w:pPr>
              <w:pStyle w:val="21"/>
              <w:numPr>
                <w:ilvl w:val="4"/>
                <w:numId w:val="0"/>
              </w:numPr>
              <w:ind w:firstLine="480" w:firstLineChars="200"/>
              <w:jc w:val="both"/>
              <w:rPr>
                <w:rFonts w:hint="default" w:eastAsia="宋体"/>
                <w:b w:val="0"/>
                <w:bCs w:val="0"/>
                <w:color w:val="auto"/>
                <w:highlight w:val="none"/>
                <w:lang w:val="en-US" w:eastAsia="zh-CN"/>
              </w:rPr>
            </w:pPr>
            <w:bookmarkStart w:id="108" w:name="_Toc20985"/>
            <w:bookmarkStart w:id="109" w:name="_Toc5539"/>
            <w:bookmarkStart w:id="110" w:name="_Toc24167"/>
            <w:bookmarkStart w:id="111" w:name="_Toc29682"/>
            <w:r>
              <w:rPr>
                <w:rFonts w:hint="eastAsia"/>
                <w:b w:val="0"/>
                <w:bCs w:val="0"/>
                <w:color w:val="auto"/>
                <w:highlight w:val="none"/>
                <w:lang w:eastAsia="zh-CN"/>
              </w:rPr>
              <w:t>（</w:t>
            </w:r>
            <w:r>
              <w:rPr>
                <w:rFonts w:hint="eastAsia"/>
                <w:b w:val="0"/>
                <w:bCs w:val="0"/>
                <w:color w:val="auto"/>
                <w:highlight w:val="none"/>
                <w:lang w:val="en-US" w:eastAsia="zh-CN"/>
              </w:rPr>
              <w:t>2）喷淋用水</w:t>
            </w:r>
          </w:p>
          <w:p w14:paraId="6A7E6D55">
            <w:pPr>
              <w:pStyle w:val="21"/>
              <w:pageBreakBefore w:val="0"/>
              <w:numPr>
                <w:ilvl w:val="4"/>
                <w:numId w:val="0"/>
              </w:numPr>
              <w:kinsoku/>
              <w:wordWrap w:val="0"/>
              <w:overflowPunct/>
              <w:topLinePunct w:val="0"/>
              <w:bidi w:val="0"/>
              <w:ind w:firstLine="480" w:firstLineChars="200"/>
              <w:jc w:val="both"/>
              <w:rPr>
                <w:rFonts w:hint="eastAsia"/>
                <w:b w:val="0"/>
                <w:bCs w:val="0"/>
                <w:color w:val="auto"/>
                <w:highlight w:val="none"/>
              </w:rPr>
            </w:pPr>
            <w:r>
              <w:rPr>
                <w:rFonts w:hint="eastAsia"/>
                <w:b w:val="0"/>
                <w:bCs w:val="0"/>
                <w:color w:val="auto"/>
                <w:highlight w:val="none"/>
              </w:rPr>
              <w:t>本项目</w:t>
            </w:r>
            <w:r>
              <w:rPr>
                <w:rFonts w:hint="eastAsia"/>
                <w:b w:val="0"/>
                <w:bCs w:val="0"/>
                <w:color w:val="auto"/>
                <w:highlight w:val="none"/>
                <w:lang w:val="en-US" w:eastAsia="zh-CN"/>
              </w:rPr>
              <w:t>1#厂房和4#厂房分别</w:t>
            </w:r>
            <w:r>
              <w:rPr>
                <w:rFonts w:hint="eastAsia"/>
                <w:b w:val="0"/>
                <w:bCs w:val="0"/>
                <w:color w:val="auto"/>
                <w:highlight w:val="none"/>
              </w:rPr>
              <w:t>配套“</w:t>
            </w:r>
            <w:r>
              <w:rPr>
                <w:rFonts w:hint="eastAsia"/>
                <w:b w:val="0"/>
                <w:bCs w:val="0"/>
                <w:color w:val="auto"/>
                <w:highlight w:val="none"/>
                <w:lang w:eastAsia="zh-CN"/>
              </w:rPr>
              <w:t>水帘柜</w:t>
            </w:r>
            <w:r>
              <w:rPr>
                <w:rFonts w:hint="eastAsia"/>
                <w:b w:val="0"/>
                <w:bCs w:val="0"/>
                <w:color w:val="auto"/>
                <w:highlight w:val="none"/>
              </w:rPr>
              <w:t>喷淋+干式过滤器+</w:t>
            </w:r>
            <w:r>
              <w:rPr>
                <w:rFonts w:hint="eastAsia"/>
                <w:b w:val="0"/>
                <w:bCs w:val="0"/>
                <w:color w:val="auto"/>
                <w:highlight w:val="none"/>
                <w:lang w:eastAsia="zh-CN"/>
              </w:rPr>
              <w:t>二</w:t>
            </w:r>
            <w:r>
              <w:rPr>
                <w:rFonts w:hint="eastAsia"/>
                <w:b w:val="0"/>
                <w:bCs w:val="0"/>
                <w:color w:val="auto"/>
                <w:highlight w:val="none"/>
              </w:rPr>
              <w:t>级活性炭吸附</w:t>
            </w:r>
            <w:r>
              <w:rPr>
                <w:rFonts w:hint="eastAsia"/>
                <w:b w:val="0"/>
                <w:bCs w:val="0"/>
                <w:color w:val="auto"/>
                <w:highlight w:val="none"/>
                <w:lang w:eastAsia="zh-CN"/>
              </w:rPr>
              <w:t>装置</w:t>
            </w:r>
            <w:r>
              <w:rPr>
                <w:rFonts w:hint="eastAsia"/>
                <w:b w:val="0"/>
                <w:bCs w:val="0"/>
                <w:color w:val="auto"/>
                <w:highlight w:val="none"/>
              </w:rPr>
              <w:t>”废气处理设施</w:t>
            </w:r>
            <w:r>
              <w:rPr>
                <w:rFonts w:hint="eastAsia"/>
                <w:b w:val="0"/>
                <w:bCs w:val="0"/>
                <w:color w:val="auto"/>
                <w:highlight w:val="none"/>
                <w:lang w:val="en-US" w:eastAsia="zh-CN"/>
              </w:rPr>
              <w:t>1套</w:t>
            </w:r>
            <w:r>
              <w:rPr>
                <w:rFonts w:hint="eastAsia"/>
                <w:b w:val="0"/>
                <w:bCs w:val="0"/>
                <w:color w:val="auto"/>
                <w:highlight w:val="none"/>
              </w:rPr>
              <w:t>对废气进行收集处理，</w:t>
            </w:r>
            <w:r>
              <w:rPr>
                <w:rFonts w:hint="eastAsia"/>
                <w:b w:val="0"/>
                <w:bCs w:val="0"/>
                <w:color w:val="auto"/>
                <w:highlight w:val="none"/>
                <w:lang w:val="en-US" w:eastAsia="zh-CN"/>
              </w:rPr>
              <w:t>每套废气处理设施配</w:t>
            </w:r>
            <w:r>
              <w:rPr>
                <w:rFonts w:hint="eastAsia"/>
                <w:b w:val="0"/>
                <w:bCs w:val="0"/>
                <w:color w:val="auto"/>
                <w:highlight w:val="none"/>
              </w:rPr>
              <w:t>置</w:t>
            </w:r>
            <w:r>
              <w:rPr>
                <w:rFonts w:hint="eastAsia"/>
                <w:b w:val="0"/>
                <w:bCs w:val="0"/>
                <w:color w:val="auto"/>
                <w:highlight w:val="none"/>
                <w:lang w:val="en-US" w:eastAsia="zh-CN"/>
              </w:rPr>
              <w:t>1台水帘柜</w:t>
            </w:r>
            <w:r>
              <w:rPr>
                <w:rFonts w:hint="eastAsia"/>
                <w:b w:val="0"/>
                <w:bCs w:val="0"/>
                <w:color w:val="auto"/>
                <w:highlight w:val="none"/>
              </w:rPr>
              <w:t>装置，</w:t>
            </w:r>
            <w:r>
              <w:rPr>
                <w:rFonts w:hint="eastAsia"/>
                <w:b w:val="0"/>
                <w:bCs w:val="0"/>
                <w:color w:val="auto"/>
                <w:highlight w:val="none"/>
                <w:lang w:val="en-US" w:eastAsia="zh-CN"/>
              </w:rPr>
              <w:t>尺寸均为5.5m宽*2.5m深*2m高，水帘柜有效容积以80%计，每台水帘柜</w:t>
            </w:r>
            <w:r>
              <w:rPr>
                <w:rFonts w:hint="eastAsia"/>
                <w:b w:val="0"/>
                <w:bCs w:val="0"/>
                <w:color w:val="auto"/>
                <w:highlight w:val="none"/>
              </w:rPr>
              <w:t>装置储水量均为</w:t>
            </w:r>
            <w:r>
              <w:rPr>
                <w:rFonts w:hint="eastAsia"/>
                <w:b w:val="0"/>
                <w:bCs w:val="0"/>
                <w:color w:val="auto"/>
                <w:highlight w:val="none"/>
                <w:lang w:val="en-US" w:eastAsia="zh-CN"/>
              </w:rPr>
              <w:t>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eastAsia="zh-CN"/>
              </w:rPr>
              <w:t>。</w:t>
            </w:r>
            <w:r>
              <w:rPr>
                <w:rFonts w:hint="eastAsia"/>
                <w:b w:val="0"/>
                <w:bCs w:val="0"/>
                <w:color w:val="auto"/>
                <w:highlight w:val="none"/>
                <w:vertAlign w:val="baseline"/>
                <w:lang w:val="en-US" w:eastAsia="zh-CN"/>
              </w:rPr>
              <w:t>每台水帘柜</w:t>
            </w:r>
            <w:r>
              <w:rPr>
                <w:rFonts w:hint="eastAsia"/>
                <w:b w:val="0"/>
                <w:bCs w:val="0"/>
                <w:color w:val="auto"/>
                <w:highlight w:val="none"/>
                <w:lang w:val="en-US" w:eastAsia="zh-CN"/>
              </w:rPr>
              <w:t>设计循环水量为22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val="en-US" w:eastAsia="zh-CN"/>
              </w:rPr>
              <w:t>/h</w:t>
            </w:r>
            <w:r>
              <w:rPr>
                <w:rFonts w:hint="eastAsia"/>
                <w:b w:val="0"/>
                <w:bCs w:val="0"/>
                <w:color w:val="auto"/>
                <w:highlight w:val="none"/>
              </w:rPr>
              <w:t>，每天工作</w:t>
            </w:r>
            <w:r>
              <w:rPr>
                <w:rFonts w:hint="eastAsia"/>
                <w:b w:val="0"/>
                <w:bCs w:val="0"/>
                <w:color w:val="auto"/>
                <w:highlight w:val="none"/>
                <w:lang w:val="en-US" w:eastAsia="zh-CN"/>
              </w:rPr>
              <w:t>16</w:t>
            </w:r>
            <w:r>
              <w:rPr>
                <w:rFonts w:hint="eastAsia"/>
                <w:b w:val="0"/>
                <w:bCs w:val="0"/>
                <w:color w:val="auto"/>
                <w:highlight w:val="none"/>
              </w:rPr>
              <w:t>h，年工作</w:t>
            </w:r>
            <w:r>
              <w:rPr>
                <w:rFonts w:hint="eastAsia"/>
                <w:b w:val="0"/>
                <w:bCs w:val="0"/>
                <w:color w:val="auto"/>
                <w:highlight w:val="none"/>
                <w:lang w:val="en-US" w:eastAsia="zh-CN"/>
              </w:rPr>
              <w:t>30</w:t>
            </w:r>
            <w:r>
              <w:rPr>
                <w:rFonts w:hint="eastAsia"/>
                <w:b w:val="0"/>
                <w:bCs w:val="0"/>
                <w:color w:val="auto"/>
                <w:highlight w:val="none"/>
              </w:rPr>
              <w:t>0天</w:t>
            </w:r>
            <w:r>
              <w:rPr>
                <w:rFonts w:hint="eastAsia"/>
                <w:b w:val="0"/>
                <w:bCs w:val="0"/>
                <w:color w:val="auto"/>
                <w:highlight w:val="none"/>
                <w:lang w:eastAsia="zh-CN"/>
              </w:rPr>
              <w:t>，</w:t>
            </w:r>
            <w:r>
              <w:rPr>
                <w:rFonts w:hint="eastAsia"/>
                <w:b w:val="0"/>
                <w:bCs w:val="0"/>
                <w:color w:val="auto"/>
                <w:highlight w:val="none"/>
              </w:rPr>
              <w:t>则</w:t>
            </w:r>
            <w:r>
              <w:rPr>
                <w:rFonts w:hint="eastAsia"/>
                <w:b w:val="0"/>
                <w:bCs w:val="0"/>
                <w:color w:val="auto"/>
                <w:highlight w:val="none"/>
                <w:lang w:val="en-US" w:eastAsia="zh-CN"/>
              </w:rPr>
              <w:t>水帘柜</w:t>
            </w:r>
            <w:r>
              <w:rPr>
                <w:rFonts w:hint="eastAsia"/>
                <w:b w:val="0"/>
                <w:bCs w:val="0"/>
                <w:color w:val="auto"/>
                <w:highlight w:val="none"/>
              </w:rPr>
              <w:t>的总循环水量为</w:t>
            </w:r>
            <w:r>
              <w:rPr>
                <w:rFonts w:hint="eastAsia"/>
                <w:b w:val="0"/>
                <w:bCs w:val="0"/>
                <w:color w:val="auto"/>
                <w:highlight w:val="none"/>
                <w:lang w:val="en-US" w:eastAsia="zh-CN"/>
              </w:rPr>
              <w:t>2台×22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/h</w:t>
            </w:r>
            <w:r>
              <w:rPr>
                <w:rFonts w:hint="eastAsia"/>
                <w:b w:val="0"/>
                <w:bCs w:val="0"/>
                <w:color w:val="auto"/>
                <w:highlight w:val="none"/>
                <w:lang w:val="en-US" w:eastAsia="zh-CN"/>
              </w:rPr>
              <w:t>×16h×300d/a=211200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p>
          <w:p w14:paraId="3AC2D837">
            <w:pPr>
              <w:pageBreakBefore w:val="0"/>
              <w:kinsoku/>
              <w:wordWrap w:val="0"/>
              <w:overflowPunct/>
              <w:topLinePunct w:val="0"/>
              <w:bidi w:val="0"/>
              <w:adjustRightInd w:val="0"/>
              <w:ind w:firstLine="480" w:firstLineChars="200"/>
              <w:rPr>
                <w:rFonts w:hint="eastAsia"/>
                <w:b w:val="0"/>
                <w:bCs w:val="0"/>
                <w:color w:val="auto"/>
                <w:highlight w:val="none"/>
              </w:rPr>
            </w:pPr>
            <w:r>
              <w:rPr>
                <w:rFonts w:hint="eastAsia"/>
                <w:b w:val="0"/>
                <w:bCs w:val="0"/>
                <w:color w:val="auto"/>
                <w:highlight w:val="none"/>
              </w:rPr>
              <w:t>喷淋循环水需定期补充其损耗，参考《建设给水排水设计规范》（GB50015-2003）中对于冷冻设备的补充水量，应按冷却水循环水量的1%～2%，</w:t>
            </w:r>
            <w:r>
              <w:rPr>
                <w:rFonts w:hint="eastAsia"/>
                <w:b w:val="0"/>
                <w:bCs w:val="0"/>
                <w:color w:val="auto"/>
                <w:highlight w:val="none"/>
                <w:lang w:val="en-US" w:eastAsia="zh-CN"/>
              </w:rPr>
              <w:t>本次评价取1</w:t>
            </w:r>
            <w:r>
              <w:rPr>
                <w:rFonts w:hint="eastAsia"/>
                <w:b w:val="0"/>
                <w:bCs w:val="0"/>
                <w:color w:val="auto"/>
                <w:highlight w:val="none"/>
              </w:rPr>
              <w:t>%，</w:t>
            </w:r>
            <w:r>
              <w:rPr>
                <w:rFonts w:hint="eastAsia"/>
                <w:b w:val="0"/>
                <w:bCs w:val="0"/>
                <w:color w:val="auto"/>
                <w:highlight w:val="none"/>
                <w:lang w:val="en-US" w:eastAsia="zh-CN"/>
              </w:rPr>
              <w:t>则喷淋循环</w:t>
            </w:r>
            <w:r>
              <w:rPr>
                <w:rFonts w:hint="eastAsia"/>
                <w:b w:val="0"/>
                <w:bCs w:val="0"/>
                <w:color w:val="auto"/>
                <w:highlight w:val="none"/>
              </w:rPr>
              <w:t>补充新鲜水量为</w:t>
            </w:r>
            <w:r>
              <w:rPr>
                <w:rFonts w:hint="eastAsia"/>
                <w:b w:val="0"/>
                <w:bCs w:val="0"/>
                <w:color w:val="auto"/>
                <w:highlight w:val="none"/>
                <w:lang w:val="en-US" w:eastAsia="zh-CN"/>
              </w:rPr>
              <w:t>211200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a×1%=2112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r>
              <w:rPr>
                <w:rFonts w:hint="eastAsia"/>
                <w:b w:val="0"/>
                <w:bCs w:val="0"/>
                <w:color w:val="auto"/>
                <w:highlight w:val="none"/>
                <w:lang w:val="en-US" w:eastAsia="zh-CN"/>
              </w:rPr>
              <w:t>7.04</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d</w:t>
            </w:r>
            <w:r>
              <w:rPr>
                <w:rFonts w:hint="eastAsia"/>
                <w:b w:val="0"/>
                <w:bCs w:val="0"/>
                <w:color w:val="auto"/>
                <w:highlight w:val="none"/>
              </w:rPr>
              <w:t>）。</w:t>
            </w:r>
          </w:p>
          <w:p w14:paraId="2610A979">
            <w:pPr>
              <w:pageBreakBefore w:val="0"/>
              <w:kinsoku/>
              <w:wordWrap w:val="0"/>
              <w:overflowPunct/>
              <w:topLinePunct w:val="0"/>
              <w:bidi w:val="0"/>
              <w:adjustRightInd w:val="0"/>
              <w:ind w:firstLine="480" w:firstLineChars="200"/>
              <w:rPr>
                <w:rFonts w:hint="eastAsia"/>
                <w:b w:val="0"/>
                <w:bCs w:val="0"/>
                <w:color w:val="auto"/>
                <w:highlight w:val="none"/>
                <w:vertAlign w:val="baseline"/>
                <w:lang w:eastAsia="zh-CN"/>
              </w:rPr>
            </w:pPr>
            <w:r>
              <w:rPr>
                <w:rFonts w:hint="eastAsia"/>
                <w:b w:val="0"/>
                <w:bCs w:val="0"/>
                <w:color w:val="auto"/>
                <w:highlight w:val="none"/>
                <w:lang w:val="en-US" w:eastAsia="zh-CN"/>
              </w:rPr>
              <w:t>喷淋用水循环使用不外排</w:t>
            </w:r>
            <w:r>
              <w:rPr>
                <w:rFonts w:hint="eastAsia"/>
                <w:b w:val="0"/>
                <w:bCs w:val="0"/>
                <w:color w:val="auto"/>
                <w:highlight w:val="none"/>
                <w:lang w:eastAsia="zh-CN"/>
              </w:rPr>
              <w:t>，</w:t>
            </w:r>
            <w:r>
              <w:rPr>
                <w:rFonts w:hint="eastAsia"/>
                <w:b w:val="0"/>
                <w:bCs w:val="0"/>
                <w:color w:val="auto"/>
                <w:highlight w:val="none"/>
                <w:lang w:val="en-US" w:eastAsia="zh-CN"/>
              </w:rPr>
              <w:t>需定期更换。按3个月更换一次水箱内喷淋用水计，对应更换产生的水帘柜喷淋废水量=22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×2台×4次/a=176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vertAlign w:val="baseline"/>
                <w:lang w:eastAsia="zh-CN"/>
              </w:rPr>
              <w:t>；</w:t>
            </w:r>
          </w:p>
          <w:p w14:paraId="727E8E82">
            <w:pPr>
              <w:pStyle w:val="21"/>
              <w:numPr>
                <w:ilvl w:val="4"/>
                <w:numId w:val="0"/>
              </w:numPr>
              <w:ind w:firstLine="480" w:firstLineChars="200"/>
              <w:jc w:val="both"/>
              <w:rPr>
                <w:rFonts w:hint="eastAsia"/>
                <w:b w:val="0"/>
                <w:bCs w:val="0"/>
                <w:color w:val="auto"/>
                <w:highlight w:val="none"/>
              </w:rPr>
            </w:pPr>
            <w:r>
              <w:rPr>
                <w:rFonts w:hint="eastAsia"/>
                <w:b w:val="0"/>
                <w:bCs w:val="0"/>
                <w:color w:val="auto"/>
                <w:highlight w:val="none"/>
                <w:lang w:val="en-US" w:eastAsia="zh-CN"/>
              </w:rPr>
              <w:t>综上可知</w:t>
            </w:r>
            <w:r>
              <w:rPr>
                <w:rFonts w:hint="eastAsia"/>
                <w:b w:val="0"/>
                <w:bCs w:val="0"/>
                <w:color w:val="auto"/>
                <w:highlight w:val="none"/>
                <w:lang w:eastAsia="zh-CN"/>
              </w:rPr>
              <w:t>，</w:t>
            </w:r>
            <w:r>
              <w:rPr>
                <w:rFonts w:hint="eastAsia"/>
                <w:b w:val="0"/>
                <w:bCs w:val="0"/>
                <w:color w:val="auto"/>
                <w:highlight w:val="none"/>
                <w:lang w:val="en-US" w:eastAsia="zh-CN"/>
              </w:rPr>
              <w:t>本项目运营期</w:t>
            </w:r>
            <w:r>
              <w:rPr>
                <w:rFonts w:hint="eastAsia"/>
                <w:b w:val="0"/>
                <w:bCs w:val="0"/>
                <w:color w:val="auto"/>
                <w:highlight w:val="none"/>
                <w:lang w:eastAsia="zh-CN"/>
              </w:rPr>
              <w:t>产生的水帘柜喷淋废水</w:t>
            </w:r>
            <w:r>
              <w:rPr>
                <w:rFonts w:hint="eastAsia"/>
                <w:b w:val="0"/>
                <w:bCs w:val="0"/>
                <w:color w:val="auto"/>
                <w:highlight w:val="none"/>
                <w:lang w:val="en-US" w:eastAsia="zh-CN"/>
              </w:rPr>
              <w:t>为176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lang w:eastAsia="zh-CN"/>
              </w:rPr>
              <w:t>，由于漆料成分比较复杂，故水帘柜</w:t>
            </w:r>
            <w:r>
              <w:rPr>
                <w:rFonts w:hint="eastAsia"/>
                <w:b w:val="0"/>
                <w:bCs w:val="0"/>
                <w:color w:val="auto"/>
                <w:highlight w:val="none"/>
                <w:lang w:val="en-US" w:eastAsia="zh-CN"/>
              </w:rPr>
              <w:t>喷淋</w:t>
            </w:r>
            <w:r>
              <w:rPr>
                <w:rFonts w:hint="eastAsia"/>
                <w:b w:val="0"/>
                <w:bCs w:val="0"/>
                <w:color w:val="auto"/>
                <w:highlight w:val="none"/>
                <w:lang w:eastAsia="zh-CN"/>
              </w:rPr>
              <w:t>废水作为危险废物进行处理，交由有危险废物处理资质单位处理</w:t>
            </w:r>
            <w:r>
              <w:rPr>
                <w:rFonts w:hint="eastAsia" w:cs="Times New Roman"/>
                <w:color w:val="auto"/>
                <w:highlight w:val="none"/>
                <w:lang w:val="en-US" w:eastAsia="zh-CN"/>
              </w:rPr>
              <w:t>。喷淋用水新鲜用水量=喷淋循环补充新鲜水量+更换喷淋用水量=2112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cs="Times New Roman"/>
                <w:color w:val="auto"/>
                <w:highlight w:val="none"/>
                <w:lang w:val="en-US" w:eastAsia="zh-CN"/>
              </w:rPr>
              <w:t>2288</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p>
          <w:bookmarkEnd w:id="108"/>
          <w:bookmarkEnd w:id="109"/>
          <w:bookmarkEnd w:id="110"/>
          <w:bookmarkEnd w:id="111"/>
          <w:p w14:paraId="2AF0B2BA">
            <w:pPr>
              <w:pStyle w:val="21"/>
              <w:numPr>
                <w:ilvl w:val="4"/>
                <w:numId w:val="0"/>
              </w:numPr>
              <w:ind w:firstLine="480" w:firstLineChars="200"/>
              <w:jc w:val="both"/>
              <w:rPr>
                <w:rFonts w:hint="default" w:eastAsia="宋体"/>
                <w:b w:val="0"/>
                <w:bCs w:val="0"/>
                <w:color w:val="auto"/>
                <w:highlight w:val="none"/>
                <w:lang w:val="en-US" w:eastAsia="zh-CN"/>
              </w:rPr>
            </w:pPr>
            <w:r>
              <w:rPr>
                <w:rFonts w:hint="eastAsia"/>
                <w:b w:val="0"/>
                <w:bCs w:val="0"/>
                <w:color w:val="auto"/>
                <w:highlight w:val="none"/>
                <w:lang w:eastAsia="zh-CN"/>
              </w:rPr>
              <w:t>（</w:t>
            </w:r>
            <w:r>
              <w:rPr>
                <w:rFonts w:hint="eastAsia"/>
                <w:b w:val="0"/>
                <w:bCs w:val="0"/>
                <w:color w:val="auto"/>
                <w:highlight w:val="none"/>
                <w:lang w:val="en-US" w:eastAsia="zh-CN"/>
              </w:rPr>
              <w:t>3）切割用水</w:t>
            </w:r>
          </w:p>
          <w:p w14:paraId="6624AA25">
            <w:pPr>
              <w:widowControl/>
              <w:ind w:firstLine="480" w:firstLineChars="200"/>
              <w:jc w:val="left"/>
              <w:rPr>
                <w:color w:val="auto"/>
                <w:kern w:val="0"/>
                <w:highlight w:val="none"/>
              </w:rPr>
            </w:pPr>
            <w:r>
              <w:rPr>
                <w:color w:val="auto"/>
                <w:kern w:val="0"/>
                <w:highlight w:val="none"/>
              </w:rPr>
              <w:t>本项目</w:t>
            </w:r>
            <w:r>
              <w:rPr>
                <w:rFonts w:hint="eastAsia"/>
                <w:color w:val="auto"/>
                <w:kern w:val="0"/>
                <w:highlight w:val="none"/>
                <w:lang w:val="en-US" w:eastAsia="zh-CN"/>
              </w:rPr>
              <w:t>切割</w:t>
            </w:r>
            <w:r>
              <w:rPr>
                <w:color w:val="auto"/>
                <w:kern w:val="0"/>
                <w:highlight w:val="none"/>
              </w:rPr>
              <w:t>工序为湿式作业。</w:t>
            </w:r>
            <w:r>
              <w:rPr>
                <w:rFonts w:hint="eastAsia"/>
                <w:color w:val="auto"/>
                <w:kern w:val="0"/>
                <w:highlight w:val="none"/>
                <w:lang w:val="en-US" w:eastAsia="zh-CN"/>
              </w:rPr>
              <w:t>切割</w:t>
            </w:r>
            <w:r>
              <w:rPr>
                <w:color w:val="auto"/>
                <w:kern w:val="0"/>
                <w:highlight w:val="none"/>
              </w:rPr>
              <w:t>工序产生的粉尘（</w:t>
            </w:r>
            <w:r>
              <w:rPr>
                <w:rFonts w:hint="eastAsia"/>
                <w:color w:val="auto"/>
                <w:kern w:val="0"/>
                <w:highlight w:val="none"/>
                <w:lang w:val="en-US" w:eastAsia="zh-CN"/>
              </w:rPr>
              <w:t>树脂</w:t>
            </w:r>
            <w:r>
              <w:rPr>
                <w:color w:val="auto"/>
                <w:kern w:val="0"/>
                <w:highlight w:val="none"/>
              </w:rPr>
              <w:t>粉末）与循环用水混合流入</w:t>
            </w:r>
            <w:r>
              <w:rPr>
                <w:rFonts w:hint="eastAsia"/>
                <w:color w:val="auto"/>
                <w:kern w:val="0"/>
                <w:highlight w:val="none"/>
                <w:lang w:val="en-US" w:eastAsia="zh-CN"/>
              </w:rPr>
              <w:t>切割机配备</w:t>
            </w:r>
            <w:r>
              <w:rPr>
                <w:color w:val="auto"/>
                <w:kern w:val="0"/>
                <w:highlight w:val="none"/>
              </w:rPr>
              <w:t>水箱中，定期捞渣回收</w:t>
            </w:r>
            <w:r>
              <w:rPr>
                <w:rFonts w:hint="eastAsia"/>
                <w:color w:val="auto"/>
                <w:kern w:val="0"/>
                <w:highlight w:val="none"/>
                <w:lang w:eastAsia="zh-CN"/>
              </w:rPr>
              <w:t>，</w:t>
            </w:r>
            <w:r>
              <w:rPr>
                <w:rFonts w:hint="eastAsia"/>
                <w:color w:val="auto"/>
                <w:kern w:val="0"/>
                <w:highlight w:val="none"/>
                <w:lang w:val="en-US" w:eastAsia="zh-CN"/>
              </w:rPr>
              <w:t>按一般工业固体废物：玻璃纤维边角料处置</w:t>
            </w:r>
            <w:r>
              <w:rPr>
                <w:color w:val="auto"/>
                <w:kern w:val="0"/>
                <w:highlight w:val="none"/>
              </w:rPr>
              <w:t>；上清液经水泵泵入循环水箱继续用于湿式</w:t>
            </w:r>
            <w:r>
              <w:rPr>
                <w:rFonts w:hint="eastAsia"/>
                <w:color w:val="auto"/>
                <w:kern w:val="0"/>
                <w:highlight w:val="none"/>
                <w:lang w:val="en-US" w:eastAsia="zh-CN"/>
              </w:rPr>
              <w:t>切割</w:t>
            </w:r>
            <w:r>
              <w:rPr>
                <w:color w:val="auto"/>
                <w:kern w:val="0"/>
                <w:highlight w:val="none"/>
              </w:rPr>
              <w:t>工序，定期补充损耗，不外排。</w:t>
            </w:r>
          </w:p>
          <w:p w14:paraId="1076CF2B">
            <w:pPr>
              <w:widowControl/>
              <w:ind w:firstLine="480" w:firstLineChars="200"/>
              <w:rPr>
                <w:color w:val="auto"/>
                <w:highlight w:val="none"/>
              </w:rPr>
            </w:pPr>
            <w:r>
              <w:rPr>
                <w:rFonts w:hint="eastAsia"/>
                <w:color w:val="auto"/>
                <w:kern w:val="0"/>
                <w:highlight w:val="none"/>
                <w:lang w:val="en-US" w:eastAsia="zh-CN"/>
              </w:rPr>
              <w:t>湿式切割工序年工作时长为4800h（16h/d），单个水箱内循环水泵流量取值0.2</w:t>
            </w:r>
            <w:r>
              <w:rPr>
                <w:color w:val="auto"/>
                <w:kern w:val="0"/>
                <w:highlight w:val="none"/>
              </w:rPr>
              <w:t>m</w:t>
            </w:r>
            <w:r>
              <w:rPr>
                <w:color w:val="auto"/>
                <w:highlight w:val="none"/>
                <w:vertAlign w:val="superscript"/>
              </w:rPr>
              <w:t>3</w:t>
            </w:r>
            <w:r>
              <w:rPr>
                <w:color w:val="auto"/>
                <w:kern w:val="0"/>
                <w:highlight w:val="none"/>
              </w:rPr>
              <w:t>/</w:t>
            </w:r>
            <w:r>
              <w:rPr>
                <w:rFonts w:hint="eastAsia"/>
                <w:color w:val="auto"/>
                <w:kern w:val="0"/>
                <w:highlight w:val="none"/>
                <w:lang w:val="en-US" w:eastAsia="zh-CN"/>
              </w:rPr>
              <w:t>h</w:t>
            </w:r>
            <w:r>
              <w:rPr>
                <w:color w:val="auto"/>
                <w:kern w:val="0"/>
                <w:highlight w:val="none"/>
              </w:rPr>
              <w:t>，本项目</w:t>
            </w:r>
            <w:r>
              <w:rPr>
                <w:rFonts w:hint="eastAsia"/>
                <w:color w:val="auto"/>
                <w:kern w:val="0"/>
                <w:highlight w:val="none"/>
                <w:lang w:val="en-US" w:eastAsia="zh-CN"/>
              </w:rPr>
              <w:t>切割工序的</w:t>
            </w:r>
            <w:r>
              <w:rPr>
                <w:color w:val="auto"/>
                <w:kern w:val="0"/>
                <w:highlight w:val="none"/>
              </w:rPr>
              <w:t>全年循环用水量</w:t>
            </w:r>
            <w:r>
              <w:rPr>
                <w:rFonts w:hint="eastAsia"/>
                <w:color w:val="auto"/>
                <w:kern w:val="0"/>
                <w:highlight w:val="none"/>
                <w:lang w:val="en-US" w:eastAsia="zh-CN"/>
              </w:rPr>
              <w:t>约</w:t>
            </w:r>
            <w:r>
              <w:rPr>
                <w:color w:val="auto"/>
                <w:kern w:val="0"/>
                <w:highlight w:val="none"/>
              </w:rPr>
              <w:t>为</w:t>
            </w:r>
            <w:r>
              <w:rPr>
                <w:rFonts w:hint="eastAsia"/>
                <w:color w:val="auto"/>
                <w:kern w:val="0"/>
                <w:highlight w:val="none"/>
                <w:lang w:eastAsia="zh-CN"/>
              </w:rPr>
              <w:t>：</w:t>
            </w:r>
            <w:r>
              <w:rPr>
                <w:rFonts w:hint="eastAsia"/>
                <w:color w:val="auto"/>
                <w:kern w:val="0"/>
                <w:highlight w:val="none"/>
                <w:lang w:val="en-US" w:eastAsia="zh-CN"/>
              </w:rPr>
              <w:t>13座×0.2</w:t>
            </w:r>
            <w:r>
              <w:rPr>
                <w:color w:val="auto"/>
                <w:kern w:val="0"/>
                <w:highlight w:val="none"/>
              </w:rPr>
              <w:t>m</w:t>
            </w:r>
            <w:r>
              <w:rPr>
                <w:color w:val="auto"/>
                <w:highlight w:val="none"/>
                <w:vertAlign w:val="superscript"/>
              </w:rPr>
              <w:t>3</w:t>
            </w:r>
            <w:r>
              <w:rPr>
                <w:color w:val="auto"/>
                <w:kern w:val="0"/>
                <w:highlight w:val="none"/>
              </w:rPr>
              <w:t>/</w:t>
            </w:r>
            <w:r>
              <w:rPr>
                <w:rFonts w:hint="eastAsia"/>
                <w:color w:val="auto"/>
                <w:kern w:val="0"/>
                <w:highlight w:val="none"/>
                <w:lang w:val="en-US" w:eastAsia="zh-CN"/>
              </w:rPr>
              <w:t>h×4800h/a=12480t/a</w:t>
            </w:r>
            <w:r>
              <w:rPr>
                <w:color w:val="auto"/>
                <w:kern w:val="0"/>
                <w:highlight w:val="none"/>
              </w:rPr>
              <w:t>，循环用水损耗量按1%～2%循环量估算，本项目按2%计，则补充用水量为</w:t>
            </w:r>
            <w:r>
              <w:rPr>
                <w:rFonts w:hint="eastAsia"/>
                <w:color w:val="auto"/>
                <w:kern w:val="0"/>
                <w:highlight w:val="none"/>
                <w:lang w:val="en-US" w:eastAsia="zh-CN"/>
              </w:rPr>
              <w:t>12480t/a×2%=249.6t/a</w:t>
            </w:r>
            <w:r>
              <w:rPr>
                <w:color w:val="auto"/>
                <w:kern w:val="0"/>
                <w:highlight w:val="none"/>
              </w:rPr>
              <w:t>。综上，本项目湿式</w:t>
            </w:r>
            <w:r>
              <w:rPr>
                <w:rFonts w:hint="eastAsia"/>
                <w:color w:val="auto"/>
                <w:kern w:val="0"/>
                <w:highlight w:val="none"/>
                <w:lang w:val="en-US" w:eastAsia="zh-CN"/>
              </w:rPr>
              <w:t>切割</w:t>
            </w:r>
            <w:r>
              <w:rPr>
                <w:color w:val="auto"/>
                <w:kern w:val="0"/>
                <w:highlight w:val="none"/>
              </w:rPr>
              <w:t>工序新鲜用水量为：</w:t>
            </w:r>
            <w:r>
              <w:rPr>
                <w:rFonts w:hint="eastAsia"/>
                <w:color w:val="auto"/>
                <w:kern w:val="0"/>
                <w:highlight w:val="none"/>
                <w:lang w:val="en-US" w:eastAsia="zh-CN"/>
              </w:rPr>
              <w:t>249.6t/a</w:t>
            </w:r>
            <w:r>
              <w:rPr>
                <w:color w:val="auto"/>
                <w:kern w:val="0"/>
                <w:highlight w:val="none"/>
              </w:rPr>
              <w:t>。</w:t>
            </w:r>
          </w:p>
          <w:p w14:paraId="04835DC1">
            <w:pPr>
              <w:keepNext/>
              <w:keepLines/>
              <w:numPr>
                <w:ilvl w:val="4"/>
                <w:numId w:val="0"/>
              </w:numPr>
              <w:spacing w:line="360" w:lineRule="auto"/>
              <w:ind w:firstLine="480" w:firstLineChars="200"/>
              <w:outlineLvl w:val="4"/>
              <w:rPr>
                <w:rFonts w:hint="default" w:ascii="Times New Roman" w:hAnsi="Times New Roman" w:eastAsia="宋体" w:cs="Times New Roman"/>
                <w:b w:val="0"/>
                <w:bCs w:val="0"/>
                <w:color w:val="auto"/>
                <w:sz w:val="24"/>
                <w:szCs w:val="24"/>
                <w:highlight w:val="none"/>
                <w:lang w:val="en-US" w:eastAsia="zh-CN" w:bidi="ar-SA"/>
              </w:rPr>
            </w:pPr>
            <w:r>
              <w:rPr>
                <w:rFonts w:hint="eastAsia" w:cs="Times New Roman"/>
                <w:b w:val="0"/>
                <w:bCs w:val="0"/>
                <w:color w:val="auto"/>
                <w:sz w:val="24"/>
                <w:szCs w:val="24"/>
                <w:highlight w:val="none"/>
                <w:lang w:val="en-US" w:eastAsia="zh-CN" w:bidi="ar-SA"/>
              </w:rPr>
              <w:t>（4）注塑冷却用水</w:t>
            </w:r>
          </w:p>
          <w:p w14:paraId="08B629FE">
            <w:pPr>
              <w:pStyle w:val="26"/>
              <w:ind w:firstLine="480"/>
              <w:rPr>
                <w:color w:val="auto"/>
                <w:highlight w:val="none"/>
              </w:rPr>
            </w:pPr>
            <w:r>
              <w:rPr>
                <w:color w:val="auto"/>
                <w:highlight w:val="none"/>
              </w:rPr>
              <w:t>本项目注塑机使用冷水进行冷却，冷却过程主要将冷水注入注塑机模具夹层，使模具中的产品冷却成型，属于间接冷却。</w:t>
            </w:r>
          </w:p>
          <w:p w14:paraId="00CE5064">
            <w:pPr>
              <w:pStyle w:val="26"/>
              <w:ind w:firstLine="480"/>
              <w:rPr>
                <w:color w:val="auto"/>
                <w:szCs w:val="32"/>
                <w:highlight w:val="none"/>
              </w:rPr>
            </w:pPr>
            <w:r>
              <w:rPr>
                <w:color w:val="auto"/>
                <w:highlight w:val="none"/>
              </w:rPr>
              <w:t>本项目</w:t>
            </w:r>
            <w:r>
              <w:rPr>
                <w:color w:val="auto"/>
                <w:szCs w:val="32"/>
                <w:highlight w:val="none"/>
              </w:rPr>
              <w:t>设有1台冷却塔，尺寸为φ0.8m×H1.2m，冷却塔下端设置循环用水水池，水池有效容积为1.5m³，冷却塔循环水量为15m</w:t>
            </w:r>
            <w:r>
              <w:rPr>
                <w:color w:val="auto"/>
                <w:szCs w:val="32"/>
                <w:highlight w:val="none"/>
                <w:vertAlign w:val="superscript"/>
              </w:rPr>
              <w:t>3</w:t>
            </w:r>
            <w:r>
              <w:rPr>
                <w:color w:val="auto"/>
                <w:szCs w:val="32"/>
                <w:highlight w:val="none"/>
              </w:rPr>
              <w:t>/h，水由循环水泵自冷却塔塔下水池吸水加压后进入循环冷却给水管，用于间接冷却。</w:t>
            </w:r>
          </w:p>
          <w:p w14:paraId="078256CE">
            <w:pPr>
              <w:pStyle w:val="26"/>
              <w:ind w:firstLine="480"/>
              <w:rPr>
                <w:color w:val="auto"/>
                <w:szCs w:val="32"/>
                <w:highlight w:val="none"/>
              </w:rPr>
            </w:pPr>
            <w:r>
              <w:rPr>
                <w:color w:val="auto"/>
                <w:szCs w:val="32"/>
                <w:highlight w:val="none"/>
              </w:rPr>
              <w:t>循环冷却回水通过循环冷却回水管返回循环水站，经冷却水塔的配水系统均匀分布后，在冷却塔内自上而下进行汽水换热降温，冷却后进入塔下水池，再经循环水泵加压供出，如此循环往复。循环过程会有部分水以蒸汽的形式损耗掉，根据《工业循环水冷却设计规范》（GB/T50102-2014），冷却塔蒸发耗水率计算公式为：</w:t>
            </w:r>
          </w:p>
          <w:p w14:paraId="3D791877">
            <w:pPr>
              <w:pStyle w:val="26"/>
              <w:ind w:firstLine="480"/>
              <w:jc w:val="center"/>
              <w:rPr>
                <w:color w:val="auto"/>
                <w:szCs w:val="32"/>
                <w:highlight w:val="none"/>
              </w:rPr>
            </w:pPr>
            <w:r>
              <w:rPr>
                <w:color w:val="auto"/>
                <w:szCs w:val="32"/>
                <w:highlight w:val="none"/>
              </w:rPr>
              <w:t>P</w:t>
            </w:r>
            <w:r>
              <w:rPr>
                <w:color w:val="auto"/>
                <w:szCs w:val="32"/>
                <w:highlight w:val="none"/>
                <w:vertAlign w:val="subscript"/>
              </w:rPr>
              <w:t>e</w:t>
            </w:r>
            <w:r>
              <w:rPr>
                <w:color w:val="auto"/>
                <w:szCs w:val="32"/>
                <w:highlight w:val="none"/>
              </w:rPr>
              <w:t>=K</w:t>
            </w:r>
            <w:r>
              <w:rPr>
                <w:color w:val="auto"/>
                <w:szCs w:val="32"/>
                <w:highlight w:val="none"/>
                <w:vertAlign w:val="subscript"/>
              </w:rPr>
              <w:t>ZF</w:t>
            </w:r>
            <w:r>
              <w:rPr>
                <w:color w:val="auto"/>
                <w:szCs w:val="32"/>
                <w:highlight w:val="none"/>
              </w:rPr>
              <w:t>·Δt×100%</w:t>
            </w:r>
          </w:p>
          <w:p w14:paraId="6FAA39C8">
            <w:pPr>
              <w:pStyle w:val="26"/>
              <w:ind w:firstLine="480"/>
              <w:rPr>
                <w:color w:val="auto"/>
                <w:szCs w:val="32"/>
                <w:highlight w:val="none"/>
              </w:rPr>
            </w:pPr>
            <w:r>
              <w:rPr>
                <w:color w:val="auto"/>
                <w:szCs w:val="32"/>
                <w:highlight w:val="none"/>
              </w:rPr>
              <w:t>式中：P</w:t>
            </w:r>
            <w:r>
              <w:rPr>
                <w:color w:val="auto"/>
                <w:szCs w:val="32"/>
                <w:highlight w:val="none"/>
                <w:vertAlign w:val="subscript"/>
              </w:rPr>
              <w:t>e</w:t>
            </w:r>
            <w:r>
              <w:rPr>
                <w:color w:val="auto"/>
                <w:szCs w:val="32"/>
                <w:highlight w:val="none"/>
              </w:rPr>
              <w:t>——蒸发损失率，%；</w:t>
            </w:r>
          </w:p>
          <w:p w14:paraId="29585185">
            <w:pPr>
              <w:pStyle w:val="26"/>
              <w:ind w:firstLine="480"/>
              <w:rPr>
                <w:color w:val="auto"/>
                <w:szCs w:val="32"/>
                <w:highlight w:val="none"/>
              </w:rPr>
            </w:pPr>
            <w:r>
              <w:rPr>
                <w:color w:val="auto"/>
                <w:szCs w:val="32"/>
                <w:highlight w:val="none"/>
              </w:rPr>
              <w:t>Δt——冷却塔进水与出水温度差，℃，设计进水温度为20℃，出水温度为25℃，Δt=5℃；</w:t>
            </w:r>
          </w:p>
          <w:p w14:paraId="54434F0C">
            <w:pPr>
              <w:pStyle w:val="26"/>
              <w:ind w:firstLine="480"/>
              <w:rPr>
                <w:color w:val="auto"/>
                <w:szCs w:val="32"/>
                <w:highlight w:val="none"/>
              </w:rPr>
            </w:pPr>
            <w:r>
              <w:rPr>
                <w:color w:val="auto"/>
                <w:szCs w:val="32"/>
                <w:highlight w:val="none"/>
              </w:rPr>
              <w:t>K</w:t>
            </w:r>
            <w:r>
              <w:rPr>
                <w:color w:val="auto"/>
                <w:szCs w:val="32"/>
                <w:highlight w:val="none"/>
                <w:vertAlign w:val="subscript"/>
              </w:rPr>
              <w:t>ZF</w:t>
            </w:r>
            <w:r>
              <w:rPr>
                <w:color w:val="auto"/>
                <w:szCs w:val="32"/>
                <w:highlight w:val="none"/>
              </w:rPr>
              <w:t>——系数，1/℃，</w:t>
            </w:r>
            <w:r>
              <w:rPr>
                <w:rFonts w:hint="eastAsia"/>
                <w:color w:val="auto"/>
                <w:szCs w:val="32"/>
                <w:highlight w:val="none"/>
              </w:rPr>
              <w:t>本项目冷却塔使用日常温度为 20℃，</w:t>
            </w:r>
            <w:r>
              <w:rPr>
                <w:color w:val="auto"/>
                <w:szCs w:val="32"/>
                <w:highlight w:val="none"/>
              </w:rPr>
              <w:t>取值0.0014/℃。</w:t>
            </w:r>
          </w:p>
          <w:p w14:paraId="53F7D55F">
            <w:pPr>
              <w:pStyle w:val="26"/>
              <w:ind w:firstLine="480"/>
              <w:rPr>
                <w:color w:val="auto"/>
                <w:highlight w:val="none"/>
              </w:rPr>
            </w:pPr>
            <w:r>
              <w:rPr>
                <w:color w:val="auto"/>
                <w:highlight w:val="none"/>
              </w:rPr>
              <w:t>经计算公式计算得损耗水量为循环水量（15.0m</w:t>
            </w:r>
            <w:r>
              <w:rPr>
                <w:color w:val="auto"/>
                <w:highlight w:val="none"/>
                <w:vertAlign w:val="superscript"/>
              </w:rPr>
              <w:t>3</w:t>
            </w:r>
            <w:r>
              <w:rPr>
                <w:color w:val="auto"/>
                <w:highlight w:val="none"/>
              </w:rPr>
              <w:t>/h）的0.7%，则冷却蒸发水量为831.6m</w:t>
            </w:r>
            <w:r>
              <w:rPr>
                <w:color w:val="auto"/>
                <w:highlight w:val="none"/>
                <w:vertAlign w:val="superscript"/>
              </w:rPr>
              <w:t>3</w:t>
            </w:r>
            <w:r>
              <w:rPr>
                <w:color w:val="auto"/>
                <w:highlight w:val="none"/>
              </w:rPr>
              <w:t>/a，应补充等量的水，冷却用水量为831.62t/a。冷却水循环使用不外排，仅需补充因受热蒸发损失的部分冷却用水，冷却方式为间接冷却，不与原材料、产品直接接触，且冷却水仅使用自来水，不添加冷却剂、杀菌灭藻剂、阻垢剂等化学药剂。在生产运营期间，本项目加强对冷却水的管理，承诺冷却水循环回用不外排。冷却塔下端设置循环水池，水池有效容积为1.5m³，则冷却塔初始用水量为1.5m³。</w:t>
            </w:r>
          </w:p>
          <w:p w14:paraId="5490018D">
            <w:pPr>
              <w:keepNext/>
              <w:keepLines/>
              <w:numPr>
                <w:ilvl w:val="4"/>
                <w:numId w:val="0"/>
              </w:numPr>
              <w:spacing w:line="360" w:lineRule="auto"/>
              <w:ind w:firstLine="480" w:firstLineChars="200"/>
              <w:outlineLvl w:val="4"/>
              <w:rPr>
                <w:rFonts w:ascii="Times New Roman" w:hAnsi="Times New Roman" w:eastAsia="宋体" w:cs="Times New Roman"/>
                <w:b/>
                <w:bCs/>
                <w:color w:val="auto"/>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bidi="ar-SA"/>
              </w:rPr>
              <w:t>综上，</w:t>
            </w:r>
            <w:r>
              <w:rPr>
                <w:rFonts w:ascii="Times New Roman" w:hAnsi="Times New Roman" w:eastAsia="宋体" w:cs="Times New Roman"/>
                <w:b w:val="0"/>
                <w:bCs w:val="0"/>
                <w:color w:val="auto"/>
                <w:sz w:val="24"/>
                <w:szCs w:val="24"/>
                <w:highlight w:val="none"/>
                <w:lang w:val="en-US" w:eastAsia="zh-CN" w:bidi="ar-SA"/>
              </w:rPr>
              <w:t>本项目</w:t>
            </w:r>
            <w:r>
              <w:rPr>
                <w:rFonts w:hint="eastAsia" w:ascii="Times New Roman" w:hAnsi="Times New Roman" w:eastAsia="宋体" w:cs="Times New Roman"/>
                <w:b w:val="0"/>
                <w:bCs w:val="0"/>
                <w:color w:val="auto"/>
                <w:sz w:val="24"/>
                <w:szCs w:val="24"/>
                <w:highlight w:val="none"/>
                <w:lang w:val="en-US" w:eastAsia="zh-CN" w:bidi="ar-SA"/>
              </w:rPr>
              <w:t>用水</w:t>
            </w:r>
            <w:r>
              <w:rPr>
                <w:rFonts w:ascii="Times New Roman" w:hAnsi="Times New Roman" w:eastAsia="宋体" w:cs="Times New Roman"/>
                <w:b w:val="0"/>
                <w:bCs w:val="0"/>
                <w:color w:val="auto"/>
                <w:sz w:val="24"/>
                <w:szCs w:val="24"/>
                <w:highlight w:val="none"/>
                <w:lang w:val="en-US" w:eastAsia="zh-CN" w:bidi="ar-SA"/>
              </w:rPr>
              <w:t>情况见下表。</w:t>
            </w:r>
          </w:p>
          <w:p w14:paraId="573467EA">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hint="eastAsia"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2</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ascii="Times New Roman" w:hAnsi="Times New Roman" w:eastAsia="宋体" w:cs="Times New Roman"/>
                <w:b/>
                <w:bCs/>
                <w:color w:val="auto"/>
                <w:kern w:val="2"/>
                <w:sz w:val="21"/>
                <w:szCs w:val="21"/>
                <w:highlight w:val="none"/>
                <w:lang w:val="en-US" w:eastAsia="zh-CN" w:bidi="ar-SA"/>
              </w:rPr>
              <w:t>项目用水情况统计表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6"/>
              <w:gridCol w:w="1050"/>
              <w:gridCol w:w="1282"/>
              <w:gridCol w:w="970"/>
              <w:gridCol w:w="1296"/>
              <w:gridCol w:w="1326"/>
            </w:tblGrid>
            <w:tr w14:paraId="7852E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5B015512">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用水单元</w:t>
                  </w:r>
                </w:p>
              </w:tc>
              <w:tc>
                <w:tcPr>
                  <w:tcW w:w="669" w:type="pct"/>
                  <w:vAlign w:val="center"/>
                </w:tcPr>
                <w:p w14:paraId="0FE8529A">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cs="Times New Roman"/>
                      <w:b/>
                      <w:bCs/>
                      <w:color w:val="auto"/>
                      <w:position w:val="-10"/>
                      <w:sz w:val="21"/>
                      <w:szCs w:val="21"/>
                      <w:highlight w:val="none"/>
                      <w:lang w:val="en-US" w:eastAsia="zh-CN" w:bidi="ar-SA"/>
                    </w:rPr>
                  </w:pPr>
                  <w:r>
                    <w:rPr>
                      <w:rFonts w:hint="default" w:ascii="Times New Roman" w:hAnsi="Times New Roman" w:cs="Times New Roman"/>
                      <w:b/>
                      <w:bCs/>
                      <w:color w:val="auto"/>
                      <w:position w:val="-10"/>
                      <w:sz w:val="21"/>
                      <w:szCs w:val="21"/>
                      <w:highlight w:val="none"/>
                      <w:lang w:val="en-US" w:eastAsia="zh-CN" w:bidi="ar-SA"/>
                    </w:rPr>
                    <w:t>循环用水量</w:t>
                  </w:r>
                </w:p>
                <w:p w14:paraId="5F78CA05">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17" w:type="pct"/>
                  <w:vAlign w:val="center"/>
                </w:tcPr>
                <w:p w14:paraId="01CF9D2E">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新鲜用水量</w:t>
                  </w:r>
                </w:p>
                <w:p w14:paraId="0A9E4A4D">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618" w:type="pct"/>
                  <w:vAlign w:val="center"/>
                </w:tcPr>
                <w:p w14:paraId="5766EBC4">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损耗量</w:t>
                  </w:r>
                </w:p>
                <w:p w14:paraId="31B2369D">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26" w:type="pct"/>
                  <w:vAlign w:val="center"/>
                </w:tcPr>
                <w:p w14:paraId="672CCF24">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废水产生量</w:t>
                  </w:r>
                </w:p>
                <w:p w14:paraId="464F6002">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45" w:type="pct"/>
                  <w:vAlign w:val="center"/>
                </w:tcPr>
                <w:p w14:paraId="14376181">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废水外排量</w:t>
                  </w:r>
                </w:p>
                <w:p w14:paraId="12698C01">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r>
            <w:tr w14:paraId="086F5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467AC09A">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喷淋用水</w:t>
                  </w:r>
                </w:p>
              </w:tc>
              <w:tc>
                <w:tcPr>
                  <w:tcW w:w="669" w:type="pct"/>
                  <w:vAlign w:val="center"/>
                </w:tcPr>
                <w:p w14:paraId="09D997B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2112</w:t>
                  </w:r>
                  <w:r>
                    <w:rPr>
                      <w:rFonts w:hint="default" w:ascii="Times New Roman" w:hAnsi="Times New Roman" w:eastAsia="宋体" w:cs="Times New Roman"/>
                      <w:i w:val="0"/>
                      <w:iCs w:val="0"/>
                      <w:color w:val="auto"/>
                      <w:kern w:val="0"/>
                      <w:sz w:val="21"/>
                      <w:szCs w:val="21"/>
                      <w:highlight w:val="none"/>
                      <w:u w:val="none"/>
                      <w:lang w:val="en-US" w:eastAsia="zh-CN"/>
                    </w:rPr>
                    <w:t>00</w:t>
                  </w:r>
                </w:p>
              </w:tc>
              <w:tc>
                <w:tcPr>
                  <w:tcW w:w="817" w:type="pct"/>
                  <w:vAlign w:val="center"/>
                </w:tcPr>
                <w:p w14:paraId="097845E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2288</w:t>
                  </w:r>
                </w:p>
              </w:tc>
              <w:tc>
                <w:tcPr>
                  <w:tcW w:w="618" w:type="pct"/>
                  <w:vAlign w:val="center"/>
                </w:tcPr>
                <w:p w14:paraId="4C2749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2112</w:t>
                  </w:r>
                </w:p>
              </w:tc>
              <w:tc>
                <w:tcPr>
                  <w:tcW w:w="826" w:type="pct"/>
                  <w:vAlign w:val="center"/>
                </w:tcPr>
                <w:p w14:paraId="6E9DAA7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176</w:t>
                  </w:r>
                </w:p>
              </w:tc>
              <w:tc>
                <w:tcPr>
                  <w:tcW w:w="845" w:type="pct"/>
                  <w:vAlign w:val="center"/>
                </w:tcPr>
                <w:p w14:paraId="5C4296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r>
            <w:tr w14:paraId="41164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1D35641E">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切割用水</w:t>
                  </w:r>
                </w:p>
              </w:tc>
              <w:tc>
                <w:tcPr>
                  <w:tcW w:w="669" w:type="pct"/>
                  <w:vAlign w:val="center"/>
                </w:tcPr>
                <w:p w14:paraId="61B29F6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12480</w:t>
                  </w:r>
                </w:p>
              </w:tc>
              <w:tc>
                <w:tcPr>
                  <w:tcW w:w="817" w:type="pct"/>
                  <w:vAlign w:val="center"/>
                </w:tcPr>
                <w:p w14:paraId="4214360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618" w:type="pct"/>
                  <w:vAlign w:val="center"/>
                </w:tcPr>
                <w:p w14:paraId="5BD3944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826" w:type="pct"/>
                  <w:vAlign w:val="center"/>
                </w:tcPr>
                <w:p w14:paraId="61977A8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4F19F26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21C8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66DB8A4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冷却用水</w:t>
                  </w:r>
                </w:p>
              </w:tc>
              <w:tc>
                <w:tcPr>
                  <w:tcW w:w="669" w:type="pct"/>
                  <w:vAlign w:val="center"/>
                </w:tcPr>
                <w:p w14:paraId="120E7CE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72000</w:t>
                  </w:r>
                </w:p>
              </w:tc>
              <w:tc>
                <w:tcPr>
                  <w:tcW w:w="817" w:type="pct"/>
                  <w:vAlign w:val="center"/>
                </w:tcPr>
                <w:p w14:paraId="6D09D6F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618" w:type="pct"/>
                  <w:vAlign w:val="center"/>
                </w:tcPr>
                <w:p w14:paraId="21F6C2F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826" w:type="pct"/>
                  <w:vAlign w:val="center"/>
                </w:tcPr>
                <w:p w14:paraId="0059B44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600B5A4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4F37D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7EC21BEB">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水磨抛光用水</w:t>
                  </w:r>
                </w:p>
              </w:tc>
              <w:tc>
                <w:tcPr>
                  <w:tcW w:w="669" w:type="pct"/>
                  <w:vAlign w:val="center"/>
                </w:tcPr>
                <w:p w14:paraId="77A5A6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19200</w:t>
                  </w:r>
                </w:p>
              </w:tc>
              <w:tc>
                <w:tcPr>
                  <w:tcW w:w="817" w:type="pct"/>
                  <w:vAlign w:val="center"/>
                </w:tcPr>
                <w:p w14:paraId="3EBE38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r>
                    <w:rPr>
                      <w:rFonts w:hint="eastAsia" w:cs="Times New Roman"/>
                      <w:i w:val="0"/>
                      <w:iCs w:val="0"/>
                      <w:color w:val="auto"/>
                      <w:kern w:val="0"/>
                      <w:sz w:val="21"/>
                      <w:szCs w:val="21"/>
                      <w:highlight w:val="none"/>
                      <w:u w:val="none"/>
                      <w:lang w:val="en-US" w:eastAsia="zh-CN"/>
                    </w:rPr>
                    <w:t>.036</w:t>
                  </w:r>
                </w:p>
              </w:tc>
              <w:tc>
                <w:tcPr>
                  <w:tcW w:w="618" w:type="pct"/>
                  <w:vAlign w:val="center"/>
                </w:tcPr>
                <w:p w14:paraId="73D33B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826" w:type="pct"/>
                  <w:vAlign w:val="center"/>
                </w:tcPr>
                <w:p w14:paraId="2D0A1D1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692A506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7CD9A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719CCBE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员工办公生活用水</w:t>
                  </w:r>
                </w:p>
              </w:tc>
              <w:tc>
                <w:tcPr>
                  <w:tcW w:w="669" w:type="pct"/>
                  <w:vAlign w:val="center"/>
                </w:tcPr>
                <w:p w14:paraId="78F73BA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817" w:type="pct"/>
                  <w:vAlign w:val="center"/>
                </w:tcPr>
                <w:p w14:paraId="0B995DD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1330</w:t>
                  </w:r>
                </w:p>
              </w:tc>
              <w:tc>
                <w:tcPr>
                  <w:tcW w:w="618" w:type="pct"/>
                  <w:vAlign w:val="center"/>
                </w:tcPr>
                <w:p w14:paraId="4EED976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133</w:t>
                  </w:r>
                </w:p>
              </w:tc>
              <w:tc>
                <w:tcPr>
                  <w:tcW w:w="826" w:type="pct"/>
                  <w:vAlign w:val="center"/>
                </w:tcPr>
                <w:p w14:paraId="4AFCB09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c>
                <w:tcPr>
                  <w:tcW w:w="845" w:type="pct"/>
                  <w:vAlign w:val="center"/>
                </w:tcPr>
                <w:p w14:paraId="2C3DBFC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r>
            <w:tr w14:paraId="464EF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699257FC">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合计</w:t>
                  </w:r>
                </w:p>
              </w:tc>
              <w:tc>
                <w:tcPr>
                  <w:tcW w:w="669" w:type="pct"/>
                  <w:vAlign w:val="center"/>
                </w:tcPr>
                <w:p w14:paraId="5032A4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314880</w:t>
                  </w:r>
                </w:p>
              </w:tc>
              <w:tc>
                <w:tcPr>
                  <w:tcW w:w="817" w:type="pct"/>
                  <w:vAlign w:val="center"/>
                </w:tcPr>
                <w:p w14:paraId="509DDE1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4795.336</w:t>
                  </w:r>
                </w:p>
              </w:tc>
              <w:tc>
                <w:tcPr>
                  <w:tcW w:w="618" w:type="pct"/>
                  <w:vAlign w:val="center"/>
                </w:tcPr>
                <w:p w14:paraId="10246F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3422.3</w:t>
                  </w:r>
                </w:p>
              </w:tc>
              <w:tc>
                <w:tcPr>
                  <w:tcW w:w="826" w:type="pct"/>
                  <w:vAlign w:val="center"/>
                </w:tcPr>
                <w:p w14:paraId="0BB46ED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1373</w:t>
                  </w:r>
                </w:p>
              </w:tc>
              <w:tc>
                <w:tcPr>
                  <w:tcW w:w="845" w:type="pct"/>
                  <w:vAlign w:val="center"/>
                </w:tcPr>
                <w:p w14:paraId="28FA874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r>
          </w:tbl>
          <w:p w14:paraId="634BE933">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cs="Times New Roman"/>
                <w:b/>
                <w:bCs/>
                <w:color w:val="auto"/>
                <w:highlight w:val="none"/>
                <w:lang w:val="en-US" w:eastAsia="zh-CN"/>
              </w:rPr>
              <w:t>2</w:t>
            </w:r>
            <w:r>
              <w:rPr>
                <w:rFonts w:ascii="Times New Roman" w:hAnsi="Times New Roman" w:eastAsia="宋体" w:cs="Times New Roman"/>
                <w:b/>
                <w:bCs/>
                <w:color w:val="auto"/>
                <w:highlight w:val="none"/>
              </w:rPr>
              <w:t>、排放口基本情况</w:t>
            </w:r>
          </w:p>
          <w:p w14:paraId="5E8384DA">
            <w:pPr>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营运期排放的废水主要为生活污水</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产生量为</w:t>
            </w:r>
            <w:r>
              <w:rPr>
                <w:rFonts w:hint="eastAsia" w:cs="Times New Roman"/>
                <w:color w:val="auto"/>
                <w:highlight w:val="none"/>
                <w:lang w:val="en-US" w:eastAsia="zh-CN"/>
              </w:rPr>
              <w:t>1197</w:t>
            </w:r>
            <w:r>
              <w:rPr>
                <w:rFonts w:ascii="Times New Roman" w:hAnsi="Times New Roman" w:eastAsia="宋体" w:cs="Times New Roman"/>
                <w:color w:val="auto"/>
                <w:highlight w:val="none"/>
              </w:rPr>
              <w:t>t/a，主要污染物为</w:t>
            </w:r>
            <w:r>
              <w:rPr>
                <w:rFonts w:hint="eastAsia" w:cs="Times New Roman"/>
                <w:color w:val="auto"/>
                <w:highlight w:val="none"/>
                <w:lang w:val="en-US" w:eastAsia="zh-CN"/>
              </w:rPr>
              <w:t>pH、</w:t>
            </w:r>
            <w:r>
              <w:rPr>
                <w:rFonts w:ascii="Times New Roman" w:hAnsi="Times New Roman" w:eastAsia="宋体" w:cs="Times New Roman"/>
                <w:color w:val="auto"/>
                <w:highlight w:val="none"/>
              </w:rPr>
              <w:t>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w:t>
            </w:r>
            <w:r>
              <w:rPr>
                <w:rFonts w:hint="eastAsia" w:ascii="Times New Roman" w:hAnsi="Times New Roman" w:eastAsia="宋体" w:cs="Times New Roman"/>
                <w:color w:val="auto"/>
                <w:highlight w:val="none"/>
              </w:rPr>
              <w:t>氨氮</w:t>
            </w:r>
            <w:r>
              <w:rPr>
                <w:rFonts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rPr>
              <w:t>生活污水经三级化粪池处理、生产废水经自建污水处理站处理后排入园区污水处理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进一步处理后排放</w:t>
            </w:r>
            <w:r>
              <w:rPr>
                <w:rFonts w:ascii="Times New Roman" w:hAnsi="Times New Roman" w:eastAsia="宋体" w:cs="Times New Roman"/>
                <w:color w:val="auto"/>
                <w:highlight w:val="none"/>
              </w:rPr>
              <w:t>，不新增污水排放口，属于一般排放口。</w:t>
            </w:r>
          </w:p>
          <w:p w14:paraId="4663B7D3">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3</w:t>
            </w:r>
            <w:r>
              <w:rPr>
                <w:rFonts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项目</w:t>
            </w:r>
            <w:r>
              <w:rPr>
                <w:rFonts w:ascii="Times New Roman" w:hAnsi="Times New Roman" w:eastAsia="宋体" w:cs="Times New Roman"/>
                <w:b/>
                <w:bCs/>
                <w:color w:val="auto"/>
                <w:kern w:val="2"/>
                <w:sz w:val="21"/>
                <w:szCs w:val="21"/>
                <w:highlight w:val="none"/>
                <w:lang w:val="en-US" w:eastAsia="zh-CN" w:bidi="ar-SA"/>
              </w:rPr>
              <w:t>废水排放口基本情况表</w:t>
            </w:r>
          </w:p>
          <w:tbl>
            <w:tblPr>
              <w:tblStyle w:val="4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7"/>
              <w:gridCol w:w="629"/>
              <w:gridCol w:w="655"/>
              <w:gridCol w:w="582"/>
              <w:gridCol w:w="835"/>
              <w:gridCol w:w="616"/>
              <w:gridCol w:w="934"/>
              <w:gridCol w:w="536"/>
              <w:gridCol w:w="536"/>
              <w:gridCol w:w="665"/>
              <w:gridCol w:w="1412"/>
            </w:tblGrid>
            <w:tr w14:paraId="13E4D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restart"/>
                  <w:vAlign w:val="center"/>
                </w:tcPr>
                <w:p w14:paraId="02655F4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401" w:type="pct"/>
                  <w:vMerge w:val="restart"/>
                  <w:vAlign w:val="center"/>
                </w:tcPr>
                <w:p w14:paraId="76F4EBF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排放口名称</w:t>
                  </w:r>
                </w:p>
              </w:tc>
              <w:tc>
                <w:tcPr>
                  <w:tcW w:w="789" w:type="pct"/>
                  <w:gridSpan w:val="2"/>
                  <w:vAlign w:val="center"/>
                </w:tcPr>
                <w:p w14:paraId="022060F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排放口坐标/m</w:t>
                  </w:r>
                </w:p>
              </w:tc>
              <w:tc>
                <w:tcPr>
                  <w:tcW w:w="533" w:type="pct"/>
                  <w:vMerge w:val="restart"/>
                  <w:vAlign w:val="center"/>
                </w:tcPr>
                <w:p w14:paraId="143B64F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废水排放量</w:t>
                  </w:r>
                </w:p>
                <w:p w14:paraId="6C44B7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（万t/a）</w:t>
                  </w:r>
                </w:p>
              </w:tc>
              <w:tc>
                <w:tcPr>
                  <w:tcW w:w="393" w:type="pct"/>
                  <w:vMerge w:val="restart"/>
                  <w:vAlign w:val="center"/>
                </w:tcPr>
                <w:p w14:paraId="21A607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596" w:type="pct"/>
                  <w:vMerge w:val="restart"/>
                  <w:vAlign w:val="center"/>
                </w:tcPr>
                <w:p w14:paraId="324DAE8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342" w:type="pct"/>
                  <w:vMerge w:val="restart"/>
                  <w:vAlign w:val="center"/>
                </w:tcPr>
                <w:p w14:paraId="7424AF2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排放口类型</w:t>
                  </w:r>
                </w:p>
              </w:tc>
              <w:tc>
                <w:tcPr>
                  <w:tcW w:w="1663" w:type="pct"/>
                  <w:gridSpan w:val="3"/>
                  <w:vAlign w:val="center"/>
                </w:tcPr>
                <w:p w14:paraId="7E31DF8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受纳</w:t>
                  </w:r>
                  <w:r>
                    <w:rPr>
                      <w:rFonts w:hint="eastAsia" w:ascii="Times New Roman" w:hAnsi="Times New Roman" w:eastAsia="宋体" w:cs="Times New Roman"/>
                      <w:b/>
                      <w:bCs/>
                      <w:color w:val="auto"/>
                      <w:position w:val="-10"/>
                      <w:sz w:val="21"/>
                      <w:szCs w:val="21"/>
                      <w:highlight w:val="none"/>
                      <w:lang w:val="en-US" w:eastAsia="zh-CN" w:bidi="ar-SA"/>
                    </w:rPr>
                    <w:t>污水处理厂</w:t>
                  </w:r>
                  <w:r>
                    <w:rPr>
                      <w:rFonts w:ascii="Times New Roman" w:hAnsi="Times New Roman" w:eastAsia="宋体" w:cs="Times New Roman"/>
                      <w:b/>
                      <w:bCs/>
                      <w:color w:val="auto"/>
                      <w:position w:val="-10"/>
                      <w:sz w:val="21"/>
                      <w:szCs w:val="21"/>
                      <w:highlight w:val="none"/>
                      <w:lang w:val="en-US" w:eastAsia="zh-CN" w:bidi="ar-SA"/>
                    </w:rPr>
                    <w:t>信息</w:t>
                  </w:r>
                </w:p>
              </w:tc>
            </w:tr>
            <w:tr w14:paraId="19F51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0E0032C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401" w:type="pct"/>
                  <w:vMerge w:val="continue"/>
                  <w:vAlign w:val="center"/>
                </w:tcPr>
                <w:p w14:paraId="39CCC8F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418" w:type="pct"/>
                  <w:vAlign w:val="center"/>
                </w:tcPr>
                <w:p w14:paraId="39F97D4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经度</w:t>
                  </w:r>
                </w:p>
              </w:tc>
              <w:tc>
                <w:tcPr>
                  <w:tcW w:w="371" w:type="pct"/>
                  <w:vAlign w:val="center"/>
                </w:tcPr>
                <w:p w14:paraId="3936DD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纬度</w:t>
                  </w:r>
                </w:p>
              </w:tc>
              <w:tc>
                <w:tcPr>
                  <w:tcW w:w="533" w:type="pct"/>
                  <w:vMerge w:val="continue"/>
                  <w:vAlign w:val="center"/>
                </w:tcPr>
                <w:p w14:paraId="3BBB6E1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93" w:type="pct"/>
                  <w:vMerge w:val="continue"/>
                  <w:vAlign w:val="center"/>
                </w:tcPr>
                <w:p w14:paraId="7E8C468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596" w:type="pct"/>
                  <w:vMerge w:val="continue"/>
                  <w:vAlign w:val="center"/>
                </w:tcPr>
                <w:p w14:paraId="79A6E07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2" w:type="pct"/>
                  <w:vMerge w:val="continue"/>
                  <w:vAlign w:val="center"/>
                </w:tcPr>
                <w:p w14:paraId="127F733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2" w:type="pct"/>
                  <w:vAlign w:val="center"/>
                </w:tcPr>
                <w:p w14:paraId="7C87D94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名称</w:t>
                  </w:r>
                </w:p>
              </w:tc>
              <w:tc>
                <w:tcPr>
                  <w:tcW w:w="424" w:type="pct"/>
                  <w:vAlign w:val="center"/>
                </w:tcPr>
                <w:p w14:paraId="6B75F5F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污染物种类</w:t>
                  </w:r>
                </w:p>
              </w:tc>
              <w:tc>
                <w:tcPr>
                  <w:tcW w:w="896" w:type="pct"/>
                  <w:vAlign w:val="center"/>
                </w:tcPr>
                <w:p w14:paraId="5DDACC3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国家或</w:t>
                  </w:r>
                  <w:r>
                    <w:rPr>
                      <w:rFonts w:ascii="Times New Roman" w:hAnsi="Times New Roman" w:eastAsia="宋体" w:cs="Times New Roman"/>
                      <w:b/>
                      <w:bCs/>
                      <w:color w:val="auto"/>
                      <w:position w:val="-10"/>
                      <w:sz w:val="21"/>
                      <w:szCs w:val="21"/>
                      <w:highlight w:val="none"/>
                      <w:lang w:val="en-US" w:eastAsia="zh-CN" w:bidi="ar-SA"/>
                    </w:rPr>
                    <w:t>地方污</w:t>
                  </w:r>
                </w:p>
                <w:p w14:paraId="7BD9170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染物排放标准浓度限值/(mg/L)</w:t>
                  </w:r>
                </w:p>
              </w:tc>
            </w:tr>
            <w:tr w14:paraId="4DB25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restart"/>
                  <w:vAlign w:val="center"/>
                </w:tcPr>
                <w:p w14:paraId="397F437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DW000</w:t>
                  </w:r>
                  <w:r>
                    <w:rPr>
                      <w:rFonts w:ascii="Times New Roman" w:hAnsi="Times New Roman" w:eastAsia="宋体" w:cs="Times New Roman"/>
                      <w:color w:val="auto"/>
                      <w:position w:val="-10"/>
                      <w:sz w:val="21"/>
                      <w:szCs w:val="21"/>
                      <w:highlight w:val="none"/>
                      <w:lang w:val="en-US" w:eastAsia="zh-CN" w:bidi="ar-SA"/>
                    </w:rPr>
                    <w:t>1</w:t>
                  </w:r>
                </w:p>
              </w:tc>
              <w:tc>
                <w:tcPr>
                  <w:tcW w:w="401" w:type="pct"/>
                  <w:vMerge w:val="restart"/>
                  <w:vAlign w:val="center"/>
                </w:tcPr>
                <w:p w14:paraId="2C5E6A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生活废水排放口</w:t>
                  </w:r>
                </w:p>
              </w:tc>
              <w:tc>
                <w:tcPr>
                  <w:tcW w:w="418" w:type="pct"/>
                  <w:vMerge w:val="restart"/>
                  <w:vAlign w:val="center"/>
                </w:tcPr>
                <w:p w14:paraId="2AD8B9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113°25′1.60931″</w:t>
                  </w:r>
                </w:p>
              </w:tc>
              <w:tc>
                <w:tcPr>
                  <w:tcW w:w="371" w:type="pct"/>
                  <w:vMerge w:val="restart"/>
                  <w:vAlign w:val="center"/>
                </w:tcPr>
                <w:p w14:paraId="1994D1A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25°7′27.66505″</w:t>
                  </w:r>
                </w:p>
              </w:tc>
              <w:tc>
                <w:tcPr>
                  <w:tcW w:w="533" w:type="pct"/>
                  <w:vMerge w:val="restart"/>
                  <w:vAlign w:val="center"/>
                </w:tcPr>
                <w:p w14:paraId="0C109C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197</w:t>
                  </w:r>
                </w:p>
              </w:tc>
              <w:tc>
                <w:tcPr>
                  <w:tcW w:w="393" w:type="pct"/>
                  <w:vMerge w:val="restart"/>
                  <w:vAlign w:val="center"/>
                </w:tcPr>
                <w:p w14:paraId="01025B3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集中式工业污水处理厂</w:t>
                  </w:r>
                </w:p>
                <w:p w14:paraId="24633F4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restart"/>
                  <w:vAlign w:val="center"/>
                </w:tcPr>
                <w:p w14:paraId="5B8419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342" w:type="pct"/>
                  <w:vMerge w:val="restart"/>
                  <w:vAlign w:val="center"/>
                </w:tcPr>
                <w:p w14:paraId="4A6CD48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一般排放口</w:t>
                  </w:r>
                </w:p>
              </w:tc>
              <w:tc>
                <w:tcPr>
                  <w:tcW w:w="342" w:type="pct"/>
                  <w:vMerge w:val="restart"/>
                  <w:vAlign w:val="center"/>
                </w:tcPr>
                <w:p w14:paraId="28BCA72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园区污水处理厂</w:t>
                  </w:r>
                </w:p>
              </w:tc>
              <w:tc>
                <w:tcPr>
                  <w:tcW w:w="424" w:type="pct"/>
                  <w:vAlign w:val="center"/>
                </w:tcPr>
                <w:p w14:paraId="7893CEF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pH</w:t>
                  </w:r>
                </w:p>
              </w:tc>
              <w:tc>
                <w:tcPr>
                  <w:tcW w:w="896" w:type="pct"/>
                  <w:vAlign w:val="center"/>
                </w:tcPr>
                <w:p w14:paraId="3DE0B69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6~9</w:t>
                  </w:r>
                </w:p>
              </w:tc>
            </w:tr>
            <w:tr w14:paraId="41067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7421526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D41683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754B4C2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027F2F2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62E7659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BFED97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2A43A93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AFA01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15D3923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2C89545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COD</w:t>
                  </w:r>
                  <w:r>
                    <w:rPr>
                      <w:rFonts w:ascii="Times New Roman" w:hAnsi="Times New Roman" w:eastAsia="宋体" w:cs="Times New Roman"/>
                      <w:b w:val="0"/>
                      <w:bCs w:val="0"/>
                      <w:color w:val="auto"/>
                      <w:position w:val="-10"/>
                      <w:sz w:val="21"/>
                      <w:szCs w:val="21"/>
                      <w:highlight w:val="none"/>
                      <w:vertAlign w:val="subscript"/>
                      <w:lang w:val="en-US" w:eastAsia="zh-CN" w:bidi="ar-SA"/>
                    </w:rPr>
                    <w:t>Cr</w:t>
                  </w:r>
                </w:p>
              </w:tc>
              <w:tc>
                <w:tcPr>
                  <w:tcW w:w="896" w:type="pct"/>
                  <w:vAlign w:val="center"/>
                </w:tcPr>
                <w:p w14:paraId="1C8564F8">
                  <w:pPr>
                    <w:keepNext w:val="0"/>
                    <w:keepLines w:val="0"/>
                    <w:pageBreakBefore w:val="0"/>
                    <w:widowControl w:val="0"/>
                    <w:kinsoku/>
                    <w:overflowPunct/>
                    <w:topLinePunct w:val="0"/>
                    <w:bidi w:val="0"/>
                    <w:adjustRightInd/>
                    <w:snapToGrid/>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bCs/>
                      <w:color w:val="auto"/>
                      <w:sz w:val="21"/>
                      <w:szCs w:val="21"/>
                      <w:highlight w:val="none"/>
                    </w:rPr>
                    <w:t>3</w:t>
                  </w:r>
                  <w:r>
                    <w:rPr>
                      <w:rFonts w:hint="eastAsia" w:ascii="Times New Roman" w:hAnsi="Times New Roman" w:eastAsia="宋体" w:cs="Times New Roman"/>
                      <w:bCs/>
                      <w:color w:val="auto"/>
                      <w:sz w:val="21"/>
                      <w:szCs w:val="21"/>
                      <w:highlight w:val="none"/>
                      <w:lang w:val="en-US" w:eastAsia="zh-CN"/>
                    </w:rPr>
                    <w:t>00</w:t>
                  </w:r>
                </w:p>
              </w:tc>
            </w:tr>
            <w:tr w14:paraId="762DC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04438E2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7C800B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213A9D1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1A016AB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368524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60AB80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5541C74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27E722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6D329F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2477118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BOD</w:t>
                  </w:r>
                  <w:r>
                    <w:rPr>
                      <w:rFonts w:ascii="Times New Roman" w:hAnsi="Times New Roman" w:eastAsia="宋体" w:cs="Times New Roman"/>
                      <w:b w:val="0"/>
                      <w:bCs w:val="0"/>
                      <w:color w:val="auto"/>
                      <w:position w:val="-10"/>
                      <w:sz w:val="21"/>
                      <w:szCs w:val="21"/>
                      <w:highlight w:val="none"/>
                      <w:vertAlign w:val="subscript"/>
                      <w:lang w:val="en-US" w:eastAsia="zh-CN" w:bidi="ar-SA"/>
                    </w:rPr>
                    <w:t>5</w:t>
                  </w:r>
                </w:p>
              </w:tc>
              <w:tc>
                <w:tcPr>
                  <w:tcW w:w="896" w:type="pct"/>
                  <w:vAlign w:val="center"/>
                </w:tcPr>
                <w:p w14:paraId="48C27558">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150</w:t>
                  </w:r>
                </w:p>
              </w:tc>
            </w:tr>
            <w:tr w14:paraId="20551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5C4022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076C7CD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054E225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31D3ED3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159B1A4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0014C0A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03FA677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F1E0F1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7EB1CB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1B3BF5F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SS</w:t>
                  </w:r>
                </w:p>
              </w:tc>
              <w:tc>
                <w:tcPr>
                  <w:tcW w:w="896" w:type="pct"/>
                  <w:vAlign w:val="center"/>
                </w:tcPr>
                <w:p w14:paraId="7BD0A06C">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250</w:t>
                  </w:r>
                </w:p>
              </w:tc>
            </w:tr>
            <w:tr w14:paraId="5A2F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7A9FE2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23D9C49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300EB28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0BB863E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4854F6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E9E2CF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27F7FA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341E339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A60897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7AE845D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氨氮</w:t>
                  </w:r>
                </w:p>
              </w:tc>
              <w:tc>
                <w:tcPr>
                  <w:tcW w:w="896" w:type="pct"/>
                  <w:vAlign w:val="center"/>
                </w:tcPr>
                <w:p w14:paraId="595DD034">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40</w:t>
                  </w:r>
                </w:p>
              </w:tc>
            </w:tr>
            <w:tr w14:paraId="12AD0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1"/>
                  <w:vAlign w:val="center"/>
                </w:tcPr>
                <w:p w14:paraId="630D8892">
                  <w:pPr>
                    <w:keepNext w:val="0"/>
                    <w:keepLines w:val="0"/>
                    <w:pageBreakBefore w:val="0"/>
                    <w:widowControl w:val="0"/>
                    <w:kinsoku/>
                    <w:wordWrap w:val="0"/>
                    <w:overflowPunct/>
                    <w:topLinePunct w:val="0"/>
                    <w:autoSpaceDE w:val="0"/>
                    <w:autoSpaceDN w:val="0"/>
                    <w:bidi w:val="0"/>
                    <w:adjustRightInd/>
                    <w:snapToGrid/>
                    <w:spacing w:line="240" w:lineRule="auto"/>
                    <w:jc w:val="left"/>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注：项目废水排放执行广东省地方标准《水污染物排放限值》（DB44/26-2001）第二时段三级标准及园区污水处理厂接管水质要求两者较严值。</w:t>
                  </w:r>
                </w:p>
              </w:tc>
            </w:tr>
          </w:tbl>
          <w:p w14:paraId="28A1613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eastAsia" w:ascii="Times New Roman" w:hAnsi="Times New Roman" w:eastAsia="宋体" w:cs="Times New Roman"/>
                <w:b/>
                <w:color w:val="auto"/>
                <w:kern w:val="2"/>
                <w:sz w:val="21"/>
                <w:szCs w:val="21"/>
                <w:highlight w:val="none"/>
                <w:lang w:val="en-US" w:eastAsia="zh-CN" w:bidi="ar-SA"/>
              </w:rPr>
              <w:t>4-1</w:t>
            </w:r>
            <w:r>
              <w:rPr>
                <w:rFonts w:hint="eastAsia" w:cs="Times New Roman"/>
                <w:b/>
                <w:color w:val="auto"/>
                <w:kern w:val="2"/>
                <w:sz w:val="21"/>
                <w:szCs w:val="21"/>
                <w:highlight w:val="none"/>
                <w:lang w:val="en-US" w:eastAsia="zh-CN" w:bidi="ar-SA"/>
              </w:rPr>
              <w:t xml:space="preserve">4 </w:t>
            </w:r>
            <w:r>
              <w:rPr>
                <w:rFonts w:hint="default" w:ascii="Times New Roman" w:hAnsi="Times New Roman" w:eastAsia="宋体" w:cs="Times New Roman"/>
                <w:b/>
                <w:color w:val="auto"/>
                <w:kern w:val="2"/>
                <w:sz w:val="21"/>
                <w:szCs w:val="21"/>
                <w:highlight w:val="none"/>
                <w:lang w:val="en-US" w:eastAsia="zh-CN" w:bidi="ar-SA"/>
              </w:rPr>
              <w:t xml:space="preserve"> 废水污染物排放信息表</w:t>
            </w:r>
          </w:p>
          <w:tbl>
            <w:tblPr>
              <w:tblStyle w:val="4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4"/>
              <w:gridCol w:w="958"/>
              <w:gridCol w:w="1426"/>
              <w:gridCol w:w="1311"/>
              <w:gridCol w:w="1631"/>
              <w:gridCol w:w="1860"/>
            </w:tblGrid>
            <w:tr w14:paraId="2E81B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4BAE6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序号</w:t>
                  </w:r>
                </w:p>
              </w:tc>
              <w:tc>
                <w:tcPr>
                  <w:tcW w:w="610" w:type="pct"/>
                  <w:tcBorders>
                    <w:tl2br w:val="nil"/>
                    <w:tr2bl w:val="nil"/>
                  </w:tcBorders>
                  <w:shd w:val="clear" w:color="auto" w:fill="FFFFFF"/>
                  <w:vAlign w:val="center"/>
                </w:tcPr>
                <w:p w14:paraId="57EFAFE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排放口编号</w:t>
                  </w:r>
                </w:p>
              </w:tc>
              <w:tc>
                <w:tcPr>
                  <w:tcW w:w="909" w:type="pct"/>
                  <w:tcBorders>
                    <w:tl2br w:val="nil"/>
                    <w:tr2bl w:val="nil"/>
                  </w:tcBorders>
                  <w:shd w:val="clear" w:color="auto" w:fill="FFFFFF"/>
                  <w:vAlign w:val="center"/>
                </w:tcPr>
                <w:p w14:paraId="723A334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污染物种类</w:t>
                  </w:r>
                </w:p>
              </w:tc>
              <w:tc>
                <w:tcPr>
                  <w:tcW w:w="836" w:type="pct"/>
                  <w:tcBorders>
                    <w:tl2br w:val="nil"/>
                    <w:tr2bl w:val="nil"/>
                  </w:tcBorders>
                  <w:shd w:val="clear" w:color="auto" w:fill="FFFFFF"/>
                  <w:vAlign w:val="center"/>
                </w:tcPr>
                <w:p w14:paraId="7859B8A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排放浓度（</w:t>
                  </w:r>
                  <w:r>
                    <w:rPr>
                      <w:rFonts w:hint="default" w:ascii="Times New Roman" w:hAnsi="Times New Roman" w:eastAsia="宋体" w:cs="Times New Roman"/>
                      <w:b/>
                      <w:bCs/>
                      <w:color w:val="auto"/>
                      <w:kern w:val="0"/>
                      <w:sz w:val="21"/>
                      <w:szCs w:val="21"/>
                      <w:highlight w:val="none"/>
                    </w:rPr>
                    <w:t>mg/L</w:t>
                  </w:r>
                  <w:r>
                    <w:rPr>
                      <w:rFonts w:hint="default" w:ascii="Times New Roman" w:hAnsi="Times New Roman" w:eastAsia="宋体" w:cs="Times New Roman"/>
                      <w:b/>
                      <w:bCs/>
                      <w:color w:val="auto"/>
                      <w:sz w:val="21"/>
                      <w:szCs w:val="21"/>
                      <w:highlight w:val="none"/>
                      <w:u w:val="none"/>
                    </w:rPr>
                    <w:t>）</w:t>
                  </w:r>
                </w:p>
              </w:tc>
              <w:tc>
                <w:tcPr>
                  <w:tcW w:w="1040" w:type="pct"/>
                  <w:tcBorders>
                    <w:tl2br w:val="nil"/>
                    <w:tr2bl w:val="nil"/>
                  </w:tcBorders>
                  <w:shd w:val="clear" w:color="auto" w:fill="FFFFFF"/>
                  <w:vAlign w:val="center"/>
                </w:tcPr>
                <w:p w14:paraId="649527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rPr>
                    <w:t>全厂日排放量</w:t>
                  </w:r>
                  <w:r>
                    <w:rPr>
                      <w:rFonts w:hint="default" w:ascii="Times New Roman" w:hAnsi="Times New Roman" w:eastAsia="宋体" w:cs="Times New Roman"/>
                      <w:b/>
                      <w:bCs/>
                      <w:color w:val="auto"/>
                      <w:sz w:val="21"/>
                      <w:szCs w:val="21"/>
                      <w:highlight w:val="none"/>
                      <w:u w:val="none"/>
                    </w:rPr>
                    <w:t>（</w:t>
                  </w:r>
                  <w:r>
                    <w:rPr>
                      <w:rFonts w:hint="default" w:ascii="Times New Roman" w:hAnsi="Times New Roman" w:eastAsia="宋体" w:cs="Times New Roman"/>
                      <w:b/>
                      <w:bCs/>
                      <w:color w:val="auto"/>
                      <w:kern w:val="0"/>
                      <w:sz w:val="21"/>
                      <w:szCs w:val="21"/>
                      <w:highlight w:val="none"/>
                    </w:rPr>
                    <w:t>t/d</w:t>
                  </w:r>
                  <w:r>
                    <w:rPr>
                      <w:rFonts w:hint="default" w:ascii="Times New Roman" w:hAnsi="Times New Roman" w:eastAsia="宋体" w:cs="Times New Roman"/>
                      <w:b/>
                      <w:bCs/>
                      <w:color w:val="auto"/>
                      <w:sz w:val="21"/>
                      <w:szCs w:val="21"/>
                      <w:highlight w:val="none"/>
                      <w:u w:val="none"/>
                    </w:rPr>
                    <w:t>）</w:t>
                  </w:r>
                </w:p>
              </w:tc>
              <w:tc>
                <w:tcPr>
                  <w:tcW w:w="1186" w:type="pct"/>
                  <w:tcBorders>
                    <w:tl2br w:val="nil"/>
                    <w:tr2bl w:val="nil"/>
                  </w:tcBorders>
                  <w:shd w:val="clear" w:color="auto" w:fill="FFFFFF"/>
                  <w:vAlign w:val="center"/>
                </w:tcPr>
                <w:p w14:paraId="6468356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全厂年排放量</w:t>
                  </w:r>
                </w:p>
                <w:p w14:paraId="4261AC8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w:t>
                  </w:r>
                  <w:r>
                    <w:rPr>
                      <w:rFonts w:hint="default" w:ascii="Times New Roman" w:hAnsi="Times New Roman" w:eastAsia="宋体" w:cs="Times New Roman"/>
                      <w:b/>
                      <w:bCs/>
                      <w:color w:val="auto"/>
                      <w:kern w:val="0"/>
                      <w:sz w:val="21"/>
                      <w:szCs w:val="21"/>
                      <w:highlight w:val="none"/>
                    </w:rPr>
                    <w:t>t/a</w:t>
                  </w:r>
                  <w:r>
                    <w:rPr>
                      <w:rFonts w:hint="default" w:ascii="Times New Roman" w:hAnsi="Times New Roman" w:eastAsia="宋体" w:cs="Times New Roman"/>
                      <w:b/>
                      <w:bCs/>
                      <w:color w:val="auto"/>
                      <w:sz w:val="21"/>
                      <w:szCs w:val="21"/>
                      <w:highlight w:val="none"/>
                      <w:u w:val="none"/>
                    </w:rPr>
                    <w:t>）</w:t>
                  </w:r>
                </w:p>
              </w:tc>
            </w:tr>
            <w:tr w14:paraId="43B9C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2BC2E7E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w:t>
                  </w:r>
                </w:p>
              </w:tc>
              <w:tc>
                <w:tcPr>
                  <w:tcW w:w="610" w:type="pct"/>
                  <w:vMerge w:val="restart"/>
                  <w:tcBorders>
                    <w:tl2br w:val="nil"/>
                    <w:tr2bl w:val="nil"/>
                  </w:tcBorders>
                  <w:shd w:val="clear" w:color="auto" w:fill="FFFFFF"/>
                  <w:vAlign w:val="center"/>
                </w:tcPr>
                <w:p w14:paraId="605811F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DW001</w:t>
                  </w:r>
                </w:p>
              </w:tc>
              <w:tc>
                <w:tcPr>
                  <w:tcW w:w="909" w:type="pct"/>
                  <w:tcBorders>
                    <w:tl2br w:val="nil"/>
                    <w:tr2bl w:val="nil"/>
                  </w:tcBorders>
                  <w:shd w:val="clear" w:color="auto" w:fill="FFFFFF"/>
                  <w:vAlign w:val="center"/>
                </w:tcPr>
                <w:p w14:paraId="72620D6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COD</w:t>
                  </w:r>
                  <w:r>
                    <w:rPr>
                      <w:rFonts w:hint="default" w:ascii="Times New Roman" w:hAnsi="Times New Roman" w:eastAsia="宋体" w:cs="Times New Roman"/>
                      <w:color w:val="auto"/>
                      <w:kern w:val="0"/>
                      <w:sz w:val="21"/>
                      <w:szCs w:val="21"/>
                      <w:highlight w:val="none"/>
                      <w:vertAlign w:val="subscript"/>
                    </w:rPr>
                    <w:t>Cr</w:t>
                  </w:r>
                </w:p>
              </w:tc>
              <w:tc>
                <w:tcPr>
                  <w:tcW w:w="836" w:type="pct"/>
                  <w:tcBorders>
                    <w:tl2br w:val="nil"/>
                    <w:tr2bl w:val="nil"/>
                  </w:tcBorders>
                  <w:shd w:val="clear" w:color="auto" w:fill="FFFFFF"/>
                  <w:vAlign w:val="center"/>
                </w:tcPr>
                <w:p w14:paraId="6ECE4E9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200</w:t>
                  </w:r>
                </w:p>
              </w:tc>
              <w:tc>
                <w:tcPr>
                  <w:tcW w:w="1040" w:type="pct"/>
                  <w:tcBorders>
                    <w:tl2br w:val="nil"/>
                    <w:tr2bl w:val="nil"/>
                  </w:tcBorders>
                  <w:shd w:val="clear" w:color="auto" w:fill="FFFFFF"/>
                  <w:vAlign w:val="center"/>
                </w:tcPr>
                <w:p w14:paraId="3BA6FF2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w:t>
                  </w:r>
                  <w:r>
                    <w:rPr>
                      <w:rFonts w:hint="eastAsia" w:cs="Times New Roman"/>
                      <w:color w:val="auto"/>
                      <w:kern w:val="0"/>
                      <w:sz w:val="21"/>
                      <w:szCs w:val="21"/>
                      <w:highlight w:val="none"/>
                      <w:lang w:val="en-US" w:eastAsia="zh-CN"/>
                    </w:rPr>
                    <w:t>8</w:t>
                  </w:r>
                </w:p>
              </w:tc>
              <w:tc>
                <w:tcPr>
                  <w:tcW w:w="1861" w:type="dxa"/>
                  <w:tcBorders>
                    <w:tl2br w:val="nil"/>
                    <w:tr2bl w:val="nil"/>
                  </w:tcBorders>
                  <w:shd w:val="clear" w:color="auto" w:fill="FFFFFF"/>
                  <w:vAlign w:val="center"/>
                </w:tcPr>
                <w:p w14:paraId="2ED8AB5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r>
            <w:tr w14:paraId="2AB3F0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BB41EB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2</w:t>
                  </w:r>
                </w:p>
              </w:tc>
              <w:tc>
                <w:tcPr>
                  <w:tcW w:w="610" w:type="pct"/>
                  <w:vMerge w:val="continue"/>
                  <w:tcBorders>
                    <w:tl2br w:val="nil"/>
                    <w:tr2bl w:val="nil"/>
                  </w:tcBorders>
                  <w:shd w:val="clear" w:color="auto" w:fill="FFFFFF"/>
                  <w:vAlign w:val="center"/>
                </w:tcPr>
                <w:p w14:paraId="3053037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44FB5A4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BOD</w:t>
                  </w:r>
                  <w:r>
                    <w:rPr>
                      <w:rFonts w:hint="default" w:ascii="Times New Roman" w:hAnsi="Times New Roman" w:eastAsia="宋体" w:cs="Times New Roman"/>
                      <w:color w:val="auto"/>
                      <w:kern w:val="0"/>
                      <w:sz w:val="21"/>
                      <w:szCs w:val="21"/>
                      <w:highlight w:val="none"/>
                      <w:vertAlign w:val="subscript"/>
                    </w:rPr>
                    <w:t>5</w:t>
                  </w:r>
                </w:p>
              </w:tc>
              <w:tc>
                <w:tcPr>
                  <w:tcW w:w="836" w:type="pct"/>
                  <w:tcBorders>
                    <w:tl2br w:val="nil"/>
                    <w:tr2bl w:val="nil"/>
                  </w:tcBorders>
                  <w:shd w:val="clear" w:color="auto" w:fill="FFFFFF"/>
                  <w:vAlign w:val="center"/>
                </w:tcPr>
                <w:p w14:paraId="27EC64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78</w:t>
                  </w:r>
                </w:p>
              </w:tc>
              <w:tc>
                <w:tcPr>
                  <w:tcW w:w="1040" w:type="pct"/>
                  <w:tcBorders>
                    <w:tl2br w:val="nil"/>
                    <w:tr2bl w:val="nil"/>
                  </w:tcBorders>
                  <w:shd w:val="clear" w:color="auto" w:fill="FFFFFF"/>
                  <w:vAlign w:val="center"/>
                </w:tcPr>
                <w:p w14:paraId="796165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0.0003</w:t>
                  </w:r>
                </w:p>
              </w:tc>
              <w:tc>
                <w:tcPr>
                  <w:tcW w:w="1861" w:type="dxa"/>
                  <w:tcBorders>
                    <w:tl2br w:val="nil"/>
                    <w:tr2bl w:val="nil"/>
                  </w:tcBorders>
                  <w:shd w:val="clear" w:color="auto" w:fill="FFFFFF"/>
                  <w:vAlign w:val="center"/>
                </w:tcPr>
                <w:p w14:paraId="3368D9E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r>
            <w:tr w14:paraId="668CC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79A22C8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3</w:t>
                  </w:r>
                </w:p>
              </w:tc>
              <w:tc>
                <w:tcPr>
                  <w:tcW w:w="610" w:type="pct"/>
                  <w:vMerge w:val="continue"/>
                  <w:tcBorders>
                    <w:tl2br w:val="nil"/>
                    <w:tr2bl w:val="nil"/>
                  </w:tcBorders>
                  <w:shd w:val="clear" w:color="auto" w:fill="FFFFFF"/>
                  <w:vAlign w:val="center"/>
                </w:tcPr>
                <w:p w14:paraId="70B7C98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95A6A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SS</w:t>
                  </w:r>
                </w:p>
              </w:tc>
              <w:tc>
                <w:tcPr>
                  <w:tcW w:w="836" w:type="pct"/>
                  <w:tcBorders>
                    <w:tl2br w:val="nil"/>
                    <w:tr2bl w:val="nil"/>
                  </w:tcBorders>
                  <w:shd w:val="clear" w:color="auto" w:fill="FFFFFF"/>
                  <w:vAlign w:val="center"/>
                </w:tcPr>
                <w:p w14:paraId="0F50CA6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70</w:t>
                  </w:r>
                </w:p>
              </w:tc>
              <w:tc>
                <w:tcPr>
                  <w:tcW w:w="1040" w:type="pct"/>
                  <w:tcBorders>
                    <w:tl2br w:val="nil"/>
                    <w:tr2bl w:val="nil"/>
                  </w:tcBorders>
                  <w:shd w:val="clear" w:color="auto" w:fill="FFFFFF"/>
                  <w:vAlign w:val="center"/>
                </w:tcPr>
                <w:p w14:paraId="27109EB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0.003</w:t>
                  </w:r>
                </w:p>
              </w:tc>
              <w:tc>
                <w:tcPr>
                  <w:tcW w:w="1861" w:type="dxa"/>
                  <w:tcBorders>
                    <w:tl2br w:val="nil"/>
                    <w:tr2bl w:val="nil"/>
                  </w:tcBorders>
                  <w:shd w:val="clear" w:color="auto" w:fill="FFFFFF"/>
                  <w:vAlign w:val="center"/>
                </w:tcPr>
                <w:p w14:paraId="016BFDC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r>
            <w:tr w14:paraId="1E400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144E406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4</w:t>
                  </w:r>
                </w:p>
              </w:tc>
              <w:tc>
                <w:tcPr>
                  <w:tcW w:w="610" w:type="pct"/>
                  <w:vMerge w:val="continue"/>
                  <w:tcBorders>
                    <w:tl2br w:val="nil"/>
                    <w:tr2bl w:val="nil"/>
                  </w:tcBorders>
                  <w:shd w:val="clear" w:color="auto" w:fill="FFFFFF"/>
                  <w:vAlign w:val="center"/>
                </w:tcPr>
                <w:p w14:paraId="1682C69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17C89A6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氨氮</w:t>
                  </w:r>
                </w:p>
              </w:tc>
              <w:tc>
                <w:tcPr>
                  <w:tcW w:w="836" w:type="pct"/>
                  <w:tcBorders>
                    <w:tl2br w:val="nil"/>
                    <w:tr2bl w:val="nil"/>
                  </w:tcBorders>
                  <w:shd w:val="clear" w:color="auto" w:fill="FFFFFF"/>
                  <w:vAlign w:val="center"/>
                </w:tcPr>
                <w:p w14:paraId="37006BA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19</w:t>
                  </w:r>
                </w:p>
              </w:tc>
              <w:tc>
                <w:tcPr>
                  <w:tcW w:w="1040" w:type="pct"/>
                  <w:tcBorders>
                    <w:tl2br w:val="nil"/>
                    <w:tr2bl w:val="nil"/>
                  </w:tcBorders>
                  <w:shd w:val="clear" w:color="auto" w:fill="FFFFFF"/>
                  <w:vAlign w:val="center"/>
                </w:tcPr>
                <w:p w14:paraId="2429EC7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0.0000</w:t>
                  </w:r>
                  <w:r>
                    <w:rPr>
                      <w:rFonts w:hint="eastAsia" w:cs="Times New Roman"/>
                      <w:color w:val="auto"/>
                      <w:kern w:val="0"/>
                      <w:sz w:val="21"/>
                      <w:szCs w:val="21"/>
                      <w:highlight w:val="none"/>
                      <w:lang w:val="en-US" w:eastAsia="zh-CN"/>
                    </w:rPr>
                    <w:t>8</w:t>
                  </w:r>
                </w:p>
              </w:tc>
              <w:tc>
                <w:tcPr>
                  <w:tcW w:w="1861" w:type="dxa"/>
                  <w:tcBorders>
                    <w:tl2br w:val="nil"/>
                    <w:tr2bl w:val="nil"/>
                  </w:tcBorders>
                  <w:shd w:val="clear" w:color="auto" w:fill="FFFFFF"/>
                  <w:vAlign w:val="center"/>
                </w:tcPr>
                <w:p w14:paraId="43192DA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r>
            <w:tr w14:paraId="2AF7D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E00BD8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610" w:type="pct"/>
                  <w:vMerge w:val="continue"/>
                  <w:tcBorders>
                    <w:tl2br w:val="nil"/>
                    <w:tr2bl w:val="nil"/>
                  </w:tcBorders>
                  <w:shd w:val="clear" w:color="auto" w:fill="FFFFFF"/>
                  <w:vAlign w:val="center"/>
                </w:tcPr>
                <w:p w14:paraId="4B564DB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78929A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pH</w:t>
                  </w:r>
                </w:p>
              </w:tc>
              <w:tc>
                <w:tcPr>
                  <w:tcW w:w="836" w:type="pct"/>
                  <w:tcBorders>
                    <w:tl2br w:val="nil"/>
                    <w:tr2bl w:val="nil"/>
                  </w:tcBorders>
                  <w:shd w:val="clear" w:color="auto" w:fill="FFFFFF"/>
                  <w:vAlign w:val="center"/>
                </w:tcPr>
                <w:p w14:paraId="4936AB9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6~9</w:t>
                  </w:r>
                </w:p>
              </w:tc>
              <w:tc>
                <w:tcPr>
                  <w:tcW w:w="1040" w:type="pct"/>
                  <w:tcBorders>
                    <w:tl2br w:val="nil"/>
                    <w:tr2bl w:val="nil"/>
                  </w:tcBorders>
                  <w:shd w:val="clear" w:color="auto" w:fill="FFFFFF"/>
                  <w:vAlign w:val="center"/>
                </w:tcPr>
                <w:p w14:paraId="7A76B70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186" w:type="pct"/>
                  <w:tcBorders>
                    <w:tl2br w:val="nil"/>
                    <w:tr2bl w:val="nil"/>
                  </w:tcBorders>
                  <w:shd w:val="clear" w:color="auto" w:fill="FFFFFF"/>
                  <w:vAlign w:val="center"/>
                </w:tcPr>
                <w:p w14:paraId="109791E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14:paraId="430BB0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restart"/>
                  <w:tcBorders>
                    <w:tl2br w:val="nil"/>
                    <w:tr2bl w:val="nil"/>
                  </w:tcBorders>
                  <w:shd w:val="clear" w:color="auto" w:fill="FFFFFF"/>
                  <w:vAlign w:val="center"/>
                </w:tcPr>
                <w:p w14:paraId="087B1A1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全厂排放口合计</w:t>
                  </w:r>
                </w:p>
              </w:tc>
              <w:tc>
                <w:tcPr>
                  <w:tcW w:w="2785" w:type="pct"/>
                  <w:gridSpan w:val="3"/>
                  <w:tcBorders>
                    <w:tl2br w:val="nil"/>
                    <w:tr2bl w:val="nil"/>
                  </w:tcBorders>
                  <w:shd w:val="clear" w:color="auto" w:fill="FFFFFF"/>
                  <w:vAlign w:val="center"/>
                </w:tcPr>
                <w:p w14:paraId="795A7BA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COD</w:t>
                  </w:r>
                  <w:r>
                    <w:rPr>
                      <w:rFonts w:hint="default" w:ascii="Times New Roman" w:hAnsi="Times New Roman" w:eastAsia="宋体" w:cs="Times New Roman"/>
                      <w:color w:val="auto"/>
                      <w:kern w:val="0"/>
                      <w:sz w:val="21"/>
                      <w:szCs w:val="21"/>
                      <w:highlight w:val="none"/>
                      <w:vertAlign w:val="subscript"/>
                    </w:rPr>
                    <w:t>Cr</w:t>
                  </w:r>
                </w:p>
              </w:tc>
              <w:tc>
                <w:tcPr>
                  <w:tcW w:w="1861" w:type="dxa"/>
                  <w:tcBorders>
                    <w:tl2br w:val="nil"/>
                    <w:tr2bl w:val="nil"/>
                  </w:tcBorders>
                  <w:shd w:val="clear" w:color="auto" w:fill="FFFFFF"/>
                  <w:vAlign w:val="center"/>
                </w:tcPr>
                <w:p w14:paraId="383D392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r>
            <w:tr w14:paraId="1C6E7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425EF60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3D2C858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BOD</w:t>
                  </w:r>
                  <w:r>
                    <w:rPr>
                      <w:rFonts w:hint="default" w:ascii="Times New Roman" w:hAnsi="Times New Roman" w:eastAsia="宋体" w:cs="Times New Roman"/>
                      <w:color w:val="auto"/>
                      <w:kern w:val="0"/>
                      <w:sz w:val="21"/>
                      <w:szCs w:val="21"/>
                      <w:highlight w:val="none"/>
                      <w:vertAlign w:val="subscript"/>
                    </w:rPr>
                    <w:t>5</w:t>
                  </w:r>
                </w:p>
              </w:tc>
              <w:tc>
                <w:tcPr>
                  <w:tcW w:w="1861" w:type="dxa"/>
                  <w:tcBorders>
                    <w:tl2br w:val="nil"/>
                    <w:tr2bl w:val="nil"/>
                  </w:tcBorders>
                  <w:shd w:val="clear" w:color="auto" w:fill="FFFFFF"/>
                  <w:vAlign w:val="center"/>
                </w:tcPr>
                <w:p w14:paraId="205636B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r>
            <w:tr w14:paraId="2C09A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42A1AD3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833AA8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SS</w:t>
                  </w:r>
                </w:p>
              </w:tc>
              <w:tc>
                <w:tcPr>
                  <w:tcW w:w="1861" w:type="dxa"/>
                  <w:tcBorders>
                    <w:tl2br w:val="nil"/>
                    <w:tr2bl w:val="nil"/>
                  </w:tcBorders>
                  <w:shd w:val="clear" w:color="auto" w:fill="FFFFFF"/>
                  <w:vAlign w:val="center"/>
                </w:tcPr>
                <w:p w14:paraId="35E90D0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r>
            <w:tr w14:paraId="1A5749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312BE6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4192365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氨氮</w:t>
                  </w:r>
                </w:p>
              </w:tc>
              <w:tc>
                <w:tcPr>
                  <w:tcW w:w="1861" w:type="dxa"/>
                  <w:tcBorders>
                    <w:tl2br w:val="nil"/>
                    <w:tr2bl w:val="nil"/>
                  </w:tcBorders>
                  <w:shd w:val="clear" w:color="auto" w:fill="FFFFFF"/>
                  <w:vAlign w:val="center"/>
                </w:tcPr>
                <w:p w14:paraId="2C77B8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r>
            <w:tr w14:paraId="02552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7611D1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C1A025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pH</w:t>
                  </w:r>
                </w:p>
              </w:tc>
              <w:tc>
                <w:tcPr>
                  <w:tcW w:w="1186" w:type="pct"/>
                  <w:tcBorders>
                    <w:tl2br w:val="nil"/>
                    <w:tr2bl w:val="nil"/>
                  </w:tcBorders>
                  <w:shd w:val="clear" w:color="auto" w:fill="FFFFFF"/>
                  <w:vAlign w:val="center"/>
                </w:tcPr>
                <w:p w14:paraId="762056A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bl>
          <w:p w14:paraId="03B20FC2">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4</w:t>
            </w:r>
            <w:r>
              <w:rPr>
                <w:rFonts w:ascii="Times New Roman" w:hAnsi="Times New Roman" w:eastAsia="宋体" w:cs="Times New Roman"/>
                <w:b/>
                <w:bCs/>
                <w:color w:val="auto"/>
                <w:highlight w:val="none"/>
              </w:rPr>
              <w:t>、污染治理设施情况</w:t>
            </w:r>
          </w:p>
          <w:p w14:paraId="76318DD5">
            <w:pPr>
              <w:adjustRightInd w:val="0"/>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本项目位于园区污水处理厂纳污范围内，生活污水经三级化粪池预处理、生产废水经自建污水处理处理后经综合废水排放口DW001进入园区污水处理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处理。处理后达到广东省地方标准《水污染物排放限值》（DB44/26-2001）第二时段三级标准及园区污水处理厂接管水质要求两者较严值后排入园区污水处理厂</w:t>
            </w:r>
            <w:r>
              <w:rPr>
                <w:rFonts w:ascii="Times New Roman" w:hAnsi="Times New Roman" w:eastAsia="宋体" w:cs="Times New Roman"/>
                <w:color w:val="auto"/>
                <w:highlight w:val="none"/>
              </w:rPr>
              <w:t>。</w:t>
            </w:r>
          </w:p>
          <w:p w14:paraId="7A6A739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default" w:ascii="Times New Roman" w:hAnsi="Times New Roman" w:eastAsia="宋体" w:cs="Times New Roman"/>
                <w:b/>
                <w:color w:val="auto"/>
                <w:kern w:val="2"/>
                <w:sz w:val="21"/>
                <w:szCs w:val="21"/>
                <w:highlight w:val="none"/>
                <w:lang w:val="en-US" w:eastAsia="zh-CN" w:bidi="ar-SA"/>
              </w:rPr>
              <w:fldChar w:fldCharType="begin"/>
            </w:r>
            <w:r>
              <w:rPr>
                <w:rFonts w:hint="default" w:ascii="Times New Roman" w:hAnsi="Times New Roman" w:eastAsia="宋体" w:cs="Times New Roman"/>
                <w:b/>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color w:val="auto"/>
                <w:kern w:val="2"/>
                <w:sz w:val="21"/>
                <w:szCs w:val="21"/>
                <w:highlight w:val="none"/>
                <w:lang w:val="en-US" w:eastAsia="zh-CN" w:bidi="ar-SA"/>
              </w:rPr>
              <w:fldChar w:fldCharType="separate"/>
            </w:r>
            <w:r>
              <w:rPr>
                <w:rFonts w:hint="default"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eastAsia="宋体" w:cs="Times New Roman"/>
                <w:b/>
                <w:color w:val="auto"/>
                <w:kern w:val="2"/>
                <w:sz w:val="21"/>
                <w:szCs w:val="21"/>
                <w:highlight w:val="none"/>
                <w:lang w:val="en-US" w:eastAsia="zh-CN" w:bidi="ar-SA"/>
              </w:rPr>
              <w:fldChar w:fldCharType="end"/>
            </w:r>
            <w:r>
              <w:rPr>
                <w:rFonts w:hint="default" w:ascii="Times New Roman" w:hAnsi="Times New Roman" w:eastAsia="宋体" w:cs="Times New Roman"/>
                <w:b/>
                <w:color w:val="auto"/>
                <w:kern w:val="2"/>
                <w:sz w:val="21"/>
                <w:szCs w:val="21"/>
                <w:highlight w:val="none"/>
                <w:lang w:val="en-US" w:eastAsia="zh-CN" w:bidi="ar-SA"/>
              </w:rPr>
              <w:t>-</w:t>
            </w:r>
            <w:r>
              <w:rPr>
                <w:rFonts w:hint="eastAsia" w:ascii="Times New Roman" w:hAnsi="Times New Roman" w:eastAsia="宋体" w:cs="Times New Roman"/>
                <w:b/>
                <w:color w:val="auto"/>
                <w:kern w:val="2"/>
                <w:sz w:val="21"/>
                <w:szCs w:val="21"/>
                <w:highlight w:val="none"/>
                <w:lang w:val="en-US" w:eastAsia="zh-CN" w:bidi="ar-SA"/>
              </w:rPr>
              <w:t>1</w:t>
            </w:r>
            <w:r>
              <w:rPr>
                <w:rFonts w:hint="eastAsia"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废水类别、污染物及污染治理设施信息表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93"/>
              <w:gridCol w:w="1150"/>
              <w:gridCol w:w="820"/>
              <w:gridCol w:w="1015"/>
              <w:gridCol w:w="812"/>
              <w:gridCol w:w="621"/>
              <w:gridCol w:w="621"/>
              <w:gridCol w:w="450"/>
              <w:gridCol w:w="928"/>
              <w:gridCol w:w="1033"/>
            </w:tblGrid>
            <w:tr w14:paraId="19B76A7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0" w:type="auto"/>
                  <w:vMerge w:val="restart"/>
                  <w:vAlign w:val="center"/>
                </w:tcPr>
                <w:p w14:paraId="35FEFD5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废水类别</w:t>
                  </w:r>
                </w:p>
              </w:tc>
              <w:tc>
                <w:tcPr>
                  <w:tcW w:w="1150" w:type="dxa"/>
                  <w:vMerge w:val="restart"/>
                  <w:vAlign w:val="center"/>
                </w:tcPr>
                <w:p w14:paraId="2DFE54C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污染物种类</w:t>
                  </w:r>
                </w:p>
              </w:tc>
              <w:tc>
                <w:tcPr>
                  <w:tcW w:w="820" w:type="dxa"/>
                  <w:vMerge w:val="restart"/>
                  <w:vAlign w:val="center"/>
                </w:tcPr>
                <w:p w14:paraId="558A5B5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1015" w:type="dxa"/>
                  <w:vMerge w:val="restart"/>
                  <w:vAlign w:val="center"/>
                </w:tcPr>
                <w:p w14:paraId="458BFE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2054" w:type="dxa"/>
                  <w:gridSpan w:val="3"/>
                  <w:vAlign w:val="center"/>
                </w:tcPr>
                <w:p w14:paraId="1D0FD5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w:t>
                  </w:r>
                </w:p>
              </w:tc>
              <w:tc>
                <w:tcPr>
                  <w:tcW w:w="0" w:type="auto"/>
                  <w:vMerge w:val="restart"/>
                  <w:vAlign w:val="center"/>
                </w:tcPr>
                <w:p w14:paraId="0EB176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0" w:type="auto"/>
                  <w:vMerge w:val="restart"/>
                  <w:vAlign w:val="center"/>
                </w:tcPr>
                <w:p w14:paraId="2E7AB5D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排放口设置是否符合要求</w:t>
                  </w:r>
                </w:p>
              </w:tc>
              <w:tc>
                <w:tcPr>
                  <w:tcW w:w="0" w:type="auto"/>
                  <w:vMerge w:val="restart"/>
                  <w:vAlign w:val="center"/>
                </w:tcPr>
                <w:p w14:paraId="0BDF62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排放口类型</w:t>
                  </w:r>
                </w:p>
              </w:tc>
            </w:tr>
            <w:tr w14:paraId="4336D19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0" w:type="auto"/>
                  <w:vMerge w:val="continue"/>
                  <w:vAlign w:val="center"/>
                </w:tcPr>
                <w:p w14:paraId="5C7B122E">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150" w:type="dxa"/>
                  <w:vMerge w:val="continue"/>
                  <w:vAlign w:val="center"/>
                </w:tcPr>
                <w:p w14:paraId="0DB134F0">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20" w:type="dxa"/>
                  <w:vMerge w:val="continue"/>
                  <w:vAlign w:val="center"/>
                </w:tcPr>
                <w:p w14:paraId="562B8C67">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015" w:type="dxa"/>
                  <w:vMerge w:val="continue"/>
                  <w:vAlign w:val="center"/>
                </w:tcPr>
                <w:p w14:paraId="305B07C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12" w:type="dxa"/>
                  <w:vAlign w:val="center"/>
                </w:tcPr>
                <w:p w14:paraId="3B6B635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污染治理设施编号</w:t>
                  </w:r>
                </w:p>
              </w:tc>
              <w:tc>
                <w:tcPr>
                  <w:tcW w:w="0" w:type="auto"/>
                  <w:vAlign w:val="center"/>
                </w:tcPr>
                <w:p w14:paraId="38A5681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污染治理设施名称</w:t>
                  </w:r>
                </w:p>
              </w:tc>
              <w:tc>
                <w:tcPr>
                  <w:tcW w:w="0" w:type="auto"/>
                  <w:vAlign w:val="center"/>
                </w:tcPr>
                <w:p w14:paraId="76FDF99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污染治理设施工艺</w:t>
                  </w:r>
                </w:p>
              </w:tc>
              <w:tc>
                <w:tcPr>
                  <w:tcW w:w="0" w:type="auto"/>
                  <w:vMerge w:val="continue"/>
                  <w:vAlign w:val="center"/>
                </w:tcPr>
                <w:p w14:paraId="5347B18F">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0" w:type="auto"/>
                  <w:vMerge w:val="continue"/>
                  <w:vAlign w:val="center"/>
                </w:tcPr>
                <w:p w14:paraId="146A1D3A">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0" w:type="auto"/>
                  <w:vMerge w:val="continue"/>
                  <w:vAlign w:val="center"/>
                </w:tcPr>
                <w:p w14:paraId="48A3E4B1">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r>
            <w:tr w14:paraId="3965B7A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0" w:type="auto"/>
                  <w:vAlign w:val="center"/>
                </w:tcPr>
                <w:p w14:paraId="3825199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生活污水</w:t>
                  </w:r>
                </w:p>
              </w:tc>
              <w:tc>
                <w:tcPr>
                  <w:tcW w:w="1150" w:type="dxa"/>
                  <w:vAlign w:val="center"/>
                </w:tcPr>
                <w:p w14:paraId="44C43D6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pH、</w:t>
                  </w: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r>
                    <w:rPr>
                      <w:rFonts w:ascii="Times New Roman" w:hAnsi="Times New Roman" w:eastAsia="宋体" w:cs="Times New Roman"/>
                      <w:color w:val="auto"/>
                      <w:position w:val="-10"/>
                      <w:sz w:val="21"/>
                      <w:szCs w:val="21"/>
                      <w:highlight w:val="none"/>
                      <w:lang w:val="en-US" w:eastAsia="zh-CN" w:bidi="ar-SA"/>
                    </w:rPr>
                    <w:t>、SS</w:t>
                  </w:r>
                  <w:r>
                    <w:rPr>
                      <w:rFonts w:hint="eastAsia" w:ascii="Times New Roman" w:hAnsi="Times New Roman" w:eastAsia="宋体" w:cs="Times New Roman"/>
                      <w:color w:val="auto"/>
                      <w:position w:val="-10"/>
                      <w:sz w:val="21"/>
                      <w:szCs w:val="21"/>
                      <w:highlight w:val="none"/>
                      <w:lang w:val="en-US" w:eastAsia="zh-CN" w:bidi="ar-SA"/>
                    </w:rPr>
                    <w:t>、氨氮</w:t>
                  </w:r>
                </w:p>
              </w:tc>
              <w:tc>
                <w:tcPr>
                  <w:tcW w:w="820" w:type="dxa"/>
                  <w:vAlign w:val="center"/>
                </w:tcPr>
                <w:p w14:paraId="777323F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进入园区污水处理厂</w:t>
                  </w:r>
                </w:p>
              </w:tc>
              <w:tc>
                <w:tcPr>
                  <w:tcW w:w="1015" w:type="dxa"/>
                  <w:vAlign w:val="center"/>
                </w:tcPr>
                <w:p w14:paraId="4F0CB7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812" w:type="dxa"/>
                  <w:vAlign w:val="center"/>
                </w:tcPr>
                <w:p w14:paraId="0C9934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TW001</w:t>
                  </w:r>
                </w:p>
              </w:tc>
              <w:tc>
                <w:tcPr>
                  <w:tcW w:w="0" w:type="auto"/>
                  <w:vAlign w:val="center"/>
                </w:tcPr>
                <w:p w14:paraId="080F3D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三级</w:t>
                  </w:r>
                  <w:r>
                    <w:rPr>
                      <w:rFonts w:ascii="Times New Roman" w:hAnsi="Times New Roman" w:eastAsia="宋体" w:cs="Times New Roman"/>
                      <w:color w:val="auto"/>
                      <w:position w:val="-10"/>
                      <w:sz w:val="21"/>
                      <w:szCs w:val="21"/>
                      <w:highlight w:val="none"/>
                      <w:lang w:val="en-US" w:eastAsia="zh-CN" w:bidi="ar-SA"/>
                    </w:rPr>
                    <w:t>化粪池</w:t>
                  </w:r>
                </w:p>
              </w:tc>
              <w:tc>
                <w:tcPr>
                  <w:tcW w:w="0" w:type="auto"/>
                  <w:vAlign w:val="center"/>
                </w:tcPr>
                <w:p w14:paraId="4C024E7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化粪池</w:t>
                  </w:r>
                </w:p>
              </w:tc>
              <w:tc>
                <w:tcPr>
                  <w:tcW w:w="0" w:type="auto"/>
                  <w:vAlign w:val="center"/>
                </w:tcPr>
                <w:p w14:paraId="5989CE8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0" w:type="auto"/>
                  <w:vAlign w:val="center"/>
                </w:tcPr>
                <w:p w14:paraId="7390386D">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是</w:t>
                  </w:r>
                </w:p>
                <w:p w14:paraId="22BF2FDF">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否</w:t>
                  </w:r>
                </w:p>
              </w:tc>
              <w:tc>
                <w:tcPr>
                  <w:tcW w:w="0" w:type="auto"/>
                  <w:vAlign w:val="center"/>
                </w:tcPr>
                <w:p w14:paraId="00633CCE">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企业总排</w:t>
                  </w:r>
                </w:p>
                <w:p w14:paraId="6596C2F1">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雨水排放</w:t>
                  </w:r>
                </w:p>
                <w:p w14:paraId="54C4B3C8">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清净下水排放</w:t>
                  </w:r>
                </w:p>
                <w:p w14:paraId="645E2B68">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温排水排放</w:t>
                  </w:r>
                </w:p>
                <w:p w14:paraId="67076835">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车间或车间处理设施排放口</w:t>
                  </w:r>
                </w:p>
              </w:tc>
            </w:tr>
          </w:tbl>
          <w:p w14:paraId="268D4991">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5</w:t>
            </w:r>
            <w:r>
              <w:rPr>
                <w:rFonts w:ascii="Times New Roman" w:hAnsi="Times New Roman" w:eastAsia="宋体" w:cs="Times New Roman"/>
                <w:b/>
                <w:bCs/>
                <w:color w:val="auto"/>
                <w:highlight w:val="none"/>
              </w:rPr>
              <w:t>、达标情况分析</w:t>
            </w:r>
          </w:p>
          <w:p w14:paraId="11315A39">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（1）可行性技术分析</w:t>
            </w:r>
          </w:p>
          <w:p w14:paraId="7CB29C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参考环境保护部发布的环境保护技术文件：《村镇生活污染防治最佳可行技术指南（试行）》（HJ-BAT-9），三格式化粪池为生活污水可行治理技术，本项目生活污水经三级化粪池处理后排入园区污水处理厂处理。因此，本项目纳入园区污水处理厂处理从技术上是完全可行的。</w:t>
            </w:r>
          </w:p>
          <w:p w14:paraId="368E54E3">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（2）水污染物控制和水环境影响减缓措施有效性评价</w:t>
            </w:r>
          </w:p>
          <w:p w14:paraId="434C1C8C">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本项目位于广东省韶关市乐昌市乐昌产业转移工业园内，属于园区污水处理范围。项目</w:t>
            </w:r>
            <w:r>
              <w:rPr>
                <w:rFonts w:ascii="Times New Roman" w:hAnsi="Times New Roman" w:eastAsia="宋体" w:cs="Times New Roman"/>
                <w:color w:val="auto"/>
                <w:kern w:val="2"/>
                <w:sz w:val="24"/>
                <w:szCs w:val="24"/>
                <w:highlight w:val="none"/>
                <w:lang w:val="en-US" w:eastAsia="zh-CN" w:bidi="ar-SA"/>
              </w:rPr>
              <w:t>生活污水经三级化粪池预处理后</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进入</w:t>
            </w:r>
            <w:r>
              <w:rPr>
                <w:rFonts w:hint="eastAsia" w:ascii="Times New Roman" w:hAnsi="Times New Roman" w:eastAsia="宋体" w:cs="Times New Roman"/>
                <w:color w:val="auto"/>
                <w:kern w:val="2"/>
                <w:sz w:val="24"/>
                <w:szCs w:val="24"/>
                <w:highlight w:val="none"/>
                <w:lang w:val="en-US" w:eastAsia="zh-CN" w:bidi="ar-SA"/>
              </w:rPr>
              <w:t>园区</w:t>
            </w:r>
            <w:r>
              <w:rPr>
                <w:rFonts w:ascii="Times New Roman" w:hAnsi="Times New Roman" w:eastAsia="宋体" w:cs="Times New Roman"/>
                <w:color w:val="auto"/>
                <w:kern w:val="2"/>
                <w:sz w:val="24"/>
                <w:szCs w:val="24"/>
                <w:highlight w:val="none"/>
                <w:lang w:val="en-US" w:eastAsia="zh-CN" w:bidi="ar-SA"/>
              </w:rPr>
              <w:t>污水处理厂</w:t>
            </w:r>
            <w:r>
              <w:rPr>
                <w:rFonts w:hint="eastAsia" w:ascii="Times New Roman" w:hAnsi="Times New Roman" w:eastAsia="宋体" w:cs="Times New Roman"/>
                <w:color w:val="auto"/>
                <w:kern w:val="2"/>
                <w:sz w:val="24"/>
                <w:szCs w:val="24"/>
                <w:highlight w:val="none"/>
                <w:lang w:val="en-US" w:eastAsia="zh-CN" w:bidi="ar-SA"/>
              </w:rPr>
              <w:t>深度</w:t>
            </w:r>
            <w:r>
              <w:rPr>
                <w:rFonts w:ascii="Times New Roman" w:hAnsi="Times New Roman" w:eastAsia="宋体" w:cs="Times New Roman"/>
                <w:color w:val="auto"/>
                <w:kern w:val="2"/>
                <w:sz w:val="24"/>
                <w:szCs w:val="24"/>
                <w:highlight w:val="none"/>
                <w:lang w:val="en-US" w:eastAsia="zh-CN" w:bidi="ar-SA"/>
              </w:rPr>
              <w:t>处理</w:t>
            </w:r>
            <w:r>
              <w:rPr>
                <w:rFonts w:hint="eastAsia" w:ascii="Times New Roman" w:hAnsi="Times New Roman" w:eastAsia="宋体" w:cs="Times New Roman"/>
                <w:color w:val="auto"/>
                <w:kern w:val="2"/>
                <w:sz w:val="24"/>
                <w:szCs w:val="24"/>
                <w:highlight w:val="none"/>
                <w:lang w:val="en-US" w:eastAsia="zh-CN" w:bidi="ar-SA"/>
              </w:rPr>
              <w:t>，处理后的尾水排入</w:t>
            </w:r>
            <w:r>
              <w:rPr>
                <w:rFonts w:ascii="Times New Roman" w:hAnsi="Times New Roman" w:eastAsia="宋体" w:cs="Times New Roman"/>
                <w:color w:val="auto"/>
                <w:kern w:val="2"/>
                <w:sz w:val="24"/>
                <w:szCs w:val="24"/>
                <w:highlight w:val="none"/>
                <w:lang w:val="en-US" w:eastAsia="zh-CN" w:bidi="ar-SA"/>
              </w:rPr>
              <w:t>武江（乐昌城-犁市</w:t>
            </w:r>
            <w:r>
              <w:rPr>
                <w:rFonts w:hint="eastAsia" w:ascii="Times New Roman" w:hAnsi="Times New Roman" w:eastAsia="宋体" w:cs="Times New Roman"/>
                <w:color w:val="auto"/>
                <w:kern w:val="2"/>
                <w:sz w:val="24"/>
                <w:szCs w:val="24"/>
                <w:highlight w:val="none"/>
                <w:lang w:val="en-US" w:eastAsia="zh-CN" w:bidi="ar-SA"/>
              </w:rPr>
              <w:t>河段）</w:t>
            </w:r>
            <w:r>
              <w:rPr>
                <w:rFonts w:ascii="Times New Roman" w:hAnsi="Times New Roman" w:eastAsia="宋体" w:cs="Times New Roman"/>
                <w:color w:val="auto"/>
                <w:kern w:val="2"/>
                <w:sz w:val="24"/>
                <w:szCs w:val="24"/>
                <w:highlight w:val="none"/>
                <w:lang w:val="en-US" w:eastAsia="zh-CN" w:bidi="ar-SA"/>
              </w:rPr>
              <w:t>。</w:t>
            </w:r>
          </w:p>
          <w:p w14:paraId="2AD596DE">
            <w:pPr>
              <w:widowControl w:val="0"/>
              <w:wordWrap w:val="0"/>
              <w:spacing w:line="360" w:lineRule="auto"/>
              <w:ind w:firstLine="480" w:firstLineChars="200"/>
              <w:jc w:val="both"/>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园区污水处理厂出水水质执行《城镇污水处理厂污染物排放标准》（</w:t>
            </w:r>
            <w:r>
              <w:rPr>
                <w:rFonts w:ascii="Times New Roman" w:hAnsi="Times New Roman" w:eastAsia="宋体" w:cs="Times New Roman"/>
                <w:color w:val="auto"/>
                <w:kern w:val="0"/>
                <w:sz w:val="24"/>
                <w:szCs w:val="24"/>
                <w:highlight w:val="none"/>
                <w:lang w:val="en-US" w:eastAsia="zh-CN"/>
              </w:rPr>
              <w:t>GB18918-2002</w:t>
            </w:r>
            <w:r>
              <w:rPr>
                <w:rFonts w:hint="eastAsia" w:ascii="宋体" w:hAnsi="宋体" w:eastAsia="宋体" w:cs="宋体"/>
                <w:color w:val="auto"/>
                <w:kern w:val="0"/>
                <w:sz w:val="24"/>
                <w:szCs w:val="24"/>
                <w:highlight w:val="none"/>
                <w:lang w:val="en-US" w:eastAsia="zh-CN"/>
              </w:rPr>
              <w:t>）中一级</w:t>
            </w:r>
            <w:r>
              <w:rPr>
                <w:rFonts w:ascii="Times New Roman" w:hAnsi="Times New Roman" w:eastAsia="宋体" w:cs="Times New Roman"/>
                <w:color w:val="auto"/>
                <w:kern w:val="0"/>
                <w:sz w:val="24"/>
                <w:szCs w:val="24"/>
                <w:highlight w:val="none"/>
                <w:lang w:val="en-US" w:eastAsia="zh-CN"/>
              </w:rPr>
              <w:t>B</w:t>
            </w:r>
            <w:r>
              <w:rPr>
                <w:rFonts w:hint="eastAsia" w:ascii="宋体" w:hAnsi="宋体" w:eastAsia="宋体" w:cs="宋体"/>
                <w:color w:val="auto"/>
                <w:kern w:val="0"/>
                <w:sz w:val="24"/>
                <w:szCs w:val="24"/>
                <w:highlight w:val="none"/>
                <w:lang w:val="en-US" w:eastAsia="zh-CN"/>
              </w:rPr>
              <w:t>标准和广东省《水污染物排放限值》（</w:t>
            </w:r>
            <w:r>
              <w:rPr>
                <w:rFonts w:ascii="Times New Roman" w:hAnsi="Times New Roman" w:eastAsia="宋体" w:cs="Times New Roman"/>
                <w:color w:val="auto"/>
                <w:kern w:val="0"/>
                <w:sz w:val="24"/>
                <w:szCs w:val="24"/>
                <w:highlight w:val="none"/>
                <w:lang w:val="en-US" w:eastAsia="zh-CN"/>
              </w:rPr>
              <w:t>DB44/26-2001</w:t>
            </w:r>
            <w:r>
              <w:rPr>
                <w:rFonts w:hint="eastAsia" w:ascii="宋体" w:hAnsi="宋体" w:eastAsia="宋体" w:cs="宋体"/>
                <w:color w:val="auto"/>
                <w:kern w:val="0"/>
                <w:sz w:val="24"/>
                <w:szCs w:val="24"/>
                <w:highlight w:val="none"/>
                <w:lang w:val="en-US" w:eastAsia="zh-CN"/>
              </w:rPr>
              <w:t>）中的第二时段一级排放标准较严者，对周围环境影响较小。</w:t>
            </w:r>
          </w:p>
          <w:p w14:paraId="4CFB1E21">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3</w:t>
            </w:r>
            <w:r>
              <w:rPr>
                <w:rFonts w:ascii="Times New Roman" w:hAnsi="Times New Roman" w:eastAsia="宋体" w:cs="Times New Roman"/>
                <w:b/>
                <w:bCs/>
                <w:color w:val="auto"/>
                <w:kern w:val="2"/>
                <w:sz w:val="24"/>
                <w:szCs w:val="24"/>
                <w:highlight w:val="none"/>
                <w:lang w:val="en-US" w:eastAsia="zh-CN" w:bidi="ar-SA"/>
              </w:rPr>
              <w:t>）依托污水设施的环境可行性评价</w:t>
            </w:r>
          </w:p>
          <w:p w14:paraId="50D61A14">
            <w:pPr>
              <w:widowControl w:val="0"/>
              <w:wordWrap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范围内已有乐昌产业转移工业园污水处理厂，根据乐昌产业转移工业园管网分布图（附图16）可知，本项目所在地块已纳入现状排污管收集范围内。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7D6478A6">
            <w:pPr>
              <w:widowControl w:val="0"/>
              <w:wordWrap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 F-后，预处理达到广东省《水污染排放限值》(DB44/26-2001)第二时段三级标准。</w:t>
            </w:r>
          </w:p>
          <w:p w14:paraId="7560E5AF">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产业园污水处理厂目前已建成正常运行，并安装了在线监控设施并与环保部门联网，园区污水处理厂占地面积15400m²，设计处理能力为10000m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/d，分两期建设，一期处理能力5000m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/d，二期处理能力5000m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/d，现状首期5000m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/d已经建成运行。</w:t>
            </w:r>
          </w:p>
          <w:p w14:paraId="45122F87">
            <w:pPr>
              <w:keepNext w:val="0"/>
              <w:keepLines w:val="0"/>
              <w:widowControl/>
              <w:suppressLineNumbers w:val="0"/>
              <w:ind w:firstLine="480" w:firstLineChars="200"/>
              <w:jc w:val="both"/>
              <w:rPr>
                <w:rFonts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rPr>
              <w:t>根据《乐昌产业转移工业园污水处理厂2022年排污许可证执行报告》2021年乐昌产业转移工业园污水处理厂年处理废水56.7991万吨，日处理量约为1556.14t/d，则剩余能力有3443.86t/d。</w:t>
            </w:r>
          </w:p>
          <w:p w14:paraId="51CBD8E4">
            <w:pPr>
              <w:widowControl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本项目纳入污水处理厂的污水排放量为4.</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/d，仅占剩余处理能力的0.137%。污水中的污染物主要为SS、CODcr、BOD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、NH</w:t>
            </w:r>
            <w:r>
              <w:rPr>
                <w:rFonts w:hint="eastAsia" w:ascii="Times New Roman" w:hAnsi="Times New Roman" w:eastAsia="宋体" w:cs="Times New Roman"/>
                <w:color w:val="auto"/>
                <w:kern w:val="2"/>
                <w:sz w:val="24"/>
                <w:szCs w:val="24"/>
                <w:highlight w:val="none"/>
                <w:vertAlign w:val="sub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-N等，污染物种类较简单，根据前面分析，园区污水处理厂剩余污水处理能力完全可以容纳处理本项目排入的污水，因此，本项目产生的污水经预处理后排入园区污水处理厂处理具有环境可行性。</w:t>
            </w:r>
          </w:p>
          <w:p w14:paraId="08ED6B37">
            <w:pPr>
              <w:widowControl w:val="0"/>
              <w:spacing w:line="360" w:lineRule="auto"/>
              <w:jc w:val="center"/>
              <w:rPr>
                <w:rFonts w:ascii="Times New Roman" w:hAnsi="Times New Roman" w:eastAsia="宋体" w:cs="Times New Roman"/>
                <w:color w:val="auto"/>
                <w:kern w:val="2"/>
                <w:sz w:val="24"/>
                <w:szCs w:val="28"/>
                <w:highlight w:val="none"/>
                <w:lang w:val="en-US" w:eastAsia="zh-CN" w:bidi="ar-SA"/>
              </w:rPr>
            </w:pPr>
            <w:r>
              <w:rPr>
                <w:rFonts w:ascii="Times New Roman" w:hAnsi="Times New Roman" w:eastAsia="宋体" w:cs="Times New Roman"/>
                <w:color w:val="auto"/>
                <w:kern w:val="2"/>
                <w:sz w:val="24"/>
                <w:szCs w:val="28"/>
                <w:highlight w:val="none"/>
                <w:lang w:val="en-US" w:eastAsia="zh-CN" w:bidi="ar-SA"/>
              </w:rPr>
              <w:drawing>
                <wp:inline distT="0" distB="0" distL="0" distR="0">
                  <wp:extent cx="4521835" cy="1967865"/>
                  <wp:effectExtent l="9525" t="9525" r="21590" b="22225"/>
                  <wp:docPr id="1055" name="图片 4"/>
                  <wp:cNvGraphicFramePr/>
                  <a:graphic xmlns:a="http://schemas.openxmlformats.org/drawingml/2006/main">
                    <a:graphicData uri="http://schemas.openxmlformats.org/drawingml/2006/picture">
                      <pic:pic xmlns:pic="http://schemas.openxmlformats.org/drawingml/2006/picture">
                        <pic:nvPicPr>
                          <pic:cNvPr id="1055" name="图片 4"/>
                          <pic:cNvPicPr/>
                        </pic:nvPicPr>
                        <pic:blipFill>
                          <a:blip r:embed="rId28" cstate="print"/>
                          <a:srcRect/>
                          <a:stretch>
                            <a:fillRect/>
                          </a:stretch>
                        </pic:blipFill>
                        <pic:spPr>
                          <a:xfrm>
                            <a:off x="0" y="0"/>
                            <a:ext cx="4521835" cy="1968499"/>
                          </a:xfrm>
                          <a:prstGeom prst="rect">
                            <a:avLst/>
                          </a:prstGeom>
                          <a:ln w="9525" cap="flat" cmpd="sng">
                            <a:solidFill>
                              <a:srgbClr val="000000"/>
                            </a:solidFill>
                            <a:prstDash val="solid"/>
                            <a:round/>
                            <a:headEnd type="none" w="med" len="med"/>
                            <a:tailEnd type="none" w="med" len="med"/>
                          </a:ln>
                        </pic:spPr>
                      </pic:pic>
                    </a:graphicData>
                  </a:graphic>
                </wp:inline>
              </w:drawing>
            </w:r>
          </w:p>
          <w:p w14:paraId="6C70836E">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图4-</w:t>
            </w:r>
            <w:r>
              <w:rPr>
                <w:rFonts w:hint="eastAsia" w:cs="Times New Roman"/>
                <w:b/>
                <w:color w:val="auto"/>
                <w:kern w:val="2"/>
                <w:sz w:val="21"/>
                <w:szCs w:val="21"/>
                <w:highlight w:val="none"/>
                <w:lang w:val="en-US" w:eastAsia="zh-CN" w:bidi="ar-SA"/>
              </w:rPr>
              <w:t>1</w:t>
            </w:r>
            <w:r>
              <w:rPr>
                <w:rFonts w:hint="eastAsia" w:ascii="Times New Roman" w:hAnsi="Times New Roman" w:eastAsia="宋体" w:cs="Times New Roman"/>
                <w:b/>
                <w:color w:val="auto"/>
                <w:kern w:val="2"/>
                <w:sz w:val="21"/>
                <w:szCs w:val="21"/>
                <w:highlight w:val="none"/>
                <w:lang w:val="en-US" w:eastAsia="zh-CN" w:bidi="ar-SA"/>
              </w:rPr>
              <w:t xml:space="preserve"> 园区污水处理厂工艺流程图</w:t>
            </w:r>
          </w:p>
          <w:p w14:paraId="3D98CBD7">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5、监测要求</w:t>
            </w:r>
          </w:p>
          <w:p w14:paraId="67F20707">
            <w:pPr>
              <w:widowControl w:val="0"/>
              <w:spacing w:line="360" w:lineRule="auto"/>
              <w:ind w:firstLine="480" w:firstLineChars="200"/>
              <w:jc w:val="left"/>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根据《排污单位自行监测技术指南总则》(HJ819-2017)，制定本项目生</w:t>
            </w:r>
            <w:r>
              <w:rPr>
                <w:rFonts w:hint="eastAsia" w:cs="Times New Roman"/>
                <w:color w:val="auto"/>
                <w:kern w:val="0"/>
                <w:sz w:val="24"/>
                <w:szCs w:val="20"/>
                <w:highlight w:val="none"/>
                <w:lang w:val="en-US" w:eastAsia="zh-CN" w:bidi="ar-SA"/>
              </w:rPr>
              <w:t>活</w:t>
            </w:r>
            <w:r>
              <w:rPr>
                <w:rFonts w:hint="eastAsia" w:ascii="Times New Roman" w:hAnsi="Times New Roman" w:eastAsia="宋体" w:cs="Times New Roman"/>
                <w:color w:val="auto"/>
                <w:kern w:val="0"/>
                <w:sz w:val="24"/>
                <w:szCs w:val="20"/>
                <w:highlight w:val="none"/>
                <w:lang w:val="en-US" w:eastAsia="zh-CN" w:bidi="ar-SA"/>
              </w:rPr>
              <w:t>废水自行监测计划</w:t>
            </w:r>
            <w:r>
              <w:rPr>
                <w:rFonts w:ascii="Times New Roman" w:hAnsi="Times New Roman" w:eastAsia="宋体" w:cs="Times New Roman"/>
                <w:color w:val="auto"/>
                <w:kern w:val="0"/>
                <w:sz w:val="24"/>
                <w:szCs w:val="20"/>
                <w:highlight w:val="none"/>
                <w:lang w:val="en-US" w:eastAsia="zh-CN" w:bidi="ar-SA"/>
              </w:rPr>
              <w:t>，监测要求见下表。</w:t>
            </w:r>
          </w:p>
          <w:p w14:paraId="77E4499D">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6</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ascii="Times New Roman" w:hAnsi="Times New Roman" w:eastAsia="宋体" w:cs="Times New Roman"/>
                <w:b/>
                <w:bCs/>
                <w:color w:val="auto"/>
                <w:kern w:val="2"/>
                <w:sz w:val="21"/>
                <w:szCs w:val="21"/>
                <w:highlight w:val="none"/>
                <w:lang w:val="en-US" w:eastAsia="zh-CN" w:bidi="ar-SA"/>
              </w:rPr>
              <w:t>监测要求</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772"/>
              <w:gridCol w:w="1180"/>
              <w:gridCol w:w="3479"/>
            </w:tblGrid>
            <w:tr w14:paraId="7C166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00B98FE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监测点位</w:t>
                  </w:r>
                </w:p>
              </w:tc>
              <w:tc>
                <w:tcPr>
                  <w:tcW w:w="1129" w:type="pct"/>
                  <w:vAlign w:val="center"/>
                </w:tcPr>
                <w:p w14:paraId="596AB6C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监测指标</w:t>
                  </w:r>
                </w:p>
              </w:tc>
              <w:tc>
                <w:tcPr>
                  <w:tcW w:w="752" w:type="pct"/>
                  <w:vAlign w:val="center"/>
                </w:tcPr>
                <w:p w14:paraId="5C63AD8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监测频次</w:t>
                  </w:r>
                </w:p>
              </w:tc>
              <w:tc>
                <w:tcPr>
                  <w:tcW w:w="2217" w:type="pct"/>
                  <w:vAlign w:val="center"/>
                </w:tcPr>
                <w:p w14:paraId="54CB18B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监测标准</w:t>
                  </w:r>
                </w:p>
              </w:tc>
            </w:tr>
            <w:tr w14:paraId="15BB8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21876AC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生活污水</w:t>
                  </w:r>
                  <w:r>
                    <w:rPr>
                      <w:rFonts w:hint="eastAsia" w:ascii="Times New Roman" w:hAnsi="Times New Roman" w:eastAsia="宋体" w:cs="Times New Roman"/>
                      <w:color w:val="auto"/>
                      <w:position w:val="-10"/>
                      <w:sz w:val="21"/>
                      <w:szCs w:val="21"/>
                      <w:highlight w:val="none"/>
                      <w:lang w:val="en-US" w:eastAsia="zh-CN" w:bidi="ar-SA"/>
                    </w:rPr>
                    <w:t>排放口</w:t>
                  </w:r>
                </w:p>
                <w:p w14:paraId="261741A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1129" w:type="pct"/>
                  <w:vAlign w:val="center"/>
                </w:tcPr>
                <w:p w14:paraId="04ED817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pH、COD</w:t>
                  </w:r>
                  <w:r>
                    <w:rPr>
                      <w:rFonts w:ascii="Times New Roman" w:hAnsi="Times New Roman" w:eastAsia="宋体" w:cs="Times New Roman"/>
                      <w:color w:val="auto"/>
                      <w:kern w:val="0"/>
                      <w:sz w:val="21"/>
                      <w:szCs w:val="21"/>
                      <w:highlight w:val="none"/>
                      <w:vertAlign w:val="subscript"/>
                      <w:lang w:val="en-US" w:eastAsia="zh-CN" w:bidi="ar-SA"/>
                    </w:rPr>
                    <w:t>Cr</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BOD</w:t>
                  </w:r>
                  <w:r>
                    <w:rPr>
                      <w:rFonts w:hint="eastAsia" w:ascii="Times New Roman" w:hAnsi="Times New Roman" w:eastAsia="宋体" w:cs="Times New Roman"/>
                      <w:color w:val="auto"/>
                      <w:kern w:val="0"/>
                      <w:sz w:val="21"/>
                      <w:szCs w:val="21"/>
                      <w:highlight w:val="none"/>
                      <w:vertAlign w:val="subscript"/>
                      <w:lang w:val="en-US" w:eastAsia="zh-CN" w:bidi="ar-SA"/>
                    </w:rPr>
                    <w:t>5</w:t>
                  </w:r>
                  <w:r>
                    <w:rPr>
                      <w:rFonts w:ascii="Times New Roman" w:hAnsi="Times New Roman" w:eastAsia="宋体" w:cs="Times New Roman"/>
                      <w:color w:val="auto"/>
                      <w:kern w:val="0"/>
                      <w:sz w:val="21"/>
                      <w:szCs w:val="21"/>
                      <w:highlight w:val="none"/>
                      <w:lang w:val="en-US" w:eastAsia="zh-CN" w:bidi="ar-SA"/>
                    </w:rPr>
                    <w:t>、SS</w:t>
                  </w:r>
                  <w:r>
                    <w:rPr>
                      <w:rFonts w:hint="eastAsia"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氨氮</w:t>
                  </w:r>
                </w:p>
              </w:tc>
              <w:tc>
                <w:tcPr>
                  <w:tcW w:w="752" w:type="pct"/>
                  <w:vAlign w:val="center"/>
                </w:tcPr>
                <w:p w14:paraId="1B0AC8A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1次/年</w:t>
                  </w:r>
                </w:p>
              </w:tc>
              <w:tc>
                <w:tcPr>
                  <w:tcW w:w="2217" w:type="pct"/>
                  <w:vAlign w:val="center"/>
                </w:tcPr>
                <w:p w14:paraId="50D7320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广东省地方标准《水污染物排放限值》（DB44/26-2001）第二时段三级标准及园区污水处理厂接管水质要求两者较严值</w:t>
                  </w:r>
                </w:p>
              </w:tc>
            </w:tr>
          </w:tbl>
          <w:p w14:paraId="2ACCCCD6">
            <w:pPr>
              <w:keepNext/>
              <w:keepLines/>
              <w:tabs>
                <w:tab w:val="left" w:pos="0"/>
              </w:tabs>
              <w:ind w:firstLine="480" w:firstLineChars="200"/>
              <w:outlineLvl w:val="2"/>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三、</w:t>
            </w:r>
            <w:r>
              <w:rPr>
                <w:rFonts w:ascii="Times New Roman" w:hAnsi="Times New Roman" w:eastAsia="宋体" w:cs="Times New Roman"/>
                <w:b/>
                <w:bCs/>
                <w:color w:val="auto"/>
                <w:highlight w:val="none"/>
              </w:rPr>
              <w:t>噪声污染源</w:t>
            </w:r>
          </w:p>
          <w:p w14:paraId="53BABC62">
            <w:pPr>
              <w:keepNext/>
              <w:keepLines/>
              <w:tabs>
                <w:tab w:val="left" w:pos="0"/>
              </w:tabs>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6A2732CA">
            <w:pPr>
              <w:pStyle w:val="26"/>
              <w:ind w:firstLine="480"/>
              <w:rPr>
                <w:rFonts w:hint="default" w:ascii="Times New Roman" w:hAnsi="Times New Roman" w:cs="Times New Roman"/>
                <w:color w:val="auto"/>
                <w:kern w:val="0"/>
                <w:highlight w:val="none"/>
              </w:rPr>
            </w:pPr>
            <w:r>
              <w:rPr>
                <w:rFonts w:ascii="Times New Roman" w:hAnsi="Times New Roman" w:eastAsia="宋体" w:cs="Times New Roman"/>
                <w:color w:val="auto"/>
                <w:highlight w:val="none"/>
              </w:rPr>
              <w:t>本项目运营期噪声源主要为生产设备运行产生的噪声。</w:t>
            </w:r>
            <w:r>
              <w:rPr>
                <w:rFonts w:ascii="Times New Roman" w:hAnsi="Times New Roman" w:eastAsia="宋体" w:cs="Times New Roman"/>
                <w:bCs/>
                <w:color w:val="auto"/>
                <w:kern w:val="0"/>
                <w:highlight w:val="none"/>
              </w:rPr>
              <w:t>生产及辅助设备运行时产生的噪声强度值为60~85dB(A)之间。噪声特征以连续性噪声为主，间歇性噪声为辅，噪声污染源强核算结果及相关参数如下表。</w:t>
            </w:r>
          </w:p>
        </w:tc>
      </w:tr>
    </w:tbl>
    <w:p w14:paraId="0227953E">
      <w:pPr>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bookmarkEnd w:id="38"/>
    <w:tbl>
      <w:tblPr>
        <w:tblStyle w:val="47"/>
        <w:tblW w:w="27184" w:type="dxa"/>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3303"/>
        <w:gridCol w:w="13303"/>
      </w:tblGrid>
      <w:tr w14:paraId="6C911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504414F4">
            <w:pPr>
              <w:pStyle w:val="18"/>
              <w:numPr>
                <w:ilvl w:val="0"/>
                <w:numId w:val="0"/>
              </w:numPr>
              <w:rPr>
                <w:rFonts w:hint="default" w:ascii="Times New Roman" w:hAnsi="Times New Roman" w:cs="Times New Roman"/>
                <w:color w:val="auto"/>
                <w:highlight w:val="none"/>
              </w:rPr>
            </w:pPr>
            <w:bookmarkStart w:id="112" w:name="_Toc7465"/>
          </w:p>
        </w:tc>
        <w:tc>
          <w:tcPr>
            <w:tcW w:w="13303" w:type="dxa"/>
          </w:tcPr>
          <w:p w14:paraId="0FFBFA2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w:t>
            </w:r>
            <w:r>
              <w:rPr>
                <w:b/>
                <w:bCs/>
                <w:color w:val="auto"/>
                <w:highlight w:val="none"/>
              </w:rPr>
              <w:fldChar w:fldCharType="begin"/>
            </w:r>
            <w:r>
              <w:rPr>
                <w:b/>
                <w:bCs/>
                <w:color w:val="auto"/>
                <w:highlight w:val="none"/>
              </w:rPr>
              <w:instrText xml:space="preserve"> STYLEREF 1 \s </w:instrText>
            </w:r>
            <w:r>
              <w:rPr>
                <w:b/>
                <w:bCs/>
                <w:color w:val="auto"/>
                <w:highlight w:val="none"/>
              </w:rPr>
              <w:fldChar w:fldCharType="separate"/>
            </w:r>
            <w:r>
              <w:rPr>
                <w:b/>
                <w:bCs/>
                <w:color w:val="auto"/>
                <w:highlight w:val="none"/>
              </w:rPr>
              <w:t>4</w:t>
            </w:r>
            <w:r>
              <w:rPr>
                <w:b/>
                <w:bCs/>
                <w:color w:val="auto"/>
                <w:highlight w:val="none"/>
              </w:rPr>
              <w:fldChar w:fldCharType="end"/>
            </w:r>
            <w:r>
              <w:rPr>
                <w:b/>
                <w:bCs/>
                <w:color w:val="auto"/>
                <w:highlight w:val="none"/>
              </w:rPr>
              <w:t>-</w:t>
            </w:r>
            <w:r>
              <w:rPr>
                <w:rFonts w:hint="eastAsia"/>
                <w:b/>
                <w:bCs/>
                <w:color w:val="auto"/>
                <w:highlight w:val="none"/>
              </w:rPr>
              <w:t>1</w:t>
            </w:r>
            <w:r>
              <w:rPr>
                <w:rFonts w:hint="eastAsia"/>
                <w:b/>
                <w:bCs/>
                <w:color w:val="auto"/>
                <w:highlight w:val="none"/>
                <w:lang w:val="en-US" w:eastAsia="zh-CN"/>
              </w:rPr>
              <w:t xml:space="preserve">7-1 </w:t>
            </w:r>
            <w:r>
              <w:rPr>
                <w:rFonts w:hint="eastAsia"/>
                <w:b/>
                <w:bCs/>
                <w:color w:val="auto"/>
                <w:highlight w:val="none"/>
              </w:rPr>
              <w:t xml:space="preserve"> </w:t>
            </w:r>
            <w:r>
              <w:rPr>
                <w:b/>
                <w:bCs/>
                <w:color w:val="auto"/>
                <w:highlight w:val="none"/>
              </w:rPr>
              <w:t>噪声污染源源强核算结果及相关参数一览表</w:t>
            </w:r>
            <w:r>
              <w:rPr>
                <w:rFonts w:hint="eastAsia"/>
                <w:b/>
                <w:bCs/>
                <w:color w:val="auto"/>
                <w:highlight w:val="none"/>
                <w:lang w:val="en-US" w:eastAsia="zh-CN"/>
              </w:rPr>
              <w:t>--</w:t>
            </w:r>
            <w:r>
              <w:rPr>
                <w:b/>
                <w:bCs/>
                <w:color w:val="auto"/>
                <w:highlight w:val="none"/>
              </w:rPr>
              <w:t>工业企业噪声源强调查清单（室内声源）</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
              <w:gridCol w:w="461"/>
              <w:gridCol w:w="566"/>
              <w:gridCol w:w="289"/>
              <w:gridCol w:w="1231"/>
              <w:gridCol w:w="502"/>
              <w:gridCol w:w="370"/>
              <w:gridCol w:w="590"/>
              <w:gridCol w:w="537"/>
              <w:gridCol w:w="291"/>
              <w:gridCol w:w="516"/>
              <w:gridCol w:w="461"/>
              <w:gridCol w:w="472"/>
              <w:gridCol w:w="540"/>
              <w:gridCol w:w="487"/>
              <w:gridCol w:w="537"/>
              <w:gridCol w:w="605"/>
              <w:gridCol w:w="809"/>
              <w:gridCol w:w="320"/>
              <w:gridCol w:w="502"/>
              <w:gridCol w:w="537"/>
              <w:gridCol w:w="705"/>
              <w:gridCol w:w="608"/>
              <w:gridCol w:w="495"/>
              <w:gridCol w:w="440"/>
            </w:tblGrid>
            <w:tr w14:paraId="23D6A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jc w:val="center"/>
              </w:trPr>
              <w:tc>
                <w:tcPr>
                  <w:tcW w:w="86" w:type="pct"/>
                  <w:vMerge w:val="restart"/>
                  <w:vAlign w:val="center"/>
                </w:tcPr>
                <w:p w14:paraId="5A9C0DF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87" w:type="pct"/>
                  <w:vMerge w:val="restart"/>
                  <w:vAlign w:val="center"/>
                </w:tcPr>
                <w:p w14:paraId="25A20C6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建筑物名称</w:t>
                  </w:r>
                </w:p>
              </w:tc>
              <w:tc>
                <w:tcPr>
                  <w:tcW w:w="227" w:type="pct"/>
                  <w:vMerge w:val="restart"/>
                  <w:vAlign w:val="center"/>
                </w:tcPr>
                <w:p w14:paraId="087D953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声源名称</w:t>
                  </w:r>
                </w:p>
              </w:tc>
              <w:tc>
                <w:tcPr>
                  <w:tcW w:w="121" w:type="pct"/>
                  <w:vMerge w:val="restart"/>
                  <w:vAlign w:val="center"/>
                </w:tcPr>
                <w:p w14:paraId="1631AF5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数量</w:t>
                  </w:r>
                </w:p>
              </w:tc>
              <w:tc>
                <w:tcPr>
                  <w:tcW w:w="286" w:type="pct"/>
                  <w:vMerge w:val="restart"/>
                  <w:vAlign w:val="center"/>
                </w:tcPr>
                <w:p w14:paraId="2E01D38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型号</w:t>
                  </w:r>
                </w:p>
              </w:tc>
              <w:tc>
                <w:tcPr>
                  <w:tcW w:w="178" w:type="pct"/>
                  <w:vAlign w:val="center"/>
                </w:tcPr>
                <w:p w14:paraId="3D5229C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声源源强</w:t>
                  </w:r>
                </w:p>
              </w:tc>
              <w:tc>
                <w:tcPr>
                  <w:tcW w:w="140" w:type="pct"/>
                  <w:vMerge w:val="restart"/>
                  <w:vAlign w:val="center"/>
                </w:tcPr>
                <w:p w14:paraId="5799F74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声源控制措施</w:t>
                  </w:r>
                </w:p>
              </w:tc>
              <w:tc>
                <w:tcPr>
                  <w:tcW w:w="574" w:type="pct"/>
                  <w:gridSpan w:val="3"/>
                  <w:vAlign w:val="center"/>
                </w:tcPr>
                <w:p w14:paraId="4E6C6AD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空间相对位置/m</w:t>
                  </w:r>
                </w:p>
              </w:tc>
              <w:tc>
                <w:tcPr>
                  <w:tcW w:w="803" w:type="pct"/>
                  <w:gridSpan w:val="4"/>
                  <w:vAlign w:val="center"/>
                </w:tcPr>
                <w:p w14:paraId="23CC685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距室内边界距离/m</w:t>
                  </w:r>
                </w:p>
              </w:tc>
              <w:tc>
                <w:tcPr>
                  <w:tcW w:w="975" w:type="pct"/>
                  <w:gridSpan w:val="4"/>
                  <w:vAlign w:val="center"/>
                </w:tcPr>
                <w:p w14:paraId="0CE0E15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室内边界声级/dB（A）</w:t>
                  </w:r>
                </w:p>
              </w:tc>
              <w:tc>
                <w:tcPr>
                  <w:tcW w:w="133" w:type="pct"/>
                  <w:vMerge w:val="restart"/>
                  <w:vAlign w:val="center"/>
                </w:tcPr>
                <w:p w14:paraId="24BF777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运行时段</w:t>
                  </w:r>
                </w:p>
              </w:tc>
              <w:tc>
                <w:tcPr>
                  <w:tcW w:w="166" w:type="pct"/>
                  <w:vMerge w:val="restart"/>
                  <w:vAlign w:val="center"/>
                </w:tcPr>
                <w:p w14:paraId="7EC1BF2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b/>
                      <w:bCs/>
                      <w:color w:val="auto"/>
                      <w:sz w:val="18"/>
                      <w:szCs w:val="18"/>
                      <w:highlight w:val="none"/>
                    </w:rPr>
                    <w:t>建筑物插入损失/dB（A）</w:t>
                  </w:r>
                </w:p>
                <w:p w14:paraId="0349C57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118" w:type="pct"/>
                  <w:gridSpan w:val="5"/>
                  <w:vAlign w:val="center"/>
                </w:tcPr>
                <w:p w14:paraId="1A0BA35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建筑物外噪声</w:t>
                  </w:r>
                </w:p>
              </w:tc>
            </w:tr>
            <w:tr w14:paraId="46F67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4" w:hRule="atLeast"/>
                <w:jc w:val="center"/>
              </w:trPr>
              <w:tc>
                <w:tcPr>
                  <w:tcW w:w="86" w:type="pct"/>
                  <w:vMerge w:val="continue"/>
                  <w:vAlign w:val="center"/>
                </w:tcPr>
                <w:p w14:paraId="573C5C8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87" w:type="pct"/>
                  <w:vMerge w:val="continue"/>
                  <w:vAlign w:val="center"/>
                </w:tcPr>
                <w:p w14:paraId="502CDD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27" w:type="pct"/>
                  <w:vMerge w:val="continue"/>
                  <w:vAlign w:val="center"/>
                </w:tcPr>
                <w:p w14:paraId="38B4FC3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21" w:type="pct"/>
                  <w:vMerge w:val="continue"/>
                  <w:vAlign w:val="center"/>
                </w:tcPr>
                <w:p w14:paraId="0C4FA78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86" w:type="pct"/>
                  <w:vMerge w:val="continue"/>
                  <w:vAlign w:val="center"/>
                </w:tcPr>
                <w:p w14:paraId="5AB97B8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78" w:type="pct"/>
                  <w:vMerge w:val="restart"/>
                  <w:vAlign w:val="center"/>
                </w:tcPr>
                <w:p w14:paraId="0328F26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声压级/dB（A）</w:t>
                  </w:r>
                </w:p>
              </w:tc>
              <w:tc>
                <w:tcPr>
                  <w:tcW w:w="140" w:type="pct"/>
                  <w:vMerge w:val="continue"/>
                  <w:vAlign w:val="center"/>
                </w:tcPr>
                <w:p w14:paraId="78EF64D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36" w:type="pct"/>
                  <w:vMerge w:val="restart"/>
                  <w:vAlign w:val="center"/>
                </w:tcPr>
                <w:p w14:paraId="3E1A0E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X</w:t>
                  </w:r>
                </w:p>
              </w:tc>
              <w:tc>
                <w:tcPr>
                  <w:tcW w:w="216" w:type="pct"/>
                  <w:vMerge w:val="restart"/>
                  <w:vAlign w:val="center"/>
                </w:tcPr>
                <w:p w14:paraId="5A40ACC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Y</w:t>
                  </w:r>
                </w:p>
              </w:tc>
              <w:tc>
                <w:tcPr>
                  <w:tcW w:w="121" w:type="pct"/>
                  <w:vMerge w:val="restart"/>
                  <w:vAlign w:val="center"/>
                </w:tcPr>
                <w:p w14:paraId="5B3BC60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Z</w:t>
                  </w:r>
                </w:p>
              </w:tc>
              <w:tc>
                <w:tcPr>
                  <w:tcW w:w="544" w:type="dxa"/>
                  <w:vMerge w:val="restart"/>
                  <w:vAlign w:val="center"/>
                </w:tcPr>
                <w:p w14:paraId="4E1F687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东</w:t>
                  </w:r>
                </w:p>
              </w:tc>
              <w:tc>
                <w:tcPr>
                  <w:tcW w:w="489" w:type="dxa"/>
                  <w:vMerge w:val="restart"/>
                  <w:vAlign w:val="center"/>
                </w:tcPr>
                <w:p w14:paraId="410CE80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南</w:t>
                  </w:r>
                </w:p>
              </w:tc>
              <w:tc>
                <w:tcPr>
                  <w:tcW w:w="500" w:type="dxa"/>
                  <w:vMerge w:val="restart"/>
                  <w:vAlign w:val="center"/>
                </w:tcPr>
                <w:p w14:paraId="7F9F6EA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西</w:t>
                  </w:r>
                </w:p>
              </w:tc>
              <w:tc>
                <w:tcPr>
                  <w:tcW w:w="566" w:type="dxa"/>
                  <w:vMerge w:val="restart"/>
                  <w:vAlign w:val="center"/>
                </w:tcPr>
                <w:p w14:paraId="22D65F7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北</w:t>
                  </w:r>
                </w:p>
              </w:tc>
              <w:tc>
                <w:tcPr>
                  <w:tcW w:w="517" w:type="dxa"/>
                  <w:vMerge w:val="restart"/>
                  <w:vAlign w:val="center"/>
                </w:tcPr>
                <w:p w14:paraId="5188BED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东</w:t>
                  </w:r>
                </w:p>
              </w:tc>
              <w:tc>
                <w:tcPr>
                  <w:tcW w:w="567" w:type="dxa"/>
                  <w:vMerge w:val="restart"/>
                  <w:vAlign w:val="center"/>
                </w:tcPr>
                <w:p w14:paraId="6B1BFEE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南</w:t>
                  </w:r>
                </w:p>
              </w:tc>
              <w:tc>
                <w:tcPr>
                  <w:tcW w:w="633" w:type="dxa"/>
                  <w:vMerge w:val="restart"/>
                  <w:vAlign w:val="center"/>
                </w:tcPr>
                <w:p w14:paraId="0AD9281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西</w:t>
                  </w:r>
                </w:p>
              </w:tc>
              <w:tc>
                <w:tcPr>
                  <w:tcW w:w="833" w:type="dxa"/>
                  <w:vMerge w:val="restart"/>
                  <w:vAlign w:val="center"/>
                </w:tcPr>
                <w:p w14:paraId="24C3661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北</w:t>
                  </w:r>
                </w:p>
              </w:tc>
              <w:tc>
                <w:tcPr>
                  <w:tcW w:w="133" w:type="pct"/>
                  <w:vMerge w:val="continue"/>
                  <w:vAlign w:val="center"/>
                </w:tcPr>
                <w:p w14:paraId="0EE8397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66" w:type="pct"/>
                  <w:vMerge w:val="continue"/>
                  <w:vAlign w:val="center"/>
                </w:tcPr>
                <w:p w14:paraId="017C8F6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939" w:type="pct"/>
                  <w:gridSpan w:val="4"/>
                  <w:vAlign w:val="center"/>
                </w:tcPr>
                <w:p w14:paraId="02AD84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声压级/dB（A）</w:t>
                  </w:r>
                </w:p>
              </w:tc>
              <w:tc>
                <w:tcPr>
                  <w:tcW w:w="179" w:type="pct"/>
                  <w:vMerge w:val="restart"/>
                  <w:vAlign w:val="center"/>
                </w:tcPr>
                <w:p w14:paraId="66327F8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建筑物外距离/m</w:t>
                  </w:r>
                </w:p>
              </w:tc>
            </w:tr>
            <w:tr w14:paraId="37FEF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 w:hRule="atLeast"/>
                <w:jc w:val="center"/>
              </w:trPr>
              <w:tc>
                <w:tcPr>
                  <w:tcW w:w="86" w:type="pct"/>
                  <w:vMerge w:val="continue"/>
                  <w:vAlign w:val="center"/>
                </w:tcPr>
                <w:p w14:paraId="675C0845">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87" w:type="pct"/>
                  <w:vMerge w:val="continue"/>
                  <w:vAlign w:val="center"/>
                </w:tcPr>
                <w:p w14:paraId="3C45C61F">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27" w:type="pct"/>
                  <w:vMerge w:val="continue"/>
                  <w:vAlign w:val="center"/>
                </w:tcPr>
                <w:p w14:paraId="472B1EB8">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21" w:type="pct"/>
                  <w:vMerge w:val="continue"/>
                  <w:vAlign w:val="center"/>
                </w:tcPr>
                <w:p w14:paraId="6B2A4483">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86" w:type="pct"/>
                  <w:vMerge w:val="continue"/>
                  <w:vAlign w:val="center"/>
                </w:tcPr>
                <w:p w14:paraId="002D7208">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78" w:type="pct"/>
                  <w:vMerge w:val="continue"/>
                  <w:vAlign w:val="center"/>
                </w:tcPr>
                <w:p w14:paraId="144E3B3A">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40" w:type="pct"/>
                  <w:vMerge w:val="continue"/>
                  <w:vAlign w:val="center"/>
                </w:tcPr>
                <w:p w14:paraId="4A011EEF">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36" w:type="pct"/>
                  <w:vMerge w:val="continue"/>
                  <w:vAlign w:val="center"/>
                </w:tcPr>
                <w:p w14:paraId="1C607A0E">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16" w:type="pct"/>
                  <w:vMerge w:val="continue"/>
                  <w:vAlign w:val="center"/>
                </w:tcPr>
                <w:p w14:paraId="46A388DA">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21" w:type="pct"/>
                  <w:vMerge w:val="continue"/>
                  <w:vAlign w:val="center"/>
                </w:tcPr>
                <w:p w14:paraId="5BB19F7E">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08" w:type="pct"/>
                  <w:vMerge w:val="continue"/>
                  <w:vAlign w:val="center"/>
                </w:tcPr>
                <w:p w14:paraId="26D0905F">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87" w:type="pct"/>
                  <w:vMerge w:val="continue"/>
                  <w:vAlign w:val="center"/>
                </w:tcPr>
                <w:p w14:paraId="094CCB9D">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91" w:type="pct"/>
                  <w:vMerge w:val="continue"/>
                  <w:vAlign w:val="center"/>
                </w:tcPr>
                <w:p w14:paraId="4785C10B">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Merge w:val="continue"/>
                  <w:vAlign w:val="center"/>
                </w:tcPr>
                <w:p w14:paraId="64BA24EC">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97" w:type="pct"/>
                  <w:vMerge w:val="continue"/>
                  <w:vAlign w:val="center"/>
                </w:tcPr>
                <w:p w14:paraId="2AD1C209">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Merge w:val="continue"/>
                  <w:vAlign w:val="center"/>
                </w:tcPr>
                <w:p w14:paraId="51EFE17B">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42" w:type="pct"/>
                  <w:vMerge w:val="continue"/>
                  <w:vAlign w:val="center"/>
                </w:tcPr>
                <w:p w14:paraId="3BB6DEC7">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318" w:type="pct"/>
                  <w:vMerge w:val="continue"/>
                  <w:vAlign w:val="center"/>
                </w:tcPr>
                <w:p w14:paraId="41E28BC6">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33" w:type="pct"/>
                  <w:vMerge w:val="continue"/>
                  <w:vAlign w:val="center"/>
                </w:tcPr>
                <w:p w14:paraId="17B766D1">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66" w:type="pct"/>
                  <w:vMerge w:val="continue"/>
                  <w:vAlign w:val="center"/>
                </w:tcPr>
                <w:p w14:paraId="4AC58D3C">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Align w:val="center"/>
                </w:tcPr>
                <w:p w14:paraId="7DFF4CA3">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东</w:t>
                  </w:r>
                </w:p>
              </w:tc>
              <w:tc>
                <w:tcPr>
                  <w:tcW w:w="280" w:type="pct"/>
                  <w:vAlign w:val="center"/>
                </w:tcPr>
                <w:p w14:paraId="6B610375">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南</w:t>
                  </w:r>
                </w:p>
              </w:tc>
              <w:tc>
                <w:tcPr>
                  <w:tcW w:w="243" w:type="pct"/>
                  <w:vAlign w:val="center"/>
                </w:tcPr>
                <w:p w14:paraId="72A654F2">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西</w:t>
                  </w:r>
                </w:p>
              </w:tc>
              <w:tc>
                <w:tcPr>
                  <w:tcW w:w="198" w:type="pct"/>
                  <w:vAlign w:val="center"/>
                </w:tcPr>
                <w:p w14:paraId="11A20D83">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北</w:t>
                  </w:r>
                </w:p>
              </w:tc>
              <w:tc>
                <w:tcPr>
                  <w:tcW w:w="179" w:type="pct"/>
                  <w:vMerge w:val="continue"/>
                  <w:vAlign w:val="center"/>
                </w:tcPr>
                <w:p w14:paraId="33000E95">
                  <w:pPr>
                    <w:pStyle w:val="60"/>
                    <w:keepNext w:val="0"/>
                    <w:keepLines w:val="0"/>
                    <w:pageBreakBefore w:val="0"/>
                    <w:widowControl/>
                    <w:kinsoku/>
                    <w:overflowPunct/>
                    <w:topLinePunct w:val="0"/>
                    <w:bidi w:val="0"/>
                    <w:adjustRightInd/>
                    <w:snapToGrid/>
                    <w:spacing w:line="240" w:lineRule="auto"/>
                    <w:rPr>
                      <w:color w:val="auto"/>
                      <w:highlight w:val="none"/>
                    </w:rPr>
                  </w:pPr>
                </w:p>
              </w:tc>
            </w:tr>
            <w:tr w14:paraId="5921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86" w:type="pct"/>
                  <w:vAlign w:val="center"/>
                </w:tcPr>
                <w:p w14:paraId="1D43F9D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87" w:type="pct"/>
                  <w:vMerge w:val="restart"/>
                  <w:vAlign w:val="center"/>
                </w:tcPr>
                <w:p w14:paraId="39F6455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1#厂房</w:t>
                  </w:r>
                </w:p>
              </w:tc>
              <w:tc>
                <w:tcPr>
                  <w:tcW w:w="227" w:type="pct"/>
                  <w:shd w:val="clear" w:color="auto" w:fill="auto"/>
                  <w:vAlign w:val="center"/>
                </w:tcPr>
                <w:p w14:paraId="0E416819">
                  <w:pPr>
                    <w:keepNext w:val="0"/>
                    <w:keepLines w:val="0"/>
                    <w:widowControl/>
                    <w:suppressLineNumbers w:val="0"/>
                    <w:spacing w:line="240" w:lineRule="auto"/>
                    <w:jc w:val="both"/>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裁布机</w:t>
                  </w:r>
                </w:p>
              </w:tc>
              <w:tc>
                <w:tcPr>
                  <w:tcW w:w="121" w:type="pct"/>
                  <w:vAlign w:val="center"/>
                </w:tcPr>
                <w:p w14:paraId="162DF4FF">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286" w:type="pct"/>
                  <w:shd w:val="clear" w:color="auto" w:fill="auto"/>
                  <w:vAlign w:val="center"/>
                </w:tcPr>
                <w:p w14:paraId="692DAED7">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FMC-CUT-2000</w:t>
                  </w:r>
                </w:p>
              </w:tc>
              <w:tc>
                <w:tcPr>
                  <w:tcW w:w="178" w:type="pct"/>
                  <w:vAlign w:val="center"/>
                </w:tcPr>
                <w:p w14:paraId="75373E44">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70.0</w:t>
                  </w:r>
                </w:p>
              </w:tc>
              <w:tc>
                <w:tcPr>
                  <w:tcW w:w="140" w:type="pct"/>
                  <w:vMerge w:val="restart"/>
                  <w:vAlign w:val="center"/>
                </w:tcPr>
                <w:p w14:paraId="5B72F7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减振、吸声、隔声</w:t>
                  </w:r>
                </w:p>
              </w:tc>
              <w:tc>
                <w:tcPr>
                  <w:tcW w:w="236" w:type="pct"/>
                  <w:vAlign w:val="center"/>
                </w:tcPr>
                <w:p w14:paraId="099C72C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8.65</w:t>
                  </w:r>
                </w:p>
              </w:tc>
              <w:tc>
                <w:tcPr>
                  <w:tcW w:w="216" w:type="pct"/>
                  <w:vAlign w:val="center"/>
                </w:tcPr>
                <w:p w14:paraId="23895D72">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-30.07</w:t>
                  </w:r>
                </w:p>
              </w:tc>
              <w:tc>
                <w:tcPr>
                  <w:tcW w:w="121" w:type="pct"/>
                  <w:vAlign w:val="center"/>
                </w:tcPr>
                <w:p w14:paraId="39E1402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3A83415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18.01</w:t>
                  </w:r>
                </w:p>
              </w:tc>
              <w:tc>
                <w:tcPr>
                  <w:tcW w:w="187" w:type="pct"/>
                  <w:vAlign w:val="center"/>
                </w:tcPr>
                <w:p w14:paraId="604C25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57.12</w:t>
                  </w:r>
                </w:p>
              </w:tc>
              <w:tc>
                <w:tcPr>
                  <w:tcW w:w="191" w:type="pct"/>
                  <w:vAlign w:val="center"/>
                </w:tcPr>
                <w:p w14:paraId="7FBAC5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19.30</w:t>
                  </w:r>
                </w:p>
              </w:tc>
              <w:tc>
                <w:tcPr>
                  <w:tcW w:w="216" w:type="pct"/>
                  <w:vAlign w:val="center"/>
                </w:tcPr>
                <w:p w14:paraId="0CD8B9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3.34</w:t>
                  </w:r>
                </w:p>
              </w:tc>
              <w:tc>
                <w:tcPr>
                  <w:tcW w:w="197" w:type="pct"/>
                  <w:vAlign w:val="center"/>
                </w:tcPr>
                <w:p w14:paraId="2FB81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47.90</w:t>
                  </w:r>
                </w:p>
              </w:tc>
              <w:tc>
                <w:tcPr>
                  <w:tcW w:w="216" w:type="pct"/>
                  <w:vAlign w:val="center"/>
                </w:tcPr>
                <w:p w14:paraId="4E2B44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37.87</w:t>
                  </w:r>
                </w:p>
              </w:tc>
              <w:tc>
                <w:tcPr>
                  <w:tcW w:w="242" w:type="pct"/>
                  <w:vAlign w:val="center"/>
                </w:tcPr>
                <w:p w14:paraId="76130A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47.30</w:t>
                  </w:r>
                </w:p>
              </w:tc>
              <w:tc>
                <w:tcPr>
                  <w:tcW w:w="318" w:type="pct"/>
                  <w:vAlign w:val="center"/>
                </w:tcPr>
                <w:p w14:paraId="24EAF01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62.55</w:t>
                  </w:r>
                </w:p>
              </w:tc>
              <w:tc>
                <w:tcPr>
                  <w:tcW w:w="133" w:type="pct"/>
                  <w:vMerge w:val="restart"/>
                  <w:vAlign w:val="center"/>
                </w:tcPr>
                <w:p w14:paraId="41BA68C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生产期间</w:t>
                  </w:r>
                </w:p>
              </w:tc>
              <w:tc>
                <w:tcPr>
                  <w:tcW w:w="166" w:type="pct"/>
                  <w:vMerge w:val="restart"/>
                  <w:vAlign w:val="center"/>
                </w:tcPr>
                <w:p w14:paraId="2BC86AA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20</w:t>
                  </w:r>
                </w:p>
              </w:tc>
              <w:tc>
                <w:tcPr>
                  <w:tcW w:w="216" w:type="pct"/>
                  <w:vAlign w:val="center"/>
                </w:tcPr>
                <w:p w14:paraId="3B82FDC4">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21.43</w:t>
                  </w:r>
                </w:p>
              </w:tc>
              <w:tc>
                <w:tcPr>
                  <w:tcW w:w="280" w:type="pct"/>
                  <w:vAlign w:val="center"/>
                </w:tcPr>
                <w:p w14:paraId="50B3B04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11.72</w:t>
                  </w:r>
                </w:p>
              </w:tc>
              <w:tc>
                <w:tcPr>
                  <w:tcW w:w="243" w:type="pct"/>
                  <w:vAlign w:val="center"/>
                </w:tcPr>
                <w:p w14:paraId="25B3E56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20.86</w:t>
                  </w:r>
                </w:p>
              </w:tc>
              <w:tc>
                <w:tcPr>
                  <w:tcW w:w="198" w:type="pct"/>
                  <w:vAlign w:val="center"/>
                </w:tcPr>
                <w:p w14:paraId="08BA1C9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34.27</w:t>
                  </w:r>
                </w:p>
              </w:tc>
              <w:tc>
                <w:tcPr>
                  <w:tcW w:w="179" w:type="pct"/>
                  <w:vAlign w:val="center"/>
                </w:tcPr>
                <w:p w14:paraId="3B3830A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A2AC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atLeast"/>
                <w:jc w:val="center"/>
              </w:trPr>
              <w:tc>
                <w:tcPr>
                  <w:tcW w:w="86" w:type="pct"/>
                  <w:vAlign w:val="center"/>
                </w:tcPr>
                <w:p w14:paraId="43952CD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187" w:type="pct"/>
                  <w:vMerge w:val="continue"/>
                  <w:vAlign w:val="center"/>
                </w:tcPr>
                <w:p w14:paraId="3E849D88">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4C66F4E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热压成型台</w:t>
                  </w:r>
                </w:p>
              </w:tc>
              <w:tc>
                <w:tcPr>
                  <w:tcW w:w="121" w:type="pct"/>
                  <w:vAlign w:val="center"/>
                </w:tcPr>
                <w:p w14:paraId="4E812699">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p>
              </w:tc>
              <w:tc>
                <w:tcPr>
                  <w:tcW w:w="286" w:type="pct"/>
                  <w:shd w:val="clear" w:color="auto" w:fill="auto"/>
                  <w:vAlign w:val="center"/>
                </w:tcPr>
                <w:p w14:paraId="79BA5B99">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YQ-150T</w:t>
                  </w:r>
                </w:p>
              </w:tc>
              <w:tc>
                <w:tcPr>
                  <w:tcW w:w="178" w:type="pct"/>
                  <w:vAlign w:val="center"/>
                </w:tcPr>
                <w:p w14:paraId="4BEA3EB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10AD3EE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5B017AF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216" w:type="pct"/>
                  <w:vAlign w:val="center"/>
                </w:tcPr>
                <w:p w14:paraId="4F3DD391">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-32.12</w:t>
                  </w:r>
                </w:p>
              </w:tc>
              <w:tc>
                <w:tcPr>
                  <w:tcW w:w="121" w:type="pct"/>
                  <w:vAlign w:val="center"/>
                </w:tcPr>
                <w:p w14:paraId="08DB5FE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F548566">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24.59</w:t>
                  </w:r>
                </w:p>
              </w:tc>
              <w:tc>
                <w:tcPr>
                  <w:tcW w:w="187" w:type="pct"/>
                  <w:vAlign w:val="center"/>
                </w:tcPr>
                <w:p w14:paraId="1309ED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56.10</w:t>
                  </w:r>
                </w:p>
              </w:tc>
              <w:tc>
                <w:tcPr>
                  <w:tcW w:w="191" w:type="pct"/>
                  <w:vAlign w:val="center"/>
                </w:tcPr>
                <w:p w14:paraId="7DD95A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12.74</w:t>
                  </w:r>
                </w:p>
              </w:tc>
              <w:tc>
                <w:tcPr>
                  <w:tcW w:w="216" w:type="pct"/>
                  <w:vAlign w:val="center"/>
                </w:tcPr>
                <w:p w14:paraId="222C3E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4.62</w:t>
                  </w:r>
                </w:p>
              </w:tc>
              <w:tc>
                <w:tcPr>
                  <w:tcW w:w="197" w:type="pct"/>
                  <w:vAlign w:val="center"/>
                </w:tcPr>
                <w:p w14:paraId="7CA6CE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56.22</w:t>
                  </w:r>
                </w:p>
              </w:tc>
              <w:tc>
                <w:tcPr>
                  <w:tcW w:w="216" w:type="pct"/>
                  <w:vAlign w:val="center"/>
                </w:tcPr>
                <w:p w14:paraId="71AEE8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49.05</w:t>
                  </w:r>
                </w:p>
              </w:tc>
              <w:tc>
                <w:tcPr>
                  <w:tcW w:w="242" w:type="pct"/>
                  <w:vAlign w:val="center"/>
                </w:tcPr>
                <w:p w14:paraId="012421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61.93</w:t>
                  </w:r>
                </w:p>
              </w:tc>
              <w:tc>
                <w:tcPr>
                  <w:tcW w:w="318" w:type="pct"/>
                  <w:vAlign w:val="center"/>
                </w:tcPr>
                <w:p w14:paraId="0886ED4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70.74</w:t>
                  </w:r>
                </w:p>
              </w:tc>
              <w:tc>
                <w:tcPr>
                  <w:tcW w:w="133" w:type="pct"/>
                  <w:vMerge w:val="continue"/>
                  <w:vAlign w:val="center"/>
                </w:tcPr>
                <w:p w14:paraId="22D470E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5FA5343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85FA26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29.87</w:t>
                  </w:r>
                </w:p>
              </w:tc>
              <w:tc>
                <w:tcPr>
                  <w:tcW w:w="280" w:type="pct"/>
                  <w:vAlign w:val="center"/>
                </w:tcPr>
                <w:p w14:paraId="7D84819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22.90</w:t>
                  </w:r>
                </w:p>
              </w:tc>
              <w:tc>
                <w:tcPr>
                  <w:tcW w:w="243" w:type="pct"/>
                  <w:vAlign w:val="center"/>
                </w:tcPr>
                <w:p w14:paraId="2BA075C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35.27</w:t>
                  </w:r>
                </w:p>
              </w:tc>
              <w:tc>
                <w:tcPr>
                  <w:tcW w:w="198" w:type="pct"/>
                  <w:vAlign w:val="center"/>
                </w:tcPr>
                <w:p w14:paraId="488317C9">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43.04</w:t>
                  </w:r>
                </w:p>
              </w:tc>
              <w:tc>
                <w:tcPr>
                  <w:tcW w:w="179" w:type="pct"/>
                  <w:vAlign w:val="center"/>
                </w:tcPr>
                <w:p w14:paraId="163AD66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C4F1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1634BE2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187" w:type="pct"/>
                  <w:vMerge w:val="continue"/>
                  <w:vAlign w:val="center"/>
                </w:tcPr>
                <w:p w14:paraId="7598BCC0">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0FA65785">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冷却台</w:t>
                  </w:r>
                </w:p>
              </w:tc>
              <w:tc>
                <w:tcPr>
                  <w:tcW w:w="121" w:type="pct"/>
                  <w:vAlign w:val="center"/>
                </w:tcPr>
                <w:p w14:paraId="54607D0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8</w:t>
                  </w:r>
                </w:p>
              </w:tc>
              <w:tc>
                <w:tcPr>
                  <w:tcW w:w="286" w:type="pct"/>
                  <w:shd w:val="clear" w:color="auto" w:fill="auto"/>
                  <w:vAlign w:val="center"/>
                </w:tcPr>
                <w:p w14:paraId="57802F0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C-1200 型冷却平台</w:t>
                  </w:r>
                </w:p>
              </w:tc>
              <w:tc>
                <w:tcPr>
                  <w:tcW w:w="178" w:type="pct"/>
                  <w:vAlign w:val="center"/>
                </w:tcPr>
                <w:p w14:paraId="3644095F">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70.0</w:t>
                  </w:r>
                </w:p>
              </w:tc>
              <w:tc>
                <w:tcPr>
                  <w:tcW w:w="140" w:type="pct"/>
                  <w:vMerge w:val="continue"/>
                  <w:vAlign w:val="center"/>
                </w:tcPr>
                <w:p w14:paraId="7AA2BA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3B298AD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-7.57</w:t>
                  </w:r>
                </w:p>
              </w:tc>
              <w:tc>
                <w:tcPr>
                  <w:tcW w:w="216" w:type="pct"/>
                  <w:vAlign w:val="center"/>
                </w:tcPr>
                <w:p w14:paraId="722B74B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-48.05</w:t>
                  </w:r>
                </w:p>
              </w:tc>
              <w:tc>
                <w:tcPr>
                  <w:tcW w:w="121" w:type="pct"/>
                  <w:vAlign w:val="center"/>
                </w:tcPr>
                <w:p w14:paraId="6C8DB2A2">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E6D1977">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32.86</w:t>
                  </w:r>
                </w:p>
              </w:tc>
              <w:tc>
                <w:tcPr>
                  <w:tcW w:w="187" w:type="pct"/>
                  <w:vAlign w:val="center"/>
                </w:tcPr>
                <w:p w14:paraId="503C3E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53.43</w:t>
                  </w:r>
                </w:p>
              </w:tc>
              <w:tc>
                <w:tcPr>
                  <w:tcW w:w="191" w:type="pct"/>
                  <w:vAlign w:val="center"/>
                </w:tcPr>
                <w:p w14:paraId="6BEBE4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5.23</w:t>
                  </w:r>
                </w:p>
              </w:tc>
              <w:tc>
                <w:tcPr>
                  <w:tcW w:w="216" w:type="pct"/>
                  <w:vAlign w:val="center"/>
                </w:tcPr>
                <w:p w14:paraId="38C82A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22.89</w:t>
                  </w:r>
                </w:p>
              </w:tc>
              <w:tc>
                <w:tcPr>
                  <w:tcW w:w="197" w:type="pct"/>
                  <w:vAlign w:val="center"/>
                </w:tcPr>
                <w:p w14:paraId="65FC21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48.70</w:t>
                  </w:r>
                </w:p>
              </w:tc>
              <w:tc>
                <w:tcPr>
                  <w:tcW w:w="216" w:type="pct"/>
                  <w:vAlign w:val="center"/>
                </w:tcPr>
                <w:p w14:paraId="0E261E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44.47</w:t>
                  </w:r>
                </w:p>
              </w:tc>
              <w:tc>
                <w:tcPr>
                  <w:tcW w:w="242" w:type="pct"/>
                  <w:vAlign w:val="center"/>
                </w:tcPr>
                <w:p w14:paraId="7B4805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64.66</w:t>
                  </w:r>
                </w:p>
              </w:tc>
              <w:tc>
                <w:tcPr>
                  <w:tcW w:w="318" w:type="pct"/>
                  <w:vAlign w:val="center"/>
                </w:tcPr>
                <w:p w14:paraId="4698F99F">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51.84</w:t>
                  </w:r>
                </w:p>
              </w:tc>
              <w:tc>
                <w:tcPr>
                  <w:tcW w:w="133" w:type="pct"/>
                  <w:vMerge w:val="continue"/>
                  <w:vAlign w:val="center"/>
                </w:tcPr>
                <w:p w14:paraId="628CE82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7D891B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166475E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22.44</w:t>
                  </w:r>
                </w:p>
              </w:tc>
              <w:tc>
                <w:tcPr>
                  <w:tcW w:w="280" w:type="pct"/>
                  <w:vAlign w:val="center"/>
                </w:tcPr>
                <w:p w14:paraId="3DB61FF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18.31</w:t>
                  </w:r>
                </w:p>
              </w:tc>
              <w:tc>
                <w:tcPr>
                  <w:tcW w:w="243" w:type="pct"/>
                  <w:vAlign w:val="center"/>
                </w:tcPr>
                <w:p w14:paraId="11E3182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37.14</w:t>
                  </w:r>
                </w:p>
              </w:tc>
              <w:tc>
                <w:tcPr>
                  <w:tcW w:w="198" w:type="pct"/>
                  <w:vAlign w:val="center"/>
                </w:tcPr>
                <w:p w14:paraId="3DCDCAF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25.47</w:t>
                  </w:r>
                </w:p>
              </w:tc>
              <w:tc>
                <w:tcPr>
                  <w:tcW w:w="179" w:type="pct"/>
                  <w:vAlign w:val="center"/>
                </w:tcPr>
                <w:p w14:paraId="320411DD">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DCD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6" w:type="pct"/>
                  <w:vAlign w:val="center"/>
                </w:tcPr>
                <w:p w14:paraId="77F4FF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187" w:type="pct"/>
                  <w:vMerge w:val="continue"/>
                  <w:vAlign w:val="center"/>
                </w:tcPr>
                <w:p w14:paraId="5AE620D6">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70ED314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液压升降机</w:t>
                  </w:r>
                </w:p>
              </w:tc>
              <w:tc>
                <w:tcPr>
                  <w:tcW w:w="121" w:type="pct"/>
                  <w:vAlign w:val="center"/>
                </w:tcPr>
                <w:p w14:paraId="5F4AD66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286" w:type="pct"/>
                  <w:shd w:val="clear" w:color="auto" w:fill="auto"/>
                  <w:vAlign w:val="center"/>
                </w:tcPr>
                <w:p w14:paraId="314D3C42">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LH-2000</w:t>
                  </w:r>
                </w:p>
              </w:tc>
              <w:tc>
                <w:tcPr>
                  <w:tcW w:w="178" w:type="pct"/>
                  <w:vAlign w:val="center"/>
                </w:tcPr>
                <w:p w14:paraId="08D876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720244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CBC6E7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-8.92</w:t>
                  </w:r>
                </w:p>
              </w:tc>
              <w:tc>
                <w:tcPr>
                  <w:tcW w:w="216" w:type="pct"/>
                  <w:vAlign w:val="center"/>
                </w:tcPr>
                <w:p w14:paraId="027B201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-59.14</w:t>
                  </w:r>
                </w:p>
              </w:tc>
              <w:tc>
                <w:tcPr>
                  <w:tcW w:w="121" w:type="pct"/>
                  <w:vAlign w:val="center"/>
                </w:tcPr>
                <w:p w14:paraId="352893D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DA7719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33.36</w:t>
                  </w:r>
                </w:p>
              </w:tc>
              <w:tc>
                <w:tcPr>
                  <w:tcW w:w="187" w:type="pct"/>
                  <w:vAlign w:val="center"/>
                </w:tcPr>
                <w:p w14:paraId="6AEC32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42.35</w:t>
                  </w:r>
                </w:p>
              </w:tc>
              <w:tc>
                <w:tcPr>
                  <w:tcW w:w="191" w:type="pct"/>
                  <w:vAlign w:val="center"/>
                </w:tcPr>
                <w:p w14:paraId="376173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5.21</w:t>
                  </w:r>
                </w:p>
              </w:tc>
              <w:tc>
                <w:tcPr>
                  <w:tcW w:w="216" w:type="pct"/>
                  <w:vAlign w:val="center"/>
                </w:tcPr>
                <w:p w14:paraId="3754D1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34.05</w:t>
                  </w:r>
                </w:p>
              </w:tc>
              <w:tc>
                <w:tcPr>
                  <w:tcW w:w="197" w:type="pct"/>
                  <w:vAlign w:val="center"/>
                </w:tcPr>
                <w:p w14:paraId="1E442D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57.55</w:t>
                  </w:r>
                </w:p>
              </w:tc>
              <w:tc>
                <w:tcPr>
                  <w:tcW w:w="216" w:type="pct"/>
                  <w:vAlign w:val="center"/>
                </w:tcPr>
                <w:p w14:paraId="421D3E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55.47</w:t>
                  </w:r>
                </w:p>
              </w:tc>
              <w:tc>
                <w:tcPr>
                  <w:tcW w:w="242" w:type="pct"/>
                  <w:vAlign w:val="center"/>
                </w:tcPr>
                <w:p w14:paraId="10B410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73.68</w:t>
                  </w:r>
                </w:p>
              </w:tc>
              <w:tc>
                <w:tcPr>
                  <w:tcW w:w="318" w:type="pct"/>
                  <w:vAlign w:val="center"/>
                </w:tcPr>
                <w:p w14:paraId="1A7247F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57.37</w:t>
                  </w:r>
                </w:p>
              </w:tc>
              <w:tc>
                <w:tcPr>
                  <w:tcW w:w="133" w:type="pct"/>
                  <w:vMerge w:val="continue"/>
                  <w:vAlign w:val="center"/>
                </w:tcPr>
                <w:p w14:paraId="7E70069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7912919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113C691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31.29</w:t>
                  </w:r>
                </w:p>
              </w:tc>
              <w:tc>
                <w:tcPr>
                  <w:tcW w:w="280" w:type="pct"/>
                  <w:vAlign w:val="center"/>
                </w:tcPr>
                <w:p w14:paraId="4179B56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29.27</w:t>
                  </w:r>
                </w:p>
              </w:tc>
              <w:tc>
                <w:tcPr>
                  <w:tcW w:w="243" w:type="pct"/>
                  <w:vAlign w:val="center"/>
                </w:tcPr>
                <w:p w14:paraId="1A04FDF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46.15</w:t>
                  </w:r>
                </w:p>
              </w:tc>
              <w:tc>
                <w:tcPr>
                  <w:tcW w:w="198" w:type="pct"/>
                  <w:vAlign w:val="center"/>
                </w:tcPr>
                <w:p w14:paraId="0B710E1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31.12</w:t>
                  </w:r>
                </w:p>
              </w:tc>
              <w:tc>
                <w:tcPr>
                  <w:tcW w:w="179" w:type="pct"/>
                  <w:vAlign w:val="center"/>
                </w:tcPr>
                <w:p w14:paraId="4CA5136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43CC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3232138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w:t>
                  </w:r>
                </w:p>
              </w:tc>
              <w:tc>
                <w:tcPr>
                  <w:tcW w:w="187" w:type="pct"/>
                  <w:vMerge w:val="continue"/>
                  <w:vAlign w:val="center"/>
                </w:tcPr>
                <w:p w14:paraId="0D9D90C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B19FF05">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液压开合模滚筒台</w:t>
                  </w:r>
                </w:p>
              </w:tc>
              <w:tc>
                <w:tcPr>
                  <w:tcW w:w="121" w:type="pct"/>
                  <w:vAlign w:val="center"/>
                </w:tcPr>
                <w:p w14:paraId="440AA4F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7A457756">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KM-1500</w:t>
                  </w:r>
                </w:p>
              </w:tc>
              <w:tc>
                <w:tcPr>
                  <w:tcW w:w="178" w:type="pct"/>
                  <w:vAlign w:val="center"/>
                </w:tcPr>
                <w:p w14:paraId="1D2E63BA">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3164626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4C2404A">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-9.73</w:t>
                  </w:r>
                </w:p>
              </w:tc>
              <w:tc>
                <w:tcPr>
                  <w:tcW w:w="216" w:type="pct"/>
                  <w:vAlign w:val="center"/>
                </w:tcPr>
                <w:p w14:paraId="10F451A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-68.6</w:t>
                  </w:r>
                </w:p>
              </w:tc>
              <w:tc>
                <w:tcPr>
                  <w:tcW w:w="121" w:type="pct"/>
                  <w:vAlign w:val="center"/>
                </w:tcPr>
                <w:p w14:paraId="72297D2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10F4A3D1">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33.44</w:t>
                  </w:r>
                </w:p>
              </w:tc>
              <w:tc>
                <w:tcPr>
                  <w:tcW w:w="187" w:type="pct"/>
                  <w:vAlign w:val="center"/>
                </w:tcPr>
                <w:p w14:paraId="5424E8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32.91</w:t>
                  </w:r>
                </w:p>
              </w:tc>
              <w:tc>
                <w:tcPr>
                  <w:tcW w:w="191" w:type="pct"/>
                  <w:vAlign w:val="center"/>
                </w:tcPr>
                <w:p w14:paraId="7D720B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5.53</w:t>
                  </w:r>
                </w:p>
              </w:tc>
              <w:tc>
                <w:tcPr>
                  <w:tcW w:w="216" w:type="pct"/>
                  <w:vAlign w:val="center"/>
                </w:tcPr>
                <w:p w14:paraId="541F33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43.55</w:t>
                  </w:r>
                </w:p>
              </w:tc>
              <w:tc>
                <w:tcPr>
                  <w:tcW w:w="197" w:type="pct"/>
                  <w:vAlign w:val="center"/>
                </w:tcPr>
                <w:p w14:paraId="227B7C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60.54</w:t>
                  </w:r>
                </w:p>
              </w:tc>
              <w:tc>
                <w:tcPr>
                  <w:tcW w:w="216" w:type="pct"/>
                  <w:vAlign w:val="center"/>
                </w:tcPr>
                <w:p w14:paraId="1555E4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60.68</w:t>
                  </w:r>
                </w:p>
              </w:tc>
              <w:tc>
                <w:tcPr>
                  <w:tcW w:w="242" w:type="pct"/>
                  <w:vAlign w:val="center"/>
                </w:tcPr>
                <w:p w14:paraId="1EDE53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76.16</w:t>
                  </w:r>
                </w:p>
              </w:tc>
              <w:tc>
                <w:tcPr>
                  <w:tcW w:w="318" w:type="pct"/>
                  <w:vAlign w:val="center"/>
                </w:tcPr>
                <w:p w14:paraId="1C2F8FC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58.24</w:t>
                  </w:r>
                </w:p>
              </w:tc>
              <w:tc>
                <w:tcPr>
                  <w:tcW w:w="133" w:type="pct"/>
                  <w:vMerge w:val="continue"/>
                  <w:vAlign w:val="center"/>
                </w:tcPr>
                <w:p w14:paraId="2D81D2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9E41B6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EFF499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34.28</w:t>
                  </w:r>
                </w:p>
              </w:tc>
              <w:tc>
                <w:tcPr>
                  <w:tcW w:w="280" w:type="pct"/>
                  <w:vAlign w:val="center"/>
                </w:tcPr>
                <w:p w14:paraId="1004399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34.42</w:t>
                  </w:r>
                </w:p>
              </w:tc>
              <w:tc>
                <w:tcPr>
                  <w:tcW w:w="243" w:type="pct"/>
                  <w:vAlign w:val="center"/>
                </w:tcPr>
                <w:p w14:paraId="23734C5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48.72</w:t>
                  </w:r>
                </w:p>
              </w:tc>
              <w:tc>
                <w:tcPr>
                  <w:tcW w:w="198" w:type="pct"/>
                  <w:vAlign w:val="center"/>
                </w:tcPr>
                <w:p w14:paraId="2255D24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32.04</w:t>
                  </w:r>
                </w:p>
              </w:tc>
              <w:tc>
                <w:tcPr>
                  <w:tcW w:w="179" w:type="pct"/>
                  <w:vAlign w:val="center"/>
                </w:tcPr>
                <w:p w14:paraId="071ED4F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0CE7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612FDBF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w:t>
                  </w:r>
                </w:p>
              </w:tc>
              <w:tc>
                <w:tcPr>
                  <w:tcW w:w="187" w:type="pct"/>
                  <w:vMerge w:val="continue"/>
                  <w:vAlign w:val="center"/>
                </w:tcPr>
                <w:p w14:paraId="346C072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2A85F4A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半自动研磨机</w:t>
                  </w:r>
                </w:p>
              </w:tc>
              <w:tc>
                <w:tcPr>
                  <w:tcW w:w="121" w:type="pct"/>
                  <w:vAlign w:val="center"/>
                </w:tcPr>
                <w:p w14:paraId="7B368D2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6C79120F">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SG-1200</w:t>
                  </w:r>
                </w:p>
              </w:tc>
              <w:tc>
                <w:tcPr>
                  <w:tcW w:w="178" w:type="pct"/>
                  <w:vAlign w:val="center"/>
                </w:tcPr>
                <w:p w14:paraId="21A549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80.0</w:t>
                  </w:r>
                </w:p>
              </w:tc>
              <w:tc>
                <w:tcPr>
                  <w:tcW w:w="140" w:type="pct"/>
                  <w:vMerge w:val="continue"/>
                  <w:vAlign w:val="center"/>
                </w:tcPr>
                <w:p w14:paraId="464D4F6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0A410E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9.68</w:t>
                  </w:r>
                </w:p>
              </w:tc>
              <w:tc>
                <w:tcPr>
                  <w:tcW w:w="216" w:type="pct"/>
                  <w:vAlign w:val="center"/>
                </w:tcPr>
                <w:p w14:paraId="76B269C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-49.01</w:t>
                  </w:r>
                </w:p>
              </w:tc>
              <w:tc>
                <w:tcPr>
                  <w:tcW w:w="121" w:type="pct"/>
                  <w:vAlign w:val="center"/>
                </w:tcPr>
                <w:p w14:paraId="6CC9DF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8C02B4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19.91</w:t>
                  </w:r>
                </w:p>
              </w:tc>
              <w:tc>
                <w:tcPr>
                  <w:tcW w:w="187" w:type="pct"/>
                  <w:vAlign w:val="center"/>
                </w:tcPr>
                <w:p w14:paraId="7647D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39.50</w:t>
                  </w:r>
                </w:p>
              </w:tc>
              <w:tc>
                <w:tcPr>
                  <w:tcW w:w="191" w:type="pct"/>
                  <w:vAlign w:val="center"/>
                </w:tcPr>
                <w:p w14:paraId="2C9413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18.15</w:t>
                  </w:r>
                </w:p>
              </w:tc>
              <w:tc>
                <w:tcPr>
                  <w:tcW w:w="216" w:type="pct"/>
                  <w:vAlign w:val="center"/>
                </w:tcPr>
                <w:p w14:paraId="22F263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21.09</w:t>
                  </w:r>
                </w:p>
              </w:tc>
              <w:tc>
                <w:tcPr>
                  <w:tcW w:w="197" w:type="pct"/>
                  <w:vAlign w:val="center"/>
                </w:tcPr>
                <w:p w14:paraId="24831C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60.04</w:t>
                  </w:r>
                </w:p>
              </w:tc>
              <w:tc>
                <w:tcPr>
                  <w:tcW w:w="216" w:type="pct"/>
                  <w:vAlign w:val="center"/>
                </w:tcPr>
                <w:p w14:paraId="0DA73F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54.09</w:t>
                  </w:r>
                </w:p>
              </w:tc>
              <w:tc>
                <w:tcPr>
                  <w:tcW w:w="242" w:type="pct"/>
                  <w:vAlign w:val="center"/>
                </w:tcPr>
                <w:p w14:paraId="531472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60.84</w:t>
                  </w:r>
                </w:p>
              </w:tc>
              <w:tc>
                <w:tcPr>
                  <w:tcW w:w="318" w:type="pct"/>
                  <w:vAlign w:val="center"/>
                </w:tcPr>
                <w:p w14:paraId="0A27476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59.54</w:t>
                  </w:r>
                </w:p>
              </w:tc>
              <w:tc>
                <w:tcPr>
                  <w:tcW w:w="133" w:type="pct"/>
                  <w:vMerge w:val="continue"/>
                  <w:vAlign w:val="center"/>
                </w:tcPr>
                <w:p w14:paraId="2CBB403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6395434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0285A5F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33.61</w:t>
                  </w:r>
                </w:p>
              </w:tc>
              <w:tc>
                <w:tcPr>
                  <w:tcW w:w="280" w:type="pct"/>
                  <w:vAlign w:val="center"/>
                </w:tcPr>
                <w:p w14:paraId="5ECCB37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27.87</w:t>
                  </w:r>
                </w:p>
              </w:tc>
              <w:tc>
                <w:tcPr>
                  <w:tcW w:w="243" w:type="pct"/>
                  <w:vAlign w:val="center"/>
                </w:tcPr>
                <w:p w14:paraId="6071E71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34.37</w:t>
                  </w:r>
                </w:p>
              </w:tc>
              <w:tc>
                <w:tcPr>
                  <w:tcW w:w="198" w:type="pct"/>
                  <w:vAlign w:val="center"/>
                </w:tcPr>
                <w:p w14:paraId="212B1D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33.14</w:t>
                  </w:r>
                </w:p>
              </w:tc>
              <w:tc>
                <w:tcPr>
                  <w:tcW w:w="179" w:type="pct"/>
                  <w:vAlign w:val="center"/>
                </w:tcPr>
                <w:p w14:paraId="750A59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A775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atLeast"/>
                <w:jc w:val="center"/>
              </w:trPr>
              <w:tc>
                <w:tcPr>
                  <w:tcW w:w="86" w:type="pct"/>
                  <w:vAlign w:val="center"/>
                </w:tcPr>
                <w:p w14:paraId="12C4BE0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w:t>
                  </w:r>
                </w:p>
              </w:tc>
              <w:tc>
                <w:tcPr>
                  <w:tcW w:w="187" w:type="pct"/>
                  <w:vMerge w:val="continue"/>
                  <w:vAlign w:val="center"/>
                </w:tcPr>
                <w:p w14:paraId="1E53577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B1FE80D">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i w:val="0"/>
                      <w:iCs w:val="0"/>
                      <w:color w:val="auto"/>
                      <w:kern w:val="0"/>
                      <w:sz w:val="18"/>
                      <w:szCs w:val="18"/>
                      <w:highlight w:val="none"/>
                      <w:u w:val="none"/>
                      <w:lang w:val="en-US" w:eastAsia="zh-CN"/>
                    </w:rPr>
                    <w:t>密闭</w:t>
                  </w:r>
                  <w:r>
                    <w:rPr>
                      <w:rFonts w:hint="default" w:ascii="Times New Roman" w:hAnsi="Times New Roman" w:eastAsia="宋体" w:cs="Times New Roman"/>
                      <w:i w:val="0"/>
                      <w:iCs w:val="0"/>
                      <w:color w:val="auto"/>
                      <w:kern w:val="0"/>
                      <w:sz w:val="18"/>
                      <w:szCs w:val="18"/>
                      <w:highlight w:val="none"/>
                      <w:u w:val="none"/>
                      <w:lang w:val="en-US" w:eastAsia="zh-CN"/>
                    </w:rPr>
                    <w:t>喷漆</w:t>
                  </w:r>
                  <w:r>
                    <w:rPr>
                      <w:rFonts w:hint="default" w:ascii="Times New Roman" w:hAnsi="Times New Roman" w:cs="Times New Roman"/>
                      <w:i w:val="0"/>
                      <w:iCs w:val="0"/>
                      <w:color w:val="auto"/>
                      <w:kern w:val="0"/>
                      <w:sz w:val="18"/>
                      <w:szCs w:val="18"/>
                      <w:highlight w:val="none"/>
                      <w:u w:val="none"/>
                      <w:lang w:val="en-US" w:eastAsia="zh-CN"/>
                    </w:rPr>
                    <w:t>房</w:t>
                  </w:r>
                </w:p>
              </w:tc>
              <w:tc>
                <w:tcPr>
                  <w:tcW w:w="121" w:type="pct"/>
                  <w:vAlign w:val="center"/>
                </w:tcPr>
                <w:p w14:paraId="2DBAA7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286" w:type="pct"/>
                  <w:shd w:val="clear" w:color="auto" w:fill="auto"/>
                  <w:vAlign w:val="center"/>
                </w:tcPr>
                <w:p w14:paraId="5068F2D7">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SPR-3000</w:t>
                  </w:r>
                </w:p>
              </w:tc>
              <w:tc>
                <w:tcPr>
                  <w:tcW w:w="178" w:type="pct"/>
                  <w:vAlign w:val="center"/>
                </w:tcPr>
                <w:p w14:paraId="2D175D9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w:t>
                  </w:r>
                </w:p>
              </w:tc>
              <w:tc>
                <w:tcPr>
                  <w:tcW w:w="140" w:type="pct"/>
                  <w:vMerge w:val="continue"/>
                  <w:vAlign w:val="center"/>
                </w:tcPr>
                <w:p w14:paraId="294D0E1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36DE618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21.44</w:t>
                  </w:r>
                </w:p>
              </w:tc>
              <w:tc>
                <w:tcPr>
                  <w:tcW w:w="216" w:type="pct"/>
                  <w:vAlign w:val="center"/>
                </w:tcPr>
                <w:p w14:paraId="09EADD8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-78.07</w:t>
                  </w:r>
                </w:p>
              </w:tc>
              <w:tc>
                <w:tcPr>
                  <w:tcW w:w="121" w:type="pct"/>
                  <w:vAlign w:val="center"/>
                </w:tcPr>
                <w:p w14:paraId="0DF02D6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8F8E77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5.91</w:t>
                  </w:r>
                </w:p>
              </w:tc>
              <w:tc>
                <w:tcPr>
                  <w:tcW w:w="187" w:type="pct"/>
                  <w:vAlign w:val="center"/>
                </w:tcPr>
                <w:p w14:paraId="58082E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11.32</w:t>
                  </w:r>
                </w:p>
              </w:tc>
              <w:tc>
                <w:tcPr>
                  <w:tcW w:w="191" w:type="pct"/>
                  <w:vAlign w:val="center"/>
                </w:tcPr>
                <w:p w14:paraId="7A707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33.42</w:t>
                  </w:r>
                </w:p>
              </w:tc>
              <w:tc>
                <w:tcPr>
                  <w:tcW w:w="216" w:type="pct"/>
                  <w:vAlign w:val="center"/>
                </w:tcPr>
                <w:p w14:paraId="33876C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48.80</w:t>
                  </w:r>
                </w:p>
              </w:tc>
              <w:tc>
                <w:tcPr>
                  <w:tcW w:w="197" w:type="pct"/>
                  <w:vAlign w:val="center"/>
                </w:tcPr>
                <w:p w14:paraId="589A74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62.58</w:t>
                  </w:r>
                </w:p>
              </w:tc>
              <w:tc>
                <w:tcPr>
                  <w:tcW w:w="216" w:type="pct"/>
                  <w:vAlign w:val="center"/>
                </w:tcPr>
                <w:p w14:paraId="3CE215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56.93</w:t>
                  </w:r>
                </w:p>
              </w:tc>
              <w:tc>
                <w:tcPr>
                  <w:tcW w:w="242" w:type="pct"/>
                  <w:vAlign w:val="center"/>
                </w:tcPr>
                <w:p w14:paraId="7836CC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47.53</w:t>
                  </w:r>
                </w:p>
              </w:tc>
              <w:tc>
                <w:tcPr>
                  <w:tcW w:w="318" w:type="pct"/>
                  <w:vAlign w:val="center"/>
                </w:tcPr>
                <w:p w14:paraId="763B1DA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44.24</w:t>
                  </w:r>
                </w:p>
              </w:tc>
              <w:tc>
                <w:tcPr>
                  <w:tcW w:w="133" w:type="pct"/>
                  <w:vMerge w:val="continue"/>
                  <w:vAlign w:val="center"/>
                </w:tcPr>
                <w:p w14:paraId="39D9D3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FA51B7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4DE05FD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35.23</w:t>
                  </w:r>
                </w:p>
              </w:tc>
              <w:tc>
                <w:tcPr>
                  <w:tcW w:w="280" w:type="pct"/>
                  <w:vAlign w:val="center"/>
                </w:tcPr>
                <w:p w14:paraId="5E00004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30.20</w:t>
                  </w:r>
                </w:p>
              </w:tc>
              <w:tc>
                <w:tcPr>
                  <w:tcW w:w="243" w:type="pct"/>
                  <w:vAlign w:val="center"/>
                </w:tcPr>
                <w:p w14:paraId="6602017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21.28</w:t>
                  </w:r>
                </w:p>
              </w:tc>
              <w:tc>
                <w:tcPr>
                  <w:tcW w:w="198" w:type="pct"/>
                  <w:vAlign w:val="center"/>
                </w:tcPr>
                <w:p w14:paraId="0C5F06D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18.07</w:t>
                  </w:r>
                </w:p>
              </w:tc>
              <w:tc>
                <w:tcPr>
                  <w:tcW w:w="179" w:type="pct"/>
                  <w:vAlign w:val="center"/>
                </w:tcPr>
                <w:p w14:paraId="337A064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E31B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jc w:val="center"/>
              </w:trPr>
              <w:tc>
                <w:tcPr>
                  <w:tcW w:w="86" w:type="pct"/>
                  <w:vAlign w:val="center"/>
                </w:tcPr>
                <w:p w14:paraId="1FFFAC4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p>
              </w:tc>
              <w:tc>
                <w:tcPr>
                  <w:tcW w:w="187" w:type="pct"/>
                  <w:vMerge w:val="continue"/>
                  <w:vAlign w:val="center"/>
                </w:tcPr>
                <w:p w14:paraId="776DC36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099EDA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cs="Times New Roman"/>
                      <w:i w:val="0"/>
                      <w:iCs w:val="0"/>
                      <w:color w:val="auto"/>
                      <w:kern w:val="0"/>
                      <w:sz w:val="18"/>
                      <w:szCs w:val="18"/>
                      <w:highlight w:val="none"/>
                      <w:u w:val="none"/>
                      <w:lang w:val="en-US" w:eastAsia="zh-CN"/>
                    </w:rPr>
                    <w:t>切割机</w:t>
                  </w:r>
                </w:p>
              </w:tc>
              <w:tc>
                <w:tcPr>
                  <w:tcW w:w="121" w:type="pct"/>
                  <w:vAlign w:val="center"/>
                </w:tcPr>
                <w:p w14:paraId="0830EC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64FFCF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cs="Times New Roman"/>
                      <w:color w:val="auto"/>
                      <w:sz w:val="18"/>
                      <w:szCs w:val="18"/>
                      <w:highlight w:val="none"/>
                      <w:lang w:val="en-US" w:eastAsia="zh-CN"/>
                    </w:rPr>
                    <w:t>配备1m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vertAlign w:val="baseline"/>
                      <w:lang w:val="en-US" w:eastAsia="zh-CN"/>
                    </w:rPr>
                    <w:t>水箱</w:t>
                  </w:r>
                </w:p>
              </w:tc>
              <w:tc>
                <w:tcPr>
                  <w:tcW w:w="178" w:type="pct"/>
                  <w:vAlign w:val="center"/>
                </w:tcPr>
                <w:p w14:paraId="177E7FD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w:t>
                  </w:r>
                </w:p>
              </w:tc>
              <w:tc>
                <w:tcPr>
                  <w:tcW w:w="140" w:type="pct"/>
                  <w:vMerge w:val="continue"/>
                  <w:vAlign w:val="center"/>
                </w:tcPr>
                <w:p w14:paraId="2F293AA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68433CD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w:t>
                  </w:r>
                </w:p>
              </w:tc>
              <w:tc>
                <w:tcPr>
                  <w:tcW w:w="216" w:type="pct"/>
                  <w:vAlign w:val="center"/>
                </w:tcPr>
                <w:p w14:paraId="5FD3A90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-55.89</w:t>
                  </w:r>
                </w:p>
              </w:tc>
              <w:tc>
                <w:tcPr>
                  <w:tcW w:w="121" w:type="pct"/>
                  <w:vAlign w:val="center"/>
                </w:tcPr>
                <w:p w14:paraId="7281A6A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4BBCBD8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20.08</w:t>
                  </w:r>
                </w:p>
              </w:tc>
              <w:tc>
                <w:tcPr>
                  <w:tcW w:w="187" w:type="pct"/>
                  <w:vAlign w:val="center"/>
                </w:tcPr>
                <w:p w14:paraId="1CDD9E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31.18</w:t>
                  </w:r>
                </w:p>
              </w:tc>
              <w:tc>
                <w:tcPr>
                  <w:tcW w:w="191" w:type="pct"/>
                  <w:vAlign w:val="center"/>
                </w:tcPr>
                <w:p w14:paraId="60441A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18.34</w:t>
                  </w:r>
                </w:p>
              </w:tc>
              <w:tc>
                <w:tcPr>
                  <w:tcW w:w="216" w:type="pct"/>
                  <w:vAlign w:val="center"/>
                </w:tcPr>
                <w:p w14:paraId="2740B2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29.44</w:t>
                  </w:r>
                </w:p>
              </w:tc>
              <w:tc>
                <w:tcPr>
                  <w:tcW w:w="197" w:type="pct"/>
                  <w:vAlign w:val="center"/>
                </w:tcPr>
                <w:p w14:paraId="026BD9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58.94</w:t>
                  </w:r>
                </w:p>
              </w:tc>
              <w:tc>
                <w:tcPr>
                  <w:tcW w:w="216" w:type="pct"/>
                  <w:vAlign w:val="center"/>
                </w:tcPr>
                <w:p w14:paraId="4AA253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55.12</w:t>
                  </w:r>
                </w:p>
              </w:tc>
              <w:tc>
                <w:tcPr>
                  <w:tcW w:w="242" w:type="pct"/>
                  <w:vAlign w:val="center"/>
                </w:tcPr>
                <w:p w14:paraId="2F2AF1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59.73</w:t>
                  </w:r>
                </w:p>
              </w:tc>
              <w:tc>
                <w:tcPr>
                  <w:tcW w:w="318" w:type="pct"/>
                  <w:vAlign w:val="center"/>
                </w:tcPr>
                <w:p w14:paraId="4813E74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55.62</w:t>
                  </w:r>
                </w:p>
              </w:tc>
              <w:tc>
                <w:tcPr>
                  <w:tcW w:w="133" w:type="pct"/>
                  <w:vMerge w:val="continue"/>
                  <w:vAlign w:val="center"/>
                </w:tcPr>
                <w:p w14:paraId="5157915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1BB890C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36C2C3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32.52</w:t>
                  </w:r>
                </w:p>
              </w:tc>
              <w:tc>
                <w:tcPr>
                  <w:tcW w:w="280" w:type="pct"/>
                  <w:vAlign w:val="center"/>
                </w:tcPr>
                <w:p w14:paraId="6632347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28.85</w:t>
                  </w:r>
                </w:p>
              </w:tc>
              <w:tc>
                <w:tcPr>
                  <w:tcW w:w="243" w:type="pct"/>
                  <w:vAlign w:val="center"/>
                </w:tcPr>
                <w:p w14:paraId="4DB5D1D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33.27</w:t>
                  </w:r>
                </w:p>
              </w:tc>
              <w:tc>
                <w:tcPr>
                  <w:tcW w:w="198" w:type="pct"/>
                  <w:vAlign w:val="center"/>
                </w:tcPr>
                <w:p w14:paraId="349044C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29.33</w:t>
                  </w:r>
                </w:p>
              </w:tc>
              <w:tc>
                <w:tcPr>
                  <w:tcW w:w="179" w:type="pct"/>
                  <w:vAlign w:val="center"/>
                </w:tcPr>
                <w:p w14:paraId="5CFBAC7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DBB5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6" w:hRule="atLeast"/>
                <w:jc w:val="center"/>
              </w:trPr>
              <w:tc>
                <w:tcPr>
                  <w:tcW w:w="86" w:type="pct"/>
                  <w:vAlign w:val="center"/>
                </w:tcPr>
                <w:p w14:paraId="3E421F7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p>
              </w:tc>
              <w:tc>
                <w:tcPr>
                  <w:tcW w:w="187" w:type="pct"/>
                  <w:vMerge w:val="continue"/>
                  <w:vAlign w:val="center"/>
                </w:tcPr>
                <w:p w14:paraId="55B36FD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D3E23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双风机复材固化炉</w:t>
                  </w:r>
                </w:p>
              </w:tc>
              <w:tc>
                <w:tcPr>
                  <w:tcW w:w="121" w:type="pct"/>
                  <w:shd w:val="clear" w:color="auto" w:fill="auto"/>
                  <w:vAlign w:val="center"/>
                </w:tcPr>
                <w:p w14:paraId="4B4D293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eastAsia" w:cs="Times New Roman"/>
                      <w:color w:val="auto"/>
                      <w:sz w:val="18"/>
                      <w:szCs w:val="18"/>
                      <w:highlight w:val="none"/>
                      <w:lang w:val="en-US" w:eastAsia="zh-CN"/>
                    </w:rPr>
                    <w:t>2</w:t>
                  </w:r>
                </w:p>
              </w:tc>
              <w:tc>
                <w:tcPr>
                  <w:tcW w:w="286" w:type="pct"/>
                  <w:shd w:val="clear" w:color="auto" w:fill="auto"/>
                  <w:vAlign w:val="center"/>
                </w:tcPr>
                <w:p w14:paraId="52D9699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GC-1200</w:t>
                  </w:r>
                </w:p>
              </w:tc>
              <w:tc>
                <w:tcPr>
                  <w:tcW w:w="178" w:type="pct"/>
                  <w:shd w:val="clear" w:color="auto" w:fill="auto"/>
                  <w:vAlign w:val="center"/>
                </w:tcPr>
                <w:p w14:paraId="58C4BF8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75</w:t>
                  </w:r>
                </w:p>
              </w:tc>
              <w:tc>
                <w:tcPr>
                  <w:tcW w:w="140" w:type="pct"/>
                  <w:vMerge w:val="continue"/>
                  <w:vAlign w:val="center"/>
                </w:tcPr>
                <w:p w14:paraId="4093CCD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297AE9C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-8.38</w:t>
                  </w:r>
                </w:p>
              </w:tc>
              <w:tc>
                <w:tcPr>
                  <w:tcW w:w="216" w:type="pct"/>
                  <w:vAlign w:val="center"/>
                </w:tcPr>
                <w:p w14:paraId="1436158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-78.6</w:t>
                  </w:r>
                </w:p>
              </w:tc>
              <w:tc>
                <w:tcPr>
                  <w:tcW w:w="121" w:type="pct"/>
                  <w:vAlign w:val="center"/>
                </w:tcPr>
                <w:p w14:paraId="5810507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2EA14B4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31.32</w:t>
                  </w:r>
                </w:p>
              </w:tc>
              <w:tc>
                <w:tcPr>
                  <w:tcW w:w="187" w:type="pct"/>
                  <w:vAlign w:val="center"/>
                </w:tcPr>
                <w:p w14:paraId="52D624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23.00</w:t>
                  </w:r>
                </w:p>
              </w:tc>
              <w:tc>
                <w:tcPr>
                  <w:tcW w:w="191" w:type="pct"/>
                  <w:vAlign w:val="center"/>
                </w:tcPr>
                <w:p w14:paraId="323E63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8.09</w:t>
                  </w:r>
                </w:p>
              </w:tc>
              <w:tc>
                <w:tcPr>
                  <w:tcW w:w="216" w:type="pct"/>
                  <w:vAlign w:val="center"/>
                </w:tcPr>
                <w:p w14:paraId="71CAED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53.37</w:t>
                  </w:r>
                </w:p>
              </w:tc>
              <w:tc>
                <w:tcPr>
                  <w:tcW w:w="197" w:type="pct"/>
                  <w:vAlign w:val="center"/>
                </w:tcPr>
                <w:p w14:paraId="00A35D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48.09</w:t>
                  </w:r>
                </w:p>
              </w:tc>
              <w:tc>
                <w:tcPr>
                  <w:tcW w:w="216" w:type="pct"/>
                  <w:vAlign w:val="center"/>
                </w:tcPr>
                <w:p w14:paraId="10FA33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50.77</w:t>
                  </w:r>
                </w:p>
              </w:tc>
              <w:tc>
                <w:tcPr>
                  <w:tcW w:w="242" w:type="pct"/>
                  <w:vAlign w:val="center"/>
                </w:tcPr>
                <w:p w14:paraId="11867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59.85</w:t>
                  </w:r>
                </w:p>
              </w:tc>
              <w:tc>
                <w:tcPr>
                  <w:tcW w:w="318" w:type="pct"/>
                  <w:vAlign w:val="center"/>
                </w:tcPr>
                <w:p w14:paraId="01F7245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43.46</w:t>
                  </w:r>
                </w:p>
              </w:tc>
              <w:tc>
                <w:tcPr>
                  <w:tcW w:w="133" w:type="pct"/>
                  <w:vMerge w:val="continue"/>
                  <w:vAlign w:val="center"/>
                </w:tcPr>
                <w:p w14:paraId="4E8C3DE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011296C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A36C9C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21.82</w:t>
                  </w:r>
                </w:p>
              </w:tc>
              <w:tc>
                <w:tcPr>
                  <w:tcW w:w="280" w:type="pct"/>
                  <w:vAlign w:val="center"/>
                </w:tcPr>
                <w:p w14:paraId="21A4AA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24.41</w:t>
                  </w:r>
                </w:p>
              </w:tc>
              <w:tc>
                <w:tcPr>
                  <w:tcW w:w="243" w:type="pct"/>
                  <w:vAlign w:val="center"/>
                </w:tcPr>
                <w:p w14:paraId="3E45E20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32.84</w:t>
                  </w:r>
                </w:p>
              </w:tc>
              <w:tc>
                <w:tcPr>
                  <w:tcW w:w="198" w:type="pct"/>
                  <w:vAlign w:val="center"/>
                </w:tcPr>
                <w:p w14:paraId="78E52E6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17.30</w:t>
                  </w:r>
                </w:p>
              </w:tc>
              <w:tc>
                <w:tcPr>
                  <w:tcW w:w="179" w:type="pct"/>
                  <w:vAlign w:val="center"/>
                </w:tcPr>
                <w:p w14:paraId="69CDEB8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F558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jc w:val="center"/>
              </w:trPr>
              <w:tc>
                <w:tcPr>
                  <w:tcW w:w="86" w:type="pct"/>
                  <w:vAlign w:val="center"/>
                </w:tcPr>
                <w:p w14:paraId="5775F95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187" w:type="pct"/>
                  <w:vMerge w:val="continue"/>
                  <w:vAlign w:val="center"/>
                </w:tcPr>
                <w:p w14:paraId="08F2827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C40C1C9">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18"/>
                      <w:szCs w:val="18"/>
                      <w:highlight w:val="none"/>
                      <w:u w:val="none"/>
                      <w:lang w:val="en-US" w:eastAsia="zh-CN"/>
                    </w:rPr>
                  </w:pPr>
                  <w:r>
                    <w:rPr>
                      <w:rFonts w:hint="default" w:ascii="Times New Roman" w:hAnsi="Times New Roman" w:cs="Times New Roman"/>
                      <w:i w:val="0"/>
                      <w:iCs w:val="0"/>
                      <w:color w:val="auto"/>
                      <w:kern w:val="0"/>
                      <w:sz w:val="18"/>
                      <w:szCs w:val="18"/>
                      <w:highlight w:val="none"/>
                      <w:u w:val="none"/>
                      <w:lang w:val="en-US" w:eastAsia="zh-CN"/>
                    </w:rPr>
                    <w:t>卷制缠带机</w:t>
                  </w:r>
                </w:p>
              </w:tc>
              <w:tc>
                <w:tcPr>
                  <w:tcW w:w="121" w:type="pct"/>
                  <w:vAlign w:val="center"/>
                </w:tcPr>
                <w:p w14:paraId="2597FD4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1AD0A17B">
                  <w:pPr>
                    <w:keepNext w:val="0"/>
                    <w:keepLines w:val="0"/>
                    <w:widowControl/>
                    <w:suppressLineNumbers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78" w:type="pct"/>
                  <w:vAlign w:val="center"/>
                </w:tcPr>
                <w:p w14:paraId="761F079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322F342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29CA8FC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12.17</w:t>
                  </w:r>
                </w:p>
              </w:tc>
              <w:tc>
                <w:tcPr>
                  <w:tcW w:w="216" w:type="pct"/>
                  <w:vAlign w:val="center"/>
                </w:tcPr>
                <w:p w14:paraId="5391A73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-40.48</w:t>
                  </w:r>
                </w:p>
              </w:tc>
              <w:tc>
                <w:tcPr>
                  <w:tcW w:w="121" w:type="pct"/>
                  <w:vAlign w:val="center"/>
                </w:tcPr>
                <w:p w14:paraId="345DD42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1E59D92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13.69</w:t>
                  </w:r>
                </w:p>
              </w:tc>
              <w:tc>
                <w:tcPr>
                  <w:tcW w:w="187" w:type="pct"/>
                  <w:vAlign w:val="center"/>
                </w:tcPr>
                <w:p w14:paraId="2A616E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46.99</w:t>
                  </w:r>
                </w:p>
              </w:tc>
              <w:tc>
                <w:tcPr>
                  <w:tcW w:w="191" w:type="pct"/>
                  <w:vAlign w:val="center"/>
                </w:tcPr>
                <w:p w14:paraId="0F1BE0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24.06</w:t>
                  </w:r>
                </w:p>
              </w:tc>
              <w:tc>
                <w:tcPr>
                  <w:tcW w:w="216" w:type="pct"/>
                  <w:vAlign w:val="center"/>
                </w:tcPr>
                <w:p w14:paraId="16770D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13.33</w:t>
                  </w:r>
                </w:p>
              </w:tc>
              <w:tc>
                <w:tcPr>
                  <w:tcW w:w="197" w:type="pct"/>
                  <w:vAlign w:val="center"/>
                </w:tcPr>
                <w:p w14:paraId="1EE5A2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47.27</w:t>
                  </w:r>
                </w:p>
              </w:tc>
              <w:tc>
                <w:tcPr>
                  <w:tcW w:w="216" w:type="pct"/>
                  <w:vAlign w:val="center"/>
                </w:tcPr>
                <w:p w14:paraId="5BA5AC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36.56</w:t>
                  </w:r>
                </w:p>
              </w:tc>
              <w:tc>
                <w:tcPr>
                  <w:tcW w:w="242" w:type="pct"/>
                  <w:vAlign w:val="center"/>
                </w:tcPr>
                <w:p w14:paraId="2A9154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42.37</w:t>
                  </w:r>
                </w:p>
              </w:tc>
              <w:tc>
                <w:tcPr>
                  <w:tcW w:w="318" w:type="pct"/>
                  <w:vAlign w:val="center"/>
                </w:tcPr>
                <w:p w14:paraId="331D0D1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47.50</w:t>
                  </w:r>
                </w:p>
              </w:tc>
              <w:tc>
                <w:tcPr>
                  <w:tcW w:w="133" w:type="pct"/>
                  <w:vMerge w:val="continue"/>
                  <w:vAlign w:val="center"/>
                </w:tcPr>
                <w:p w14:paraId="138E75E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AC6457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85341B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20.66</w:t>
                  </w:r>
                </w:p>
              </w:tc>
              <w:tc>
                <w:tcPr>
                  <w:tcW w:w="280" w:type="pct"/>
                  <w:vAlign w:val="center"/>
                </w:tcPr>
                <w:p w14:paraId="1BE7E9D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10.38</w:t>
                  </w:r>
                </w:p>
              </w:tc>
              <w:tc>
                <w:tcPr>
                  <w:tcW w:w="243" w:type="pct"/>
                  <w:vAlign w:val="center"/>
                </w:tcPr>
                <w:p w14:paraId="074DA74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16.02</w:t>
                  </w:r>
                </w:p>
              </w:tc>
              <w:tc>
                <w:tcPr>
                  <w:tcW w:w="198" w:type="pct"/>
                  <w:vAlign w:val="center"/>
                </w:tcPr>
                <w:p w14:paraId="6B75828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20.87</w:t>
                  </w:r>
                </w:p>
              </w:tc>
              <w:tc>
                <w:tcPr>
                  <w:tcW w:w="179" w:type="pct"/>
                  <w:vAlign w:val="center"/>
                </w:tcPr>
                <w:p w14:paraId="69784EC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8A68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86" w:type="pct"/>
                  <w:vAlign w:val="center"/>
                </w:tcPr>
                <w:p w14:paraId="7084097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w:t>
                  </w:r>
                </w:p>
              </w:tc>
              <w:tc>
                <w:tcPr>
                  <w:tcW w:w="187" w:type="pct"/>
                  <w:vMerge w:val="continue"/>
                  <w:vAlign w:val="center"/>
                </w:tcPr>
                <w:p w14:paraId="6E138F5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2E2B316C">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18"/>
                      <w:szCs w:val="18"/>
                      <w:highlight w:val="none"/>
                      <w:u w:val="none"/>
                      <w:lang w:val="en-US" w:eastAsia="zh-CN"/>
                    </w:rPr>
                  </w:pPr>
                  <w:r>
                    <w:rPr>
                      <w:rFonts w:hint="eastAsia" w:cs="Times New Roman"/>
                      <w:i w:val="0"/>
                      <w:iCs w:val="0"/>
                      <w:color w:val="auto"/>
                      <w:kern w:val="0"/>
                      <w:sz w:val="18"/>
                      <w:szCs w:val="18"/>
                      <w:highlight w:val="none"/>
                      <w:u w:val="none"/>
                      <w:lang w:val="en-US" w:eastAsia="zh-CN"/>
                    </w:rPr>
                    <w:t>烘干房</w:t>
                  </w:r>
                </w:p>
              </w:tc>
              <w:tc>
                <w:tcPr>
                  <w:tcW w:w="121" w:type="pct"/>
                  <w:vAlign w:val="center"/>
                </w:tcPr>
                <w:p w14:paraId="72441C7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286" w:type="pct"/>
                  <w:shd w:val="clear" w:color="auto" w:fill="auto"/>
                  <w:vAlign w:val="center"/>
                </w:tcPr>
                <w:p w14:paraId="25986784">
                  <w:pPr>
                    <w:keepNext w:val="0"/>
                    <w:keepLines w:val="0"/>
                    <w:widowControl/>
                    <w:suppressLineNumbers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78" w:type="pct"/>
                  <w:vAlign w:val="center"/>
                </w:tcPr>
                <w:p w14:paraId="3234F33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669E51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7C97DFCA">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4.12</w:t>
                  </w:r>
                </w:p>
              </w:tc>
              <w:tc>
                <w:tcPr>
                  <w:tcW w:w="216" w:type="pct"/>
                  <w:vAlign w:val="center"/>
                </w:tcPr>
                <w:p w14:paraId="3D8AC25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-76.03</w:t>
                  </w:r>
                </w:p>
              </w:tc>
              <w:tc>
                <w:tcPr>
                  <w:tcW w:w="121" w:type="pct"/>
                  <w:vAlign w:val="center"/>
                </w:tcPr>
                <w:p w14:paraId="2BE2085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BFCEEB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19.00</w:t>
                  </w:r>
                </w:p>
              </w:tc>
              <w:tc>
                <w:tcPr>
                  <w:tcW w:w="187" w:type="pct"/>
                  <w:vAlign w:val="center"/>
                </w:tcPr>
                <w:p w14:paraId="37C32A56">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11.11</w:t>
                  </w:r>
                </w:p>
              </w:tc>
              <w:tc>
                <w:tcPr>
                  <w:tcW w:w="191" w:type="pct"/>
                  <w:vAlign w:val="center"/>
                </w:tcPr>
                <w:p w14:paraId="28C13977">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20.29</w:t>
                  </w:r>
                </w:p>
              </w:tc>
              <w:tc>
                <w:tcPr>
                  <w:tcW w:w="216" w:type="pct"/>
                  <w:vAlign w:val="center"/>
                </w:tcPr>
                <w:p w14:paraId="5689CCD7">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49.53</w:t>
                  </w:r>
                </w:p>
              </w:tc>
              <w:tc>
                <w:tcPr>
                  <w:tcW w:w="197" w:type="pct"/>
                  <w:vAlign w:val="center"/>
                </w:tcPr>
                <w:p w14:paraId="1D0FBAC1">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47.43</w:t>
                  </w:r>
                </w:p>
              </w:tc>
              <w:tc>
                <w:tcPr>
                  <w:tcW w:w="216" w:type="pct"/>
                  <w:vAlign w:val="center"/>
                </w:tcPr>
                <w:p w14:paraId="20FEEAA4">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52.10</w:t>
                  </w:r>
                </w:p>
              </w:tc>
              <w:tc>
                <w:tcPr>
                  <w:tcW w:w="242" w:type="pct"/>
                  <w:vAlign w:val="center"/>
                </w:tcPr>
                <w:p w14:paraId="6614A156">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46.86</w:t>
                  </w:r>
                </w:p>
              </w:tc>
              <w:tc>
                <w:tcPr>
                  <w:tcW w:w="318" w:type="pct"/>
                  <w:vAlign w:val="center"/>
                </w:tcPr>
                <w:p w14:paraId="6AE2BF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39.11</w:t>
                  </w:r>
                </w:p>
              </w:tc>
              <w:tc>
                <w:tcPr>
                  <w:tcW w:w="133" w:type="pct"/>
                  <w:vMerge w:val="continue"/>
                  <w:vAlign w:val="center"/>
                </w:tcPr>
                <w:p w14:paraId="662F21C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557AC48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5EAC6A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20.99</w:t>
                  </w:r>
                </w:p>
              </w:tc>
              <w:tc>
                <w:tcPr>
                  <w:tcW w:w="280" w:type="pct"/>
                  <w:vAlign w:val="center"/>
                </w:tcPr>
                <w:p w14:paraId="55D8F97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25.35</w:t>
                  </w:r>
                </w:p>
              </w:tc>
              <w:tc>
                <w:tcPr>
                  <w:tcW w:w="243" w:type="pct"/>
                  <w:vAlign w:val="center"/>
                </w:tcPr>
                <w:p w14:paraId="6CFF855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20.45</w:t>
                  </w:r>
                </w:p>
              </w:tc>
              <w:tc>
                <w:tcPr>
                  <w:tcW w:w="198" w:type="pct"/>
                  <w:vAlign w:val="center"/>
                </w:tcPr>
                <w:p w14:paraId="4BE106C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12.94</w:t>
                  </w:r>
                </w:p>
              </w:tc>
              <w:tc>
                <w:tcPr>
                  <w:tcW w:w="179" w:type="pct"/>
                  <w:vAlign w:val="center"/>
                </w:tcPr>
                <w:p w14:paraId="2403C6D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EE3B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6" w:hRule="atLeast"/>
                <w:jc w:val="center"/>
              </w:trPr>
              <w:tc>
                <w:tcPr>
                  <w:tcW w:w="86" w:type="pct"/>
                  <w:vAlign w:val="center"/>
                </w:tcPr>
                <w:p w14:paraId="2CB064C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en-US" w:eastAsia="zh-CN"/>
                    </w:rPr>
                    <w:t>2</w:t>
                  </w:r>
                </w:p>
              </w:tc>
              <w:tc>
                <w:tcPr>
                  <w:tcW w:w="187" w:type="pct"/>
                  <w:vMerge w:val="continue"/>
                  <w:vAlign w:val="center"/>
                </w:tcPr>
                <w:p w14:paraId="4461B0F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13E754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烫芯脱</w:t>
                  </w:r>
                  <w:r>
                    <w:rPr>
                      <w:rFonts w:hint="eastAsia" w:cs="Times New Roman"/>
                      <w:i w:val="0"/>
                      <w:iCs w:val="0"/>
                      <w:color w:val="auto"/>
                      <w:kern w:val="0"/>
                      <w:sz w:val="18"/>
                      <w:szCs w:val="18"/>
                      <w:highlight w:val="none"/>
                      <w:u w:val="none"/>
                      <w:lang w:val="en-US" w:eastAsia="zh-CN"/>
                    </w:rPr>
                    <w:t>BOPP</w:t>
                  </w:r>
                  <w:r>
                    <w:rPr>
                      <w:rFonts w:hint="default" w:ascii="Times New Roman" w:hAnsi="Times New Roman" w:eastAsia="宋体" w:cs="Times New Roman"/>
                      <w:i w:val="0"/>
                      <w:iCs w:val="0"/>
                      <w:color w:val="auto"/>
                      <w:kern w:val="0"/>
                      <w:sz w:val="18"/>
                      <w:szCs w:val="18"/>
                      <w:highlight w:val="none"/>
                      <w:u w:val="none"/>
                      <w:lang w:val="en-US" w:eastAsia="zh-CN"/>
                    </w:rPr>
                    <w:t>膜机</w:t>
                  </w:r>
                </w:p>
              </w:tc>
              <w:tc>
                <w:tcPr>
                  <w:tcW w:w="121" w:type="pct"/>
                  <w:vAlign w:val="center"/>
                </w:tcPr>
                <w:p w14:paraId="7399B94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7AD8EC49">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cs="Times New Roman"/>
                      <w:color w:val="auto"/>
                      <w:kern w:val="2"/>
                      <w:sz w:val="18"/>
                      <w:szCs w:val="18"/>
                      <w:highlight w:val="none"/>
                      <w:vertAlign w:val="baseline"/>
                      <w:lang w:val="en-US" w:eastAsia="zh-CN" w:bidi="ar-SA"/>
                    </w:rPr>
                    <w:t>/</w:t>
                  </w:r>
                </w:p>
              </w:tc>
              <w:tc>
                <w:tcPr>
                  <w:tcW w:w="178" w:type="pct"/>
                  <w:vAlign w:val="center"/>
                </w:tcPr>
                <w:p w14:paraId="7460565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233521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47AABBC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11.35</w:t>
                  </w:r>
                </w:p>
              </w:tc>
              <w:tc>
                <w:tcPr>
                  <w:tcW w:w="216" w:type="pct"/>
                  <w:vAlign w:val="center"/>
                </w:tcPr>
                <w:p w14:paraId="018E02B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-59.41</w:t>
                  </w:r>
                </w:p>
              </w:tc>
              <w:tc>
                <w:tcPr>
                  <w:tcW w:w="121" w:type="pct"/>
                  <w:vAlign w:val="center"/>
                </w:tcPr>
                <w:p w14:paraId="1532588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268343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13.05</w:t>
                  </w:r>
                </w:p>
              </w:tc>
              <w:tc>
                <w:tcPr>
                  <w:tcW w:w="187" w:type="pct"/>
                  <w:vAlign w:val="center"/>
                </w:tcPr>
                <w:p w14:paraId="4296A9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28.10</w:t>
                  </w:r>
                </w:p>
              </w:tc>
              <w:tc>
                <w:tcPr>
                  <w:tcW w:w="191" w:type="pct"/>
                  <w:vAlign w:val="center"/>
                </w:tcPr>
                <w:p w14:paraId="49A155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25.53</w:t>
                  </w:r>
                </w:p>
              </w:tc>
              <w:tc>
                <w:tcPr>
                  <w:tcW w:w="216" w:type="pct"/>
                  <w:vAlign w:val="center"/>
                </w:tcPr>
                <w:p w14:paraId="1F8F54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32.25</w:t>
                  </w:r>
                </w:p>
              </w:tc>
              <w:tc>
                <w:tcPr>
                  <w:tcW w:w="197" w:type="pct"/>
                  <w:vAlign w:val="center"/>
                </w:tcPr>
                <w:p w14:paraId="1CAE48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47.69</w:t>
                  </w:r>
                </w:p>
              </w:tc>
              <w:tc>
                <w:tcPr>
                  <w:tcW w:w="216" w:type="pct"/>
                  <w:vAlign w:val="center"/>
                </w:tcPr>
                <w:p w14:paraId="3EA1D3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41.02</w:t>
                  </w:r>
                </w:p>
              </w:tc>
              <w:tc>
                <w:tcPr>
                  <w:tcW w:w="242" w:type="pct"/>
                  <w:vAlign w:val="center"/>
                </w:tcPr>
                <w:p w14:paraId="1E816F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41.86</w:t>
                  </w:r>
                </w:p>
              </w:tc>
              <w:tc>
                <w:tcPr>
                  <w:tcW w:w="318" w:type="pct"/>
                  <w:vAlign w:val="center"/>
                </w:tcPr>
                <w:p w14:paraId="5DF3F04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39.83</w:t>
                  </w:r>
                </w:p>
              </w:tc>
              <w:tc>
                <w:tcPr>
                  <w:tcW w:w="133" w:type="pct"/>
                  <w:vMerge w:val="continue"/>
                  <w:vAlign w:val="center"/>
                </w:tcPr>
                <w:p w14:paraId="6963C5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3BA5A94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460A4FA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21.05</w:t>
                  </w:r>
                </w:p>
              </w:tc>
              <w:tc>
                <w:tcPr>
                  <w:tcW w:w="280" w:type="pct"/>
                  <w:vAlign w:val="center"/>
                </w:tcPr>
                <w:p w14:paraId="7C689C1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14.72</w:t>
                  </w:r>
                </w:p>
              </w:tc>
              <w:tc>
                <w:tcPr>
                  <w:tcW w:w="243" w:type="pct"/>
                  <w:vAlign w:val="center"/>
                </w:tcPr>
                <w:p w14:paraId="792CDBD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15.53</w:t>
                  </w:r>
                </w:p>
              </w:tc>
              <w:tc>
                <w:tcPr>
                  <w:tcW w:w="198" w:type="pct"/>
                  <w:vAlign w:val="center"/>
                </w:tcPr>
                <w:p w14:paraId="431A5FB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13.57</w:t>
                  </w:r>
                </w:p>
              </w:tc>
              <w:tc>
                <w:tcPr>
                  <w:tcW w:w="179" w:type="pct"/>
                  <w:vAlign w:val="center"/>
                </w:tcPr>
                <w:p w14:paraId="59E22C1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AF5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6" w:type="pct"/>
                  <w:shd w:val="clear" w:color="auto" w:fill="auto"/>
                  <w:vAlign w:val="center"/>
                </w:tcPr>
                <w:p w14:paraId="7BF5D2D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1</w:t>
                  </w:r>
                </w:p>
              </w:tc>
              <w:tc>
                <w:tcPr>
                  <w:tcW w:w="187" w:type="pct"/>
                  <w:vMerge w:val="restart"/>
                  <w:shd w:val="clear" w:color="auto" w:fill="auto"/>
                  <w:vAlign w:val="center"/>
                </w:tcPr>
                <w:p w14:paraId="209C4DED">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val="en-US" w:eastAsia="zh-CN"/>
                    </w:rPr>
                    <w:t>厂房</w:t>
                  </w:r>
                </w:p>
              </w:tc>
              <w:tc>
                <w:tcPr>
                  <w:tcW w:w="227" w:type="pct"/>
                  <w:shd w:val="clear" w:color="auto" w:fill="auto"/>
                  <w:vAlign w:val="center"/>
                </w:tcPr>
                <w:p w14:paraId="2511B5B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搅拌机</w:t>
                  </w:r>
                </w:p>
              </w:tc>
              <w:tc>
                <w:tcPr>
                  <w:tcW w:w="121" w:type="pct"/>
                  <w:shd w:val="clear" w:color="auto" w:fill="auto"/>
                  <w:vAlign w:val="center"/>
                </w:tcPr>
                <w:p w14:paraId="459411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0342F226">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556A2F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70.0</w:t>
                  </w:r>
                </w:p>
              </w:tc>
              <w:tc>
                <w:tcPr>
                  <w:tcW w:w="140" w:type="pct"/>
                  <w:vMerge w:val="continue"/>
                  <w:shd w:val="clear" w:color="auto" w:fill="auto"/>
                  <w:vAlign w:val="center"/>
                </w:tcPr>
                <w:p w14:paraId="680C40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4B90555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-47.31</w:t>
                  </w:r>
                </w:p>
              </w:tc>
              <w:tc>
                <w:tcPr>
                  <w:tcW w:w="216" w:type="pct"/>
                  <w:shd w:val="clear" w:color="auto" w:fill="auto"/>
                  <w:vAlign w:val="center"/>
                </w:tcPr>
                <w:p w14:paraId="3EA11571">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13.25</w:t>
                  </w:r>
                </w:p>
              </w:tc>
              <w:tc>
                <w:tcPr>
                  <w:tcW w:w="121" w:type="pct"/>
                  <w:shd w:val="clear" w:color="auto" w:fill="auto"/>
                  <w:vAlign w:val="center"/>
                </w:tcPr>
                <w:p w14:paraId="5D2ACEB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4471F40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41.04</w:t>
                  </w:r>
                </w:p>
              </w:tc>
              <w:tc>
                <w:tcPr>
                  <w:tcW w:w="187" w:type="pct"/>
                  <w:shd w:val="clear" w:color="auto" w:fill="auto"/>
                  <w:vAlign w:val="center"/>
                </w:tcPr>
                <w:p w14:paraId="6F7D339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10.34</w:t>
                  </w:r>
                </w:p>
              </w:tc>
              <w:tc>
                <w:tcPr>
                  <w:tcW w:w="191" w:type="pct"/>
                  <w:shd w:val="clear" w:color="auto" w:fill="auto"/>
                  <w:vAlign w:val="center"/>
                </w:tcPr>
                <w:p w14:paraId="384C0D2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16.59</w:t>
                  </w:r>
                </w:p>
              </w:tc>
              <w:tc>
                <w:tcPr>
                  <w:tcW w:w="216" w:type="pct"/>
                  <w:shd w:val="clear" w:color="auto" w:fill="auto"/>
                  <w:vAlign w:val="center"/>
                </w:tcPr>
                <w:p w14:paraId="7192589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71.67</w:t>
                  </w:r>
                </w:p>
              </w:tc>
              <w:tc>
                <w:tcPr>
                  <w:tcW w:w="197" w:type="pct"/>
                  <w:shd w:val="clear" w:color="auto" w:fill="auto"/>
                  <w:vAlign w:val="center"/>
                </w:tcPr>
                <w:p w14:paraId="65B485D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37.74</w:t>
                  </w:r>
                </w:p>
              </w:tc>
              <w:tc>
                <w:tcPr>
                  <w:tcW w:w="216" w:type="pct"/>
                  <w:shd w:val="clear" w:color="auto" w:fill="auto"/>
                  <w:vAlign w:val="center"/>
                </w:tcPr>
                <w:p w14:paraId="4F8B81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49.71</w:t>
                  </w:r>
                </w:p>
              </w:tc>
              <w:tc>
                <w:tcPr>
                  <w:tcW w:w="242" w:type="pct"/>
                  <w:shd w:val="clear" w:color="auto" w:fill="auto"/>
                  <w:vAlign w:val="center"/>
                </w:tcPr>
                <w:p w14:paraId="0ECBE00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45.60</w:t>
                  </w:r>
                </w:p>
              </w:tc>
              <w:tc>
                <w:tcPr>
                  <w:tcW w:w="318" w:type="pct"/>
                  <w:shd w:val="clear" w:color="auto" w:fill="auto"/>
                  <w:vAlign w:val="center"/>
                </w:tcPr>
                <w:p w14:paraId="59187688">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32.89</w:t>
                  </w:r>
                </w:p>
              </w:tc>
              <w:tc>
                <w:tcPr>
                  <w:tcW w:w="133" w:type="pct"/>
                  <w:vMerge w:val="continue"/>
                  <w:shd w:val="clear" w:color="auto" w:fill="auto"/>
                  <w:vAlign w:val="center"/>
                </w:tcPr>
                <w:p w14:paraId="522FA8C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shd w:val="clear" w:color="auto" w:fill="auto"/>
                  <w:vAlign w:val="center"/>
                </w:tcPr>
                <w:p w14:paraId="0FB2558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1FE8AC6A">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11.53</w:t>
                  </w:r>
                </w:p>
              </w:tc>
              <w:tc>
                <w:tcPr>
                  <w:tcW w:w="280" w:type="pct"/>
                  <w:vAlign w:val="center"/>
                </w:tcPr>
                <w:p w14:paraId="50DD01C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22.91</w:t>
                  </w:r>
                </w:p>
              </w:tc>
              <w:tc>
                <w:tcPr>
                  <w:tcW w:w="243" w:type="pct"/>
                  <w:vAlign w:val="center"/>
                </w:tcPr>
                <w:p w14:paraId="3DEEF70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19.09</w:t>
                  </w:r>
                </w:p>
              </w:tc>
              <w:tc>
                <w:tcPr>
                  <w:tcW w:w="198" w:type="pct"/>
                  <w:vAlign w:val="center"/>
                </w:tcPr>
                <w:p w14:paraId="159777C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6.77</w:t>
                  </w:r>
                </w:p>
              </w:tc>
              <w:tc>
                <w:tcPr>
                  <w:tcW w:w="179" w:type="pct"/>
                  <w:vAlign w:val="center"/>
                </w:tcPr>
                <w:p w14:paraId="4621CFC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3C958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9" w:hRule="atLeast"/>
                <w:jc w:val="center"/>
              </w:trPr>
              <w:tc>
                <w:tcPr>
                  <w:tcW w:w="86" w:type="pct"/>
                  <w:shd w:val="clear" w:color="auto" w:fill="auto"/>
                  <w:vAlign w:val="center"/>
                </w:tcPr>
                <w:p w14:paraId="0E3F00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2</w:t>
                  </w:r>
                </w:p>
              </w:tc>
              <w:tc>
                <w:tcPr>
                  <w:tcW w:w="187" w:type="pct"/>
                  <w:vMerge w:val="continue"/>
                  <w:vAlign w:val="center"/>
                </w:tcPr>
                <w:p w14:paraId="08B822D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1738022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模具加热板</w:t>
                  </w:r>
                </w:p>
              </w:tc>
              <w:tc>
                <w:tcPr>
                  <w:tcW w:w="121" w:type="pct"/>
                  <w:shd w:val="clear" w:color="auto" w:fill="auto"/>
                  <w:vAlign w:val="center"/>
                </w:tcPr>
                <w:p w14:paraId="0189EEE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12</w:t>
                  </w:r>
                </w:p>
              </w:tc>
              <w:tc>
                <w:tcPr>
                  <w:tcW w:w="286" w:type="pct"/>
                  <w:shd w:val="clear" w:color="auto" w:fill="auto"/>
                  <w:vAlign w:val="center"/>
                </w:tcPr>
                <w:p w14:paraId="6FCEA3A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53CD895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60.0</w:t>
                  </w:r>
                </w:p>
              </w:tc>
              <w:tc>
                <w:tcPr>
                  <w:tcW w:w="140" w:type="pct"/>
                  <w:vMerge w:val="continue"/>
                  <w:vAlign w:val="center"/>
                </w:tcPr>
                <w:p w14:paraId="5448E91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5E7A530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-34.6</w:t>
                  </w:r>
                </w:p>
              </w:tc>
              <w:tc>
                <w:tcPr>
                  <w:tcW w:w="216" w:type="pct"/>
                  <w:shd w:val="clear" w:color="auto" w:fill="auto"/>
                  <w:vAlign w:val="center"/>
                </w:tcPr>
                <w:p w14:paraId="61EAB58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96.51</w:t>
                  </w:r>
                </w:p>
              </w:tc>
              <w:tc>
                <w:tcPr>
                  <w:tcW w:w="121" w:type="pct"/>
                  <w:shd w:val="clear" w:color="auto" w:fill="auto"/>
                  <w:vAlign w:val="center"/>
                </w:tcPr>
                <w:p w14:paraId="14B414FC">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593B25BE">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13.64</w:t>
                  </w:r>
                </w:p>
              </w:tc>
              <w:tc>
                <w:tcPr>
                  <w:tcW w:w="187" w:type="pct"/>
                  <w:shd w:val="clear" w:color="auto" w:fill="auto"/>
                  <w:vAlign w:val="center"/>
                </w:tcPr>
                <w:p w14:paraId="4BDC456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96.67</w:t>
                  </w:r>
                </w:p>
              </w:tc>
              <w:tc>
                <w:tcPr>
                  <w:tcW w:w="191" w:type="pct"/>
                  <w:shd w:val="clear" w:color="auto" w:fill="auto"/>
                  <w:vAlign w:val="center"/>
                </w:tcPr>
                <w:p w14:paraId="2F6193C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10.12</w:t>
                  </w:r>
                </w:p>
              </w:tc>
              <w:tc>
                <w:tcPr>
                  <w:tcW w:w="216" w:type="pct"/>
                  <w:shd w:val="clear" w:color="auto" w:fill="auto"/>
                  <w:vAlign w:val="center"/>
                </w:tcPr>
                <w:p w14:paraId="31439D5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23.03</w:t>
                  </w:r>
                </w:p>
              </w:tc>
              <w:tc>
                <w:tcPr>
                  <w:tcW w:w="197" w:type="pct"/>
                  <w:shd w:val="clear" w:color="auto" w:fill="auto"/>
                  <w:vAlign w:val="center"/>
                </w:tcPr>
                <w:p w14:paraId="73DCFFE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48.09</w:t>
                  </w:r>
                </w:p>
              </w:tc>
              <w:tc>
                <w:tcPr>
                  <w:tcW w:w="216" w:type="pct"/>
                  <w:shd w:val="clear" w:color="auto" w:fill="auto"/>
                  <w:vAlign w:val="center"/>
                </w:tcPr>
                <w:p w14:paraId="2430D6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31.09</w:t>
                  </w:r>
                </w:p>
              </w:tc>
              <w:tc>
                <w:tcPr>
                  <w:tcW w:w="242" w:type="pct"/>
                  <w:shd w:val="clear" w:color="auto" w:fill="auto"/>
                  <w:vAlign w:val="center"/>
                </w:tcPr>
                <w:p w14:paraId="433F475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50.69</w:t>
                  </w:r>
                </w:p>
              </w:tc>
              <w:tc>
                <w:tcPr>
                  <w:tcW w:w="318" w:type="pct"/>
                  <w:shd w:val="clear" w:color="auto" w:fill="auto"/>
                  <w:vAlign w:val="center"/>
                </w:tcPr>
                <w:p w14:paraId="36BACA15">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43.55</w:t>
                  </w:r>
                </w:p>
              </w:tc>
              <w:tc>
                <w:tcPr>
                  <w:tcW w:w="133" w:type="pct"/>
                  <w:vMerge w:val="continue"/>
                  <w:vAlign w:val="center"/>
                </w:tcPr>
                <w:p w14:paraId="4E796FA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03103C0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24F9C1E1">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21.48</w:t>
                  </w:r>
                </w:p>
              </w:tc>
              <w:tc>
                <w:tcPr>
                  <w:tcW w:w="280" w:type="pct"/>
                  <w:vAlign w:val="center"/>
                </w:tcPr>
                <w:p w14:paraId="1598750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5.00</w:t>
                  </w:r>
                </w:p>
              </w:tc>
              <w:tc>
                <w:tcPr>
                  <w:tcW w:w="243" w:type="pct"/>
                  <w:vAlign w:val="center"/>
                </w:tcPr>
                <w:p w14:paraId="0DC14FD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23.87</w:t>
                  </w:r>
                </w:p>
              </w:tc>
              <w:tc>
                <w:tcPr>
                  <w:tcW w:w="198" w:type="pct"/>
                  <w:vAlign w:val="center"/>
                </w:tcPr>
                <w:p w14:paraId="25024CB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17.18</w:t>
                  </w:r>
                </w:p>
              </w:tc>
              <w:tc>
                <w:tcPr>
                  <w:tcW w:w="179" w:type="pct"/>
                  <w:vAlign w:val="center"/>
                </w:tcPr>
                <w:p w14:paraId="37C415B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2972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86" w:type="pct"/>
                  <w:shd w:val="clear" w:color="auto" w:fill="auto"/>
                  <w:vAlign w:val="center"/>
                </w:tcPr>
                <w:p w14:paraId="797BD1F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3</w:t>
                  </w:r>
                </w:p>
              </w:tc>
              <w:tc>
                <w:tcPr>
                  <w:tcW w:w="187" w:type="pct"/>
                  <w:vMerge w:val="continue"/>
                  <w:vAlign w:val="center"/>
                </w:tcPr>
                <w:p w14:paraId="48D96ED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B477FF7">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牵引机</w:t>
                  </w:r>
                </w:p>
              </w:tc>
              <w:tc>
                <w:tcPr>
                  <w:tcW w:w="121" w:type="pct"/>
                  <w:shd w:val="clear" w:color="auto" w:fill="auto"/>
                  <w:vAlign w:val="center"/>
                </w:tcPr>
                <w:p w14:paraId="35BB7E8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2</w:t>
                  </w:r>
                </w:p>
              </w:tc>
              <w:tc>
                <w:tcPr>
                  <w:tcW w:w="286" w:type="pct"/>
                  <w:shd w:val="clear" w:color="auto" w:fill="auto"/>
                  <w:vAlign w:val="center"/>
                </w:tcPr>
                <w:p w14:paraId="28B286CF">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LJ-Y-200/8030</w:t>
                  </w:r>
                </w:p>
              </w:tc>
              <w:tc>
                <w:tcPr>
                  <w:tcW w:w="178" w:type="pct"/>
                  <w:shd w:val="clear" w:color="auto" w:fill="auto"/>
                  <w:vAlign w:val="center"/>
                </w:tcPr>
                <w:p w14:paraId="1F46136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084618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54889F2C">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-40.82</w:t>
                  </w:r>
                </w:p>
              </w:tc>
              <w:tc>
                <w:tcPr>
                  <w:tcW w:w="216" w:type="pct"/>
                  <w:shd w:val="clear" w:color="auto" w:fill="auto"/>
                  <w:vAlign w:val="center"/>
                </w:tcPr>
                <w:p w14:paraId="2AACB705">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76.51</w:t>
                  </w:r>
                </w:p>
              </w:tc>
              <w:tc>
                <w:tcPr>
                  <w:tcW w:w="121" w:type="pct"/>
                  <w:shd w:val="clear" w:color="auto" w:fill="auto"/>
                  <w:vAlign w:val="center"/>
                </w:tcPr>
                <w:p w14:paraId="48DD1C58">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798E715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43.34</w:t>
                  </w:r>
                </w:p>
              </w:tc>
              <w:tc>
                <w:tcPr>
                  <w:tcW w:w="187" w:type="pct"/>
                  <w:shd w:val="clear" w:color="auto" w:fill="auto"/>
                  <w:vAlign w:val="center"/>
                </w:tcPr>
                <w:p w14:paraId="3FB93B1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75.06</w:t>
                  </w:r>
                </w:p>
              </w:tc>
              <w:tc>
                <w:tcPr>
                  <w:tcW w:w="191" w:type="pct"/>
                  <w:shd w:val="clear" w:color="auto" w:fill="auto"/>
                  <w:vAlign w:val="center"/>
                </w:tcPr>
                <w:p w14:paraId="0C07434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8.51</w:t>
                  </w:r>
                </w:p>
              </w:tc>
              <w:tc>
                <w:tcPr>
                  <w:tcW w:w="216" w:type="pct"/>
                  <w:shd w:val="clear" w:color="auto" w:fill="auto"/>
                  <w:vAlign w:val="center"/>
                </w:tcPr>
                <w:p w14:paraId="587BDBD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36.76</w:t>
                  </w:r>
                </w:p>
              </w:tc>
              <w:tc>
                <w:tcPr>
                  <w:tcW w:w="197" w:type="pct"/>
                  <w:shd w:val="clear" w:color="auto" w:fill="auto"/>
                  <w:vAlign w:val="center"/>
                </w:tcPr>
                <w:p w14:paraId="0B6C7E5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53.05</w:t>
                  </w:r>
                </w:p>
              </w:tc>
              <w:tc>
                <w:tcPr>
                  <w:tcW w:w="216" w:type="pct"/>
                  <w:shd w:val="clear" w:color="auto" w:fill="auto"/>
                  <w:vAlign w:val="center"/>
                </w:tcPr>
                <w:p w14:paraId="4EE7F59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48.28</w:t>
                  </w:r>
                </w:p>
              </w:tc>
              <w:tc>
                <w:tcPr>
                  <w:tcW w:w="242" w:type="pct"/>
                  <w:shd w:val="clear" w:color="auto" w:fill="auto"/>
                  <w:vAlign w:val="center"/>
                </w:tcPr>
                <w:p w14:paraId="01F7190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67.19</w:t>
                  </w:r>
                </w:p>
              </w:tc>
              <w:tc>
                <w:tcPr>
                  <w:tcW w:w="318" w:type="pct"/>
                  <w:shd w:val="clear" w:color="auto" w:fill="auto"/>
                  <w:vAlign w:val="center"/>
                </w:tcPr>
                <w:p w14:paraId="605E272F">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54.48</w:t>
                  </w:r>
                </w:p>
              </w:tc>
              <w:tc>
                <w:tcPr>
                  <w:tcW w:w="133" w:type="pct"/>
                  <w:vMerge w:val="continue"/>
                  <w:vAlign w:val="center"/>
                </w:tcPr>
                <w:p w14:paraId="749696D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394E88B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068CD3E9">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26.86</w:t>
                  </w:r>
                </w:p>
              </w:tc>
              <w:tc>
                <w:tcPr>
                  <w:tcW w:w="280" w:type="pct"/>
                  <w:vAlign w:val="center"/>
                </w:tcPr>
                <w:p w14:paraId="1798F47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22.17</w:t>
                  </w:r>
                </w:p>
              </w:tc>
              <w:tc>
                <w:tcPr>
                  <w:tcW w:w="243" w:type="pct"/>
                  <w:vAlign w:val="center"/>
                </w:tcPr>
                <w:p w14:paraId="5ABBFF1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40.23</w:t>
                  </w:r>
                </w:p>
              </w:tc>
              <w:tc>
                <w:tcPr>
                  <w:tcW w:w="198" w:type="pct"/>
                  <w:vAlign w:val="center"/>
                </w:tcPr>
                <w:p w14:paraId="7A53673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28.25</w:t>
                  </w:r>
                </w:p>
              </w:tc>
              <w:tc>
                <w:tcPr>
                  <w:tcW w:w="179" w:type="pct"/>
                  <w:vAlign w:val="center"/>
                </w:tcPr>
                <w:p w14:paraId="70FA3DA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0EAB7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jc w:val="center"/>
              </w:trPr>
              <w:tc>
                <w:tcPr>
                  <w:tcW w:w="86" w:type="pct"/>
                  <w:shd w:val="clear" w:color="auto" w:fill="auto"/>
                  <w:vAlign w:val="center"/>
                </w:tcPr>
                <w:p w14:paraId="5DA28FE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4</w:t>
                  </w:r>
                </w:p>
              </w:tc>
              <w:tc>
                <w:tcPr>
                  <w:tcW w:w="187" w:type="pct"/>
                  <w:vMerge w:val="continue"/>
                  <w:vAlign w:val="center"/>
                </w:tcPr>
                <w:p w14:paraId="599A04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476010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rPr>
                    <w:t>切割机</w:t>
                  </w:r>
                </w:p>
              </w:tc>
              <w:tc>
                <w:tcPr>
                  <w:tcW w:w="121" w:type="pct"/>
                  <w:shd w:val="clear" w:color="auto" w:fill="auto"/>
                  <w:vAlign w:val="center"/>
                </w:tcPr>
                <w:p w14:paraId="2E6880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2</w:t>
                  </w:r>
                </w:p>
              </w:tc>
              <w:tc>
                <w:tcPr>
                  <w:tcW w:w="286" w:type="pct"/>
                  <w:shd w:val="clear" w:color="auto" w:fill="auto"/>
                  <w:vAlign w:val="center"/>
                </w:tcPr>
                <w:p w14:paraId="6356586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配备1m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vertAlign w:val="baseline"/>
                      <w:lang w:val="en-US" w:eastAsia="zh-CN"/>
                    </w:rPr>
                    <w:t>水箱</w:t>
                  </w:r>
                </w:p>
              </w:tc>
              <w:tc>
                <w:tcPr>
                  <w:tcW w:w="178" w:type="pct"/>
                  <w:shd w:val="clear" w:color="auto" w:fill="auto"/>
                  <w:vAlign w:val="center"/>
                </w:tcPr>
                <w:p w14:paraId="647A5C8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64E0937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14ED4D8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-41.9</w:t>
                  </w:r>
                </w:p>
              </w:tc>
              <w:tc>
                <w:tcPr>
                  <w:tcW w:w="216" w:type="pct"/>
                  <w:shd w:val="clear" w:color="auto" w:fill="auto"/>
                  <w:vAlign w:val="center"/>
                </w:tcPr>
                <w:p w14:paraId="4E8D6ED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56.5</w:t>
                  </w:r>
                </w:p>
              </w:tc>
              <w:tc>
                <w:tcPr>
                  <w:tcW w:w="121" w:type="pct"/>
                  <w:shd w:val="clear" w:color="auto" w:fill="auto"/>
                  <w:vAlign w:val="center"/>
                </w:tcPr>
                <w:p w14:paraId="1FFF2C6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6D50FA67">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41.64</w:t>
                  </w:r>
                </w:p>
              </w:tc>
              <w:tc>
                <w:tcPr>
                  <w:tcW w:w="187" w:type="pct"/>
                  <w:shd w:val="clear" w:color="auto" w:fill="auto"/>
                  <w:vAlign w:val="center"/>
                </w:tcPr>
                <w:p w14:paraId="5ECAC33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54.86</w:t>
                  </w:r>
                </w:p>
              </w:tc>
              <w:tc>
                <w:tcPr>
                  <w:tcW w:w="191" w:type="pct"/>
                  <w:shd w:val="clear" w:color="auto" w:fill="auto"/>
                  <w:vAlign w:val="center"/>
                </w:tcPr>
                <w:p w14:paraId="190D1B1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12.04</w:t>
                  </w:r>
                </w:p>
              </w:tc>
              <w:tc>
                <w:tcPr>
                  <w:tcW w:w="216" w:type="pct"/>
                  <w:shd w:val="clear" w:color="auto" w:fill="auto"/>
                  <w:vAlign w:val="center"/>
                </w:tcPr>
                <w:p w14:paraId="391C45D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52.00</w:t>
                  </w:r>
                </w:p>
              </w:tc>
              <w:tc>
                <w:tcPr>
                  <w:tcW w:w="197" w:type="pct"/>
                  <w:shd w:val="clear" w:color="auto" w:fill="auto"/>
                  <w:vAlign w:val="center"/>
                </w:tcPr>
                <w:p w14:paraId="584D5FE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63.40</w:t>
                  </w:r>
                </w:p>
              </w:tc>
              <w:tc>
                <w:tcPr>
                  <w:tcW w:w="216" w:type="pct"/>
                  <w:shd w:val="clear" w:color="auto" w:fill="auto"/>
                  <w:vAlign w:val="center"/>
                </w:tcPr>
                <w:p w14:paraId="73CF9B4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61.01</w:t>
                  </w:r>
                </w:p>
              </w:tc>
              <w:tc>
                <w:tcPr>
                  <w:tcW w:w="242" w:type="pct"/>
                  <w:shd w:val="clear" w:color="auto" w:fill="auto"/>
                  <w:vAlign w:val="center"/>
                </w:tcPr>
                <w:p w14:paraId="706CF6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74.18</w:t>
                  </w:r>
                </w:p>
              </w:tc>
              <w:tc>
                <w:tcPr>
                  <w:tcW w:w="318" w:type="pct"/>
                  <w:shd w:val="clear" w:color="auto" w:fill="auto"/>
                  <w:vAlign w:val="center"/>
                </w:tcPr>
                <w:p w14:paraId="59500C70">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61.47</w:t>
                  </w:r>
                </w:p>
              </w:tc>
              <w:tc>
                <w:tcPr>
                  <w:tcW w:w="133" w:type="pct"/>
                  <w:vMerge w:val="continue"/>
                  <w:vAlign w:val="center"/>
                </w:tcPr>
                <w:p w14:paraId="5793A9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71D45B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686C7F75">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37.20</w:t>
                  </w:r>
                </w:p>
              </w:tc>
              <w:tc>
                <w:tcPr>
                  <w:tcW w:w="280" w:type="pct"/>
                  <w:vAlign w:val="center"/>
                </w:tcPr>
                <w:p w14:paraId="6C0AA31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34.85</w:t>
                  </w:r>
                </w:p>
              </w:tc>
              <w:tc>
                <w:tcPr>
                  <w:tcW w:w="243" w:type="pct"/>
                  <w:vAlign w:val="center"/>
                </w:tcPr>
                <w:p w14:paraId="5EF665C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47.49</w:t>
                  </w:r>
                </w:p>
              </w:tc>
              <w:tc>
                <w:tcPr>
                  <w:tcW w:w="198" w:type="pct"/>
                  <w:vAlign w:val="center"/>
                </w:tcPr>
                <w:p w14:paraId="51DC644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35.31</w:t>
                  </w:r>
                </w:p>
              </w:tc>
              <w:tc>
                <w:tcPr>
                  <w:tcW w:w="179" w:type="pct"/>
                  <w:vAlign w:val="center"/>
                </w:tcPr>
                <w:p w14:paraId="09B12C3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282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6" w:hRule="atLeast"/>
                <w:jc w:val="center"/>
              </w:trPr>
              <w:tc>
                <w:tcPr>
                  <w:tcW w:w="86" w:type="pct"/>
                  <w:shd w:val="clear" w:color="auto" w:fill="auto"/>
                  <w:vAlign w:val="center"/>
                </w:tcPr>
                <w:p w14:paraId="6CBE53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5</w:t>
                  </w:r>
                </w:p>
              </w:tc>
              <w:tc>
                <w:tcPr>
                  <w:tcW w:w="187" w:type="pct"/>
                  <w:vMerge w:val="continue"/>
                  <w:vAlign w:val="center"/>
                </w:tcPr>
                <w:p w14:paraId="069CD51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4723EABB">
                  <w:pPr>
                    <w:keepNext w:val="0"/>
                    <w:keepLines w:val="0"/>
                    <w:pageBreakBefore w:val="0"/>
                    <w:widowControl/>
                    <w:kinsoku/>
                    <w:overflowPunct/>
                    <w:topLinePunct w:val="0"/>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注塑机</w:t>
                  </w:r>
                </w:p>
              </w:tc>
              <w:tc>
                <w:tcPr>
                  <w:tcW w:w="121" w:type="pct"/>
                  <w:shd w:val="clear" w:color="auto" w:fill="auto"/>
                  <w:vAlign w:val="center"/>
                </w:tcPr>
                <w:p w14:paraId="6A6E71B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65E52269">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3F4C50F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65.0</w:t>
                  </w:r>
                </w:p>
              </w:tc>
              <w:tc>
                <w:tcPr>
                  <w:tcW w:w="140" w:type="pct"/>
                  <w:vMerge w:val="continue"/>
                  <w:vAlign w:val="center"/>
                </w:tcPr>
                <w:p w14:paraId="5E6E784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6072AB8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-14.6</w:t>
                  </w:r>
                </w:p>
              </w:tc>
              <w:tc>
                <w:tcPr>
                  <w:tcW w:w="216" w:type="pct"/>
                  <w:shd w:val="clear" w:color="auto" w:fill="auto"/>
                  <w:vAlign w:val="center"/>
                </w:tcPr>
                <w:p w14:paraId="22CBE27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48.93</w:t>
                  </w:r>
                </w:p>
              </w:tc>
              <w:tc>
                <w:tcPr>
                  <w:tcW w:w="121" w:type="pct"/>
                  <w:shd w:val="clear" w:color="auto" w:fill="auto"/>
                  <w:vAlign w:val="center"/>
                </w:tcPr>
                <w:p w14:paraId="38DD064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2FF2B65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13.27</w:t>
                  </w:r>
                </w:p>
              </w:tc>
              <w:tc>
                <w:tcPr>
                  <w:tcW w:w="187" w:type="pct"/>
                  <w:shd w:val="clear" w:color="auto" w:fill="auto"/>
                  <w:vAlign w:val="center"/>
                </w:tcPr>
                <w:p w14:paraId="654880F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54.81</w:t>
                  </w:r>
                </w:p>
              </w:tc>
              <w:tc>
                <w:tcPr>
                  <w:tcW w:w="191" w:type="pct"/>
                  <w:shd w:val="clear" w:color="auto" w:fill="auto"/>
                  <w:vAlign w:val="center"/>
                </w:tcPr>
                <w:p w14:paraId="525A7C7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41.10</w:t>
                  </w:r>
                </w:p>
              </w:tc>
              <w:tc>
                <w:tcPr>
                  <w:tcW w:w="216" w:type="pct"/>
                  <w:shd w:val="clear" w:color="auto" w:fill="auto"/>
                  <w:vAlign w:val="center"/>
                </w:tcPr>
                <w:p w14:paraId="0976ED2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42.38</w:t>
                  </w:r>
                </w:p>
              </w:tc>
              <w:tc>
                <w:tcPr>
                  <w:tcW w:w="197" w:type="pct"/>
                  <w:shd w:val="clear" w:color="auto" w:fill="auto"/>
                  <w:vAlign w:val="center"/>
                </w:tcPr>
                <w:p w14:paraId="7CFEE2E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48.56</w:t>
                  </w:r>
                </w:p>
              </w:tc>
              <w:tc>
                <w:tcPr>
                  <w:tcW w:w="216" w:type="pct"/>
                  <w:shd w:val="clear" w:color="auto" w:fill="auto"/>
                  <w:vAlign w:val="center"/>
                </w:tcPr>
                <w:p w14:paraId="49C9292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36.24</w:t>
                  </w:r>
                </w:p>
              </w:tc>
              <w:tc>
                <w:tcPr>
                  <w:tcW w:w="242" w:type="pct"/>
                  <w:shd w:val="clear" w:color="auto" w:fill="auto"/>
                  <w:vAlign w:val="center"/>
                </w:tcPr>
                <w:p w14:paraId="39A5A88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38.74</w:t>
                  </w:r>
                </w:p>
              </w:tc>
              <w:tc>
                <w:tcPr>
                  <w:tcW w:w="318" w:type="pct"/>
                  <w:shd w:val="clear" w:color="auto" w:fill="auto"/>
                  <w:vAlign w:val="center"/>
                </w:tcPr>
                <w:p w14:paraId="631CC387">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38.48</w:t>
                  </w:r>
                </w:p>
              </w:tc>
              <w:tc>
                <w:tcPr>
                  <w:tcW w:w="133" w:type="pct"/>
                  <w:vMerge w:val="continue"/>
                  <w:vAlign w:val="center"/>
                </w:tcPr>
                <w:p w14:paraId="61C59F8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0901E6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03A95807">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21.93</w:t>
                  </w:r>
                </w:p>
              </w:tc>
              <w:tc>
                <w:tcPr>
                  <w:tcW w:w="280" w:type="pct"/>
                  <w:vAlign w:val="center"/>
                </w:tcPr>
                <w:p w14:paraId="7E271DE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10.09</w:t>
                  </w:r>
                </w:p>
              </w:tc>
              <w:tc>
                <w:tcPr>
                  <w:tcW w:w="243" w:type="pct"/>
                  <w:vAlign w:val="center"/>
                </w:tcPr>
                <w:p w14:paraId="6FCEC4C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12.53</w:t>
                  </w:r>
                </w:p>
              </w:tc>
              <w:tc>
                <w:tcPr>
                  <w:tcW w:w="198" w:type="pct"/>
                  <w:vAlign w:val="center"/>
                </w:tcPr>
                <w:p w14:paraId="4E18794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12.27</w:t>
                  </w:r>
                </w:p>
              </w:tc>
              <w:tc>
                <w:tcPr>
                  <w:tcW w:w="179" w:type="pct"/>
                  <w:vAlign w:val="center"/>
                </w:tcPr>
                <w:p w14:paraId="2B4252B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802D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2" w:hRule="atLeast"/>
                <w:jc w:val="center"/>
              </w:trPr>
              <w:tc>
                <w:tcPr>
                  <w:tcW w:w="86" w:type="pct"/>
                  <w:shd w:val="clear" w:color="auto" w:fill="auto"/>
                  <w:vAlign w:val="center"/>
                </w:tcPr>
                <w:p w14:paraId="39ED0C87">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187" w:type="pct"/>
                  <w:vMerge w:val="continue"/>
                  <w:vAlign w:val="center"/>
                </w:tcPr>
                <w:p w14:paraId="6946C10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4D1945E0">
                  <w:pPr>
                    <w:keepNext w:val="0"/>
                    <w:keepLines w:val="0"/>
                    <w:pageBreakBefore w:val="0"/>
                    <w:widowControl/>
                    <w:kinsoku/>
                    <w:overflowPunct/>
                    <w:topLinePunct w:val="0"/>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风机</w:t>
                  </w:r>
                </w:p>
              </w:tc>
              <w:tc>
                <w:tcPr>
                  <w:tcW w:w="121" w:type="pct"/>
                  <w:shd w:val="clear" w:color="auto" w:fill="auto"/>
                  <w:vAlign w:val="center"/>
                </w:tcPr>
                <w:p w14:paraId="231FBB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5444D23C">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30000m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/h</w:t>
                  </w:r>
                </w:p>
              </w:tc>
              <w:tc>
                <w:tcPr>
                  <w:tcW w:w="178" w:type="pct"/>
                  <w:shd w:val="clear" w:color="auto" w:fill="auto"/>
                  <w:vAlign w:val="center"/>
                </w:tcPr>
                <w:p w14:paraId="78D3101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80.0</w:t>
                  </w:r>
                </w:p>
              </w:tc>
              <w:tc>
                <w:tcPr>
                  <w:tcW w:w="140" w:type="pct"/>
                  <w:vMerge w:val="continue"/>
                  <w:vAlign w:val="center"/>
                </w:tcPr>
                <w:p w14:paraId="37BE970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3B92889E">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-9.19</w:t>
                  </w:r>
                </w:p>
              </w:tc>
              <w:tc>
                <w:tcPr>
                  <w:tcW w:w="216" w:type="pct"/>
                  <w:shd w:val="clear" w:color="auto" w:fill="auto"/>
                  <w:vAlign w:val="center"/>
                </w:tcPr>
                <w:p w14:paraId="58A43F6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83.53</w:t>
                  </w:r>
                </w:p>
              </w:tc>
              <w:tc>
                <w:tcPr>
                  <w:tcW w:w="121" w:type="pct"/>
                  <w:shd w:val="clear" w:color="auto" w:fill="auto"/>
                  <w:vAlign w:val="center"/>
                </w:tcPr>
                <w:p w14:paraId="308AB5F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74E6081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12.66</w:t>
                  </w:r>
                </w:p>
              </w:tc>
              <w:tc>
                <w:tcPr>
                  <w:tcW w:w="187" w:type="pct"/>
                  <w:shd w:val="clear" w:color="auto" w:fill="auto"/>
                  <w:vAlign w:val="center"/>
                </w:tcPr>
                <w:p w14:paraId="71B66A6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90.72</w:t>
                  </w:r>
                </w:p>
              </w:tc>
              <w:tc>
                <w:tcPr>
                  <w:tcW w:w="191" w:type="pct"/>
                  <w:shd w:val="clear" w:color="auto" w:fill="auto"/>
                  <w:vAlign w:val="center"/>
                </w:tcPr>
                <w:p w14:paraId="309B70F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38.54</w:t>
                  </w:r>
                </w:p>
              </w:tc>
              <w:tc>
                <w:tcPr>
                  <w:tcW w:w="216" w:type="pct"/>
                  <w:shd w:val="clear" w:color="auto" w:fill="auto"/>
                  <w:vAlign w:val="center"/>
                </w:tcPr>
                <w:p w14:paraId="082A9CC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6.87</w:t>
                  </w:r>
                </w:p>
              </w:tc>
              <w:tc>
                <w:tcPr>
                  <w:tcW w:w="197" w:type="pct"/>
                  <w:shd w:val="clear" w:color="auto" w:fill="auto"/>
                  <w:vAlign w:val="center"/>
                </w:tcPr>
                <w:p w14:paraId="2527198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57.95</w:t>
                  </w:r>
                </w:p>
              </w:tc>
              <w:tc>
                <w:tcPr>
                  <w:tcW w:w="216" w:type="pct"/>
                  <w:shd w:val="clear" w:color="auto" w:fill="auto"/>
                  <w:vAlign w:val="center"/>
                </w:tcPr>
                <w:p w14:paraId="1A878B3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40.85</w:t>
                  </w:r>
                </w:p>
              </w:tc>
              <w:tc>
                <w:tcPr>
                  <w:tcW w:w="242" w:type="pct"/>
                  <w:shd w:val="clear" w:color="auto" w:fill="auto"/>
                  <w:vAlign w:val="center"/>
                </w:tcPr>
                <w:p w14:paraId="4C1DE9F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48.28</w:t>
                  </w:r>
                </w:p>
              </w:tc>
              <w:tc>
                <w:tcPr>
                  <w:tcW w:w="318" w:type="pct"/>
                  <w:shd w:val="clear" w:color="auto" w:fill="auto"/>
                  <w:vAlign w:val="center"/>
                </w:tcPr>
                <w:p w14:paraId="64ED24E1">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63.26</w:t>
                  </w:r>
                </w:p>
              </w:tc>
              <w:tc>
                <w:tcPr>
                  <w:tcW w:w="133" w:type="pct"/>
                  <w:vMerge w:val="continue"/>
                  <w:vAlign w:val="center"/>
                </w:tcPr>
                <w:p w14:paraId="115D00C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6EA1D5E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288AEAE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31.29</w:t>
                  </w:r>
                </w:p>
              </w:tc>
              <w:tc>
                <w:tcPr>
                  <w:tcW w:w="280" w:type="pct"/>
                  <w:vAlign w:val="center"/>
                </w:tcPr>
                <w:p w14:paraId="5561CBE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14.75</w:t>
                  </w:r>
                </w:p>
              </w:tc>
              <w:tc>
                <w:tcPr>
                  <w:tcW w:w="243" w:type="pct"/>
                  <w:vAlign w:val="center"/>
                </w:tcPr>
                <w:p w14:paraId="08F5730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22.06</w:t>
                  </w:r>
                </w:p>
              </w:tc>
              <w:tc>
                <w:tcPr>
                  <w:tcW w:w="198" w:type="pct"/>
                  <w:vAlign w:val="center"/>
                </w:tcPr>
                <w:p w14:paraId="611A572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36.08</w:t>
                  </w:r>
                </w:p>
              </w:tc>
              <w:tc>
                <w:tcPr>
                  <w:tcW w:w="179" w:type="pct"/>
                  <w:vAlign w:val="center"/>
                </w:tcPr>
                <w:p w14:paraId="39DE717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DD69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86" w:type="pct"/>
                  <w:vAlign w:val="center"/>
                </w:tcPr>
                <w:p w14:paraId="48A829B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7</w:t>
                  </w:r>
                </w:p>
              </w:tc>
              <w:tc>
                <w:tcPr>
                  <w:tcW w:w="187" w:type="pct"/>
                  <w:vMerge w:val="continue"/>
                  <w:vAlign w:val="center"/>
                </w:tcPr>
                <w:p w14:paraId="489A200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p>
              </w:tc>
              <w:tc>
                <w:tcPr>
                  <w:tcW w:w="227" w:type="pct"/>
                  <w:vAlign w:val="center"/>
                </w:tcPr>
                <w:p w14:paraId="688C575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织布机</w:t>
                  </w:r>
                </w:p>
              </w:tc>
              <w:tc>
                <w:tcPr>
                  <w:tcW w:w="121" w:type="pct"/>
                  <w:vAlign w:val="center"/>
                </w:tcPr>
                <w:p w14:paraId="114B110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w:t>
                  </w:r>
                </w:p>
              </w:tc>
              <w:tc>
                <w:tcPr>
                  <w:tcW w:w="286" w:type="pct"/>
                  <w:vAlign w:val="center"/>
                </w:tcPr>
                <w:p w14:paraId="6D440AF0">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电力供能</w:t>
                  </w:r>
                </w:p>
              </w:tc>
              <w:tc>
                <w:tcPr>
                  <w:tcW w:w="178" w:type="pct"/>
                  <w:vAlign w:val="center"/>
                </w:tcPr>
                <w:p w14:paraId="4DB290E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6460869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68D65C0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-18.11</w:t>
                  </w:r>
                </w:p>
              </w:tc>
              <w:tc>
                <w:tcPr>
                  <w:tcW w:w="216" w:type="pct"/>
                  <w:vAlign w:val="center"/>
                </w:tcPr>
                <w:p w14:paraId="0E73F75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5.14</w:t>
                  </w:r>
                </w:p>
              </w:tc>
              <w:tc>
                <w:tcPr>
                  <w:tcW w:w="121" w:type="pct"/>
                  <w:vAlign w:val="center"/>
                </w:tcPr>
                <w:p w14:paraId="0488688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vAlign w:val="center"/>
                </w:tcPr>
                <w:p w14:paraId="61C1781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10.70</w:t>
                  </w:r>
                </w:p>
              </w:tc>
              <w:tc>
                <w:tcPr>
                  <w:tcW w:w="187" w:type="pct"/>
                  <w:vAlign w:val="center"/>
                </w:tcPr>
                <w:p w14:paraId="39B410C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10.27</w:t>
                  </w:r>
                </w:p>
              </w:tc>
              <w:tc>
                <w:tcPr>
                  <w:tcW w:w="191" w:type="pct"/>
                  <w:vAlign w:val="center"/>
                </w:tcPr>
                <w:p w14:paraId="61AF92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37.49</w:t>
                  </w:r>
                </w:p>
              </w:tc>
              <w:tc>
                <w:tcPr>
                  <w:tcW w:w="216" w:type="pct"/>
                  <w:vAlign w:val="center"/>
                </w:tcPr>
                <w:p w14:paraId="1AD22AA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86.66</w:t>
                  </w:r>
                </w:p>
              </w:tc>
              <w:tc>
                <w:tcPr>
                  <w:tcW w:w="197" w:type="pct"/>
                  <w:vAlign w:val="center"/>
                </w:tcPr>
                <w:p w14:paraId="010B10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62.19</w:t>
                  </w:r>
                </w:p>
              </w:tc>
              <w:tc>
                <w:tcPr>
                  <w:tcW w:w="216" w:type="pct"/>
                  <w:vAlign w:val="center"/>
                </w:tcPr>
                <w:p w14:paraId="7EBC165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62.55</w:t>
                  </w:r>
                </w:p>
              </w:tc>
              <w:tc>
                <w:tcPr>
                  <w:tcW w:w="242" w:type="pct"/>
                  <w:vAlign w:val="center"/>
                </w:tcPr>
                <w:p w14:paraId="5001407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51.30</w:t>
                  </w:r>
                </w:p>
              </w:tc>
              <w:tc>
                <w:tcPr>
                  <w:tcW w:w="318" w:type="pct"/>
                  <w:vAlign w:val="center"/>
                </w:tcPr>
                <w:p w14:paraId="09A616FD">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44.02</w:t>
                  </w:r>
                </w:p>
              </w:tc>
              <w:tc>
                <w:tcPr>
                  <w:tcW w:w="133" w:type="pct"/>
                  <w:vMerge w:val="continue"/>
                  <w:vAlign w:val="center"/>
                </w:tcPr>
                <w:p w14:paraId="3D90671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1E9EE3A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0548D6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35.42</w:t>
                  </w:r>
                </w:p>
              </w:tc>
              <w:tc>
                <w:tcPr>
                  <w:tcW w:w="280" w:type="pct"/>
                  <w:vAlign w:val="center"/>
                </w:tcPr>
                <w:p w14:paraId="0FDCF64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35.75</w:t>
                  </w:r>
                </w:p>
              </w:tc>
              <w:tc>
                <w:tcPr>
                  <w:tcW w:w="243" w:type="pct"/>
                  <w:vAlign w:val="center"/>
                </w:tcPr>
                <w:p w14:paraId="5B6965B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25.08</w:t>
                  </w:r>
                </w:p>
              </w:tc>
              <w:tc>
                <w:tcPr>
                  <w:tcW w:w="198" w:type="pct"/>
                  <w:vAlign w:val="center"/>
                </w:tcPr>
                <w:p w14:paraId="5EFD9D0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17.93</w:t>
                  </w:r>
                </w:p>
              </w:tc>
              <w:tc>
                <w:tcPr>
                  <w:tcW w:w="179" w:type="pct"/>
                  <w:vAlign w:val="center"/>
                </w:tcPr>
                <w:p w14:paraId="45B1572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bl>
          <w:p w14:paraId="4E504C9B">
            <w:pPr>
              <w:pStyle w:val="16"/>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b/>
                <w:bCs/>
                <w:color w:val="auto"/>
                <w:sz w:val="21"/>
                <w:szCs w:val="21"/>
                <w:highlight w:val="none"/>
                <w:lang w:val="en-US" w:eastAsia="zh-CN"/>
              </w:rPr>
            </w:pPr>
            <w:r>
              <w:rPr>
                <w:b/>
                <w:bCs/>
                <w:color w:val="auto"/>
                <w:highlight w:val="none"/>
              </w:rPr>
              <w:t>表</w:t>
            </w:r>
            <w:r>
              <w:rPr>
                <w:b/>
                <w:bCs/>
                <w:color w:val="auto"/>
                <w:highlight w:val="none"/>
              </w:rPr>
              <w:fldChar w:fldCharType="begin"/>
            </w:r>
            <w:r>
              <w:rPr>
                <w:b/>
                <w:bCs/>
                <w:color w:val="auto"/>
                <w:highlight w:val="none"/>
              </w:rPr>
              <w:instrText xml:space="preserve"> STYLEREF 1 \s </w:instrText>
            </w:r>
            <w:r>
              <w:rPr>
                <w:b/>
                <w:bCs/>
                <w:color w:val="auto"/>
                <w:highlight w:val="none"/>
              </w:rPr>
              <w:fldChar w:fldCharType="separate"/>
            </w:r>
            <w:r>
              <w:rPr>
                <w:b/>
                <w:bCs/>
                <w:color w:val="auto"/>
                <w:highlight w:val="none"/>
              </w:rPr>
              <w:t>4</w:t>
            </w:r>
            <w:r>
              <w:rPr>
                <w:b/>
                <w:bCs/>
                <w:color w:val="auto"/>
                <w:highlight w:val="none"/>
              </w:rPr>
              <w:fldChar w:fldCharType="end"/>
            </w:r>
            <w:r>
              <w:rPr>
                <w:b/>
                <w:bCs/>
                <w:color w:val="auto"/>
                <w:highlight w:val="none"/>
              </w:rPr>
              <w:t>-</w:t>
            </w:r>
            <w:r>
              <w:rPr>
                <w:rFonts w:hint="eastAsia"/>
                <w:b/>
                <w:bCs/>
                <w:color w:val="auto"/>
                <w:highlight w:val="none"/>
              </w:rPr>
              <w:t>1</w:t>
            </w:r>
            <w:r>
              <w:rPr>
                <w:rFonts w:hint="eastAsia"/>
                <w:b/>
                <w:bCs/>
                <w:color w:val="auto"/>
                <w:highlight w:val="none"/>
                <w:lang w:val="en-US" w:eastAsia="zh-CN"/>
              </w:rPr>
              <w:t xml:space="preserve">7-2 </w:t>
            </w:r>
            <w:r>
              <w:rPr>
                <w:b/>
                <w:bCs/>
                <w:color w:val="auto"/>
                <w:highlight w:val="none"/>
              </w:rPr>
              <w:t>噪声污染源源强核算结果及相关参数一览表</w:t>
            </w:r>
            <w:r>
              <w:rPr>
                <w:rFonts w:hint="eastAsia"/>
                <w:b/>
                <w:bCs/>
                <w:color w:val="auto"/>
                <w:highlight w:val="none"/>
              </w:rPr>
              <w:t xml:space="preserve"> </w:t>
            </w:r>
            <w:r>
              <w:rPr>
                <w:rFonts w:hint="eastAsia" w:cs="Times New Roman"/>
                <w:b/>
                <w:bCs/>
                <w:color w:val="auto"/>
                <w:highlight w:val="none"/>
                <w:lang w:eastAsia="zh-CN"/>
              </w:rPr>
              <w:t xml:space="preserve"> </w:t>
            </w:r>
            <w:r>
              <w:rPr>
                <w:rFonts w:hint="default" w:ascii="Times New Roman" w:hAnsi="Times New Roman" w:cs="Times New Roman"/>
                <w:b/>
                <w:bCs/>
                <w:color w:val="auto"/>
                <w:sz w:val="21"/>
                <w:szCs w:val="21"/>
                <w:highlight w:val="none"/>
                <w:lang w:val="en-US" w:eastAsia="zh-CN"/>
              </w:rPr>
              <w:t>项目噪声源强情况一览表（室外声源）</w:t>
            </w:r>
          </w:p>
          <w:tbl>
            <w:tblPr>
              <w:tblStyle w:val="4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159"/>
              <w:gridCol w:w="841"/>
              <w:gridCol w:w="1163"/>
              <w:gridCol w:w="820"/>
              <w:gridCol w:w="697"/>
              <w:gridCol w:w="504"/>
              <w:gridCol w:w="1553"/>
              <w:gridCol w:w="1689"/>
              <w:gridCol w:w="2364"/>
              <w:gridCol w:w="1282"/>
            </w:tblGrid>
            <w:tr w14:paraId="2F362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757" w:type="pct"/>
                  <w:vMerge w:val="restart"/>
                  <w:shd w:val="clear" w:color="auto" w:fill="auto"/>
                  <w:noWrap/>
                  <w:vAlign w:val="center"/>
                </w:tcPr>
                <w:p w14:paraId="05E33686">
                  <w:pPr>
                    <w:keepNext w:val="0"/>
                    <w:keepLines w:val="0"/>
                    <w:widowControl/>
                    <w:suppressLineNumbers w:val="0"/>
                    <w:jc w:val="center"/>
                    <w:textAlignment w:val="center"/>
                    <w:rPr>
                      <w:rFonts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声源名称</w:t>
                  </w:r>
                </w:p>
              </w:tc>
              <w:tc>
                <w:tcPr>
                  <w:tcW w:w="274" w:type="pct"/>
                  <w:vMerge w:val="restart"/>
                  <w:shd w:val="clear" w:color="auto" w:fill="auto"/>
                  <w:noWrap/>
                  <w:vAlign w:val="center"/>
                </w:tcPr>
                <w:p w14:paraId="3E077DE4">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型号</w:t>
                  </w:r>
                </w:p>
              </w:tc>
              <w:tc>
                <w:tcPr>
                  <w:tcW w:w="459" w:type="pct"/>
                  <w:vMerge w:val="restart"/>
                  <w:shd w:val="clear" w:color="auto" w:fill="auto"/>
                  <w:noWrap/>
                  <w:vAlign w:val="center"/>
                </w:tcPr>
                <w:p w14:paraId="322BA052">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设备数量</w:t>
                  </w:r>
                </w:p>
              </w:tc>
              <w:tc>
                <w:tcPr>
                  <w:tcW w:w="816" w:type="pct"/>
                  <w:gridSpan w:val="3"/>
                  <w:shd w:val="clear" w:color="auto" w:fill="auto"/>
                  <w:noWrap/>
                  <w:vAlign w:val="center"/>
                </w:tcPr>
                <w:p w14:paraId="4802BFAC">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空间相对位置/m</w:t>
                  </w:r>
                </w:p>
              </w:tc>
              <w:tc>
                <w:tcPr>
                  <w:tcW w:w="1268" w:type="pct"/>
                  <w:gridSpan w:val="2"/>
                  <w:shd w:val="clear" w:color="auto" w:fill="auto"/>
                  <w:noWrap/>
                  <w:vAlign w:val="center"/>
                </w:tcPr>
                <w:p w14:paraId="4F6F0791">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声源源强</w:t>
                  </w:r>
                </w:p>
              </w:tc>
              <w:tc>
                <w:tcPr>
                  <w:tcW w:w="918" w:type="pct"/>
                  <w:vMerge w:val="restart"/>
                  <w:shd w:val="clear" w:color="auto" w:fill="auto"/>
                  <w:noWrap/>
                  <w:vAlign w:val="center"/>
                </w:tcPr>
                <w:p w14:paraId="6A06945A">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声源控制措施</w:t>
                  </w:r>
                </w:p>
              </w:tc>
              <w:tc>
                <w:tcPr>
                  <w:tcW w:w="504" w:type="pct"/>
                  <w:vMerge w:val="restart"/>
                  <w:shd w:val="clear" w:color="auto" w:fill="auto"/>
                  <w:noWrap/>
                  <w:vAlign w:val="center"/>
                </w:tcPr>
                <w:p w14:paraId="4F32B3D9">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运行时段</w:t>
                  </w:r>
                </w:p>
              </w:tc>
            </w:tr>
            <w:tr w14:paraId="507AF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57" w:type="pct"/>
                  <w:vMerge w:val="continue"/>
                  <w:shd w:val="clear" w:color="auto" w:fill="D3D3D3"/>
                  <w:noWrap/>
                  <w:vAlign w:val="center"/>
                </w:tcPr>
                <w:p w14:paraId="40A9A14A">
                  <w:pPr>
                    <w:jc w:val="center"/>
                    <w:rPr>
                      <w:rFonts w:hint="default" w:ascii="Calibri" w:hAnsi="Calibri" w:cs="Calibri"/>
                      <w:b/>
                      <w:bCs/>
                      <w:i w:val="0"/>
                      <w:iCs w:val="0"/>
                      <w:color w:val="auto"/>
                      <w:sz w:val="21"/>
                      <w:szCs w:val="21"/>
                      <w:highlight w:val="none"/>
                      <w:u w:val="none"/>
                    </w:rPr>
                  </w:pPr>
                </w:p>
              </w:tc>
              <w:tc>
                <w:tcPr>
                  <w:tcW w:w="274" w:type="pct"/>
                  <w:vMerge w:val="continue"/>
                  <w:shd w:val="clear" w:color="auto" w:fill="D3D3D3"/>
                  <w:noWrap/>
                  <w:vAlign w:val="center"/>
                </w:tcPr>
                <w:p w14:paraId="124A1226">
                  <w:pPr>
                    <w:jc w:val="center"/>
                    <w:rPr>
                      <w:rFonts w:hint="default" w:ascii="Calibri" w:hAnsi="Calibri" w:cs="Calibri"/>
                      <w:b/>
                      <w:bCs/>
                      <w:i w:val="0"/>
                      <w:iCs w:val="0"/>
                      <w:color w:val="auto"/>
                      <w:sz w:val="21"/>
                      <w:szCs w:val="21"/>
                      <w:highlight w:val="none"/>
                      <w:u w:val="none"/>
                    </w:rPr>
                  </w:pPr>
                </w:p>
              </w:tc>
              <w:tc>
                <w:tcPr>
                  <w:tcW w:w="459" w:type="pct"/>
                  <w:vMerge w:val="continue"/>
                  <w:shd w:val="clear" w:color="auto" w:fill="D3D3D3"/>
                  <w:noWrap/>
                  <w:vAlign w:val="center"/>
                </w:tcPr>
                <w:p w14:paraId="65700474">
                  <w:pPr>
                    <w:jc w:val="center"/>
                    <w:rPr>
                      <w:rFonts w:hint="default" w:ascii="Calibri" w:hAnsi="Calibri" w:cs="Calibri"/>
                      <w:b/>
                      <w:bCs/>
                      <w:i w:val="0"/>
                      <w:iCs w:val="0"/>
                      <w:color w:val="auto"/>
                      <w:sz w:val="21"/>
                      <w:szCs w:val="21"/>
                      <w:highlight w:val="none"/>
                      <w:u w:val="none"/>
                    </w:rPr>
                  </w:pPr>
                </w:p>
              </w:tc>
              <w:tc>
                <w:tcPr>
                  <w:tcW w:w="328" w:type="pct"/>
                  <w:shd w:val="clear" w:color="auto" w:fill="auto"/>
                  <w:noWrap/>
                  <w:vAlign w:val="center"/>
                </w:tcPr>
                <w:p w14:paraId="0D1BF65C">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X</w:t>
                  </w:r>
                </w:p>
              </w:tc>
              <w:tc>
                <w:tcPr>
                  <w:tcW w:w="281" w:type="pct"/>
                  <w:shd w:val="clear" w:color="auto" w:fill="auto"/>
                  <w:noWrap/>
                  <w:vAlign w:val="center"/>
                </w:tcPr>
                <w:p w14:paraId="62DF7FC2">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Y</w:t>
                  </w:r>
                </w:p>
              </w:tc>
              <w:tc>
                <w:tcPr>
                  <w:tcW w:w="207" w:type="pct"/>
                  <w:shd w:val="clear" w:color="auto" w:fill="auto"/>
                  <w:noWrap/>
                  <w:vAlign w:val="center"/>
                </w:tcPr>
                <w:p w14:paraId="53127FEC">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Z</w:t>
                  </w:r>
                </w:p>
              </w:tc>
              <w:tc>
                <w:tcPr>
                  <w:tcW w:w="608" w:type="pct"/>
                  <w:shd w:val="clear" w:color="auto" w:fill="auto"/>
                  <w:noWrap/>
                  <w:vAlign w:val="center"/>
                </w:tcPr>
                <w:p w14:paraId="6C0A924B">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声压级/dB(A)</w:t>
                  </w:r>
                </w:p>
              </w:tc>
              <w:tc>
                <w:tcPr>
                  <w:tcW w:w="659" w:type="pct"/>
                  <w:shd w:val="clear" w:color="auto" w:fill="auto"/>
                  <w:noWrap/>
                  <w:vAlign w:val="center"/>
                </w:tcPr>
                <w:p w14:paraId="2F10F46B">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距声源距离/m</w:t>
                  </w:r>
                </w:p>
              </w:tc>
              <w:tc>
                <w:tcPr>
                  <w:tcW w:w="918" w:type="pct"/>
                  <w:vMerge w:val="continue"/>
                  <w:shd w:val="clear" w:color="auto" w:fill="D3D3D3"/>
                  <w:noWrap/>
                  <w:vAlign w:val="center"/>
                </w:tcPr>
                <w:p w14:paraId="489C75DD">
                  <w:pPr>
                    <w:jc w:val="center"/>
                    <w:rPr>
                      <w:rFonts w:hint="default" w:ascii="Calibri" w:hAnsi="Calibri" w:cs="Calibri"/>
                      <w:b/>
                      <w:bCs/>
                      <w:i w:val="0"/>
                      <w:iCs w:val="0"/>
                      <w:color w:val="auto"/>
                      <w:sz w:val="21"/>
                      <w:szCs w:val="21"/>
                      <w:highlight w:val="none"/>
                      <w:u w:val="none"/>
                    </w:rPr>
                  </w:pPr>
                </w:p>
              </w:tc>
              <w:tc>
                <w:tcPr>
                  <w:tcW w:w="504" w:type="pct"/>
                  <w:vMerge w:val="continue"/>
                  <w:shd w:val="clear" w:color="auto" w:fill="D3D3D3"/>
                  <w:noWrap/>
                  <w:vAlign w:val="center"/>
                </w:tcPr>
                <w:p w14:paraId="5230A5E1">
                  <w:pPr>
                    <w:jc w:val="center"/>
                    <w:rPr>
                      <w:rFonts w:hint="default" w:ascii="Calibri" w:hAnsi="Calibri" w:cs="Calibri"/>
                      <w:b/>
                      <w:bCs/>
                      <w:i w:val="0"/>
                      <w:iCs w:val="0"/>
                      <w:color w:val="auto"/>
                      <w:sz w:val="21"/>
                      <w:szCs w:val="21"/>
                      <w:highlight w:val="none"/>
                      <w:u w:val="none"/>
                    </w:rPr>
                  </w:pPr>
                </w:p>
              </w:tc>
            </w:tr>
            <w:tr w14:paraId="651E3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57" w:type="pct"/>
                  <w:shd w:val="clear" w:color="auto" w:fill="auto"/>
                  <w:noWrap/>
                  <w:vAlign w:val="center"/>
                </w:tcPr>
                <w:p w14:paraId="5422BB36">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废气处理设施1#厂房</w:t>
                  </w:r>
                </w:p>
              </w:tc>
              <w:tc>
                <w:tcPr>
                  <w:tcW w:w="274" w:type="pct"/>
                  <w:shd w:val="clear" w:color="auto" w:fill="auto"/>
                  <w:noWrap/>
                  <w:vAlign w:val="center"/>
                </w:tcPr>
                <w:p w14:paraId="706CC00F">
                  <w:pPr>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18.5kw</w:t>
                  </w:r>
                </w:p>
              </w:tc>
              <w:tc>
                <w:tcPr>
                  <w:tcW w:w="459" w:type="pct"/>
                  <w:shd w:val="clear" w:color="auto" w:fill="auto"/>
                  <w:noWrap/>
                  <w:vAlign w:val="center"/>
                </w:tcPr>
                <w:p w14:paraId="38BA5950">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328" w:type="pct"/>
                  <w:shd w:val="clear" w:color="auto" w:fill="auto"/>
                  <w:noWrap/>
                  <w:vAlign w:val="center"/>
                </w:tcPr>
                <w:p w14:paraId="25D4364F">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-16.63</w:t>
                  </w:r>
                </w:p>
              </w:tc>
              <w:tc>
                <w:tcPr>
                  <w:tcW w:w="281" w:type="pct"/>
                  <w:shd w:val="clear" w:color="auto" w:fill="auto"/>
                  <w:noWrap/>
                  <w:vAlign w:val="center"/>
                </w:tcPr>
                <w:p w14:paraId="3768111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-68.6</w:t>
                  </w:r>
                </w:p>
              </w:tc>
              <w:tc>
                <w:tcPr>
                  <w:tcW w:w="207" w:type="pct"/>
                  <w:shd w:val="clear" w:color="auto" w:fill="auto"/>
                  <w:noWrap/>
                  <w:vAlign w:val="center"/>
                </w:tcPr>
                <w:p w14:paraId="771E574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08" w:type="pct"/>
                  <w:shd w:val="clear" w:color="auto" w:fill="auto"/>
                  <w:noWrap/>
                  <w:vAlign w:val="center"/>
                </w:tcPr>
                <w:p w14:paraId="6F28FC43">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85.00</w:t>
                  </w:r>
                </w:p>
              </w:tc>
              <w:tc>
                <w:tcPr>
                  <w:tcW w:w="659" w:type="pct"/>
                  <w:shd w:val="clear" w:color="auto" w:fill="auto"/>
                  <w:noWrap/>
                  <w:vAlign w:val="center"/>
                </w:tcPr>
                <w:p w14:paraId="4740C8A8">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18" w:type="pct"/>
                  <w:shd w:val="clear" w:color="auto" w:fill="auto"/>
                  <w:noWrap/>
                  <w:vAlign w:val="center"/>
                </w:tcPr>
                <w:p w14:paraId="20501F5B">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p>
              </w:tc>
              <w:tc>
                <w:tcPr>
                  <w:tcW w:w="504" w:type="pct"/>
                  <w:shd w:val="clear" w:color="auto" w:fill="auto"/>
                  <w:noWrap/>
                  <w:vAlign w:val="center"/>
                </w:tcPr>
                <w:p w14:paraId="430940E9">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昼间+夜间</w:t>
                  </w:r>
                </w:p>
              </w:tc>
            </w:tr>
            <w:tr w14:paraId="45898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757" w:type="pct"/>
                  <w:shd w:val="clear" w:color="auto" w:fill="auto"/>
                  <w:noWrap/>
                  <w:vAlign w:val="center"/>
                </w:tcPr>
                <w:p w14:paraId="721B08F9">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废气处理设施4#厂房</w:t>
                  </w:r>
                </w:p>
              </w:tc>
              <w:tc>
                <w:tcPr>
                  <w:tcW w:w="274" w:type="pct"/>
                  <w:shd w:val="clear" w:color="auto" w:fill="auto"/>
                  <w:noWrap/>
                  <w:vAlign w:val="center"/>
                </w:tcPr>
                <w:p w14:paraId="7DCD2D40">
                  <w:pPr>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459" w:type="pct"/>
                  <w:shd w:val="clear" w:color="auto" w:fill="auto"/>
                  <w:noWrap/>
                  <w:vAlign w:val="center"/>
                </w:tcPr>
                <w:p w14:paraId="3661AADA">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328" w:type="pct"/>
                  <w:shd w:val="clear" w:color="auto" w:fill="auto"/>
                  <w:noWrap/>
                  <w:vAlign w:val="center"/>
                </w:tcPr>
                <w:p w14:paraId="057A5DB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-37.17</w:t>
                  </w:r>
                </w:p>
              </w:tc>
              <w:tc>
                <w:tcPr>
                  <w:tcW w:w="281" w:type="pct"/>
                  <w:shd w:val="clear" w:color="auto" w:fill="auto"/>
                  <w:noWrap/>
                  <w:vAlign w:val="center"/>
                </w:tcPr>
                <w:p w14:paraId="5B349CF6">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-2.91</w:t>
                  </w:r>
                </w:p>
              </w:tc>
              <w:tc>
                <w:tcPr>
                  <w:tcW w:w="207" w:type="pct"/>
                  <w:shd w:val="clear" w:color="auto" w:fill="auto"/>
                  <w:noWrap/>
                  <w:vAlign w:val="center"/>
                </w:tcPr>
                <w:p w14:paraId="7F3BE2E5">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608" w:type="pct"/>
                  <w:shd w:val="clear" w:color="auto" w:fill="auto"/>
                  <w:noWrap/>
                  <w:vAlign w:val="center"/>
                </w:tcPr>
                <w:p w14:paraId="64789658">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85.00</w:t>
                  </w:r>
                </w:p>
              </w:tc>
              <w:tc>
                <w:tcPr>
                  <w:tcW w:w="659" w:type="pct"/>
                  <w:shd w:val="clear" w:color="auto" w:fill="auto"/>
                  <w:noWrap/>
                  <w:vAlign w:val="center"/>
                </w:tcPr>
                <w:p w14:paraId="51F7DC3C">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18" w:type="pct"/>
                  <w:shd w:val="clear" w:color="auto" w:fill="auto"/>
                  <w:noWrap/>
                  <w:vAlign w:val="center"/>
                </w:tcPr>
                <w:p w14:paraId="423ACEDA">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p>
              </w:tc>
              <w:tc>
                <w:tcPr>
                  <w:tcW w:w="504" w:type="pct"/>
                  <w:shd w:val="clear" w:color="auto" w:fill="auto"/>
                  <w:noWrap/>
                  <w:vAlign w:val="center"/>
                </w:tcPr>
                <w:p w14:paraId="7146994E">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昼间+夜间</w:t>
                  </w:r>
                </w:p>
              </w:tc>
            </w:tr>
          </w:tbl>
          <w:p w14:paraId="5790B2FF">
            <w:pPr>
              <w:pStyle w:val="18"/>
              <w:numPr>
                <w:ilvl w:val="0"/>
                <w:numId w:val="0"/>
              </w:numPr>
              <w:rPr>
                <w:rFonts w:hint="eastAsia" w:ascii="Times New Roman" w:hAnsi="Times New Roman" w:eastAsia="黑体" w:cs="Times New Roman"/>
                <w:color w:val="auto"/>
                <w:highlight w:val="none"/>
                <w:lang w:eastAsia="zh-CN"/>
              </w:rPr>
            </w:pPr>
          </w:p>
        </w:tc>
        <w:tc>
          <w:tcPr>
            <w:tcW w:w="13303" w:type="dxa"/>
          </w:tcPr>
          <w:p w14:paraId="2186906E">
            <w:pPr>
              <w:pStyle w:val="18"/>
              <w:numPr>
                <w:ilvl w:val="0"/>
                <w:numId w:val="0"/>
              </w:numPr>
              <w:rPr>
                <w:rFonts w:hint="eastAsia" w:ascii="Times New Roman" w:hAnsi="Times New Roman" w:eastAsia="黑体" w:cs="Times New Roman"/>
                <w:color w:val="auto"/>
                <w:highlight w:val="none"/>
                <w:lang w:eastAsia="zh-CN"/>
              </w:rPr>
            </w:pPr>
          </w:p>
        </w:tc>
      </w:tr>
    </w:tbl>
    <w:p w14:paraId="1DFE2546">
      <w:pPr>
        <w:pStyle w:val="18"/>
        <w:numPr>
          <w:ilvl w:val="0"/>
          <w:numId w:val="0"/>
        </w:numPr>
        <w:rPr>
          <w:rFonts w:hint="default" w:ascii="Times New Roman" w:hAnsi="Times New Roman" w:cs="Times New Roman"/>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
        <w:gridCol w:w="8959"/>
      </w:tblGrid>
      <w:tr w14:paraId="0E288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38F4E595">
            <w:pPr>
              <w:rPr>
                <w:rFonts w:hint="default" w:ascii="Times New Roman" w:hAnsi="Times New Roman" w:cs="Times New Roman"/>
                <w:color w:val="auto"/>
                <w:highlight w:val="none"/>
              </w:rPr>
            </w:pPr>
          </w:p>
        </w:tc>
        <w:tc>
          <w:tcPr>
            <w:tcW w:w="8791" w:type="dxa"/>
          </w:tcPr>
          <w:p w14:paraId="495F22CB">
            <w:pPr>
              <w:adjustRightInd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2、达标分析</w:t>
            </w:r>
          </w:p>
          <w:p w14:paraId="7150E431">
            <w:pPr>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项目厂界外50米范围内无声环境保护目标。</w:t>
            </w:r>
            <w:r>
              <w:rPr>
                <w:rFonts w:hint="default" w:ascii="Times New Roman" w:hAnsi="Times New Roman" w:eastAsia="宋体" w:cs="Times New Roman"/>
                <w:bCs/>
                <w:color w:val="auto"/>
                <w:kern w:val="0"/>
                <w:highlight w:val="none"/>
              </w:rPr>
              <w:t>项目运营期产生的噪声主要为生产设备运行时产生的噪声，其噪声的强度值为60~85dB（A）之间。</w:t>
            </w:r>
          </w:p>
          <w:p w14:paraId="4CC232A2">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固定声源的噪声向周围传播过程中，会发生反射、折射、衍射、吸收等现象。因此，随传播距离的增加而产生的衰减量并不按简单的几何规律计算。根据《环境影响评价技术导则-声环境》（HJ2.4-2021）对室内声源的预测方法，声源位于室内，室内声源可采用等效室外声源声功率级法进行计算。</w:t>
            </w:r>
          </w:p>
          <w:p w14:paraId="7E57D760">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①计算所有室内声源在围护结构处产生的i倍频带叠加声压级：</w:t>
            </w:r>
          </w:p>
          <w:p w14:paraId="30BBFEF0">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780540" cy="464820"/>
                  <wp:effectExtent l="0" t="0" r="10160" b="11430"/>
                  <wp:docPr id="1056" name="图片 3"/>
                  <wp:cNvGraphicFramePr/>
                  <a:graphic xmlns:a="http://schemas.openxmlformats.org/drawingml/2006/main">
                    <a:graphicData uri="http://schemas.openxmlformats.org/drawingml/2006/picture">
                      <pic:pic xmlns:pic="http://schemas.openxmlformats.org/drawingml/2006/picture">
                        <pic:nvPicPr>
                          <pic:cNvPr id="1056" name="图片 3"/>
                          <pic:cNvPicPr/>
                        </pic:nvPicPr>
                        <pic:blipFill>
                          <a:blip r:embed="rId29" cstate="print"/>
                          <a:srcRect/>
                          <a:stretch>
                            <a:fillRect/>
                          </a:stretch>
                        </pic:blipFill>
                        <pic:spPr>
                          <a:xfrm>
                            <a:off x="0" y="0"/>
                            <a:ext cx="1780540" cy="464820"/>
                          </a:xfrm>
                          <a:prstGeom prst="rect">
                            <a:avLst/>
                          </a:prstGeom>
                          <a:ln>
                            <a:noFill/>
                          </a:ln>
                        </pic:spPr>
                      </pic:pic>
                    </a:graphicData>
                  </a:graphic>
                </wp:inline>
              </w:drawing>
            </w:r>
          </w:p>
          <w:p w14:paraId="132EE004">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p1iT</w:t>
            </w:r>
            <w:r>
              <w:rPr>
                <w:rFonts w:hint="default" w:ascii="Times New Roman" w:hAnsi="Times New Roman" w:eastAsia="宋体" w:cs="Times New Roman"/>
                <w:color w:val="auto"/>
                <w:highlight w:val="none"/>
              </w:rPr>
              <w:t>—靠近围护结构处室内N个声源i倍频带的叠加声压级，dB；</w:t>
            </w:r>
          </w:p>
          <w:p w14:paraId="57F215F4">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p1ij</w:t>
            </w:r>
            <w:r>
              <w:rPr>
                <w:rFonts w:hint="default" w:ascii="Times New Roman" w:hAnsi="Times New Roman" w:eastAsia="宋体" w:cs="Times New Roman"/>
                <w:color w:val="auto"/>
                <w:highlight w:val="none"/>
              </w:rPr>
              <w:t>—室内j声源i倍频带的声压级，dB；</w:t>
            </w:r>
          </w:p>
          <w:p w14:paraId="48E912C5">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N—室内声源总数。</w:t>
            </w:r>
          </w:p>
          <w:p w14:paraId="5D57C82E">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②无指向性点声源几何发散衰减的基本公式：</w:t>
            </w:r>
          </w:p>
          <w:p w14:paraId="6AD20FD9">
            <w:pPr>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0" distR="0">
                  <wp:extent cx="1841500" cy="290195"/>
                  <wp:effectExtent l="0" t="0" r="6350" b="14605"/>
                  <wp:docPr id="1057" name="图片 4"/>
                  <wp:cNvGraphicFramePr/>
                  <a:graphic xmlns:a="http://schemas.openxmlformats.org/drawingml/2006/main">
                    <a:graphicData uri="http://schemas.openxmlformats.org/drawingml/2006/picture">
                      <pic:pic xmlns:pic="http://schemas.openxmlformats.org/drawingml/2006/picture">
                        <pic:nvPicPr>
                          <pic:cNvPr id="1057" name="图片 4"/>
                          <pic:cNvPicPr/>
                        </pic:nvPicPr>
                        <pic:blipFill>
                          <a:blip r:embed="rId30" cstate="print"/>
                          <a:srcRect/>
                          <a:stretch>
                            <a:fillRect/>
                          </a:stretch>
                        </pic:blipFill>
                        <pic:spPr>
                          <a:xfrm>
                            <a:off x="0" y="0"/>
                            <a:ext cx="1841500" cy="290195"/>
                          </a:xfrm>
                          <a:prstGeom prst="rect">
                            <a:avLst/>
                          </a:prstGeom>
                          <a:ln>
                            <a:noFill/>
                          </a:ln>
                        </pic:spPr>
                      </pic:pic>
                    </a:graphicData>
                  </a:graphic>
                </wp:inline>
              </w:drawing>
            </w:r>
          </w:p>
          <w:p w14:paraId="62E34BDA">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(r)—预测点处声压级，dB（A）；</w:t>
            </w:r>
          </w:p>
          <w:p w14:paraId="4F4C898A">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 xml:space="preserve">(r0)—参考位置r0处的声压级，dB（A）； </w:t>
            </w:r>
          </w:p>
          <w:p w14:paraId="2C2C3F7D">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r—预测点距声源的距离，m；</w:t>
            </w:r>
          </w:p>
          <w:p w14:paraId="1872E7EE">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w:t>
            </w:r>
            <w:r>
              <w:rPr>
                <w:rFonts w:hint="default" w:ascii="Times New Roman" w:hAnsi="Times New Roman" w:eastAsia="宋体" w:cs="Times New Roman"/>
                <w:bCs/>
                <w:color w:val="auto"/>
                <w:highlight w:val="none"/>
                <w:vertAlign w:val="subscript"/>
              </w:rPr>
              <w:t>0</w:t>
            </w:r>
            <w:r>
              <w:rPr>
                <w:rFonts w:hint="default" w:ascii="Times New Roman" w:hAnsi="Times New Roman" w:eastAsia="宋体" w:cs="Times New Roman"/>
                <w:bCs/>
                <w:color w:val="auto"/>
                <w:highlight w:val="none"/>
              </w:rPr>
              <w:t>—参考位置距声源的距离，m。</w:t>
            </w:r>
          </w:p>
          <w:p w14:paraId="07EDA285">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③室内声场为近似扩散声场，室外的倍频带声压级计算：</w:t>
            </w:r>
          </w:p>
          <w:p w14:paraId="3F018A43">
            <w:pPr>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0" distR="0">
                  <wp:extent cx="1470660" cy="280670"/>
                  <wp:effectExtent l="0" t="0" r="15240" b="5080"/>
                  <wp:docPr id="1058" name="图片 5"/>
                  <wp:cNvGraphicFramePr/>
                  <a:graphic xmlns:a="http://schemas.openxmlformats.org/drawingml/2006/main">
                    <a:graphicData uri="http://schemas.openxmlformats.org/drawingml/2006/picture">
                      <pic:pic xmlns:pic="http://schemas.openxmlformats.org/drawingml/2006/picture">
                        <pic:nvPicPr>
                          <pic:cNvPr id="1058" name="图片 5"/>
                          <pic:cNvPicPr/>
                        </pic:nvPicPr>
                        <pic:blipFill>
                          <a:blip r:embed="rId31" cstate="print"/>
                          <a:srcRect/>
                          <a:stretch>
                            <a:fillRect/>
                          </a:stretch>
                        </pic:blipFill>
                        <pic:spPr>
                          <a:xfrm>
                            <a:off x="0" y="0"/>
                            <a:ext cx="1470660" cy="280670"/>
                          </a:xfrm>
                          <a:prstGeom prst="rect">
                            <a:avLst/>
                          </a:prstGeom>
                          <a:ln>
                            <a:noFill/>
                          </a:ln>
                        </pic:spPr>
                      </pic:pic>
                    </a:graphicData>
                  </a:graphic>
                </wp:inline>
              </w:drawing>
            </w:r>
          </w:p>
          <w:p w14:paraId="29DC1E4B">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p1</w:t>
            </w:r>
            <w:r>
              <w:rPr>
                <w:rFonts w:hint="default" w:ascii="Times New Roman" w:hAnsi="Times New Roman" w:eastAsia="宋体" w:cs="Times New Roman"/>
                <w:bCs/>
                <w:color w:val="auto"/>
                <w:highlight w:val="none"/>
              </w:rPr>
              <w:t>—室内某倍频带的声压级或A声级，dB（A）；</w:t>
            </w:r>
          </w:p>
          <w:p w14:paraId="38C26087">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p2</w:t>
            </w:r>
            <w:r>
              <w:rPr>
                <w:rFonts w:hint="default" w:ascii="Times New Roman" w:hAnsi="Times New Roman" w:eastAsia="宋体" w:cs="Times New Roman"/>
                <w:bCs/>
                <w:color w:val="auto"/>
                <w:highlight w:val="none"/>
              </w:rPr>
              <w:t>—室外某倍频带的声压级或A声级，dB（A）；</w:t>
            </w:r>
          </w:p>
          <w:p w14:paraId="2D467BE2">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TL—隔墙（或窗户）倍频带或A声级的隔声量，dB。</w:t>
            </w:r>
          </w:p>
          <w:p w14:paraId="3DC17A11">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④预测点的预测等效声级（Leq）计算公式：</w:t>
            </w:r>
          </w:p>
          <w:p w14:paraId="34A0A594">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937385" cy="335915"/>
                  <wp:effectExtent l="0" t="0" r="5080" b="6985"/>
                  <wp:docPr id="1059" name="图片 6"/>
                  <wp:cNvGraphicFramePr/>
                  <a:graphic xmlns:a="http://schemas.openxmlformats.org/drawingml/2006/main">
                    <a:graphicData uri="http://schemas.openxmlformats.org/drawingml/2006/picture">
                      <pic:pic xmlns:pic="http://schemas.openxmlformats.org/drawingml/2006/picture">
                        <pic:nvPicPr>
                          <pic:cNvPr id="1059" name="图片 6"/>
                          <pic:cNvPicPr/>
                        </pic:nvPicPr>
                        <pic:blipFill>
                          <a:blip r:embed="rId32" cstate="print"/>
                          <a:srcRect/>
                          <a:stretch>
                            <a:fillRect/>
                          </a:stretch>
                        </pic:blipFill>
                        <pic:spPr>
                          <a:xfrm>
                            <a:off x="0" y="0"/>
                            <a:ext cx="1938019" cy="335915"/>
                          </a:xfrm>
                          <a:prstGeom prst="rect">
                            <a:avLst/>
                          </a:prstGeom>
                          <a:ln>
                            <a:noFill/>
                          </a:ln>
                        </pic:spPr>
                      </pic:pic>
                    </a:graphicData>
                  </a:graphic>
                </wp:inline>
              </w:drawing>
            </w:r>
          </w:p>
          <w:p w14:paraId="259947E1">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eqg</w:t>
            </w:r>
            <w:r>
              <w:rPr>
                <w:rFonts w:hint="default" w:ascii="Times New Roman" w:hAnsi="Times New Roman" w:eastAsia="宋体" w:cs="Times New Roman"/>
                <w:bCs/>
                <w:color w:val="auto"/>
                <w:highlight w:val="none"/>
              </w:rPr>
              <w:t xml:space="preserve">—建设项目声源在预测点的等效声级贡献值，dB（A）； </w:t>
            </w:r>
          </w:p>
          <w:p w14:paraId="2B3C4C23">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eqb</w:t>
            </w:r>
            <w:r>
              <w:rPr>
                <w:rFonts w:hint="default" w:ascii="Times New Roman" w:hAnsi="Times New Roman" w:eastAsia="宋体" w:cs="Times New Roman"/>
                <w:bCs/>
                <w:color w:val="auto"/>
                <w:highlight w:val="none"/>
              </w:rPr>
              <w:t>—预测点的背景值，dB（A）。</w:t>
            </w:r>
          </w:p>
          <w:p w14:paraId="237F8EA0">
            <w:pPr>
              <w:widowControl/>
              <w:ind w:firstLine="480" w:firstLineChars="20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类比调查得到的参考声级，将各噪声源合并为一个噪声源，通过计算得出噪声源在不采取噪声防治措施，仅由声传播过程由于受声点与声源距离产生的衰减情况下不同距离处的噪声预测值。根据项目最大量情况下同时投入运作的设备数量及各设备的单台设备声压级，计算出噪声总源强为</w:t>
            </w:r>
            <w:r>
              <w:rPr>
                <w:rFonts w:hint="default" w:ascii="Times New Roman" w:hAnsi="Times New Roman" w:eastAsia="宋体" w:cs="Times New Roman"/>
                <w:color w:val="auto"/>
                <w:kern w:val="0"/>
                <w:highlight w:val="none"/>
                <w:lang w:val="en-US" w:eastAsia="zh-CN"/>
              </w:rPr>
              <w:t>61.1</w:t>
            </w:r>
            <w:r>
              <w:rPr>
                <w:rFonts w:hint="default" w:ascii="Times New Roman" w:hAnsi="Times New Roman" w:eastAsia="宋体" w:cs="Times New Roman"/>
                <w:color w:val="auto"/>
                <w:kern w:val="0"/>
                <w:highlight w:val="none"/>
              </w:rPr>
              <w:t>分贝。</w:t>
            </w:r>
          </w:p>
          <w:p w14:paraId="01CB2FCD">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环境噪声控制》（作者：刘惠玲主编，2002年第一版），墙体降噪效果在23-30dB（A）之间，基础减振降噪效果在10-25dB（A）之间，本项目墙体主要为钢质材料，隔音效果较差降噪效果保守取15dB（A）、基础减振降噪效果取10dB（A），考虑到人员进出本项目过程中开关门、窗户等对隔声的负面影响，实际隔声量按20dB（A）计算。</w:t>
            </w:r>
            <w:r>
              <w:rPr>
                <w:rFonts w:hint="default" w:ascii="Times New Roman" w:hAnsi="Times New Roman" w:eastAsia="宋体" w:cs="Times New Roman"/>
                <w:color w:val="auto"/>
                <w:kern w:val="0"/>
                <w:sz w:val="24"/>
                <w:szCs w:val="24"/>
                <w:highlight w:val="none"/>
                <w:lang w:val="en-US" w:eastAsia="zh-CN" w:bidi="ar-SA"/>
              </w:rPr>
              <w:t>根据本项目噪声源，利用预测模式计算四周噪声值，最终与现状背景噪声按声能量迭加得出预测结果如下表。</w:t>
            </w:r>
          </w:p>
          <w:p w14:paraId="28590364">
            <w:pPr>
              <w:keepNext w:val="0"/>
              <w:keepLines w:val="0"/>
              <w:pageBreakBefore w:val="0"/>
              <w:widowControl w:val="0"/>
              <w:tabs>
                <w:tab w:val="left" w:pos="7227"/>
              </w:tabs>
              <w:kinsoku/>
              <w:wordWrap/>
              <w:overflowPunct/>
              <w:topLinePunct w:val="0"/>
              <w:autoSpaceDE w:val="0"/>
              <w:autoSpaceDN w:val="0"/>
              <w:bidi w:val="0"/>
              <w:adjustRightInd/>
              <w:snapToGrid/>
              <w:spacing w:line="240" w:lineRule="auto"/>
              <w:ind w:firstLine="420" w:firstLineChars="20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sz w:val="21"/>
                <w:szCs w:val="21"/>
                <w:highlight w:val="none"/>
              </w:rPr>
              <w:t>表4-1</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color w:val="auto"/>
                <w:kern w:val="0"/>
                <w:sz w:val="21"/>
                <w:szCs w:val="21"/>
                <w:highlight w:val="none"/>
              </w:rPr>
              <w:t>项目的噪声贡献值预测结果</w:t>
            </w:r>
          </w:p>
          <w:tbl>
            <w:tblPr>
              <w:tblStyle w:val="46"/>
              <w:tblW w:w="0" w:type="auto"/>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12"/>
              <w:gridCol w:w="600"/>
              <w:gridCol w:w="599"/>
              <w:gridCol w:w="601"/>
              <w:gridCol w:w="600"/>
              <w:gridCol w:w="525"/>
              <w:gridCol w:w="525"/>
              <w:gridCol w:w="601"/>
              <w:gridCol w:w="600"/>
              <w:gridCol w:w="601"/>
              <w:gridCol w:w="600"/>
              <w:gridCol w:w="601"/>
              <w:gridCol w:w="600"/>
              <w:gridCol w:w="534"/>
              <w:gridCol w:w="534"/>
            </w:tblGrid>
            <w:tr w14:paraId="2B63F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vMerge w:val="restart"/>
                  <w:shd w:val="clear" w:color="auto" w:fill="auto"/>
                  <w:noWrap/>
                  <w:tcMar>
                    <w:top w:w="0" w:type="dxa"/>
                    <w:left w:w="0" w:type="dxa"/>
                    <w:bottom w:w="0" w:type="dxa"/>
                    <w:right w:w="0" w:type="dxa"/>
                  </w:tcMar>
                  <w:vAlign w:val="center"/>
                </w:tcPr>
                <w:p w14:paraId="78B024F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项目厂界</w:t>
                  </w:r>
                </w:p>
              </w:tc>
              <w:tc>
                <w:tcPr>
                  <w:tcW w:w="0" w:type="auto"/>
                  <w:gridSpan w:val="2"/>
                  <w:shd w:val="clear" w:color="auto" w:fill="auto"/>
                  <w:noWrap/>
                  <w:tcMar>
                    <w:top w:w="0" w:type="dxa"/>
                    <w:left w:w="0" w:type="dxa"/>
                    <w:bottom w:w="0" w:type="dxa"/>
                    <w:right w:w="0" w:type="dxa"/>
                  </w:tcMar>
                  <w:vAlign w:val="center"/>
                </w:tcPr>
                <w:p w14:paraId="0967345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噪声背景值/dB(A)</w:t>
                  </w:r>
                </w:p>
              </w:tc>
              <w:tc>
                <w:tcPr>
                  <w:tcW w:w="0" w:type="auto"/>
                  <w:gridSpan w:val="2"/>
                  <w:shd w:val="clear" w:color="auto" w:fill="auto"/>
                  <w:noWrap/>
                  <w:tcMar>
                    <w:top w:w="0" w:type="dxa"/>
                    <w:left w:w="0" w:type="dxa"/>
                    <w:bottom w:w="0" w:type="dxa"/>
                    <w:right w:w="0" w:type="dxa"/>
                  </w:tcMar>
                  <w:vAlign w:val="center"/>
                </w:tcPr>
                <w:p w14:paraId="46DC4D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噪声现状值/dB(A)</w:t>
                  </w:r>
                </w:p>
              </w:tc>
              <w:tc>
                <w:tcPr>
                  <w:tcW w:w="0" w:type="auto"/>
                  <w:gridSpan w:val="2"/>
                  <w:shd w:val="clear" w:color="auto" w:fill="auto"/>
                  <w:noWrap/>
                  <w:tcMar>
                    <w:top w:w="0" w:type="dxa"/>
                    <w:left w:w="0" w:type="dxa"/>
                    <w:bottom w:w="0" w:type="dxa"/>
                    <w:right w:w="0" w:type="dxa"/>
                  </w:tcMar>
                  <w:vAlign w:val="center"/>
                </w:tcPr>
                <w:p w14:paraId="40E3A62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噪声标准/dB(A)</w:t>
                  </w:r>
                </w:p>
              </w:tc>
              <w:tc>
                <w:tcPr>
                  <w:tcW w:w="0" w:type="auto"/>
                  <w:gridSpan w:val="2"/>
                  <w:shd w:val="clear" w:color="auto" w:fill="auto"/>
                  <w:noWrap/>
                  <w:tcMar>
                    <w:top w:w="0" w:type="dxa"/>
                    <w:left w:w="0" w:type="dxa"/>
                    <w:bottom w:w="0" w:type="dxa"/>
                    <w:right w:w="0" w:type="dxa"/>
                  </w:tcMar>
                  <w:vAlign w:val="center"/>
                </w:tcPr>
                <w:p w14:paraId="2721B22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噪声贡献值/dB(A)</w:t>
                  </w:r>
                </w:p>
              </w:tc>
              <w:tc>
                <w:tcPr>
                  <w:tcW w:w="0" w:type="auto"/>
                  <w:gridSpan w:val="2"/>
                  <w:shd w:val="clear" w:color="auto" w:fill="auto"/>
                  <w:noWrap/>
                  <w:tcMar>
                    <w:top w:w="0" w:type="dxa"/>
                    <w:left w:w="0" w:type="dxa"/>
                    <w:bottom w:w="0" w:type="dxa"/>
                    <w:right w:w="0" w:type="dxa"/>
                  </w:tcMar>
                  <w:vAlign w:val="center"/>
                </w:tcPr>
                <w:p w14:paraId="7947ABF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噪声预测值/dB(A)</w:t>
                  </w:r>
                </w:p>
              </w:tc>
              <w:tc>
                <w:tcPr>
                  <w:tcW w:w="0" w:type="auto"/>
                  <w:gridSpan w:val="2"/>
                  <w:shd w:val="clear" w:color="auto" w:fill="auto"/>
                  <w:noWrap/>
                  <w:tcMar>
                    <w:top w:w="0" w:type="dxa"/>
                    <w:left w:w="0" w:type="dxa"/>
                    <w:bottom w:w="0" w:type="dxa"/>
                    <w:right w:w="0" w:type="dxa"/>
                  </w:tcMar>
                  <w:vAlign w:val="center"/>
                </w:tcPr>
                <w:p w14:paraId="6655951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较现状增量/dB(A)</w:t>
                  </w:r>
                </w:p>
              </w:tc>
              <w:tc>
                <w:tcPr>
                  <w:tcW w:w="0" w:type="auto"/>
                  <w:gridSpan w:val="2"/>
                  <w:shd w:val="clear" w:color="auto" w:fill="auto"/>
                  <w:noWrap/>
                  <w:tcMar>
                    <w:top w:w="0" w:type="dxa"/>
                    <w:left w:w="0" w:type="dxa"/>
                    <w:bottom w:w="0" w:type="dxa"/>
                    <w:right w:w="0" w:type="dxa"/>
                  </w:tcMar>
                  <w:vAlign w:val="center"/>
                </w:tcPr>
                <w:p w14:paraId="6C111EB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超标和达标情况</w:t>
                  </w:r>
                </w:p>
              </w:tc>
            </w:tr>
            <w:tr w14:paraId="73AB5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0" w:type="auto"/>
                  <w:vMerge w:val="continue"/>
                  <w:shd w:val="clear" w:color="auto" w:fill="auto"/>
                  <w:noWrap/>
                  <w:tcMar>
                    <w:top w:w="0" w:type="dxa"/>
                    <w:left w:w="0" w:type="dxa"/>
                    <w:bottom w:w="0" w:type="dxa"/>
                    <w:right w:w="0" w:type="dxa"/>
                  </w:tcMar>
                  <w:vAlign w:val="center"/>
                </w:tcPr>
                <w:p w14:paraId="33BF8C04">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cs="Times New Roman"/>
                      <w:b/>
                      <w:bCs/>
                      <w:i w:val="0"/>
                      <w:iCs w:val="0"/>
                      <w:color w:val="auto"/>
                      <w:sz w:val="21"/>
                      <w:szCs w:val="21"/>
                      <w:highlight w:val="none"/>
                      <w:u w:val="none"/>
                    </w:rPr>
                  </w:pPr>
                </w:p>
              </w:tc>
              <w:tc>
                <w:tcPr>
                  <w:tcW w:w="0" w:type="auto"/>
                  <w:shd w:val="clear" w:color="auto" w:fill="auto"/>
                  <w:noWrap/>
                  <w:tcMar>
                    <w:top w:w="0" w:type="dxa"/>
                    <w:left w:w="0" w:type="dxa"/>
                    <w:bottom w:w="0" w:type="dxa"/>
                    <w:right w:w="0" w:type="dxa"/>
                  </w:tcMar>
                  <w:vAlign w:val="center"/>
                </w:tcPr>
                <w:p w14:paraId="44BB185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28BBC0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4A461F8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CA7237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1C8F7A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9FD3ED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4B6ACF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736FB75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626B27E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5E443A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ACD2B4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3F23BA1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3C9CAC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32A16CC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r>
            <w:tr w14:paraId="6E51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5754A40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东厂界</w:t>
                  </w:r>
                </w:p>
              </w:tc>
              <w:tc>
                <w:tcPr>
                  <w:tcW w:w="584" w:type="dxa"/>
                  <w:shd w:val="clear" w:color="auto" w:fill="auto"/>
                  <w:noWrap/>
                  <w:tcMar>
                    <w:top w:w="0" w:type="dxa"/>
                    <w:left w:w="0" w:type="dxa"/>
                    <w:bottom w:w="0" w:type="dxa"/>
                    <w:right w:w="0" w:type="dxa"/>
                  </w:tcMar>
                  <w:vAlign w:val="center"/>
                </w:tcPr>
                <w:p w14:paraId="33EF1CC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CA97D7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3C482DB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DB4FC6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5F3879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745B841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060968E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35.58</w:t>
                  </w:r>
                </w:p>
              </w:tc>
              <w:tc>
                <w:tcPr>
                  <w:tcW w:w="0" w:type="auto"/>
                  <w:shd w:val="clear" w:color="auto" w:fill="auto"/>
                  <w:noWrap/>
                  <w:tcMar>
                    <w:top w:w="0" w:type="dxa"/>
                    <w:left w:w="0" w:type="dxa"/>
                    <w:bottom w:w="0" w:type="dxa"/>
                    <w:right w:w="0" w:type="dxa"/>
                  </w:tcMar>
                  <w:vAlign w:val="center"/>
                </w:tcPr>
                <w:p w14:paraId="3A78901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35.58</w:t>
                  </w:r>
                </w:p>
              </w:tc>
              <w:tc>
                <w:tcPr>
                  <w:tcW w:w="0" w:type="auto"/>
                  <w:shd w:val="clear" w:color="auto" w:fill="auto"/>
                  <w:noWrap/>
                  <w:tcMar>
                    <w:top w:w="0" w:type="dxa"/>
                    <w:left w:w="0" w:type="dxa"/>
                    <w:bottom w:w="0" w:type="dxa"/>
                    <w:right w:w="0" w:type="dxa"/>
                  </w:tcMar>
                  <w:vAlign w:val="center"/>
                </w:tcPr>
                <w:p w14:paraId="42DE3CC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063D83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6620626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047733F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05F7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9BEE89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23E79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42A1A59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南厂界</w:t>
                  </w:r>
                </w:p>
              </w:tc>
              <w:tc>
                <w:tcPr>
                  <w:tcW w:w="584" w:type="dxa"/>
                  <w:shd w:val="clear" w:color="auto" w:fill="auto"/>
                  <w:noWrap/>
                  <w:tcMar>
                    <w:top w:w="0" w:type="dxa"/>
                    <w:left w:w="0" w:type="dxa"/>
                    <w:bottom w:w="0" w:type="dxa"/>
                    <w:right w:w="0" w:type="dxa"/>
                  </w:tcMar>
                  <w:vAlign w:val="center"/>
                </w:tcPr>
                <w:p w14:paraId="30B4A9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1EEE7AB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691CC2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805CE7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5028ED6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52B1A46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59CE11F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35.96</w:t>
                  </w:r>
                </w:p>
              </w:tc>
              <w:tc>
                <w:tcPr>
                  <w:tcW w:w="0" w:type="auto"/>
                  <w:shd w:val="clear" w:color="auto" w:fill="auto"/>
                  <w:noWrap/>
                  <w:tcMar>
                    <w:top w:w="0" w:type="dxa"/>
                    <w:left w:w="0" w:type="dxa"/>
                    <w:bottom w:w="0" w:type="dxa"/>
                    <w:right w:w="0" w:type="dxa"/>
                  </w:tcMar>
                  <w:vAlign w:val="center"/>
                </w:tcPr>
                <w:p w14:paraId="2076EF3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35.96</w:t>
                  </w:r>
                </w:p>
              </w:tc>
              <w:tc>
                <w:tcPr>
                  <w:tcW w:w="0" w:type="auto"/>
                  <w:shd w:val="clear" w:color="auto" w:fill="auto"/>
                  <w:noWrap/>
                  <w:tcMar>
                    <w:top w:w="0" w:type="dxa"/>
                    <w:left w:w="0" w:type="dxa"/>
                    <w:bottom w:w="0" w:type="dxa"/>
                    <w:right w:w="0" w:type="dxa"/>
                  </w:tcMar>
                  <w:vAlign w:val="center"/>
                </w:tcPr>
                <w:p w14:paraId="75140E5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F96AC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6B9F44B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7E8E89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467BF21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18ED3E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5592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071534C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西厂界</w:t>
                  </w:r>
                </w:p>
              </w:tc>
              <w:tc>
                <w:tcPr>
                  <w:tcW w:w="584" w:type="dxa"/>
                  <w:shd w:val="clear" w:color="auto" w:fill="auto"/>
                  <w:noWrap/>
                  <w:tcMar>
                    <w:top w:w="0" w:type="dxa"/>
                    <w:left w:w="0" w:type="dxa"/>
                    <w:bottom w:w="0" w:type="dxa"/>
                    <w:right w:w="0" w:type="dxa"/>
                  </w:tcMar>
                  <w:vAlign w:val="center"/>
                </w:tcPr>
                <w:p w14:paraId="7E2BB75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58299FE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21EB45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2335D64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49B915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33D62A2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41CC2CB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50.48</w:t>
                  </w:r>
                </w:p>
              </w:tc>
              <w:tc>
                <w:tcPr>
                  <w:tcW w:w="0" w:type="auto"/>
                  <w:shd w:val="clear" w:color="auto" w:fill="auto"/>
                  <w:noWrap/>
                  <w:tcMar>
                    <w:top w:w="0" w:type="dxa"/>
                    <w:left w:w="0" w:type="dxa"/>
                    <w:bottom w:w="0" w:type="dxa"/>
                    <w:right w:w="0" w:type="dxa"/>
                  </w:tcMar>
                  <w:vAlign w:val="center"/>
                </w:tcPr>
                <w:p w14:paraId="151D817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50.48</w:t>
                  </w:r>
                </w:p>
              </w:tc>
              <w:tc>
                <w:tcPr>
                  <w:tcW w:w="0" w:type="auto"/>
                  <w:shd w:val="clear" w:color="auto" w:fill="auto"/>
                  <w:noWrap/>
                  <w:tcMar>
                    <w:top w:w="0" w:type="dxa"/>
                    <w:left w:w="0" w:type="dxa"/>
                    <w:bottom w:w="0" w:type="dxa"/>
                    <w:right w:w="0" w:type="dxa"/>
                  </w:tcMar>
                  <w:vAlign w:val="center"/>
                </w:tcPr>
                <w:p w14:paraId="7138451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04AB20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5034DC8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7E52168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7941695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644F72A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6BF99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0810567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北厂界</w:t>
                  </w:r>
                </w:p>
              </w:tc>
              <w:tc>
                <w:tcPr>
                  <w:tcW w:w="584" w:type="dxa"/>
                  <w:shd w:val="clear" w:color="auto" w:fill="auto"/>
                  <w:noWrap/>
                  <w:tcMar>
                    <w:top w:w="0" w:type="dxa"/>
                    <w:left w:w="0" w:type="dxa"/>
                    <w:bottom w:w="0" w:type="dxa"/>
                    <w:right w:w="0" w:type="dxa"/>
                  </w:tcMar>
                  <w:vAlign w:val="center"/>
                </w:tcPr>
                <w:p w14:paraId="1CA9F75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3B6F860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94D44B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14ECC7D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A5A4F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327F538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75BA7C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34.17</w:t>
                  </w:r>
                </w:p>
              </w:tc>
              <w:tc>
                <w:tcPr>
                  <w:tcW w:w="0" w:type="auto"/>
                  <w:shd w:val="clear" w:color="auto" w:fill="auto"/>
                  <w:noWrap/>
                  <w:tcMar>
                    <w:top w:w="0" w:type="dxa"/>
                    <w:left w:w="0" w:type="dxa"/>
                    <w:bottom w:w="0" w:type="dxa"/>
                    <w:right w:w="0" w:type="dxa"/>
                  </w:tcMar>
                  <w:vAlign w:val="center"/>
                </w:tcPr>
                <w:p w14:paraId="6FB5DD2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34.17</w:t>
                  </w:r>
                </w:p>
              </w:tc>
              <w:tc>
                <w:tcPr>
                  <w:tcW w:w="0" w:type="auto"/>
                  <w:shd w:val="clear" w:color="auto" w:fill="auto"/>
                  <w:noWrap/>
                  <w:tcMar>
                    <w:top w:w="0" w:type="dxa"/>
                    <w:left w:w="0" w:type="dxa"/>
                    <w:bottom w:w="0" w:type="dxa"/>
                    <w:right w:w="0" w:type="dxa"/>
                  </w:tcMar>
                  <w:vAlign w:val="center"/>
                </w:tcPr>
                <w:p w14:paraId="0F4B4CC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5DBE1E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2187B3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820E02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5B1B23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A53B9A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bl>
          <w:p w14:paraId="5C628B7F">
            <w:pPr>
              <w:widowControl w:val="0"/>
              <w:autoSpaceDE w:val="0"/>
              <w:autoSpaceDN w:val="0"/>
              <w:adjustRightInd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通过预测分析，生产噪声通过距离的衰减和厂房的声屏障效应后，</w:t>
            </w:r>
            <w:r>
              <w:rPr>
                <w:rFonts w:hint="default" w:ascii="Times New Roman" w:hAnsi="Times New Roman" w:eastAsia="宋体" w:cs="Times New Roman"/>
                <w:color w:val="auto"/>
                <w:kern w:val="0"/>
                <w:sz w:val="24"/>
                <w:szCs w:val="24"/>
                <w:highlight w:val="none"/>
                <w:lang w:val="en-US" w:eastAsia="zh-CN" w:bidi="ar-SA"/>
              </w:rPr>
              <w:t>项目厂房厂界外1米处</w:t>
            </w:r>
            <w:r>
              <w:rPr>
                <w:rFonts w:hint="default" w:ascii="Times New Roman" w:hAnsi="Times New Roman" w:eastAsia="宋体" w:cs="Times New Roman"/>
                <w:color w:val="auto"/>
                <w:kern w:val="2"/>
                <w:sz w:val="24"/>
                <w:szCs w:val="24"/>
                <w:highlight w:val="none"/>
                <w:lang w:val="en-US" w:eastAsia="zh-CN" w:bidi="ar-SA"/>
              </w:rPr>
              <w:t>可达到</w:t>
            </w:r>
            <w:r>
              <w:rPr>
                <w:rFonts w:hint="default" w:ascii="Times New Roman" w:hAnsi="Times New Roman" w:eastAsia="宋体" w:cs="Times New Roman"/>
                <w:color w:val="auto"/>
                <w:spacing w:val="-2"/>
                <w:kern w:val="2"/>
                <w:sz w:val="24"/>
                <w:szCs w:val="24"/>
                <w:highlight w:val="none"/>
                <w:lang w:val="en-US" w:eastAsia="zh-CN" w:bidi="ar-SA"/>
              </w:rPr>
              <w:t>《工业企业</w:t>
            </w:r>
            <w:r>
              <w:rPr>
                <w:rFonts w:hint="eastAsia" w:eastAsia="宋体" w:cs="Times New Roman"/>
                <w:color w:val="auto"/>
                <w:spacing w:val="-2"/>
                <w:kern w:val="2"/>
                <w:sz w:val="24"/>
                <w:szCs w:val="24"/>
                <w:highlight w:val="none"/>
                <w:lang w:val="en-US" w:eastAsia="zh-CN" w:bidi="ar-SA"/>
              </w:rPr>
              <w:t>厂</w:t>
            </w:r>
            <w:r>
              <w:rPr>
                <w:rFonts w:hint="default" w:ascii="Times New Roman" w:hAnsi="Times New Roman" w:eastAsia="宋体" w:cs="Times New Roman"/>
                <w:color w:val="auto"/>
                <w:spacing w:val="-2"/>
                <w:kern w:val="2"/>
                <w:sz w:val="24"/>
                <w:szCs w:val="24"/>
                <w:highlight w:val="none"/>
                <w:lang w:val="en-US" w:eastAsia="zh-CN" w:bidi="ar-SA"/>
              </w:rPr>
              <w:t>界环境噪声排放标准》（GB12348-2008）中的3类标准</w:t>
            </w:r>
            <w:r>
              <w:rPr>
                <w:rFonts w:hint="default" w:ascii="Times New Roman" w:hAnsi="Times New Roman" w:eastAsia="宋体" w:cs="Times New Roman"/>
                <w:color w:val="auto"/>
                <w:kern w:val="2"/>
                <w:sz w:val="24"/>
                <w:szCs w:val="24"/>
                <w:highlight w:val="none"/>
                <w:lang w:val="en-US" w:eastAsia="zh-CN" w:bidi="ar-SA"/>
              </w:rPr>
              <w:t>，即项目产生的噪声不会对周边环境造成太大影响。</w:t>
            </w:r>
          </w:p>
          <w:p w14:paraId="61703AF6">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3、污染防治措施</w:t>
            </w:r>
          </w:p>
          <w:p w14:paraId="06937A2D">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为确保厂界噪声满足《工业企业厂界环境噪声排放标准》（GB12348-2008）中的相应标准，项目拟采取以下治理措施：</w:t>
            </w:r>
          </w:p>
          <w:p w14:paraId="30F770F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①合理布局：尽量将高噪声设备布置在厂房中间，尽可能地选择远离厂界的位置。</w:t>
            </w:r>
          </w:p>
          <w:p w14:paraId="1B032F9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②落实设备基础减振以及厂房隔声：</w:t>
            </w:r>
          </w:p>
          <w:p w14:paraId="209C7BBC">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A、在设备选型方面，在满足工艺生产的前提下，选用精度高、装配质量好、噪声低的设备；对设备基础进行减振；</w:t>
            </w:r>
          </w:p>
          <w:p w14:paraId="7C2280E2">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B、重视厂房的使用状况，不设门窗或设隔声玻璃门窗。</w:t>
            </w:r>
          </w:p>
          <w:p w14:paraId="1E91E273">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③加强内部管理：建立设备定期维护、保养的管理制度，以防止设备故障形成的非生产噪声，同时确保环保措施发挥最有效的功能；加强职工环保意识教育，提倡文明生产，防止人为噪声。</w:t>
            </w:r>
          </w:p>
          <w:p w14:paraId="2D146518">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④合理安排生产时间：尽可能地安排在昼间进行生产，若夜间必须生产应控制夜间生产时间，特别夜间应停止高噪声设备，减少机械的噪声影响。</w:t>
            </w:r>
          </w:p>
          <w:p w14:paraId="4574E189">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本项目周边50米范围内不存在声环境保护目标，经采取上述的降噪措施后，预计项目厂界噪声排放可达到《工业企业厂界环境噪声排放标准》（GB12348-2008）3类标准，噪声对声环境影响不大。</w:t>
            </w:r>
          </w:p>
          <w:p w14:paraId="77C0A9D8">
            <w:pPr>
              <w:keepNext/>
              <w:keepLines/>
              <w:tabs>
                <w:tab w:val="left" w:pos="0"/>
              </w:tabs>
              <w:ind w:firstLine="480" w:firstLineChars="20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4、监测要求</w:t>
            </w:r>
          </w:p>
          <w:p w14:paraId="4D1872AC">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 总则》（HJ819-2017），监测要求见下表。</w:t>
            </w:r>
          </w:p>
          <w:p w14:paraId="4A236B36">
            <w:pPr>
              <w:widowControl w:val="0"/>
              <w:autoSpaceDE w:val="0"/>
              <w:autoSpaceDN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19</w:t>
            </w:r>
            <w:r>
              <w:rPr>
                <w:rFonts w:hint="default" w:ascii="Times New Roman" w:hAnsi="Times New Roman" w:eastAsia="宋体" w:cs="Times New Roman"/>
                <w:b/>
                <w:bCs/>
                <w:color w:val="auto"/>
                <w:kern w:val="2"/>
                <w:sz w:val="21"/>
                <w:szCs w:val="21"/>
                <w:highlight w:val="none"/>
                <w:lang w:val="en-US" w:eastAsia="zh-CN" w:bidi="ar-SA"/>
              </w:rPr>
              <w:t xml:space="preserve"> 厂界噪声监测要求</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673"/>
              <w:gridCol w:w="1422"/>
              <w:gridCol w:w="1186"/>
              <w:gridCol w:w="1293"/>
              <w:gridCol w:w="2191"/>
              <w:gridCol w:w="1965"/>
            </w:tblGrid>
            <w:tr w14:paraId="7A6D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3E527DF1">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814" w:type="pct"/>
                  <w:vAlign w:val="center"/>
                </w:tcPr>
                <w:p w14:paraId="3B6EBE53">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679" w:type="pct"/>
                  <w:vAlign w:val="center"/>
                </w:tcPr>
                <w:p w14:paraId="61A3EC01">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监测指标</w:t>
                  </w:r>
                </w:p>
              </w:tc>
              <w:tc>
                <w:tcPr>
                  <w:tcW w:w="740" w:type="pct"/>
                  <w:vAlign w:val="center"/>
                </w:tcPr>
                <w:p w14:paraId="28B6DBEF">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254" w:type="pct"/>
                  <w:vAlign w:val="center"/>
                </w:tcPr>
                <w:p w14:paraId="726871AB">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监测采样和分析方法</w:t>
                  </w:r>
                </w:p>
              </w:tc>
              <w:tc>
                <w:tcPr>
                  <w:tcW w:w="1125" w:type="pct"/>
                  <w:vAlign w:val="center"/>
                </w:tcPr>
                <w:p w14:paraId="79F64CAF">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排放执行标准</w:t>
                  </w:r>
                </w:p>
              </w:tc>
            </w:tr>
            <w:tr w14:paraId="06F13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0A784BC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814" w:type="pct"/>
                  <w:vAlign w:val="center"/>
                </w:tcPr>
                <w:p w14:paraId="6E0A84F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东、南、西、北面厂界外1米处</w:t>
                  </w:r>
                </w:p>
              </w:tc>
              <w:tc>
                <w:tcPr>
                  <w:tcW w:w="679" w:type="pct"/>
                  <w:vAlign w:val="center"/>
                </w:tcPr>
                <w:p w14:paraId="4213E99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740" w:type="pct"/>
                  <w:vAlign w:val="center"/>
                </w:tcPr>
                <w:p w14:paraId="71F8869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每季度1次，监测昼</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夜</w:t>
                  </w:r>
                  <w:r>
                    <w:rPr>
                      <w:rFonts w:hint="default" w:ascii="Times New Roman" w:hAnsi="Times New Roman" w:eastAsia="宋体" w:cs="Times New Roman"/>
                      <w:color w:val="auto"/>
                      <w:sz w:val="21"/>
                      <w:szCs w:val="21"/>
                      <w:highlight w:val="none"/>
                    </w:rPr>
                    <w:t>间</w:t>
                  </w:r>
                </w:p>
              </w:tc>
              <w:tc>
                <w:tcPr>
                  <w:tcW w:w="1254" w:type="pct"/>
                  <w:vAlign w:val="center"/>
                </w:tcPr>
                <w:p w14:paraId="6B87C3A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《环境监测技术规范》</w:t>
                  </w:r>
                </w:p>
              </w:tc>
              <w:tc>
                <w:tcPr>
                  <w:tcW w:w="1125" w:type="pct"/>
                  <w:vAlign w:val="center"/>
                </w:tcPr>
                <w:p w14:paraId="40CC3BE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《工业企业厂界环境噪声排放标准》（GB12348-2 008）</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类标准</w:t>
                  </w:r>
                </w:p>
              </w:tc>
            </w:tr>
          </w:tbl>
          <w:p w14:paraId="582381F5">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四、固体废物污染源</w:t>
            </w:r>
          </w:p>
          <w:p w14:paraId="71F3340E">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1、固体废物源强</w:t>
            </w:r>
          </w:p>
          <w:p w14:paraId="1F5B0A82">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本项目营运期产生的固体废物主要为生活垃圾、一般工业固废（</w:t>
            </w:r>
            <w:r>
              <w:rPr>
                <w:rFonts w:hint="eastAsia" w:cs="Times New Roman"/>
                <w:color w:val="auto"/>
                <w:highlight w:val="none"/>
                <w:lang w:eastAsia="zh-CN"/>
              </w:rPr>
              <w:t>废包装材料</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玻璃纤维边角料、塑料边角料及不合格产品</w:t>
            </w:r>
            <w:r>
              <w:rPr>
                <w:rFonts w:hint="default" w:ascii="Times New Roman" w:hAnsi="Times New Roman" w:eastAsia="宋体" w:cs="Times New Roman"/>
                <w:color w:val="auto"/>
                <w:highlight w:val="none"/>
              </w:rPr>
              <w:t>）、危险废物（</w:t>
            </w:r>
            <w:r>
              <w:rPr>
                <w:rFonts w:hint="eastAsia" w:cs="Times New Roman"/>
                <w:color w:val="auto"/>
                <w:highlight w:val="none"/>
                <w:lang w:val="en-US" w:eastAsia="zh-CN"/>
              </w:rPr>
              <w:t>废原料桶</w:t>
            </w:r>
            <w:r>
              <w:rPr>
                <w:rFonts w:hint="default" w:ascii="Times New Roman" w:hAnsi="Times New Roman" w:eastAsia="宋体" w:cs="Times New Roman"/>
                <w:color w:val="auto"/>
                <w:highlight w:val="none"/>
              </w:rPr>
              <w:t>、废</w:t>
            </w:r>
            <w:r>
              <w:rPr>
                <w:rFonts w:hint="eastAsia" w:cs="Times New Roman"/>
                <w:color w:val="auto"/>
                <w:highlight w:val="none"/>
                <w:lang w:val="en-US" w:eastAsia="zh-CN"/>
              </w:rPr>
              <w:t>油桶</w:t>
            </w:r>
            <w:r>
              <w:rPr>
                <w:rFonts w:hint="default" w:ascii="Times New Roman" w:hAnsi="Times New Roman" w:eastAsia="宋体" w:cs="Times New Roman"/>
                <w:color w:val="auto"/>
                <w:highlight w:val="none"/>
              </w:rPr>
              <w:t>、废</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rPr>
              <w:t>油、废</w:t>
            </w:r>
            <w:r>
              <w:rPr>
                <w:rFonts w:hint="eastAsia" w:cs="Times New Roman"/>
                <w:color w:val="auto"/>
                <w:highlight w:val="none"/>
                <w:lang w:val="en-US" w:eastAsia="zh-CN"/>
              </w:rPr>
              <w:t>含油抹布及手套、废过滤棉、废活性炭、水帘柜废液及沉渣</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155D5B98">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（1）生活垃圾</w:t>
            </w:r>
          </w:p>
          <w:p w14:paraId="311C470E">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本项目劳动定员</w:t>
            </w:r>
            <w:r>
              <w:rPr>
                <w:rFonts w:hint="default" w:ascii="Times New Roman" w:hAnsi="Times New Roman" w:eastAsia="宋体" w:cs="Times New Roman"/>
                <w:color w:val="auto"/>
                <w:highlight w:val="none"/>
                <w:lang w:val="en-US" w:eastAsia="zh-CN"/>
              </w:rPr>
              <w:t>35</w:t>
            </w:r>
            <w:r>
              <w:rPr>
                <w:rFonts w:hint="default" w:ascii="Times New Roman" w:hAnsi="Times New Roman" w:eastAsia="宋体" w:cs="Times New Roman"/>
                <w:color w:val="auto"/>
                <w:highlight w:val="none"/>
              </w:rPr>
              <w:t>人，</w:t>
            </w:r>
            <w:r>
              <w:rPr>
                <w:rFonts w:hint="default"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rPr>
              <w:t>在厂内住宿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就餐</w:t>
            </w:r>
            <w:r>
              <w:rPr>
                <w:rFonts w:hint="default" w:ascii="Times New Roman" w:hAnsi="Times New Roman" w:eastAsia="宋体" w:cs="Times New Roman"/>
                <w:color w:val="auto"/>
                <w:highlight w:val="none"/>
              </w:rPr>
              <w:t>，年工作300天，按每人每天生活垃圾产生量为0.5kg，生活垃圾产生量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35人×300d×0.5kg/（人·d）=5.25</w:t>
            </w:r>
            <w:r>
              <w:rPr>
                <w:rFonts w:hint="default" w:ascii="Times New Roman" w:hAnsi="Times New Roman" w:eastAsia="宋体" w:cs="Times New Roman"/>
                <w:color w:val="auto"/>
                <w:highlight w:val="none"/>
              </w:rPr>
              <w:t>t/a。</w:t>
            </w:r>
          </w:p>
          <w:p w14:paraId="5983DC91">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（2）一般工业固体废物</w:t>
            </w:r>
          </w:p>
          <w:p w14:paraId="19BD29C5">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w:t>
            </w:r>
            <w:r>
              <w:rPr>
                <w:rFonts w:hint="eastAsia" w:cs="Times New Roman"/>
                <w:b/>
                <w:bCs/>
                <w:color w:val="auto"/>
                <w:kern w:val="2"/>
                <w:sz w:val="24"/>
                <w:szCs w:val="21"/>
                <w:highlight w:val="none"/>
                <w:lang w:val="en-US" w:eastAsia="zh-CN" w:bidi="ar-SA"/>
              </w:rPr>
              <w:t>废包装材料</w:t>
            </w:r>
          </w:p>
          <w:p w14:paraId="5B975F64">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Cs/>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主要为项目原辅材料的包装材料，主要为塑料袋，产生量约为1t/a，属于一般工业固废，</w:t>
            </w:r>
            <w:r>
              <w:rPr>
                <w:rFonts w:hint="default" w:ascii="Times New Roman" w:hAnsi="Times New Roman" w:eastAsia="宋体" w:cs="Times New Roman"/>
                <w:color w:val="auto"/>
                <w:kern w:val="2"/>
                <w:sz w:val="24"/>
                <w:szCs w:val="24"/>
                <w:highlight w:val="none"/>
                <w:lang w:val="en-US" w:eastAsia="zh-CN" w:bidi="ar-SA"/>
              </w:rPr>
              <w:t>根据《固体废物分类与代码》（公告 2024年 第4号）判定，属于“SW17 可再生类废物-非特定行业-废塑料”，代码为900-003-S17，统一收集后</w:t>
            </w:r>
            <w:r>
              <w:rPr>
                <w:rFonts w:hint="default" w:ascii="Times New Roman" w:hAnsi="Times New Roman" w:eastAsia="宋体" w:cs="Times New Roman"/>
                <w:color w:val="auto"/>
                <w:kern w:val="2"/>
                <w:sz w:val="24"/>
                <w:szCs w:val="21"/>
                <w:highlight w:val="none"/>
                <w:lang w:val="en-US" w:eastAsia="zh-CN" w:bidi="ar-SA"/>
              </w:rPr>
              <w:t>外售至资源回收利用单位。</w:t>
            </w:r>
          </w:p>
          <w:p w14:paraId="13E76F38">
            <w:pPr>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②</w:t>
            </w:r>
            <w:r>
              <w:rPr>
                <w:rFonts w:hint="eastAsia" w:ascii="Times New Roman" w:hAnsi="Times New Roman" w:eastAsia="宋体" w:cs="Times New Roman"/>
                <w:b/>
                <w:bCs/>
                <w:color w:val="auto"/>
                <w:highlight w:val="none"/>
                <w:lang w:val="en-US" w:eastAsia="zh-CN"/>
              </w:rPr>
              <w:t>玻璃纤维</w:t>
            </w:r>
            <w:r>
              <w:rPr>
                <w:rFonts w:hint="default" w:ascii="Times New Roman" w:hAnsi="Times New Roman" w:eastAsia="宋体" w:cs="Times New Roman"/>
                <w:b/>
                <w:bCs/>
                <w:color w:val="auto"/>
                <w:highlight w:val="none"/>
              </w:rPr>
              <w:t>边角料</w:t>
            </w:r>
          </w:p>
          <w:p w14:paraId="778438C7">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本项目机加工过程会产生边角料，产生量约为</w:t>
            </w:r>
            <w:r>
              <w:rPr>
                <w:rFonts w:hint="default" w:ascii="Times New Roman" w:hAnsi="Times New Roman" w:eastAsia="宋体" w:cs="Times New Roman"/>
                <w:color w:val="auto"/>
                <w:highlight w:val="none"/>
                <w:lang w:val="en-US" w:eastAsia="zh-CN"/>
              </w:rPr>
              <w:t>产品产量</w:t>
            </w:r>
            <w:r>
              <w:rPr>
                <w:rFonts w:hint="eastAsia"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lang w:val="en-US" w:eastAsia="zh-CN"/>
              </w:rPr>
              <w:t>0.5%，按玻璃纤维增强塑料制品年产</w:t>
            </w:r>
            <w:r>
              <w:rPr>
                <w:rFonts w:hint="eastAsia" w:cs="Times New Roman"/>
                <w:color w:val="auto"/>
                <w:highlight w:val="none"/>
                <w:lang w:val="en-US" w:eastAsia="zh-CN"/>
              </w:rPr>
              <w:t>882</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val="en-US" w:eastAsia="zh-CN"/>
              </w:rPr>
              <w:t>计</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本项目边角料产生量为：</w:t>
            </w:r>
            <w:r>
              <w:rPr>
                <w:rFonts w:hint="eastAsia" w:cs="Times New Roman"/>
                <w:color w:val="auto"/>
                <w:highlight w:val="none"/>
                <w:lang w:val="en-US" w:eastAsia="zh-CN"/>
              </w:rPr>
              <w:t>882</w:t>
            </w:r>
            <w:r>
              <w:rPr>
                <w:rFonts w:hint="default" w:ascii="Times New Roman" w:hAnsi="Times New Roman" w:eastAsia="宋体" w:cs="Times New Roman"/>
                <w:color w:val="auto"/>
                <w:highlight w:val="none"/>
                <w:lang w:val="en-US" w:eastAsia="zh-CN"/>
              </w:rPr>
              <w:t>t/a×</w:t>
            </w:r>
            <w:r>
              <w:rPr>
                <w:rFonts w:hint="eastAsia"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12.6</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6B938053">
            <w:pPr>
              <w:ind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③塑料</w:t>
            </w:r>
            <w:r>
              <w:rPr>
                <w:rFonts w:hint="default" w:ascii="Times New Roman" w:hAnsi="Times New Roman" w:eastAsia="宋体" w:cs="Times New Roman"/>
                <w:b/>
                <w:bCs/>
                <w:color w:val="auto"/>
                <w:highlight w:val="none"/>
              </w:rPr>
              <w:t>边角料</w:t>
            </w:r>
            <w:r>
              <w:rPr>
                <w:rFonts w:hint="eastAsia" w:ascii="Times New Roman" w:hAnsi="Times New Roman" w:eastAsia="宋体" w:cs="Times New Roman"/>
                <w:b/>
                <w:bCs/>
                <w:color w:val="auto"/>
                <w:highlight w:val="none"/>
                <w:lang w:val="en-US" w:eastAsia="zh-CN"/>
              </w:rPr>
              <w:t>及不合格品</w:t>
            </w:r>
          </w:p>
          <w:p w14:paraId="3F993E17">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w:t>
            </w:r>
            <w:r>
              <w:rPr>
                <w:rFonts w:hint="eastAsia" w:ascii="Times New Roman" w:hAnsi="Times New Roman" w:eastAsia="宋体" w:cs="Times New Roman"/>
                <w:color w:val="auto"/>
                <w:kern w:val="2"/>
                <w:sz w:val="24"/>
                <w:szCs w:val="24"/>
                <w:highlight w:val="none"/>
                <w:lang w:val="en-US" w:eastAsia="zh-CN" w:bidi="ar-SA"/>
              </w:rPr>
              <w:t>生产注塑配件</w:t>
            </w:r>
            <w:r>
              <w:rPr>
                <w:rFonts w:hint="default" w:ascii="Times New Roman" w:hAnsi="Times New Roman" w:eastAsia="宋体" w:cs="Times New Roman"/>
                <w:color w:val="auto"/>
                <w:kern w:val="2"/>
                <w:sz w:val="24"/>
                <w:szCs w:val="24"/>
                <w:highlight w:val="none"/>
                <w:lang w:val="en-US" w:eastAsia="zh-CN" w:bidi="ar-SA"/>
              </w:rPr>
              <w:t>过程会产生少量边角料</w:t>
            </w:r>
            <w:r>
              <w:rPr>
                <w:rFonts w:hint="eastAsia" w:ascii="Times New Roman" w:hAnsi="Times New Roman" w:eastAsia="宋体" w:cs="Times New Roman"/>
                <w:color w:val="auto"/>
                <w:kern w:val="2"/>
                <w:sz w:val="24"/>
                <w:szCs w:val="24"/>
                <w:highlight w:val="none"/>
                <w:lang w:val="en-US" w:eastAsia="zh-CN" w:bidi="ar-SA"/>
              </w:rPr>
              <w:t>、不合格产品</w:t>
            </w:r>
            <w:r>
              <w:rPr>
                <w:rFonts w:hint="default" w:ascii="Times New Roman" w:hAnsi="Times New Roman" w:eastAsia="宋体" w:cs="Times New Roman"/>
                <w:color w:val="auto"/>
                <w:kern w:val="2"/>
                <w:sz w:val="24"/>
                <w:szCs w:val="24"/>
                <w:highlight w:val="none"/>
                <w:lang w:val="en-US" w:eastAsia="zh-CN" w:bidi="ar-SA"/>
              </w:rPr>
              <w:t>，产生量</w:t>
            </w:r>
            <w:r>
              <w:rPr>
                <w:rFonts w:hint="eastAsia" w:ascii="Times New Roman" w:hAnsi="Times New Roman" w:eastAsia="宋体" w:cs="Times New Roman"/>
                <w:color w:val="auto"/>
                <w:kern w:val="2"/>
                <w:sz w:val="24"/>
                <w:szCs w:val="24"/>
                <w:highlight w:val="none"/>
                <w:lang w:val="en-US" w:eastAsia="zh-CN" w:bidi="ar-SA"/>
              </w:rPr>
              <w:t>按塑料颗粒使用量的1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计</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5.2</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t/a，属于一般工业固体废物，根据《固体废物分类与代码》（公告 2024年 第4号）判定，属于“SW17 可再生类废物-非特定行业-</w:t>
            </w:r>
            <w:r>
              <w:rPr>
                <w:rFonts w:hint="eastAsia" w:ascii="Times New Roman" w:hAnsi="Times New Roman" w:eastAsia="宋体" w:cs="Times New Roman"/>
                <w:color w:val="auto"/>
                <w:kern w:val="2"/>
                <w:sz w:val="24"/>
                <w:szCs w:val="24"/>
                <w:highlight w:val="none"/>
                <w:lang w:val="en-US" w:eastAsia="zh-CN" w:bidi="ar-SA"/>
              </w:rPr>
              <w:t>废塑料</w:t>
            </w:r>
            <w:r>
              <w:rPr>
                <w:rFonts w:hint="default" w:ascii="Times New Roman" w:hAnsi="Times New Roman" w:eastAsia="宋体" w:cs="Times New Roman"/>
                <w:color w:val="auto"/>
                <w:kern w:val="2"/>
                <w:sz w:val="24"/>
                <w:szCs w:val="24"/>
                <w:highlight w:val="none"/>
                <w:lang w:val="en-US" w:eastAsia="zh-CN" w:bidi="ar-SA"/>
              </w:rPr>
              <w:t>”，代码为900-011-S17，统一收集后外售至资源回收利用单位。</w:t>
            </w:r>
          </w:p>
          <w:p w14:paraId="0DEC759D">
            <w:pPr>
              <w:ind w:firstLine="480" w:firstLineChars="200"/>
              <w:rPr>
                <w:rFonts w:hint="default"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④玻纤布下脚料及不合格品</w:t>
            </w:r>
          </w:p>
          <w:p w14:paraId="420A6568">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玻纤布生产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下脚</w:t>
            </w:r>
            <w:r>
              <w:rPr>
                <w:rFonts w:hint="default" w:ascii="Times New Roman" w:hAnsi="Times New Roman" w:eastAsia="宋体" w:cs="Times New Roman"/>
                <w:color w:val="auto"/>
                <w:highlight w:val="none"/>
              </w:rPr>
              <w:t>料，产生量约为</w:t>
            </w:r>
            <w:r>
              <w:rPr>
                <w:rFonts w:hint="eastAsia" w:cs="Times New Roman"/>
                <w:color w:val="auto"/>
                <w:highlight w:val="none"/>
                <w:lang w:val="en-US" w:eastAsia="zh-CN"/>
              </w:rPr>
              <w:t>0.05</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43938067">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玻纤布生产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不合格品</w:t>
            </w:r>
            <w:r>
              <w:rPr>
                <w:rFonts w:hint="default" w:ascii="Times New Roman" w:hAnsi="Times New Roman" w:eastAsia="宋体" w:cs="Times New Roman"/>
                <w:color w:val="auto"/>
                <w:highlight w:val="none"/>
              </w:rPr>
              <w:t>，产生量约为</w:t>
            </w:r>
            <w:r>
              <w:rPr>
                <w:rFonts w:hint="eastAsia" w:cs="Times New Roman"/>
                <w:color w:val="auto"/>
                <w:highlight w:val="none"/>
                <w:lang w:val="en-US" w:eastAsia="zh-CN"/>
              </w:rPr>
              <w:t>0.2</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5D7B37DC">
            <w:pPr>
              <w:widowControl w:val="0"/>
              <w:autoSpaceDE w:val="0"/>
              <w:autoSpaceDN w:val="0"/>
              <w:adjustRightInd w:val="0"/>
              <w:spacing w:line="360" w:lineRule="auto"/>
              <w:ind w:firstLine="480" w:firstLineChars="200"/>
              <w:jc w:val="both"/>
              <w:rPr>
                <w:rFonts w:hint="default" w:ascii="Times New Roman" w:hAnsi="Times New Roman" w:eastAsia="宋体" w:cs="Times New Roman"/>
                <w:b w:val="0"/>
                <w:bCs w:val="0"/>
                <w:color w:val="auto"/>
                <w:highlight w:val="none"/>
                <w:lang w:val="en-US"/>
              </w:rPr>
            </w:pPr>
            <w:r>
              <w:rPr>
                <w:rFonts w:hint="eastAsia" w:cs="Times New Roman"/>
                <w:b w:val="0"/>
                <w:bCs w:val="0"/>
                <w:color w:val="auto"/>
                <w:kern w:val="2"/>
                <w:sz w:val="24"/>
                <w:szCs w:val="24"/>
                <w:highlight w:val="none"/>
                <w:lang w:val="en-US" w:eastAsia="zh-CN" w:bidi="ar-SA"/>
              </w:rPr>
              <w:t>玻纤布下脚料及不合格品产生量合计为0.25t/a。</w:t>
            </w:r>
          </w:p>
          <w:p w14:paraId="68DDD522">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⑤碳纤维边角料及不合格品</w:t>
            </w:r>
          </w:p>
          <w:p w14:paraId="2F7A4272">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碳纤维制品生产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废边角料和不合格品</w:t>
            </w:r>
            <w:r>
              <w:rPr>
                <w:rFonts w:hint="default" w:ascii="Times New Roman" w:hAnsi="Times New Roman" w:eastAsia="宋体" w:cs="Times New Roman"/>
                <w:color w:val="auto"/>
                <w:highlight w:val="none"/>
              </w:rPr>
              <w:t>，产生量</w:t>
            </w:r>
            <w:r>
              <w:rPr>
                <w:rFonts w:hint="eastAsia" w:cs="Times New Roman"/>
                <w:color w:val="auto"/>
                <w:highlight w:val="none"/>
                <w:lang w:val="en-US" w:eastAsia="zh-CN"/>
              </w:rPr>
              <w:t>分别为0.3</w:t>
            </w:r>
            <w:r>
              <w:rPr>
                <w:rFonts w:hint="default" w:ascii="Times New Roman" w:hAnsi="Times New Roman" w:eastAsia="宋体" w:cs="Times New Roman"/>
                <w:color w:val="auto"/>
                <w:highlight w:val="none"/>
                <w:lang w:val="en-US" w:eastAsia="zh-CN"/>
              </w:rPr>
              <w:t>t/a</w:t>
            </w:r>
            <w:r>
              <w:rPr>
                <w:rFonts w:hint="eastAsia" w:cs="Times New Roman"/>
                <w:color w:val="auto"/>
                <w:highlight w:val="none"/>
                <w:lang w:val="en-US" w:eastAsia="zh-CN"/>
              </w:rPr>
              <w:t>、0.2</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2ADDC4F8">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⑥废BOPP膜</w:t>
            </w:r>
          </w:p>
          <w:p w14:paraId="26745083">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cs="Times New Roman"/>
                <w:color w:val="auto"/>
                <w:highlight w:val="none"/>
                <w:lang w:val="en-US" w:eastAsia="zh-CN"/>
              </w:rPr>
              <w:t>BOPP膜是碳纤维预浸料生产中的临时离型载体。它包裹在树脂浸渍的</w:t>
            </w:r>
            <w:r>
              <w:rPr>
                <w:rFonts w:hint="eastAsia" w:cs="Times New Roman"/>
                <w:color w:val="auto"/>
                <w:highlight w:val="none"/>
                <w:lang w:val="en-US" w:eastAsia="zh-CN"/>
              </w:rPr>
              <w:t>碳纤维预浸料</w:t>
            </w:r>
            <w:r>
              <w:rPr>
                <w:rFonts w:hint="default" w:cs="Times New Roman"/>
                <w:color w:val="auto"/>
                <w:highlight w:val="none"/>
                <w:lang w:val="en-US" w:eastAsia="zh-CN"/>
              </w:rPr>
              <w:t>外层，主要作用是利用离型功能防止树脂粘连，确保生产过程顺畅，便于卷取和储存；待生产或使用前，该膜会被全部剥离，不参与最终产品结构。</w:t>
            </w:r>
            <w:r>
              <w:rPr>
                <w:rFonts w:hint="eastAsia" w:cs="Times New Roman"/>
                <w:color w:val="auto"/>
                <w:highlight w:val="none"/>
                <w:lang w:val="en-US" w:eastAsia="zh-CN"/>
              </w:rPr>
              <w:t>项目使用BOPP膜28.5t/a，废BOPP膜产生量为28.5t/a，</w:t>
            </w:r>
            <w:r>
              <w:rPr>
                <w:rFonts w:hint="default" w:ascii="Times New Roman" w:hAnsi="Times New Roman" w:eastAsia="宋体" w:cs="Times New Roman"/>
                <w:color w:val="auto"/>
                <w:kern w:val="2"/>
                <w:sz w:val="24"/>
                <w:szCs w:val="24"/>
                <w:highlight w:val="none"/>
                <w:lang w:val="en-US" w:eastAsia="zh-CN" w:bidi="ar-SA"/>
              </w:rPr>
              <w:t>属于一般工业固体废物，根据《固体废物分类与代码》（公告 2024年 第4号）判定，属于“SW17 可再生类废物-非特定行业-其他可再生类废物。工业生产活动中产生的其他可再生类废物。”，代码为900-0</w:t>
            </w:r>
            <w:r>
              <w:rPr>
                <w:rFonts w:hint="eastAsia" w:cs="Times New Roman"/>
                <w:color w:val="auto"/>
                <w:kern w:val="2"/>
                <w:sz w:val="24"/>
                <w:szCs w:val="24"/>
                <w:highlight w:val="none"/>
                <w:lang w:val="en-US" w:eastAsia="zh-CN" w:bidi="ar-SA"/>
              </w:rPr>
              <w:t>99</w:t>
            </w:r>
            <w:r>
              <w:rPr>
                <w:rFonts w:hint="default" w:ascii="Times New Roman" w:hAnsi="Times New Roman" w:eastAsia="宋体" w:cs="Times New Roman"/>
                <w:color w:val="auto"/>
                <w:kern w:val="2"/>
                <w:sz w:val="24"/>
                <w:szCs w:val="24"/>
                <w:highlight w:val="none"/>
                <w:lang w:val="en-US" w:eastAsia="zh-CN" w:bidi="ar-SA"/>
              </w:rPr>
              <w:t>-S17，统一收集后外售至资源回收利用单位。</w:t>
            </w:r>
          </w:p>
          <w:p w14:paraId="04A08CEE">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⑦沉淀滤渣</w:t>
            </w:r>
          </w:p>
          <w:p w14:paraId="16E3A46C">
            <w:pPr>
              <w:widowControl w:val="0"/>
              <w:autoSpaceDE w:val="0"/>
              <w:autoSpaceDN w:val="0"/>
              <w:adjustRightInd w:val="0"/>
              <w:spacing w:line="360" w:lineRule="auto"/>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项目水磨工序设废水沉淀池，对水磨废水进行沉淀过滤。沉淀滤渣的产生量约为0.06t/a，主要成分含碳纤维，含水率以60%计，即其中碳纤维量为0.024t/a，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010096A1">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⑧废滤料</w:t>
            </w:r>
          </w:p>
          <w:p w14:paraId="7ABBF551">
            <w:pPr>
              <w:widowControl w:val="0"/>
              <w:autoSpaceDE w:val="0"/>
              <w:autoSpaceDN w:val="0"/>
              <w:adjustRightInd w:val="0"/>
              <w:spacing w:line="360" w:lineRule="auto"/>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项目</w:t>
            </w:r>
            <w:r>
              <w:rPr>
                <w:rFonts w:hint="eastAsia"/>
                <w:color w:val="auto"/>
                <w:highlight w:val="none"/>
                <w:lang w:val="en-US" w:eastAsia="zh-CN"/>
              </w:rPr>
              <w:t>旁流过滤装置滤料总装填量约 800 kg，每 3 年更换一次，年产生废滤料树脂约 0.27t，主要成分包括石英砂杂质、废RO膜等，</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w:t>
            </w:r>
            <w:r>
              <w:rPr>
                <w:rFonts w:hint="eastAsia"/>
                <w:color w:val="auto"/>
                <w:highlight w:val="none"/>
                <w:lang w:val="en-US" w:eastAsia="zh-CN"/>
              </w:rPr>
              <w:t>属于一般工业固体废物，废物种类为“SW59其他工业固体废物-非特定行业-废过滤材料”，代码为900-009-S59 ，收集后交由专业单位处置。</w:t>
            </w:r>
          </w:p>
          <w:p w14:paraId="4861333A">
            <w:pPr>
              <w:keepNext/>
              <w:keepLines/>
              <w:numPr>
                <w:ilvl w:val="4"/>
                <w:numId w:val="0"/>
              </w:numPr>
              <w:tabs>
                <w:tab w:val="left" w:pos="0"/>
              </w:tabs>
              <w:ind w:firstLine="480" w:firstLineChars="20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（3）危险废物</w:t>
            </w:r>
          </w:p>
          <w:p w14:paraId="4A9FA8EC">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危险废物类别根据《国家危险废物名录》（202</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年版）进行辨识，分类收集后委托危险废物资质单位处理。</w:t>
            </w:r>
          </w:p>
          <w:p w14:paraId="755E276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①废原料桶</w:t>
            </w:r>
          </w:p>
          <w:p w14:paraId="1697E105">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本项目生产过程使用的液态原辅材料均为桶式包装，按其理化性质区分，桶内沾染物主要为树脂，原料桶规格有：不饱和聚酯树脂-1100kg/桶，空桶按10kg/个计；</w:t>
            </w:r>
            <w:r>
              <w:rPr>
                <w:rFonts w:hint="eastAsia" w:cs="Times New Roman"/>
                <w:color w:val="auto"/>
                <w:kern w:val="2"/>
                <w:sz w:val="24"/>
                <w:szCs w:val="21"/>
                <w:highlight w:val="none"/>
                <w:lang w:val="en-US" w:eastAsia="zh-CN" w:bidi="ar-SA"/>
              </w:rPr>
              <w:t>固化剂</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色浆</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；水性脱模剂</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；油漆（包括PU漆、固化剂与稀释剂）</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25</w:t>
            </w:r>
            <w:r>
              <w:rPr>
                <w:rFonts w:hint="default" w:ascii="Times New Roman" w:hAnsi="Times New Roman" w:eastAsia="宋体" w:cs="Times New Roman"/>
                <w:color w:val="auto"/>
                <w:kern w:val="2"/>
                <w:sz w:val="24"/>
                <w:szCs w:val="21"/>
                <w:highlight w:val="none"/>
                <w:lang w:val="en-US" w:eastAsia="zh-CN" w:bidi="ar-SA"/>
              </w:rPr>
              <w:t>kg/桶，空桶按1kg/个计。则本项目产生废原料桶约为：</w:t>
            </w:r>
            <w:r>
              <w:rPr>
                <w:rFonts w:hint="eastAsia" w:cs="Times New Roman"/>
                <w:color w:val="auto"/>
                <w:kern w:val="2"/>
                <w:sz w:val="24"/>
                <w:szCs w:val="21"/>
                <w:highlight w:val="none"/>
                <w:lang w:val="en-US" w:eastAsia="zh-CN" w:bidi="ar-SA"/>
              </w:rPr>
              <w:t>1</w:t>
            </w:r>
            <w:r>
              <w:rPr>
                <w:rFonts w:hint="default" w:ascii="Times New Roman" w:hAnsi="Times New Roman" w:eastAsia="宋体" w:cs="Times New Roman"/>
                <w:color w:val="auto"/>
                <w:kern w:val="2"/>
                <w:sz w:val="24"/>
                <w:szCs w:val="21"/>
                <w:highlight w:val="none"/>
                <w:lang w:val="en-US" w:eastAsia="zh-CN" w:bidi="ar-SA"/>
              </w:rPr>
              <w:t>×10kg+（</w:t>
            </w:r>
            <w:r>
              <w:rPr>
                <w:rFonts w:hint="eastAsia" w:cs="Times New Roman"/>
                <w:color w:val="auto"/>
                <w:kern w:val="2"/>
                <w:sz w:val="24"/>
                <w:szCs w:val="21"/>
                <w:highlight w:val="none"/>
                <w:lang w:val="en-US" w:eastAsia="zh-CN" w:bidi="ar-SA"/>
              </w:rPr>
              <w:t>280</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140+140+50</w:t>
            </w:r>
            <w:r>
              <w:rPr>
                <w:rFonts w:hint="default" w:ascii="Times New Roman" w:hAnsi="Times New Roman" w:eastAsia="宋体" w:cs="Times New Roman"/>
                <w:color w:val="auto"/>
                <w:kern w:val="2"/>
                <w:sz w:val="24"/>
                <w:szCs w:val="21"/>
                <w:highlight w:val="none"/>
                <w:lang w:val="en-US" w:eastAsia="zh-CN" w:bidi="ar-SA"/>
              </w:rPr>
              <w:t>）×1kg=</w:t>
            </w:r>
            <w:r>
              <w:rPr>
                <w:rFonts w:hint="eastAsia" w:cs="Times New Roman"/>
                <w:color w:val="auto"/>
                <w:kern w:val="2"/>
                <w:sz w:val="24"/>
                <w:szCs w:val="21"/>
                <w:highlight w:val="none"/>
                <w:lang w:val="en-US" w:eastAsia="zh-CN" w:bidi="ar-SA"/>
              </w:rPr>
              <w:t>0.62</w:t>
            </w:r>
            <w:r>
              <w:rPr>
                <w:rFonts w:hint="default" w:ascii="Times New Roman" w:hAnsi="Times New Roman" w:eastAsia="宋体" w:cs="Times New Roman"/>
                <w:color w:val="auto"/>
                <w:kern w:val="2"/>
                <w:sz w:val="24"/>
                <w:szCs w:val="21"/>
                <w:highlight w:val="none"/>
                <w:lang w:val="en-US" w:eastAsia="zh-CN" w:bidi="ar-SA"/>
              </w:rPr>
              <w:t>t/a。</w:t>
            </w:r>
          </w:p>
          <w:p w14:paraId="71693EA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，沾染树脂的废原料桶按“HW13有机树脂类废物”分类，其代码为900-014-13，属于“废弃的粘合剂和密封剂（不包括水基型和热熔型粘合剂和密封剂）”，经统一收集后交由有危险废物处理资质的单位处理。</w:t>
            </w:r>
          </w:p>
          <w:p w14:paraId="7839A1B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②废油桶</w:t>
            </w:r>
          </w:p>
          <w:p w14:paraId="0A4A9006">
            <w:pPr>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保养设备设施会用到</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其规格为</w:t>
            </w:r>
            <w:r>
              <w:rPr>
                <w:rFonts w:hint="default" w:ascii="Times New Roman" w:hAnsi="Times New Roman" w:eastAsia="宋体" w:cs="Times New Roman"/>
                <w:color w:val="auto"/>
                <w:highlight w:val="none"/>
              </w:rPr>
              <w:t>200kg/桶，</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空桶按10kg/桶计算</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生产过程使用的</w:t>
            </w:r>
            <w:r>
              <w:rPr>
                <w:rFonts w:hint="eastAsia" w:cs="Times New Roman"/>
                <w:color w:val="auto"/>
                <w:highlight w:val="none"/>
                <w:lang w:val="en-US" w:eastAsia="zh-CN"/>
              </w:rPr>
              <w:t>水性脱模剂</w:t>
            </w:r>
            <w:r>
              <w:rPr>
                <w:rFonts w:hint="default" w:ascii="Times New Roman" w:hAnsi="Times New Roman" w:eastAsia="宋体" w:cs="Times New Roman"/>
                <w:color w:val="auto"/>
                <w:highlight w:val="none"/>
                <w:lang w:val="en-US" w:eastAsia="zh-CN"/>
              </w:rPr>
              <w:t>会产生废脱模剂桶，按其理化性质区分，桶内沾染物为矿物油，因此将废脱模剂桶归纳为废油桶，其规格为50kg/桶，空桶按1kg/个计</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综上，</w:t>
            </w:r>
            <w:r>
              <w:rPr>
                <w:rFonts w:hint="default" w:ascii="Times New Roman" w:hAnsi="Times New Roman" w:eastAsia="宋体" w:cs="Times New Roman"/>
                <w:color w:val="auto"/>
                <w:highlight w:val="none"/>
              </w:rPr>
              <w:t>本项目产生废油桶约</w:t>
            </w:r>
            <w:r>
              <w:rPr>
                <w:rFonts w:hint="default" w:ascii="Times New Roman" w:hAnsi="Times New Roman" w:eastAsia="宋体" w:cs="Times New Roman"/>
                <w:color w:val="auto"/>
                <w:highlight w:val="none"/>
                <w:lang w:val="en-US" w:eastAsia="zh-CN"/>
              </w:rPr>
              <w:t>2×10kg+</w:t>
            </w:r>
            <w:r>
              <w:rPr>
                <w:rFonts w:hint="eastAsia" w:ascii="Times New Roman" w:hAnsi="Times New Roman" w:eastAsia="宋体" w:cs="Times New Roman"/>
                <w:color w:val="auto"/>
                <w:highlight w:val="none"/>
                <w:lang w:val="en-US" w:eastAsia="zh-CN"/>
              </w:rPr>
              <w:t>400</w:t>
            </w:r>
            <w:r>
              <w:rPr>
                <w:rFonts w:hint="default" w:ascii="Times New Roman" w:hAnsi="Times New Roman" w:eastAsia="宋体" w:cs="Times New Roman"/>
                <w:color w:val="auto"/>
                <w:highlight w:val="none"/>
                <w:lang w:val="en-US" w:eastAsia="zh-CN"/>
              </w:rPr>
              <w:t>×1kg=</w:t>
            </w:r>
            <w:r>
              <w:rPr>
                <w:rFonts w:hint="eastAsia" w:ascii="Times New Roman" w:hAnsi="Times New Roman" w:eastAsia="宋体" w:cs="Times New Roman"/>
                <w:color w:val="auto"/>
                <w:highlight w:val="none"/>
                <w:lang w:val="en-US" w:eastAsia="zh-CN"/>
              </w:rPr>
              <w:t>0.42</w:t>
            </w:r>
            <w:r>
              <w:rPr>
                <w:rFonts w:hint="default" w:ascii="Times New Roman" w:hAnsi="Times New Roman" w:eastAsia="宋体" w:cs="Times New Roman"/>
                <w:color w:val="auto"/>
                <w:highlight w:val="none"/>
              </w:rPr>
              <w:t>t/a</w:t>
            </w:r>
          </w:p>
          <w:p w14:paraId="0DBE55B6">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《国家危险废物名录》（2025年版）</w:t>
            </w:r>
            <w:r>
              <w:rPr>
                <w:rFonts w:hint="default" w:ascii="Times New Roman" w:hAnsi="Times New Roman" w:eastAsia="宋体" w:cs="Times New Roman"/>
                <w:color w:val="auto"/>
                <w:highlight w:val="none"/>
              </w:rPr>
              <w:t>，废油桶</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08废矿物油与含矿物油废物”分类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900-249-08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其他生产、销售、使用过程中产生的废矿物油及沾染矿物油的废弃包装物”，经统一收集后交由有危险废物处理资质的单位处理。</w:t>
            </w:r>
          </w:p>
          <w:p w14:paraId="3B8863C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③</w:t>
            </w:r>
            <w:r>
              <w:rPr>
                <w:rFonts w:hint="default" w:ascii="Times New Roman" w:hAnsi="Times New Roman" w:eastAsia="宋体" w:cs="Times New Roman"/>
                <w:b/>
                <w:bCs/>
                <w:color w:val="auto"/>
                <w:kern w:val="2"/>
                <w:sz w:val="24"/>
                <w:szCs w:val="24"/>
                <w:highlight w:val="none"/>
                <w:lang w:val="en-US" w:eastAsia="zh-CN" w:bidi="ar-SA"/>
              </w:rPr>
              <w:t>废</w:t>
            </w:r>
            <w:r>
              <w:rPr>
                <w:rFonts w:hint="eastAsia" w:cs="Times New Roman"/>
                <w:b/>
                <w:bCs/>
                <w:color w:val="auto"/>
                <w:kern w:val="2"/>
                <w:sz w:val="24"/>
                <w:szCs w:val="24"/>
                <w:highlight w:val="none"/>
                <w:lang w:val="en-US" w:eastAsia="zh-CN" w:bidi="ar-SA"/>
              </w:rPr>
              <w:t>机</w:t>
            </w:r>
            <w:r>
              <w:rPr>
                <w:rFonts w:hint="default" w:ascii="Times New Roman" w:hAnsi="Times New Roman" w:eastAsia="宋体" w:cs="Times New Roman"/>
                <w:b/>
                <w:bCs/>
                <w:color w:val="auto"/>
                <w:kern w:val="2"/>
                <w:sz w:val="24"/>
                <w:szCs w:val="24"/>
                <w:highlight w:val="none"/>
                <w:lang w:val="en-US" w:eastAsia="zh-CN" w:bidi="ar-SA"/>
              </w:rPr>
              <w:t>油</w:t>
            </w:r>
          </w:p>
          <w:p w14:paraId="4183065C">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本项目在进行设备保养的过程中会产生废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油，产生量</w:t>
            </w:r>
            <w:r>
              <w:rPr>
                <w:rFonts w:hint="default" w:ascii="Times New Roman" w:hAnsi="Times New Roman" w:eastAsia="宋体" w:cs="Times New Roman"/>
                <w:color w:val="auto"/>
                <w:kern w:val="0"/>
                <w:sz w:val="24"/>
                <w:szCs w:val="24"/>
                <w:highlight w:val="none"/>
                <w:lang w:val="en-US" w:eastAsia="zh-CN" w:bidi="ar-SA"/>
              </w:rPr>
              <w:t>等于</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w:t>
            </w:r>
            <w:r>
              <w:rPr>
                <w:rFonts w:hint="default" w:ascii="Times New Roman" w:hAnsi="Times New Roman" w:eastAsia="宋体" w:cs="Times New Roman"/>
                <w:color w:val="auto"/>
                <w:kern w:val="0"/>
                <w:sz w:val="24"/>
                <w:szCs w:val="24"/>
                <w:highlight w:val="none"/>
                <w:lang w:val="en-US" w:eastAsia="zh-CN" w:bidi="ar-SA"/>
              </w:rPr>
              <w:t>使用量0.4t/a</w:t>
            </w:r>
            <w:r>
              <w:rPr>
                <w:rFonts w:hint="default" w:ascii="Times New Roman" w:hAnsi="Times New Roman" w:eastAsia="宋体" w:cs="Times New Roman"/>
                <w:color w:val="auto"/>
                <w:kern w:val="2"/>
                <w:sz w:val="24"/>
                <w:szCs w:val="21"/>
                <w:highlight w:val="none"/>
                <w:lang w:val="en-US" w:eastAsia="zh-CN" w:bidi="ar-SA"/>
              </w:rPr>
              <w:t>。</w:t>
            </w:r>
          </w:p>
          <w:p w14:paraId="58086FC1">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油按“HW08废矿物油与含矿物油废物”分类，其代码为900-2</w:t>
            </w:r>
            <w:r>
              <w:rPr>
                <w:rFonts w:hint="eastAsia" w:cs="Times New Roman"/>
                <w:color w:val="auto"/>
                <w:kern w:val="2"/>
                <w:sz w:val="24"/>
                <w:szCs w:val="21"/>
                <w:highlight w:val="none"/>
                <w:lang w:val="en-US" w:eastAsia="zh-CN" w:bidi="ar-SA"/>
              </w:rPr>
              <w:t>49</w:t>
            </w:r>
            <w:r>
              <w:rPr>
                <w:rFonts w:hint="default" w:ascii="Times New Roman" w:hAnsi="Times New Roman" w:eastAsia="宋体" w:cs="Times New Roman"/>
                <w:color w:val="auto"/>
                <w:kern w:val="2"/>
                <w:sz w:val="24"/>
                <w:szCs w:val="21"/>
                <w:highlight w:val="none"/>
                <w:lang w:val="en-US" w:eastAsia="zh-CN" w:bidi="ar-SA"/>
              </w:rPr>
              <w:t>-08，属于“其他生产、销售、使用过程中产生的废矿物油及沾染矿物油的废弃包装物”，经统一收集后交由有危险废物处理资质的单位处理。</w:t>
            </w:r>
          </w:p>
          <w:p w14:paraId="68361526">
            <w:pPr>
              <w:ind w:firstLine="480" w:firstLineChars="200"/>
              <w:rPr>
                <w:rFonts w:hint="default" w:ascii="Times New Roman" w:hAnsi="Times New Roman" w:eastAsia="宋体" w:cs="Times New Roman"/>
                <w:b/>
                <w:bCs/>
                <w:color w:val="auto"/>
                <w:szCs w:val="24"/>
                <w:highlight w:val="none"/>
                <w:lang w:val="en-US" w:eastAsia="zh-CN"/>
              </w:rPr>
            </w:pPr>
            <w:r>
              <w:rPr>
                <w:rFonts w:hint="eastAsia" w:ascii="Times New Roman" w:hAnsi="Times New Roman" w:eastAsia="宋体" w:cs="Times New Roman"/>
                <w:b/>
                <w:bCs/>
                <w:color w:val="auto"/>
                <w:szCs w:val="24"/>
                <w:highlight w:val="none"/>
                <w:lang w:val="en-US" w:eastAsia="zh-CN"/>
              </w:rPr>
              <w:t>④废含油抹布及手套</w:t>
            </w:r>
          </w:p>
          <w:p w14:paraId="41935A06">
            <w:pPr>
              <w:keepNext/>
              <w:keepLines/>
              <w:widowControl w:val="0"/>
              <w:numPr>
                <w:ilvl w:val="5"/>
                <w:numId w:val="0"/>
              </w:numPr>
              <w:spacing w:line="360" w:lineRule="auto"/>
              <w:ind w:firstLine="480" w:firstLineChars="200"/>
              <w:jc w:val="both"/>
              <w:outlineLvl w:val="5"/>
              <w:rPr>
                <w:rFonts w:hint="eastAsia" w:ascii="Times New Roman" w:hAnsi="Times New Roman" w:eastAsia="宋体" w:cs="Times New Roman"/>
                <w:color w:val="auto"/>
                <w:kern w:val="0"/>
                <w:sz w:val="24"/>
                <w:szCs w:val="21"/>
                <w:highlight w:val="none"/>
                <w:lang w:val="en-US" w:eastAsia="zh-CN"/>
              </w:rPr>
            </w:pPr>
            <w:r>
              <w:rPr>
                <w:rFonts w:ascii="Times New Roman" w:hAnsi="Times New Roman" w:eastAsia="宋体" w:cs="Times New Roman"/>
                <w:color w:val="auto"/>
                <w:kern w:val="0"/>
                <w:sz w:val="24"/>
                <w:szCs w:val="21"/>
                <w:highlight w:val="none"/>
                <w:lang w:val="en-US" w:eastAsia="zh-CN"/>
              </w:rPr>
              <w:t>设备维修和维护</w:t>
            </w:r>
            <w:bookmarkStart w:id="157" w:name="_GoBack"/>
            <w:bookmarkEnd w:id="157"/>
            <w:r>
              <w:rPr>
                <w:rFonts w:ascii="Times New Roman" w:hAnsi="Times New Roman" w:eastAsia="宋体" w:cs="Times New Roman"/>
                <w:color w:val="auto"/>
                <w:kern w:val="0"/>
                <w:sz w:val="24"/>
                <w:szCs w:val="21"/>
                <w:highlight w:val="none"/>
                <w:lang w:val="en-US" w:eastAsia="zh-CN"/>
              </w:rPr>
              <w:t>以及</w:t>
            </w:r>
            <w:r>
              <w:rPr>
                <w:rFonts w:hint="eastAsia" w:ascii="Times New Roman" w:hAnsi="Times New Roman" w:eastAsia="宋体" w:cs="Times New Roman"/>
                <w:color w:val="auto"/>
                <w:kern w:val="0"/>
                <w:sz w:val="24"/>
                <w:szCs w:val="21"/>
                <w:highlight w:val="none"/>
                <w:lang w:val="en-US" w:eastAsia="zh-CN"/>
              </w:rPr>
              <w:t>生产</w:t>
            </w:r>
            <w:r>
              <w:rPr>
                <w:rFonts w:ascii="Times New Roman" w:hAnsi="Times New Roman" w:eastAsia="宋体" w:cs="Times New Roman"/>
                <w:color w:val="auto"/>
                <w:kern w:val="0"/>
                <w:sz w:val="24"/>
                <w:szCs w:val="21"/>
                <w:highlight w:val="none"/>
                <w:lang w:val="en-US" w:eastAsia="zh-CN"/>
              </w:rPr>
              <w:t>过程中会产生的沾染</w:t>
            </w:r>
            <w:r>
              <w:rPr>
                <w:rFonts w:hint="eastAsia" w:ascii="Times New Roman" w:hAnsi="Times New Roman" w:eastAsia="宋体" w:cs="Times New Roman"/>
                <w:color w:val="auto"/>
                <w:kern w:val="0"/>
                <w:sz w:val="24"/>
                <w:szCs w:val="21"/>
                <w:highlight w:val="none"/>
                <w:lang w:val="en-US" w:eastAsia="zh-CN"/>
              </w:rPr>
              <w:t>废</w:t>
            </w:r>
            <w:r>
              <w:rPr>
                <w:rFonts w:hint="eastAsia" w:cs="Times New Roman"/>
                <w:color w:val="auto"/>
                <w:kern w:val="0"/>
                <w:sz w:val="24"/>
                <w:szCs w:val="21"/>
                <w:highlight w:val="none"/>
                <w:lang w:val="en-US" w:eastAsia="zh-CN"/>
              </w:rPr>
              <w:t>机</w:t>
            </w:r>
            <w:r>
              <w:rPr>
                <w:rFonts w:hint="eastAsia" w:ascii="Times New Roman" w:hAnsi="Times New Roman" w:eastAsia="宋体" w:cs="Times New Roman"/>
                <w:color w:val="auto"/>
                <w:kern w:val="0"/>
                <w:sz w:val="24"/>
                <w:szCs w:val="21"/>
                <w:highlight w:val="none"/>
                <w:lang w:val="en-US" w:eastAsia="zh-CN"/>
              </w:rPr>
              <w:t>油、脱模剂</w:t>
            </w:r>
            <w:r>
              <w:rPr>
                <w:rFonts w:ascii="Times New Roman" w:hAnsi="Times New Roman" w:eastAsia="宋体" w:cs="Times New Roman"/>
                <w:color w:val="auto"/>
                <w:kern w:val="0"/>
                <w:sz w:val="24"/>
                <w:szCs w:val="21"/>
                <w:highlight w:val="none"/>
                <w:lang w:val="en-US" w:eastAsia="zh-CN"/>
              </w:rPr>
              <w:t>的布料及手套，产生量约</w:t>
            </w:r>
            <w:r>
              <w:rPr>
                <w:rFonts w:hint="eastAsia" w:ascii="Times New Roman" w:hAnsi="Times New Roman" w:eastAsia="宋体" w:cs="Times New Roman"/>
                <w:color w:val="auto"/>
                <w:kern w:val="0"/>
                <w:sz w:val="24"/>
                <w:szCs w:val="21"/>
                <w:highlight w:val="none"/>
                <w:lang w:val="en-US" w:eastAsia="zh-CN"/>
              </w:rPr>
              <w:t>0.01</w:t>
            </w:r>
            <w:r>
              <w:rPr>
                <w:rFonts w:ascii="Times New Roman" w:hAnsi="Times New Roman" w:eastAsia="宋体" w:cs="Times New Roman"/>
                <w:color w:val="auto"/>
                <w:kern w:val="0"/>
                <w:sz w:val="24"/>
                <w:szCs w:val="21"/>
                <w:highlight w:val="none"/>
                <w:lang w:val="en-US" w:eastAsia="zh-CN"/>
              </w:rPr>
              <w:t>t/a</w:t>
            </w:r>
            <w:r>
              <w:rPr>
                <w:rFonts w:hint="eastAsia" w:ascii="Times New Roman" w:hAnsi="Times New Roman" w:eastAsia="宋体" w:cs="Times New Roman"/>
                <w:color w:val="auto"/>
                <w:kern w:val="0"/>
                <w:sz w:val="24"/>
                <w:szCs w:val="21"/>
                <w:highlight w:val="none"/>
                <w:lang w:val="en-US" w:eastAsia="zh-CN"/>
              </w:rPr>
              <w:t>。</w:t>
            </w:r>
          </w:p>
          <w:p w14:paraId="3DB296AC">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w:t>
            </w:r>
            <w:r>
              <w:rPr>
                <w:rFonts w:hint="eastAsia" w:ascii="Times New Roman" w:hAnsi="Times New Roman" w:eastAsia="宋体" w:cs="Times New Roman"/>
                <w:color w:val="auto"/>
                <w:kern w:val="2"/>
                <w:sz w:val="24"/>
                <w:szCs w:val="21"/>
                <w:highlight w:val="none"/>
                <w:lang w:val="en-US" w:eastAsia="zh-CN" w:bidi="ar-SA"/>
              </w:rPr>
              <w:t>废含油抹布及手套按“</w:t>
            </w:r>
            <w:r>
              <w:rPr>
                <w:rFonts w:hint="default" w:ascii="Times New Roman" w:hAnsi="Times New Roman" w:eastAsia="宋体" w:cs="Times New Roman"/>
                <w:color w:val="auto"/>
                <w:kern w:val="2"/>
                <w:sz w:val="24"/>
                <w:szCs w:val="21"/>
                <w:highlight w:val="none"/>
                <w:lang w:val="en-US" w:eastAsia="zh-CN" w:bidi="ar-SA"/>
              </w:rPr>
              <w:t>HW49其他废物</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分类，其代码为</w:t>
            </w:r>
            <w:r>
              <w:rPr>
                <w:rFonts w:ascii="Times New Roman" w:hAnsi="Times New Roman" w:eastAsia="宋体" w:cs="Times New Roman"/>
                <w:color w:val="auto"/>
                <w:kern w:val="0"/>
                <w:sz w:val="24"/>
                <w:szCs w:val="21"/>
                <w:highlight w:val="none"/>
                <w:lang w:val="en-US" w:eastAsia="zh-CN"/>
              </w:rPr>
              <w:t>900-041-49</w:t>
            </w:r>
            <w:r>
              <w:rPr>
                <w:rFonts w:hint="default" w:ascii="Times New Roman" w:hAnsi="Times New Roman" w:eastAsia="宋体" w:cs="Times New Roman"/>
                <w:color w:val="auto"/>
                <w:kern w:val="2"/>
                <w:sz w:val="24"/>
                <w:szCs w:val="21"/>
                <w:highlight w:val="none"/>
                <w:lang w:val="en-US" w:eastAsia="zh-CN" w:bidi="ar-SA"/>
              </w:rPr>
              <w:t>，属于“其他生产、销售、使用过程中产生的废矿物油及沾染矿物油的废弃包装物”，经统一收集后交由有危险废物处理资质的单位处理。</w:t>
            </w:r>
          </w:p>
          <w:p w14:paraId="438AB449">
            <w:pPr>
              <w:ind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kern w:val="2"/>
                <w:sz w:val="24"/>
                <w:szCs w:val="21"/>
                <w:highlight w:val="none"/>
                <w:lang w:val="en-US" w:eastAsia="zh-CN" w:bidi="ar-SA"/>
              </w:rPr>
              <w:t>⑤</w:t>
            </w:r>
            <w:r>
              <w:rPr>
                <w:rFonts w:hint="default" w:ascii="Times New Roman" w:hAnsi="Times New Roman" w:eastAsia="宋体" w:cs="Times New Roman"/>
                <w:b/>
                <w:bCs/>
                <w:color w:val="auto"/>
                <w:highlight w:val="none"/>
                <w:lang w:val="en-US" w:eastAsia="zh-CN"/>
              </w:rPr>
              <w:t>过滤棉</w:t>
            </w:r>
          </w:p>
          <w:p w14:paraId="0D6D0D43">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本项目使用了过滤棉处理废气中颗粒物，建设单位计划1年更换4次过滤棉，</w:t>
            </w:r>
            <w:r>
              <w:rPr>
                <w:rFonts w:hint="eastAsia" w:cs="Times New Roman"/>
                <w:color w:val="auto"/>
                <w:kern w:val="2"/>
                <w:sz w:val="24"/>
                <w:szCs w:val="24"/>
                <w:highlight w:val="none"/>
                <w:lang w:val="en-US" w:eastAsia="zh-CN" w:bidi="ar-SA"/>
              </w:rPr>
              <w:t>项目设置2套废气处理设施，根据前文，颗粒物的收集量为4.107t/a，则过滤棉</w:t>
            </w:r>
            <w:r>
              <w:rPr>
                <w:rFonts w:hint="default" w:ascii="Times New Roman" w:hAnsi="Times New Roman" w:eastAsia="宋体" w:cs="Times New Roman"/>
                <w:color w:val="auto"/>
                <w:kern w:val="2"/>
                <w:sz w:val="24"/>
                <w:szCs w:val="24"/>
                <w:highlight w:val="none"/>
                <w:lang w:val="en-US" w:eastAsia="zh-CN" w:bidi="ar-SA"/>
              </w:rPr>
              <w:t>产生量为4×0.01t/a</w:t>
            </w:r>
            <w:r>
              <w:rPr>
                <w:rFonts w:hint="eastAsia" w:cs="Times New Roman"/>
                <w:color w:val="auto"/>
                <w:kern w:val="2"/>
                <w:sz w:val="24"/>
                <w:szCs w:val="24"/>
                <w:highlight w:val="none"/>
                <w:lang w:val="en-US" w:eastAsia="zh-CN" w:bidi="ar-SA"/>
              </w:rPr>
              <w:t>×2+4.107t/a</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4.147</w:t>
            </w:r>
            <w:r>
              <w:rPr>
                <w:rFonts w:hint="default" w:ascii="Times New Roman" w:hAnsi="Times New Roman" w:eastAsia="宋体" w:cs="Times New Roman"/>
                <w:color w:val="auto"/>
                <w:kern w:val="2"/>
                <w:sz w:val="24"/>
                <w:szCs w:val="24"/>
                <w:highlight w:val="none"/>
                <w:lang w:val="en-US" w:eastAsia="zh-CN" w:bidi="ar-SA"/>
              </w:rPr>
              <w:t>t/a。</w:t>
            </w:r>
          </w:p>
          <w:p w14:paraId="6C688889">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过滤棉</w:t>
            </w:r>
            <w:r>
              <w:rPr>
                <w:rFonts w:hint="default" w:ascii="Times New Roman" w:hAnsi="Times New Roman" w:eastAsia="宋体" w:cs="Times New Roman"/>
                <w:color w:val="auto"/>
                <w:kern w:val="2"/>
                <w:sz w:val="24"/>
                <w:szCs w:val="21"/>
                <w:highlight w:val="none"/>
                <w:lang w:val="en-US" w:eastAsia="zh-CN" w:bidi="ar-SA"/>
              </w:rPr>
              <w:t>按“HW49其他废物”分类，其代码为900-041-49，属于“含有或沾染毒性、感染性危险废物的废弃包装物、容器、过滤吸附介质”，经统一收集后交由有危险废物处理资质的单位处理。</w:t>
            </w:r>
          </w:p>
          <w:p w14:paraId="4AD6026A">
            <w:pPr>
              <w:ind w:firstLine="480" w:firstLineChars="200"/>
              <w:rPr>
                <w:rFonts w:hint="default" w:ascii="Times New Roman" w:hAnsi="Times New Roman" w:eastAsia="宋体" w:cs="Times New Roman"/>
                <w:b/>
                <w:bCs/>
                <w:color w:val="auto"/>
                <w:highlight w:val="none"/>
                <w:lang w:val="en-US" w:eastAsia="zh-CN"/>
              </w:rPr>
            </w:pPr>
            <w:r>
              <w:rPr>
                <w:rFonts w:hint="eastAsia" w:cs="Times New Roman"/>
                <w:b/>
                <w:color w:val="auto"/>
                <w:kern w:val="24"/>
                <w:highlight w:val="none"/>
                <w:lang w:val="en-US" w:eastAsia="zh-CN"/>
              </w:rPr>
              <w:t>⑥</w:t>
            </w:r>
            <w:r>
              <w:rPr>
                <w:rFonts w:hint="default" w:ascii="Times New Roman" w:hAnsi="Times New Roman" w:eastAsia="宋体" w:cs="Times New Roman"/>
                <w:b/>
                <w:bCs/>
                <w:color w:val="auto"/>
                <w:highlight w:val="none"/>
              </w:rPr>
              <w:t>废</w:t>
            </w:r>
            <w:r>
              <w:rPr>
                <w:rFonts w:hint="default" w:ascii="Times New Roman" w:hAnsi="Times New Roman" w:eastAsia="宋体" w:cs="Times New Roman"/>
                <w:b/>
                <w:bCs/>
                <w:color w:val="auto"/>
                <w:highlight w:val="none"/>
                <w:lang w:val="en-US" w:eastAsia="zh-CN"/>
              </w:rPr>
              <w:t>活性炭</w:t>
            </w:r>
          </w:p>
          <w:p w14:paraId="2B381B1D">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项目废气治理设施在运行过程中，为保证活性炭的稳定吸附效果，活性炭吸附器中的活性炭在使用一定时间达到饱和后，吸附效率会逐步降低，为保证其净化效果必须定期进行更换。</w:t>
            </w:r>
          </w:p>
          <w:p w14:paraId="1D10C2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20 </w:t>
            </w:r>
            <w:r>
              <w:rPr>
                <w:rFonts w:hint="default" w:ascii="Times New Roman" w:hAnsi="Times New Roman" w:eastAsia="宋体" w:cs="Times New Roman"/>
                <w:b/>
                <w:bCs/>
                <w:color w:val="auto"/>
                <w:kern w:val="2"/>
                <w:sz w:val="21"/>
                <w:szCs w:val="21"/>
                <w:highlight w:val="none"/>
                <w:lang w:val="en-US" w:eastAsia="zh-CN" w:bidi="ar-SA"/>
              </w:rPr>
              <w:t>项目二级活性炭吸附装置去除有机废气的量</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1763"/>
              <w:gridCol w:w="1298"/>
              <w:gridCol w:w="1443"/>
              <w:gridCol w:w="2126"/>
              <w:gridCol w:w="1050"/>
              <w:gridCol w:w="1050"/>
            </w:tblGrid>
            <w:tr w14:paraId="63BE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26D677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项目</w:t>
                  </w:r>
                </w:p>
              </w:tc>
              <w:tc>
                <w:tcPr>
                  <w:tcW w:w="743" w:type="pct"/>
                  <w:vAlign w:val="center"/>
                </w:tcPr>
                <w:p w14:paraId="5DC411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有机废气收集量（t/a）</w:t>
                  </w:r>
                </w:p>
              </w:tc>
              <w:tc>
                <w:tcPr>
                  <w:tcW w:w="826" w:type="pct"/>
                  <w:vAlign w:val="center"/>
                </w:tcPr>
                <w:p w14:paraId="12AD3B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二级活性炭处理效率</w:t>
                  </w:r>
                </w:p>
              </w:tc>
              <w:tc>
                <w:tcPr>
                  <w:tcW w:w="1215" w:type="pct"/>
                  <w:vAlign w:val="center"/>
                </w:tcPr>
                <w:p w14:paraId="5496ED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活性炭处理后的排放量（t/a</w:t>
                  </w:r>
                  <w:r>
                    <w:rPr>
                      <w:rFonts w:hint="eastAsia"/>
                      <w:b/>
                      <w:bCs/>
                      <w:color w:val="auto"/>
                      <w:sz w:val="21"/>
                      <w:szCs w:val="21"/>
                      <w:highlight w:val="none"/>
                      <w:lang w:val="en-US" w:eastAsia="zh-CN"/>
                    </w:rPr>
                    <w:t>）</w:t>
                  </w:r>
                </w:p>
              </w:tc>
              <w:tc>
                <w:tcPr>
                  <w:tcW w:w="601" w:type="pct"/>
                  <w:vAlign w:val="center"/>
                </w:tcPr>
                <w:p w14:paraId="141DCE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处理量（t/a）</w:t>
                  </w:r>
                </w:p>
              </w:tc>
              <w:tc>
                <w:tcPr>
                  <w:tcW w:w="601" w:type="pct"/>
                  <w:vAlign w:val="center"/>
                </w:tcPr>
                <w:p w14:paraId="028524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p>
              </w:tc>
            </w:tr>
            <w:tr w14:paraId="51A24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0D9866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1#厂房废气处理设施</w:t>
                  </w:r>
                </w:p>
              </w:tc>
              <w:tc>
                <w:tcPr>
                  <w:tcW w:w="743" w:type="pct"/>
                  <w:vAlign w:val="center"/>
                </w:tcPr>
                <w:p w14:paraId="719C46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2.849</w:t>
                  </w:r>
                </w:p>
              </w:tc>
              <w:tc>
                <w:tcPr>
                  <w:tcW w:w="826" w:type="pct"/>
                  <w:vAlign w:val="center"/>
                </w:tcPr>
                <w:p w14:paraId="0A6F86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215" w:type="pct"/>
                  <w:vAlign w:val="center"/>
                </w:tcPr>
                <w:p w14:paraId="02912DD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570</w:t>
                  </w:r>
                </w:p>
              </w:tc>
              <w:tc>
                <w:tcPr>
                  <w:tcW w:w="601" w:type="pct"/>
                  <w:vAlign w:val="center"/>
                </w:tcPr>
                <w:p w14:paraId="10D0FD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2.279</w:t>
                  </w:r>
                </w:p>
              </w:tc>
              <w:tc>
                <w:tcPr>
                  <w:tcW w:w="601" w:type="pct"/>
                  <w:vAlign w:val="center"/>
                </w:tcPr>
                <w:p w14:paraId="3A13A4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r w14:paraId="4D635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4EC7B5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4#厂房废气处理设施</w:t>
                  </w:r>
                </w:p>
              </w:tc>
              <w:tc>
                <w:tcPr>
                  <w:tcW w:w="743" w:type="pct"/>
                  <w:vAlign w:val="center"/>
                </w:tcPr>
                <w:p w14:paraId="2F20A5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0.843</w:t>
                  </w:r>
                </w:p>
              </w:tc>
              <w:tc>
                <w:tcPr>
                  <w:tcW w:w="826" w:type="pct"/>
                  <w:vAlign w:val="center"/>
                </w:tcPr>
                <w:p w14:paraId="35C6C3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215" w:type="pct"/>
                  <w:vAlign w:val="center"/>
                </w:tcPr>
                <w:p w14:paraId="029BB1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0.169</w:t>
                  </w:r>
                </w:p>
              </w:tc>
              <w:tc>
                <w:tcPr>
                  <w:tcW w:w="601" w:type="pct"/>
                  <w:vAlign w:val="center"/>
                </w:tcPr>
                <w:p w14:paraId="3ADB3A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0.671</w:t>
                  </w:r>
                </w:p>
              </w:tc>
              <w:tc>
                <w:tcPr>
                  <w:tcW w:w="601" w:type="pct"/>
                  <w:vAlign w:val="center"/>
                </w:tcPr>
                <w:p w14:paraId="086FCA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r w14:paraId="7EE3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3796" w:type="pct"/>
                  <w:gridSpan w:val="4"/>
                  <w:vAlign w:val="center"/>
                </w:tcPr>
                <w:p w14:paraId="44127C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合计</w:t>
                  </w:r>
                </w:p>
              </w:tc>
              <w:tc>
                <w:tcPr>
                  <w:tcW w:w="601" w:type="pct"/>
                  <w:vAlign w:val="center"/>
                </w:tcPr>
                <w:p w14:paraId="7BF6A6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2.951</w:t>
                  </w:r>
                </w:p>
              </w:tc>
              <w:tc>
                <w:tcPr>
                  <w:tcW w:w="601" w:type="pct"/>
                  <w:vAlign w:val="center"/>
                </w:tcPr>
                <w:p w14:paraId="5BD0F9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bl>
          <w:p w14:paraId="1563126E">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根据《广东省工业源挥发性有机物减排量核算方法》（</w:t>
            </w:r>
            <w:r>
              <w:rPr>
                <w:rFonts w:hint="eastAsia" w:cs="Times New Roman"/>
                <w:color w:val="auto"/>
                <w:kern w:val="2"/>
                <w:sz w:val="24"/>
                <w:szCs w:val="24"/>
                <w:highlight w:val="none"/>
                <w:lang w:val="en-US" w:eastAsia="zh-CN" w:bidi="ar-SA"/>
              </w:rPr>
              <w:t>2023修订版</w:t>
            </w:r>
            <w:r>
              <w:rPr>
                <w:rFonts w:hint="default" w:ascii="Times New Roman" w:hAnsi="Times New Roman" w:eastAsia="宋体" w:cs="Times New Roman"/>
                <w:color w:val="auto"/>
                <w:kern w:val="2"/>
                <w:sz w:val="24"/>
                <w:szCs w:val="24"/>
                <w:highlight w:val="none"/>
                <w:lang w:val="en-US" w:eastAsia="zh-CN" w:bidi="ar-SA"/>
              </w:rPr>
              <w:t>）的要求，建议直接将“活性炭年更换量×活性炭吸附比例”（活性炭年更换量优先以危废转移量为依据，吸附比例建议取值15%）作为废气处理设施VOCs削减量。本项目活性炭对有机废气的吸附比率取值</w:t>
            </w:r>
            <w:r>
              <w:rPr>
                <w:rFonts w:hint="eastAsia" w:cs="Times New Roman"/>
                <w:color w:val="auto"/>
                <w:kern w:val="2"/>
                <w:sz w:val="24"/>
                <w:szCs w:val="24"/>
                <w:highlight w:val="none"/>
                <w:lang w:val="en-US" w:eastAsia="zh-CN" w:bidi="ar-SA"/>
              </w:rPr>
              <w:t>15</w:t>
            </w:r>
            <w:r>
              <w:rPr>
                <w:rFonts w:hint="default" w:ascii="Times New Roman" w:hAnsi="Times New Roman" w:eastAsia="宋体" w:cs="Times New Roman"/>
                <w:color w:val="auto"/>
                <w:kern w:val="2"/>
                <w:sz w:val="24"/>
                <w:szCs w:val="24"/>
                <w:highlight w:val="none"/>
                <w:lang w:val="en-US" w:eastAsia="zh-CN" w:bidi="ar-SA"/>
              </w:rPr>
              <w:t>%，项目吸附的有机废气量为</w:t>
            </w:r>
            <w:r>
              <w:rPr>
                <w:rFonts w:hint="eastAsia" w:cs="Times New Roman"/>
                <w:color w:val="auto"/>
                <w:kern w:val="2"/>
                <w:sz w:val="24"/>
                <w:szCs w:val="24"/>
                <w:highlight w:val="none"/>
                <w:lang w:val="en-US" w:eastAsia="zh-CN" w:bidi="ar-SA"/>
              </w:rPr>
              <w:t>2.951</w:t>
            </w:r>
            <w:r>
              <w:rPr>
                <w:rFonts w:hint="default" w:ascii="Times New Roman" w:hAnsi="Times New Roman" w:eastAsia="宋体" w:cs="Times New Roman"/>
                <w:color w:val="auto"/>
                <w:kern w:val="2"/>
                <w:sz w:val="24"/>
                <w:szCs w:val="24"/>
                <w:highlight w:val="none"/>
                <w:lang w:val="en-US" w:eastAsia="zh-CN" w:bidi="ar-SA"/>
              </w:rPr>
              <w:t>t/a，则理论更换废活性炭（含吸附的有机废气）量为</w:t>
            </w:r>
            <w:r>
              <w:rPr>
                <w:rFonts w:hint="eastAsia" w:cs="Times New Roman"/>
                <w:color w:val="auto"/>
                <w:kern w:val="2"/>
                <w:sz w:val="24"/>
                <w:szCs w:val="24"/>
                <w:highlight w:val="none"/>
                <w:lang w:val="en-US" w:eastAsia="zh-CN" w:bidi="ar-SA"/>
              </w:rPr>
              <w:t>19.673</w:t>
            </w:r>
            <w:r>
              <w:rPr>
                <w:rFonts w:hint="default" w:ascii="Times New Roman" w:hAnsi="Times New Roman" w:eastAsia="宋体" w:cs="Times New Roman"/>
                <w:color w:val="auto"/>
                <w:kern w:val="2"/>
                <w:sz w:val="24"/>
                <w:szCs w:val="24"/>
                <w:highlight w:val="none"/>
                <w:lang w:val="en-US" w:eastAsia="zh-CN" w:bidi="ar-SA"/>
              </w:rPr>
              <w:t>t/a。</w:t>
            </w:r>
          </w:p>
          <w:p w14:paraId="74E61F0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项目</w:t>
            </w:r>
            <w:r>
              <w:rPr>
                <w:rFonts w:hint="eastAsia" w:cs="Times New Roman"/>
                <w:color w:val="auto"/>
                <w:kern w:val="2"/>
                <w:sz w:val="24"/>
                <w:szCs w:val="24"/>
                <w:highlight w:val="none"/>
                <w:lang w:val="en-US" w:eastAsia="zh-CN" w:bidi="ar-SA"/>
              </w:rPr>
              <w:t>设2套</w:t>
            </w:r>
            <w:r>
              <w:rPr>
                <w:rFonts w:hint="default" w:ascii="Times New Roman" w:hAnsi="Times New Roman" w:eastAsia="宋体" w:cs="Times New Roman"/>
                <w:color w:val="auto"/>
                <w:kern w:val="2"/>
                <w:sz w:val="24"/>
                <w:szCs w:val="24"/>
                <w:highlight w:val="none"/>
                <w:lang w:val="en-US" w:eastAsia="zh-CN" w:bidi="ar-SA"/>
              </w:rPr>
              <w:t>活性炭吸附装置</w:t>
            </w:r>
            <w:r>
              <w:rPr>
                <w:rFonts w:hint="eastAsia" w:cs="Times New Roman"/>
                <w:color w:val="auto"/>
                <w:kern w:val="2"/>
                <w:sz w:val="24"/>
                <w:szCs w:val="24"/>
                <w:highlight w:val="none"/>
                <w:lang w:val="en-US" w:eastAsia="zh-CN" w:bidi="ar-SA"/>
              </w:rPr>
              <w:t>，其</w:t>
            </w:r>
            <w:r>
              <w:rPr>
                <w:rFonts w:hint="default" w:ascii="Times New Roman" w:hAnsi="Times New Roman" w:eastAsia="宋体" w:cs="Times New Roman"/>
                <w:color w:val="auto"/>
                <w:kern w:val="2"/>
                <w:sz w:val="24"/>
                <w:szCs w:val="24"/>
                <w:highlight w:val="none"/>
                <w:lang w:val="en-US" w:eastAsia="zh-CN" w:bidi="ar-SA"/>
              </w:rPr>
              <w:t>内活性炭托板尺寸</w:t>
            </w:r>
            <w:r>
              <w:rPr>
                <w:rFonts w:hint="eastAsia" w:cs="Times New Roman"/>
                <w:color w:val="auto"/>
                <w:kern w:val="2"/>
                <w:sz w:val="24"/>
                <w:szCs w:val="24"/>
                <w:highlight w:val="none"/>
                <w:lang w:val="en-US" w:eastAsia="zh-CN" w:bidi="ar-SA"/>
              </w:rPr>
              <w:t>分别为</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2.75</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55</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m×1m，每层面积尺寸</w:t>
            </w:r>
            <w:r>
              <w:rPr>
                <w:rFonts w:hint="eastAsia" w:cs="Times New Roman"/>
                <w:color w:val="auto"/>
                <w:kern w:val="2"/>
                <w:sz w:val="24"/>
                <w:szCs w:val="24"/>
                <w:highlight w:val="none"/>
                <w:lang w:val="en-US" w:eastAsia="zh-CN" w:bidi="ar-SA"/>
              </w:rPr>
              <w:t>分别为</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cs="Times New Roman"/>
                <w:color w:val="auto"/>
                <w:kern w:val="2"/>
                <w:sz w:val="24"/>
                <w:szCs w:val="24"/>
                <w:highlight w:val="none"/>
                <w:lang w:val="en-US" w:eastAsia="zh-CN" w:bidi="ar-SA"/>
              </w:rPr>
              <w:t>2.7m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，活性炭填充高度为0.3m，填充密度0.45g/cm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，单套装置内设</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层活性炭，</w:t>
            </w:r>
            <w:r>
              <w:rPr>
                <w:rFonts w:hint="eastAsia" w:cs="Times New Roman"/>
                <w:color w:val="auto"/>
                <w:kern w:val="2"/>
                <w:sz w:val="24"/>
                <w:szCs w:val="24"/>
                <w:highlight w:val="none"/>
                <w:lang w:val="en-US" w:eastAsia="zh-CN" w:bidi="ar-SA"/>
              </w:rPr>
              <w:t>废气依次通过活性炭层。</w:t>
            </w:r>
            <w:r>
              <w:rPr>
                <w:rFonts w:hint="default" w:ascii="Times New Roman" w:hAnsi="Times New Roman" w:eastAsia="宋体" w:cs="Times New Roman"/>
                <w:color w:val="auto"/>
                <w:kern w:val="2"/>
                <w:sz w:val="24"/>
                <w:szCs w:val="24"/>
                <w:highlight w:val="none"/>
                <w:lang w:val="en-US" w:eastAsia="zh-CN" w:bidi="ar-SA"/>
              </w:rPr>
              <w:t>则单套活性炭吸附装置的装填量</w:t>
            </w:r>
            <w:r>
              <w:rPr>
                <w:rFonts w:hint="eastAsia" w:cs="Times New Roman"/>
                <w:color w:val="auto"/>
                <w:kern w:val="2"/>
                <w:sz w:val="24"/>
                <w:szCs w:val="24"/>
                <w:highlight w:val="none"/>
                <w:lang w:val="en-US" w:eastAsia="zh-CN" w:bidi="ar-SA"/>
              </w:rPr>
              <w:t>分别</w:t>
            </w:r>
            <w:r>
              <w:rPr>
                <w:rFonts w:hint="default" w:ascii="Times New Roman" w:hAnsi="Times New Roman" w:eastAsia="宋体" w:cs="Times New Roman"/>
                <w:color w:val="auto"/>
                <w:kern w:val="2"/>
                <w:sz w:val="24"/>
                <w:szCs w:val="24"/>
                <w:highlight w:val="none"/>
                <w:lang w:val="en-US" w:eastAsia="zh-CN" w:bidi="ar-SA"/>
              </w:rPr>
              <w:t>为</w:t>
            </w:r>
            <w:r>
              <w:rPr>
                <w:rFonts w:hint="eastAsia" w:cs="Times New Roman"/>
                <w:color w:val="auto"/>
                <w:kern w:val="2"/>
                <w:sz w:val="24"/>
                <w:szCs w:val="24"/>
                <w:highlight w:val="none"/>
                <w:lang w:val="en-US" w:eastAsia="zh-CN" w:bidi="ar-SA"/>
              </w:rPr>
              <w:t>2.302t、1.458</w:t>
            </w:r>
            <w:r>
              <w:rPr>
                <w:rFonts w:hint="default" w:ascii="Times New Roman" w:hAnsi="Times New Roman" w:eastAsia="宋体" w:cs="Times New Roman"/>
                <w:color w:val="auto"/>
                <w:kern w:val="2"/>
                <w:sz w:val="24"/>
                <w:szCs w:val="24"/>
                <w:highlight w:val="none"/>
                <w:lang w:val="en-US" w:eastAsia="zh-CN" w:bidi="ar-SA"/>
              </w:rPr>
              <w:t>t，拟每</w:t>
            </w:r>
            <w:r>
              <w:rPr>
                <w:rFonts w:hint="eastAsia" w:cs="Times New Roman"/>
                <w:color w:val="auto"/>
                <w:kern w:val="2"/>
                <w:sz w:val="24"/>
                <w:szCs w:val="24"/>
                <w:highlight w:val="none"/>
                <w:lang w:val="en-US" w:eastAsia="zh-CN" w:bidi="ar-SA"/>
              </w:rPr>
              <w:t>年</w:t>
            </w:r>
            <w:r>
              <w:rPr>
                <w:rFonts w:hint="default" w:ascii="Times New Roman" w:hAnsi="Times New Roman" w:eastAsia="宋体" w:cs="Times New Roman"/>
                <w:color w:val="auto"/>
                <w:kern w:val="2"/>
                <w:sz w:val="24"/>
                <w:szCs w:val="24"/>
                <w:highlight w:val="none"/>
                <w:lang w:val="en-US" w:eastAsia="zh-CN" w:bidi="ar-SA"/>
              </w:rPr>
              <w:t>更换</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次，每年更换活性炭质量（含被吸附的有机废气量）为约</w:t>
            </w:r>
            <w:r>
              <w:rPr>
                <w:rFonts w:hint="eastAsia" w:cs="Times New Roman"/>
                <w:color w:val="auto"/>
                <w:kern w:val="2"/>
                <w:sz w:val="24"/>
                <w:szCs w:val="24"/>
                <w:highlight w:val="none"/>
                <w:lang w:val="en-US" w:eastAsia="zh-CN" w:bidi="ar-SA"/>
              </w:rPr>
              <w:t>2.302</w:t>
            </w:r>
            <w:r>
              <w:rPr>
                <w:rFonts w:hint="default" w:ascii="Times New Roman" w:hAnsi="Times New Roman" w:eastAsia="宋体" w:cs="Times New Roman"/>
                <w:color w:val="auto"/>
                <w:kern w:val="2"/>
                <w:sz w:val="24"/>
                <w:szCs w:val="24"/>
                <w:highlight w:val="none"/>
                <w:lang w:val="en-US" w:eastAsia="zh-CN" w:bidi="ar-SA"/>
              </w:rPr>
              <w:t>*2*</w:t>
            </w:r>
            <w:r>
              <w:rPr>
                <w:rFonts w:hint="eastAsia" w:cs="Times New Roman"/>
                <w:color w:val="auto"/>
                <w:kern w:val="2"/>
                <w:sz w:val="24"/>
                <w:szCs w:val="24"/>
                <w:highlight w:val="none"/>
                <w:lang w:val="en-US" w:eastAsia="zh-CN" w:bidi="ar-SA"/>
              </w:rPr>
              <w:t>4+1.458</w:t>
            </w:r>
            <w:r>
              <w:rPr>
                <w:rFonts w:hint="default" w:ascii="Times New Roman" w:hAnsi="Times New Roman" w:eastAsia="宋体" w:cs="Times New Roman"/>
                <w:color w:val="auto"/>
                <w:kern w:val="2"/>
                <w:sz w:val="24"/>
                <w:szCs w:val="24"/>
                <w:highlight w:val="none"/>
                <w:lang w:val="en-US" w:eastAsia="zh-CN" w:bidi="ar-SA"/>
              </w:rPr>
              <w:t>*2*</w:t>
            </w:r>
            <w:r>
              <w:rPr>
                <w:rFonts w:hint="eastAsia" w:cs="Times New Roman"/>
                <w:color w:val="auto"/>
                <w:kern w:val="2"/>
                <w:sz w:val="24"/>
                <w:szCs w:val="24"/>
                <w:highlight w:val="none"/>
                <w:lang w:val="en-US" w:eastAsia="zh-CN" w:bidi="ar-SA"/>
              </w:rPr>
              <w:t>4</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2.951</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33.029</w:t>
            </w:r>
            <w:r>
              <w:rPr>
                <w:rFonts w:hint="default" w:ascii="Times New Roman" w:hAnsi="Times New Roman" w:eastAsia="宋体" w:cs="Times New Roman"/>
                <w:color w:val="auto"/>
                <w:kern w:val="2"/>
                <w:sz w:val="24"/>
                <w:szCs w:val="24"/>
                <w:highlight w:val="none"/>
                <w:lang w:val="en-US" w:eastAsia="zh-CN" w:bidi="ar-SA"/>
              </w:rPr>
              <w:t>t。项目实际用炭量大于理论需求量，故该措施可行。</w:t>
            </w:r>
            <w:r>
              <w:rPr>
                <w:rFonts w:hint="default" w:ascii="Times New Roman" w:hAnsi="Times New Roman" w:eastAsia="宋体" w:cs="Times New Roman"/>
                <w:color w:val="auto"/>
                <w:highlight w:val="none"/>
              </w:rPr>
              <w:t>根据</w:t>
            </w:r>
            <w:r>
              <w:rPr>
                <w:rFonts w:hint="eastAsia" w:cs="Times New Roman"/>
                <w:color w:val="auto"/>
                <w:highlight w:val="none"/>
                <w:lang w:eastAsia="zh-CN"/>
              </w:rPr>
              <w:t>《国家危险废物名录》（2025年版）</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废</w:t>
            </w:r>
            <w:r>
              <w:rPr>
                <w:rFonts w:hint="default" w:ascii="Times New Roman" w:hAnsi="Times New Roman" w:eastAsia="宋体" w:cs="Times New Roman"/>
                <w:color w:val="auto"/>
                <w:szCs w:val="24"/>
                <w:highlight w:val="none"/>
                <w:lang w:val="en-US" w:eastAsia="zh-CN"/>
              </w:rPr>
              <w:t>活性炭</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49其他废物”分类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为900-</w:t>
            </w:r>
            <w:r>
              <w:rPr>
                <w:rFonts w:hint="eastAsia" w:ascii="Times New Roman" w:hAnsi="Times New Roman" w:eastAsia="宋体" w:cs="Times New Roman"/>
                <w:color w:val="auto"/>
                <w:highlight w:val="none"/>
                <w:lang w:val="en-US" w:eastAsia="zh-CN"/>
              </w:rPr>
              <w:t>039</w:t>
            </w:r>
            <w:r>
              <w:rPr>
                <w:rFonts w:hint="default" w:ascii="Times New Roman" w:hAnsi="Times New Roman" w:eastAsia="宋体" w:cs="Times New Roman"/>
                <w:color w:val="auto"/>
                <w:highlight w:val="none"/>
                <w:lang w:val="en-US" w:eastAsia="zh-CN"/>
              </w:rPr>
              <w:t>-49，属于</w:t>
            </w:r>
            <w:r>
              <w:rPr>
                <w:rFonts w:hint="default" w:ascii="Times New Roman" w:hAnsi="Times New Roman" w:eastAsia="宋体" w:cs="Times New Roman"/>
                <w:color w:val="auto"/>
                <w:highlight w:val="none"/>
                <w:lang w:eastAsia="zh-CN"/>
              </w:rPr>
              <w:t>“烟气、</w:t>
            </w:r>
            <w:r>
              <w:rPr>
                <w:rFonts w:hint="default" w:ascii="Times New Roman" w:hAnsi="Times New Roman" w:eastAsia="宋体" w:cs="Times New Roman"/>
                <w:color w:val="auto"/>
                <w:highlight w:val="none"/>
                <w:lang w:val="en-US" w:eastAsia="zh-CN"/>
              </w:rPr>
              <w:t>VOCs</w:t>
            </w:r>
            <w:r>
              <w:rPr>
                <w:rFonts w:hint="default" w:ascii="Times New Roman" w:hAnsi="Times New Roman" w:eastAsia="宋体" w:cs="Times New Roman"/>
                <w:color w:val="auto"/>
                <w:highlight w:val="none"/>
                <w:lang w:eastAsia="zh-CN"/>
              </w:rPr>
              <w:t>治理过程（不包括餐饮行业油烟治理过程）产生的废活性炭，化学原料和化学制品脱色（不包括有机合成食品添加剂脱色）、除杂、净化过程产生的废活性炭（不包括</w:t>
            </w:r>
            <w:r>
              <w:rPr>
                <w:rFonts w:hint="default" w:ascii="Times New Roman" w:hAnsi="Times New Roman" w:eastAsia="宋体" w:cs="Times New Roman"/>
                <w:color w:val="auto"/>
                <w:highlight w:val="none"/>
                <w:lang w:val="en-US" w:eastAsia="zh-CN"/>
              </w:rPr>
              <w:t>900-405-06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772-005-18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261-053-29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265-002-29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384-003-29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387-001-29</w:t>
            </w:r>
            <w:r>
              <w:rPr>
                <w:rFonts w:hint="default" w:ascii="Times New Roman" w:hAnsi="Times New Roman" w:eastAsia="宋体" w:cs="Times New Roman"/>
                <w:color w:val="auto"/>
                <w:highlight w:val="none"/>
                <w:lang w:eastAsia="zh-CN"/>
              </w:rPr>
              <w:t>类废物）</w:t>
            </w:r>
            <w:r>
              <w:rPr>
                <w:rFonts w:hint="default" w:ascii="Times New Roman" w:hAnsi="Times New Roman" w:eastAsia="宋体" w:cs="Times New Roman"/>
                <w:color w:val="auto"/>
                <w:highlight w:val="none"/>
              </w:rPr>
              <w:t>”，经统一收集后交由有危险废物处理资质的单位处理。</w:t>
            </w:r>
          </w:p>
          <w:p w14:paraId="30E6691D">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color w:val="auto"/>
                <w:kern w:val="24"/>
                <w:highlight w:val="none"/>
                <w:lang w:val="en-US" w:eastAsia="zh-CN"/>
              </w:rPr>
              <w:t>⑥</w:t>
            </w:r>
            <w:r>
              <w:rPr>
                <w:rFonts w:hint="eastAsia" w:cs="Times New Roman"/>
                <w:b/>
                <w:color w:val="auto"/>
                <w:kern w:val="24"/>
                <w:highlight w:val="none"/>
                <w:lang w:val="en-US" w:eastAsia="zh-CN"/>
              </w:rPr>
              <w:t>水帘柜</w:t>
            </w:r>
            <w:r>
              <w:rPr>
                <w:rFonts w:hint="eastAsia" w:ascii="Times New Roman" w:hAnsi="Times New Roman" w:eastAsia="宋体" w:cs="Times New Roman"/>
                <w:b/>
                <w:color w:val="auto"/>
                <w:kern w:val="24"/>
                <w:highlight w:val="none"/>
                <w:lang w:val="en-US" w:eastAsia="zh-CN"/>
              </w:rPr>
              <w:t>废液及喷淋沉渣</w:t>
            </w:r>
            <w:r>
              <w:rPr>
                <w:rFonts w:hint="eastAsia" w:cs="Times New Roman"/>
                <w:b/>
                <w:color w:val="auto"/>
                <w:kern w:val="24"/>
                <w:highlight w:val="none"/>
                <w:lang w:val="en-US" w:eastAsia="zh-CN"/>
              </w:rPr>
              <w:t>、</w:t>
            </w:r>
            <w:r>
              <w:rPr>
                <w:rFonts w:hint="eastAsia" w:cs="Times New Roman"/>
                <w:b/>
                <w:bCs/>
                <w:color w:val="auto"/>
                <w:kern w:val="2"/>
                <w:sz w:val="24"/>
                <w:szCs w:val="24"/>
                <w:highlight w:val="none"/>
                <w:lang w:val="en-US" w:eastAsia="zh-CN" w:bidi="ar-SA"/>
              </w:rPr>
              <w:t>喷枪清洗废液</w:t>
            </w:r>
          </w:p>
          <w:p w14:paraId="31ED5D1D">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w:t>
            </w:r>
            <w:r>
              <w:rPr>
                <w:rFonts w:hint="eastAsia" w:cs="Times New Roman"/>
                <w:color w:val="auto"/>
                <w:kern w:val="2"/>
                <w:sz w:val="24"/>
                <w:szCs w:val="24"/>
                <w:highlight w:val="none"/>
                <w:lang w:val="en-US" w:eastAsia="zh-CN" w:bidi="ar-SA"/>
              </w:rPr>
              <w:t>水帘柜</w:t>
            </w:r>
            <w:r>
              <w:rPr>
                <w:rFonts w:hint="default" w:ascii="Times New Roman" w:hAnsi="Times New Roman" w:eastAsia="宋体" w:cs="Times New Roman"/>
                <w:color w:val="auto"/>
                <w:kern w:val="2"/>
                <w:sz w:val="24"/>
                <w:szCs w:val="24"/>
                <w:highlight w:val="none"/>
                <w:lang w:val="en-US" w:eastAsia="zh-CN" w:bidi="ar-SA"/>
              </w:rPr>
              <w:t>喷淋水经自身沉淀系统沉淀处理后循环使用，只需补充损耗水量、定期捞渣及定期更换</w:t>
            </w:r>
            <w:r>
              <w:rPr>
                <w:rFonts w:hint="eastAsia" w:cs="Times New Roman"/>
                <w:color w:val="auto"/>
                <w:kern w:val="2"/>
                <w:sz w:val="24"/>
                <w:szCs w:val="24"/>
                <w:highlight w:val="none"/>
                <w:lang w:val="en-US" w:eastAsia="zh-CN" w:bidi="ar-SA"/>
              </w:rPr>
              <w:t>，主要有害成分为有机树脂、漆渣。</w:t>
            </w:r>
            <w:r>
              <w:rPr>
                <w:rFonts w:hint="default" w:ascii="Times New Roman" w:hAnsi="Times New Roman" w:eastAsia="宋体" w:cs="Times New Roman"/>
                <w:color w:val="auto"/>
                <w:kern w:val="2"/>
                <w:sz w:val="24"/>
                <w:szCs w:val="24"/>
                <w:highlight w:val="none"/>
                <w:lang w:val="en-US" w:eastAsia="zh-CN" w:bidi="ar-SA"/>
              </w:rPr>
              <w:t>由上文分析可知，更换的喷淋废液为</w:t>
            </w:r>
            <w:r>
              <w:rPr>
                <w:rFonts w:hint="eastAsia" w:cs="Times New Roman"/>
                <w:color w:val="auto"/>
                <w:kern w:val="2"/>
                <w:sz w:val="24"/>
                <w:szCs w:val="24"/>
                <w:highlight w:val="none"/>
                <w:lang w:val="en-US" w:eastAsia="zh-CN" w:bidi="ar-SA"/>
              </w:rPr>
              <w:t>176</w:t>
            </w:r>
            <w:r>
              <w:rPr>
                <w:rFonts w:hint="default" w:ascii="Times New Roman" w:hAnsi="Times New Roman" w:eastAsia="宋体" w:cs="Times New Roman"/>
                <w:color w:val="auto"/>
                <w:kern w:val="2"/>
                <w:sz w:val="24"/>
                <w:szCs w:val="24"/>
                <w:highlight w:val="none"/>
                <w:lang w:val="en-US" w:eastAsia="zh-CN" w:bidi="ar-SA"/>
              </w:rPr>
              <w:t>t/a，沉渣产生量按照废水的5％计算，则项目</w:t>
            </w:r>
            <w:r>
              <w:rPr>
                <w:rFonts w:hint="eastAsia" w:cs="Times New Roman"/>
                <w:color w:val="auto"/>
                <w:kern w:val="2"/>
                <w:sz w:val="24"/>
                <w:szCs w:val="24"/>
                <w:highlight w:val="none"/>
                <w:lang w:val="en-US" w:eastAsia="zh-CN" w:bidi="ar-SA"/>
              </w:rPr>
              <w:t>水帘柜</w:t>
            </w:r>
            <w:r>
              <w:rPr>
                <w:rFonts w:hint="default" w:ascii="Times New Roman" w:hAnsi="Times New Roman" w:eastAsia="宋体" w:cs="Times New Roman"/>
                <w:color w:val="auto"/>
                <w:kern w:val="2"/>
                <w:sz w:val="24"/>
                <w:szCs w:val="24"/>
                <w:highlight w:val="none"/>
                <w:lang w:val="en-US" w:eastAsia="zh-CN" w:bidi="ar-SA"/>
              </w:rPr>
              <w:t>废液及喷淋沉渣产生量为</w:t>
            </w:r>
            <w:r>
              <w:rPr>
                <w:rFonts w:hint="eastAsia" w:cs="Times New Roman"/>
                <w:color w:val="auto"/>
                <w:kern w:val="2"/>
                <w:sz w:val="24"/>
                <w:szCs w:val="24"/>
                <w:highlight w:val="none"/>
                <w:lang w:val="en-US" w:eastAsia="zh-CN" w:bidi="ar-SA"/>
              </w:rPr>
              <w:t>184.8</w:t>
            </w:r>
            <w:r>
              <w:rPr>
                <w:rFonts w:hint="default" w:ascii="Times New Roman" w:hAnsi="Times New Roman" w:eastAsia="宋体" w:cs="Times New Roman"/>
                <w:color w:val="auto"/>
                <w:kern w:val="2"/>
                <w:sz w:val="24"/>
                <w:szCs w:val="24"/>
                <w:highlight w:val="none"/>
                <w:lang w:val="en-US" w:eastAsia="zh-CN" w:bidi="ar-SA"/>
              </w:rPr>
              <w:t>t/a。</w:t>
            </w:r>
          </w:p>
          <w:p w14:paraId="6A0C47A3">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项目喷枪需要每天进行清洁1次，清洁采用清洁剂进行清洁，防止油漆堵塞喷孔，每把喷枪每次清洁所需稀释剂用量约为0.1kg，本项目油性油漆喷枪一共3把，故清洁稀释剂用量为0.1kg×3把×10-3×300d/a≈0.1t/a，由于喷枪清洗时间较短，本次评价不考虑清洗过程的挥发损耗，全部用量转入喷枪清洗废液中。喷枪清洗剂用量为0.1t/a，考虑清洗后含杂质，主要有害成分为漆渣、树脂、有机溶剂，则喷枪清洗废液产生量计为0.2t/a，。</w:t>
            </w:r>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1796CCD7">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bookmarkStart w:id="113" w:name="_Ref10519"/>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bookmarkEnd w:id="113"/>
            <w:r>
              <w:rPr>
                <w:rFonts w:hint="eastAsia" w:cs="Times New Roman"/>
                <w:b/>
                <w:bCs/>
                <w:color w:val="auto"/>
                <w:kern w:val="2"/>
                <w:sz w:val="21"/>
                <w:szCs w:val="21"/>
                <w:highlight w:val="none"/>
                <w:lang w:val="en-US" w:eastAsia="zh-CN" w:bidi="ar-SA"/>
              </w:rPr>
              <w:t>21</w:t>
            </w:r>
            <w:r>
              <w:rPr>
                <w:rFonts w:hint="default" w:ascii="Times New Roman" w:hAnsi="Times New Roman" w:eastAsia="宋体" w:cs="Times New Roman"/>
                <w:b/>
                <w:bCs/>
                <w:color w:val="auto"/>
                <w:kern w:val="2"/>
                <w:sz w:val="21"/>
                <w:szCs w:val="21"/>
                <w:highlight w:val="none"/>
                <w:lang w:val="en-US" w:eastAsia="zh-CN" w:bidi="ar-SA"/>
              </w:rPr>
              <w:t xml:space="preserve"> 固体废物污染源源强核算结果及相关参数一览表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8"/>
              <w:gridCol w:w="1162"/>
              <w:gridCol w:w="1377"/>
              <w:gridCol w:w="1220"/>
              <w:gridCol w:w="550"/>
              <w:gridCol w:w="563"/>
              <w:gridCol w:w="847"/>
              <w:gridCol w:w="1277"/>
              <w:gridCol w:w="1024"/>
            </w:tblGrid>
            <w:tr w14:paraId="632C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3E4F54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工序/生产线</w:t>
                  </w:r>
                </w:p>
              </w:tc>
              <w:tc>
                <w:tcPr>
                  <w:tcW w:w="665" w:type="pct"/>
                  <w:vMerge w:val="restart"/>
                  <w:vAlign w:val="center"/>
                </w:tcPr>
                <w:p w14:paraId="4866820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装置</w:t>
                  </w:r>
                </w:p>
              </w:tc>
              <w:tc>
                <w:tcPr>
                  <w:tcW w:w="788" w:type="pct"/>
                  <w:vMerge w:val="restart"/>
                  <w:vAlign w:val="center"/>
                </w:tcPr>
                <w:p w14:paraId="5BAA0F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固体废物名称</w:t>
                  </w:r>
                </w:p>
              </w:tc>
              <w:tc>
                <w:tcPr>
                  <w:tcW w:w="698" w:type="pct"/>
                  <w:vMerge w:val="restart"/>
                  <w:vAlign w:val="center"/>
                </w:tcPr>
                <w:p w14:paraId="6DEDD19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315" w:type="pct"/>
                  <w:vMerge w:val="restart"/>
                  <w:vAlign w:val="center"/>
                </w:tcPr>
                <w:p w14:paraId="632B3D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固废属性</w:t>
                  </w:r>
                </w:p>
              </w:tc>
              <w:tc>
                <w:tcPr>
                  <w:tcW w:w="807" w:type="pct"/>
                  <w:gridSpan w:val="2"/>
                  <w:vAlign w:val="center"/>
                </w:tcPr>
                <w:p w14:paraId="7BDACC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产生情况</w:t>
                  </w:r>
                </w:p>
              </w:tc>
              <w:tc>
                <w:tcPr>
                  <w:tcW w:w="1317" w:type="pct"/>
                  <w:gridSpan w:val="2"/>
                  <w:vAlign w:val="center"/>
                </w:tcPr>
                <w:p w14:paraId="46A07B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处置措施</w:t>
                  </w:r>
                </w:p>
              </w:tc>
            </w:tr>
            <w:tr w14:paraId="7BD97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54615E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2DE83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Merge w:val="continue"/>
                  <w:vAlign w:val="center"/>
                </w:tcPr>
                <w:p w14:paraId="20763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98" w:type="pct"/>
                  <w:vMerge w:val="continue"/>
                  <w:vAlign w:val="center"/>
                </w:tcPr>
                <w:p w14:paraId="438BC9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15" w:type="pct"/>
                  <w:vMerge w:val="continue"/>
                  <w:vAlign w:val="center"/>
                </w:tcPr>
                <w:p w14:paraId="33AD83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Align w:val="center"/>
                </w:tcPr>
                <w:p w14:paraId="7163936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485" w:type="pct"/>
                  <w:vAlign w:val="center"/>
                </w:tcPr>
                <w:p w14:paraId="4FA37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w:t>
                  </w:r>
                </w:p>
                <w:p w14:paraId="5E0C7C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731" w:type="pct"/>
                  <w:vAlign w:val="center"/>
                </w:tcPr>
                <w:p w14:paraId="429126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工艺</w:t>
                  </w:r>
                </w:p>
              </w:tc>
              <w:tc>
                <w:tcPr>
                  <w:tcW w:w="586" w:type="pct"/>
                  <w:vAlign w:val="center"/>
                </w:tcPr>
                <w:p w14:paraId="6D0427B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处置量t/a</w:t>
                  </w:r>
                </w:p>
              </w:tc>
            </w:tr>
            <w:tr w14:paraId="27AE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Align w:val="center"/>
                </w:tcPr>
                <w:p w14:paraId="67BE69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办公生活</w:t>
                  </w:r>
                </w:p>
              </w:tc>
              <w:tc>
                <w:tcPr>
                  <w:tcW w:w="665" w:type="pct"/>
                  <w:vAlign w:val="center"/>
                </w:tcPr>
                <w:p w14:paraId="3383139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垃圾桶</w:t>
                  </w:r>
                </w:p>
              </w:tc>
              <w:tc>
                <w:tcPr>
                  <w:tcW w:w="788" w:type="pct"/>
                  <w:vAlign w:val="center"/>
                </w:tcPr>
                <w:p w14:paraId="5C37F4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698" w:type="pct"/>
                  <w:vAlign w:val="center"/>
                </w:tcPr>
                <w:p w14:paraId="69A1E7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315" w:type="pct"/>
                  <w:vMerge w:val="restart"/>
                  <w:vAlign w:val="center"/>
                </w:tcPr>
                <w:p w14:paraId="4F4ECAE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一般</w:t>
                  </w:r>
                  <w:r>
                    <w:rPr>
                      <w:rFonts w:hint="eastAsia" w:ascii="Times New Roman" w:hAnsi="Times New Roman" w:eastAsia="宋体" w:cs="Times New Roman"/>
                      <w:color w:val="auto"/>
                      <w:position w:val="-10"/>
                      <w:sz w:val="21"/>
                      <w:szCs w:val="21"/>
                      <w:highlight w:val="none"/>
                      <w:lang w:val="en-US" w:eastAsia="zh-CN" w:bidi="ar-SA"/>
                    </w:rPr>
                    <w:t>工业</w:t>
                  </w:r>
                  <w:r>
                    <w:rPr>
                      <w:rFonts w:hint="default" w:ascii="Times New Roman" w:hAnsi="Times New Roman" w:eastAsia="宋体" w:cs="Times New Roman"/>
                      <w:color w:val="auto"/>
                      <w:position w:val="-10"/>
                      <w:sz w:val="21"/>
                      <w:szCs w:val="21"/>
                      <w:highlight w:val="none"/>
                      <w:lang w:val="en-US" w:eastAsia="zh-CN" w:bidi="ar-SA"/>
                    </w:rPr>
                    <w:t>固体废物</w:t>
                  </w:r>
                </w:p>
              </w:tc>
              <w:tc>
                <w:tcPr>
                  <w:tcW w:w="322" w:type="pct"/>
                  <w:vMerge w:val="restart"/>
                  <w:vAlign w:val="center"/>
                </w:tcPr>
                <w:p w14:paraId="1E693A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产污系数法</w:t>
                  </w:r>
                </w:p>
              </w:tc>
              <w:tc>
                <w:tcPr>
                  <w:tcW w:w="485" w:type="pct"/>
                  <w:vAlign w:val="center"/>
                </w:tcPr>
                <w:p w14:paraId="71D1DB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5.25</w:t>
                  </w:r>
                </w:p>
              </w:tc>
              <w:tc>
                <w:tcPr>
                  <w:tcW w:w="731" w:type="pct"/>
                  <w:vAlign w:val="center"/>
                </w:tcPr>
                <w:p w14:paraId="23777F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交由环卫部门清运</w:t>
                  </w:r>
                </w:p>
              </w:tc>
              <w:tc>
                <w:tcPr>
                  <w:tcW w:w="586" w:type="pct"/>
                  <w:vAlign w:val="center"/>
                </w:tcPr>
                <w:p w14:paraId="419F0E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5.25</w:t>
                  </w:r>
                </w:p>
              </w:tc>
            </w:tr>
            <w:tr w14:paraId="36B77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03895B4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生产过程</w:t>
                  </w:r>
                </w:p>
              </w:tc>
              <w:tc>
                <w:tcPr>
                  <w:tcW w:w="665" w:type="pct"/>
                  <w:vAlign w:val="center"/>
                </w:tcPr>
                <w:p w14:paraId="2377000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788" w:type="pct"/>
                  <w:vAlign w:val="center"/>
                </w:tcPr>
                <w:p w14:paraId="033382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废包装材料</w:t>
                  </w:r>
                </w:p>
              </w:tc>
              <w:tc>
                <w:tcPr>
                  <w:tcW w:w="698" w:type="pct"/>
                  <w:vAlign w:val="center"/>
                </w:tcPr>
                <w:p w14:paraId="4108F3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900-003-S17</w:t>
                  </w:r>
                </w:p>
              </w:tc>
              <w:tc>
                <w:tcPr>
                  <w:tcW w:w="315" w:type="pct"/>
                  <w:vMerge w:val="continue"/>
                  <w:vAlign w:val="center"/>
                </w:tcPr>
                <w:p w14:paraId="74379E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2F2CDF9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1220D4A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731" w:type="pct"/>
                  <w:vMerge w:val="restart"/>
                  <w:vAlign w:val="center"/>
                </w:tcPr>
                <w:p w14:paraId="5CE037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统一收集后外售至资源回收利用单位</w:t>
                  </w:r>
                </w:p>
              </w:tc>
              <w:tc>
                <w:tcPr>
                  <w:tcW w:w="586" w:type="pct"/>
                  <w:vAlign w:val="center"/>
                </w:tcPr>
                <w:p w14:paraId="5990336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r>
            <w:tr w14:paraId="14FAD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453023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Align w:val="center"/>
                </w:tcPr>
                <w:p w14:paraId="280342E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w:t>
                  </w:r>
                </w:p>
              </w:tc>
              <w:tc>
                <w:tcPr>
                  <w:tcW w:w="788" w:type="pct"/>
                  <w:vAlign w:val="center"/>
                </w:tcPr>
                <w:p w14:paraId="1CF9F10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698" w:type="pct"/>
                  <w:vAlign w:val="center"/>
                </w:tcPr>
                <w:p w14:paraId="342999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6EE038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1B69DA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5339170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12.6</w:t>
                  </w:r>
                </w:p>
              </w:tc>
              <w:tc>
                <w:tcPr>
                  <w:tcW w:w="731" w:type="pct"/>
                  <w:vMerge w:val="continue"/>
                  <w:vAlign w:val="center"/>
                </w:tcPr>
                <w:p w14:paraId="6381F9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6DD50B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12.6</w:t>
                  </w:r>
                </w:p>
              </w:tc>
            </w:tr>
            <w:tr w14:paraId="7614A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09D00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0569DD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注塑机</w:t>
                  </w:r>
                </w:p>
              </w:tc>
              <w:tc>
                <w:tcPr>
                  <w:tcW w:w="788" w:type="pct"/>
                  <w:shd w:val="clear" w:color="auto" w:fill="auto"/>
                  <w:vAlign w:val="center"/>
                </w:tcPr>
                <w:p w14:paraId="05B300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698" w:type="pct"/>
                  <w:shd w:val="clear" w:color="auto" w:fill="auto"/>
                  <w:vAlign w:val="center"/>
                </w:tcPr>
                <w:p w14:paraId="007D4E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2E2F2F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0F1A026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42D558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0.05</w:t>
                  </w:r>
                </w:p>
              </w:tc>
              <w:tc>
                <w:tcPr>
                  <w:tcW w:w="731" w:type="pct"/>
                  <w:vMerge w:val="continue"/>
                  <w:vAlign w:val="center"/>
                </w:tcPr>
                <w:p w14:paraId="6855B18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7625BF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w:t>
                  </w:r>
                  <w:r>
                    <w:rPr>
                      <w:rFonts w:hint="eastAsia" w:cs="Times New Roman"/>
                      <w:color w:val="auto"/>
                      <w:kern w:val="2"/>
                      <w:position w:val="0"/>
                      <w:sz w:val="21"/>
                      <w:szCs w:val="21"/>
                      <w:highlight w:val="none"/>
                      <w:lang w:val="en-US" w:eastAsia="zh-CN" w:bidi="ar-SA"/>
                    </w:rPr>
                    <w:t>0</w:t>
                  </w:r>
                  <w:r>
                    <w:rPr>
                      <w:rFonts w:hint="eastAsia" w:ascii="Times New Roman" w:hAnsi="Times New Roman" w:eastAsia="宋体" w:cs="Times New Roman"/>
                      <w:color w:val="auto"/>
                      <w:kern w:val="2"/>
                      <w:position w:val="0"/>
                      <w:sz w:val="21"/>
                      <w:szCs w:val="21"/>
                      <w:highlight w:val="none"/>
                      <w:lang w:val="en-US" w:eastAsia="zh-CN" w:bidi="ar-SA"/>
                    </w:rPr>
                    <w:t>5</w:t>
                  </w:r>
                </w:p>
              </w:tc>
            </w:tr>
            <w:tr w14:paraId="620F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302BC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1549ED8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玻纤布生产线</w:t>
                  </w:r>
                </w:p>
              </w:tc>
              <w:tc>
                <w:tcPr>
                  <w:tcW w:w="788" w:type="pct"/>
                  <w:shd w:val="clear" w:color="auto" w:fill="auto"/>
                  <w:vAlign w:val="center"/>
                </w:tcPr>
                <w:p w14:paraId="47C398D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玻纤布下脚料及不合格品</w:t>
                  </w:r>
                </w:p>
              </w:tc>
              <w:tc>
                <w:tcPr>
                  <w:tcW w:w="698" w:type="pct"/>
                  <w:shd w:val="clear" w:color="auto" w:fill="auto"/>
                  <w:vAlign w:val="center"/>
                </w:tcPr>
                <w:p w14:paraId="00F4D0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5F22B6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7ECE9D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ABF817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0.25</w:t>
                  </w:r>
                </w:p>
              </w:tc>
              <w:tc>
                <w:tcPr>
                  <w:tcW w:w="731" w:type="pct"/>
                  <w:vMerge w:val="continue"/>
                  <w:vAlign w:val="center"/>
                </w:tcPr>
                <w:p w14:paraId="3406B6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774557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0.25</w:t>
                  </w:r>
                </w:p>
              </w:tc>
            </w:tr>
            <w:tr w14:paraId="4ED18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5F49A62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restart"/>
                  <w:vAlign w:val="center"/>
                </w:tcPr>
                <w:p w14:paraId="02EF19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碳纤维制品生产线</w:t>
                  </w:r>
                </w:p>
              </w:tc>
              <w:tc>
                <w:tcPr>
                  <w:tcW w:w="788" w:type="pct"/>
                  <w:vAlign w:val="center"/>
                </w:tcPr>
                <w:p w14:paraId="5BA65B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碳纤维边角料及不合格品</w:t>
                  </w:r>
                </w:p>
              </w:tc>
              <w:tc>
                <w:tcPr>
                  <w:tcW w:w="698" w:type="pct"/>
                  <w:vAlign w:val="center"/>
                </w:tcPr>
                <w:p w14:paraId="5D1145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1B9AAB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5A96D4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271C24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731" w:type="pct"/>
                  <w:vMerge w:val="continue"/>
                  <w:vAlign w:val="center"/>
                </w:tcPr>
                <w:p w14:paraId="2CB6E8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948C1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0.5</w:t>
                  </w:r>
                </w:p>
              </w:tc>
            </w:tr>
            <w:tr w14:paraId="24ED8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685AA1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5FF533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p>
              </w:tc>
              <w:tc>
                <w:tcPr>
                  <w:tcW w:w="788" w:type="pct"/>
                  <w:vAlign w:val="center"/>
                </w:tcPr>
                <w:p w14:paraId="2C176B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698" w:type="pct"/>
                  <w:vAlign w:val="center"/>
                </w:tcPr>
                <w:p w14:paraId="5F28D7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w:t>
                  </w:r>
                  <w:r>
                    <w:rPr>
                      <w:rFonts w:hint="eastAsia" w:cs="Times New Roman"/>
                      <w:color w:val="auto"/>
                      <w:position w:val="-10"/>
                      <w:sz w:val="21"/>
                      <w:szCs w:val="21"/>
                      <w:highlight w:val="none"/>
                      <w:lang w:val="en-US" w:eastAsia="zh-CN" w:bidi="ar-SA"/>
                    </w:rPr>
                    <w:t>99</w:t>
                  </w:r>
                  <w:r>
                    <w:rPr>
                      <w:rFonts w:hint="default" w:ascii="Times New Roman" w:hAnsi="Times New Roman" w:eastAsia="宋体" w:cs="Times New Roman"/>
                      <w:color w:val="auto"/>
                      <w:position w:val="-10"/>
                      <w:sz w:val="21"/>
                      <w:szCs w:val="21"/>
                      <w:highlight w:val="none"/>
                      <w:lang w:val="en-US" w:eastAsia="zh-CN" w:bidi="ar-SA"/>
                    </w:rPr>
                    <w:t>-S17</w:t>
                  </w:r>
                </w:p>
              </w:tc>
              <w:tc>
                <w:tcPr>
                  <w:tcW w:w="315" w:type="pct"/>
                  <w:vMerge w:val="continue"/>
                  <w:vAlign w:val="center"/>
                </w:tcPr>
                <w:p w14:paraId="236743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4EC0F64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6B1818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731" w:type="pct"/>
                  <w:vMerge w:val="continue"/>
                  <w:vAlign w:val="center"/>
                </w:tcPr>
                <w:p w14:paraId="5311975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033F44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r>
            <w:tr w14:paraId="4576F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37BF34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35A5355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沉淀滤渣</w:t>
                  </w:r>
                </w:p>
              </w:tc>
              <w:tc>
                <w:tcPr>
                  <w:tcW w:w="788" w:type="pct"/>
                  <w:shd w:val="clear" w:color="auto" w:fill="auto"/>
                  <w:vAlign w:val="center"/>
                </w:tcPr>
                <w:p w14:paraId="1789815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沉淀池</w:t>
                  </w:r>
                </w:p>
              </w:tc>
              <w:tc>
                <w:tcPr>
                  <w:tcW w:w="698" w:type="pct"/>
                  <w:shd w:val="clear" w:color="auto" w:fill="auto"/>
                  <w:vAlign w:val="center"/>
                </w:tcPr>
                <w:p w14:paraId="462F01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3FC04B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257143B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7DFB5C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0.06</w:t>
                  </w:r>
                </w:p>
              </w:tc>
              <w:tc>
                <w:tcPr>
                  <w:tcW w:w="731" w:type="pct"/>
                  <w:vMerge w:val="continue"/>
                  <w:vAlign w:val="center"/>
                </w:tcPr>
                <w:p w14:paraId="26EF2C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294B05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0.06</w:t>
                  </w:r>
                </w:p>
              </w:tc>
            </w:tr>
            <w:tr w14:paraId="67067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0AA4124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6A6314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废滤料</w:t>
                  </w:r>
                </w:p>
              </w:tc>
              <w:tc>
                <w:tcPr>
                  <w:tcW w:w="788" w:type="pct"/>
                  <w:shd w:val="clear" w:color="auto" w:fill="auto"/>
                  <w:vAlign w:val="center"/>
                </w:tcPr>
                <w:p w14:paraId="72748D3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旁滤装置</w:t>
                  </w:r>
                </w:p>
              </w:tc>
              <w:tc>
                <w:tcPr>
                  <w:tcW w:w="698" w:type="pct"/>
                  <w:shd w:val="clear" w:color="auto" w:fill="auto"/>
                  <w:vAlign w:val="center"/>
                </w:tcPr>
                <w:p w14:paraId="0CF29F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900-009-S59</w:t>
                  </w:r>
                </w:p>
              </w:tc>
              <w:tc>
                <w:tcPr>
                  <w:tcW w:w="315" w:type="pct"/>
                  <w:vMerge w:val="continue"/>
                  <w:shd w:val="clear" w:color="auto" w:fill="auto"/>
                  <w:vAlign w:val="center"/>
                </w:tcPr>
                <w:p w14:paraId="7E139D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322" w:type="pct"/>
                  <w:vMerge w:val="continue"/>
                  <w:shd w:val="clear" w:color="auto" w:fill="auto"/>
                  <w:vAlign w:val="center"/>
                </w:tcPr>
                <w:p w14:paraId="3F6E4A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485" w:type="pct"/>
                  <w:shd w:val="clear" w:color="auto" w:fill="auto"/>
                  <w:vAlign w:val="center"/>
                </w:tcPr>
                <w:p w14:paraId="4FC05D5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0.27</w:t>
                  </w:r>
                </w:p>
              </w:tc>
              <w:tc>
                <w:tcPr>
                  <w:tcW w:w="731" w:type="pct"/>
                  <w:vMerge w:val="continue"/>
                  <w:shd w:val="clear" w:color="auto" w:fill="auto"/>
                  <w:vAlign w:val="center"/>
                </w:tcPr>
                <w:p w14:paraId="609231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586" w:type="pct"/>
                  <w:shd w:val="clear" w:color="auto" w:fill="auto"/>
                  <w:vAlign w:val="center"/>
                </w:tcPr>
                <w:p w14:paraId="057C465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0.27</w:t>
                  </w:r>
                </w:p>
              </w:tc>
            </w:tr>
            <w:tr w14:paraId="7E70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7FCBFB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生产过程</w:t>
                  </w:r>
                </w:p>
              </w:tc>
              <w:tc>
                <w:tcPr>
                  <w:tcW w:w="665" w:type="pct"/>
                  <w:vMerge w:val="restart"/>
                  <w:vAlign w:val="center"/>
                </w:tcPr>
                <w:p w14:paraId="358F61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玻璃纤维增强塑料制品、生活用品、玻纤布生产线</w:t>
                  </w:r>
                </w:p>
              </w:tc>
              <w:tc>
                <w:tcPr>
                  <w:tcW w:w="788" w:type="pct"/>
                  <w:vAlign w:val="center"/>
                </w:tcPr>
                <w:p w14:paraId="004841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98" w:type="pct"/>
                  <w:vAlign w:val="center"/>
                </w:tcPr>
                <w:p w14:paraId="4A30DF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315" w:type="pct"/>
                  <w:vMerge w:val="restart"/>
                  <w:vAlign w:val="center"/>
                </w:tcPr>
                <w:p w14:paraId="3045E0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危险废物</w:t>
                  </w:r>
                </w:p>
              </w:tc>
              <w:tc>
                <w:tcPr>
                  <w:tcW w:w="322" w:type="pct"/>
                  <w:vMerge w:val="continue"/>
                  <w:vAlign w:val="center"/>
                </w:tcPr>
                <w:p w14:paraId="6B1392D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69330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c>
                <w:tcPr>
                  <w:tcW w:w="731" w:type="pct"/>
                  <w:vMerge w:val="restart"/>
                  <w:vAlign w:val="center"/>
                </w:tcPr>
                <w:p w14:paraId="134B31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交由有危险废物处理资质的单位处理</w:t>
                  </w:r>
                </w:p>
              </w:tc>
              <w:tc>
                <w:tcPr>
                  <w:tcW w:w="586" w:type="pct"/>
                  <w:vAlign w:val="center"/>
                </w:tcPr>
                <w:p w14:paraId="513CE0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r>
            <w:tr w14:paraId="465D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7D6BC6A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7879F13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788" w:type="pct"/>
                  <w:vAlign w:val="center"/>
                </w:tcPr>
                <w:p w14:paraId="683636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98" w:type="pct"/>
                  <w:vAlign w:val="center"/>
                </w:tcPr>
                <w:p w14:paraId="7134F6F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315" w:type="pct"/>
                  <w:vMerge w:val="continue"/>
                  <w:vAlign w:val="center"/>
                </w:tcPr>
                <w:p w14:paraId="125A2AA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045E75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0A9DA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731" w:type="pct"/>
                  <w:vMerge w:val="continue"/>
                  <w:vAlign w:val="center"/>
                </w:tcPr>
                <w:p w14:paraId="5F88AF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2855B9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r>
            <w:tr w14:paraId="5F763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8C3DD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54DF6C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7D5844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98" w:type="pct"/>
                  <w:vAlign w:val="center"/>
                </w:tcPr>
                <w:p w14:paraId="266FC1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315" w:type="pct"/>
                  <w:vMerge w:val="continue"/>
                  <w:vAlign w:val="center"/>
                </w:tcPr>
                <w:p w14:paraId="594CE1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1ABE9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9CF8F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731" w:type="pct"/>
                  <w:vMerge w:val="continue"/>
                  <w:vAlign w:val="center"/>
                </w:tcPr>
                <w:p w14:paraId="339D48F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175CA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r>
            <w:tr w14:paraId="367A6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68A735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51E57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30EA68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98" w:type="pct"/>
                  <w:vAlign w:val="center"/>
                </w:tcPr>
                <w:p w14:paraId="6E0EFD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09BE3C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FD4CA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3DC9E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0.01</w:t>
                  </w:r>
                </w:p>
              </w:tc>
              <w:tc>
                <w:tcPr>
                  <w:tcW w:w="731" w:type="pct"/>
                  <w:vMerge w:val="continue"/>
                  <w:vAlign w:val="center"/>
                </w:tcPr>
                <w:p w14:paraId="172F96F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63C07D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0.01</w:t>
                  </w:r>
                </w:p>
              </w:tc>
            </w:tr>
            <w:tr w14:paraId="746EE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0FC066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污染治理</w:t>
                  </w:r>
                </w:p>
              </w:tc>
              <w:tc>
                <w:tcPr>
                  <w:tcW w:w="665" w:type="pct"/>
                  <w:vMerge w:val="restart"/>
                  <w:vAlign w:val="center"/>
                </w:tcPr>
                <w:p w14:paraId="2B544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788" w:type="pct"/>
                  <w:vAlign w:val="center"/>
                </w:tcPr>
                <w:p w14:paraId="78BD10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98" w:type="pct"/>
                  <w:vAlign w:val="center"/>
                </w:tcPr>
                <w:p w14:paraId="426DA3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6C6C54E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5CFD2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679785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c>
                <w:tcPr>
                  <w:tcW w:w="731" w:type="pct"/>
                  <w:vMerge w:val="continue"/>
                  <w:vAlign w:val="center"/>
                </w:tcPr>
                <w:p w14:paraId="706DAD8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2DA350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r>
            <w:tr w14:paraId="1A544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08B1A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2CA656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4459B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98" w:type="pct"/>
                  <w:vAlign w:val="center"/>
                </w:tcPr>
                <w:p w14:paraId="5D2760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315" w:type="pct"/>
                  <w:vMerge w:val="continue"/>
                  <w:vAlign w:val="center"/>
                </w:tcPr>
                <w:p w14:paraId="244F98B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1A7F95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1FB9F4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c>
                <w:tcPr>
                  <w:tcW w:w="731" w:type="pct"/>
                  <w:vMerge w:val="continue"/>
                  <w:vAlign w:val="center"/>
                </w:tcPr>
                <w:p w14:paraId="057C268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5768C79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r>
            <w:tr w14:paraId="27E4D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450C6C1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6656D3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66C32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698" w:type="pct"/>
                  <w:vAlign w:val="center"/>
                </w:tcPr>
                <w:p w14:paraId="7350F1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2B8F5C5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062B05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3D7F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c>
                <w:tcPr>
                  <w:tcW w:w="731" w:type="pct"/>
                  <w:vMerge w:val="continue"/>
                  <w:vAlign w:val="center"/>
                </w:tcPr>
                <w:p w14:paraId="70FF169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220A814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r>
          </w:tbl>
          <w:p w14:paraId="39909E71">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2、固体废物贮存和处置情况</w:t>
            </w:r>
          </w:p>
          <w:p w14:paraId="0C8A0C60">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114" w:name="_Ref10526"/>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7B34FAF1">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2 </w:t>
            </w:r>
            <w:r>
              <w:rPr>
                <w:rFonts w:hint="default" w:ascii="Times New Roman" w:hAnsi="Times New Roman" w:eastAsia="宋体" w:cs="Times New Roman"/>
                <w:b/>
                <w:bCs/>
                <w:color w:val="auto"/>
                <w:kern w:val="2"/>
                <w:sz w:val="21"/>
                <w:szCs w:val="21"/>
                <w:highlight w:val="none"/>
                <w:lang w:val="en-US" w:eastAsia="zh-CN" w:bidi="ar-SA"/>
              </w:rPr>
              <w:t xml:space="preserve"> 危险废物汇总表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0"/>
              <w:gridCol w:w="842"/>
              <w:gridCol w:w="1256"/>
              <w:gridCol w:w="786"/>
              <w:gridCol w:w="767"/>
              <w:gridCol w:w="440"/>
              <w:gridCol w:w="762"/>
              <w:gridCol w:w="741"/>
              <w:gridCol w:w="655"/>
              <w:gridCol w:w="716"/>
              <w:gridCol w:w="753"/>
            </w:tblGrid>
            <w:tr w14:paraId="7E46E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1F8050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危险废物名称</w:t>
                  </w:r>
                </w:p>
              </w:tc>
              <w:tc>
                <w:tcPr>
                  <w:tcW w:w="482" w:type="pct"/>
                  <w:vAlign w:val="center"/>
                </w:tcPr>
                <w:p w14:paraId="07A5C4E6">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危险废物类别</w:t>
                  </w:r>
                </w:p>
              </w:tc>
              <w:tc>
                <w:tcPr>
                  <w:tcW w:w="719" w:type="pct"/>
                  <w:vAlign w:val="center"/>
                </w:tcPr>
                <w:p w14:paraId="4C9669C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危险废物代码</w:t>
                  </w:r>
                </w:p>
              </w:tc>
              <w:tc>
                <w:tcPr>
                  <w:tcW w:w="450" w:type="pct"/>
                  <w:vAlign w:val="center"/>
                </w:tcPr>
                <w:p w14:paraId="6696A3B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产生量t/a</w:t>
                  </w:r>
                </w:p>
              </w:tc>
              <w:tc>
                <w:tcPr>
                  <w:tcW w:w="439" w:type="pct"/>
                  <w:vAlign w:val="center"/>
                </w:tcPr>
                <w:p w14:paraId="6257A93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产生工序及装置</w:t>
                  </w:r>
                </w:p>
              </w:tc>
              <w:tc>
                <w:tcPr>
                  <w:tcW w:w="252" w:type="pct"/>
                  <w:vAlign w:val="center"/>
                </w:tcPr>
                <w:p w14:paraId="4840C15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形态</w:t>
                  </w:r>
                </w:p>
              </w:tc>
              <w:tc>
                <w:tcPr>
                  <w:tcW w:w="436" w:type="pct"/>
                  <w:vAlign w:val="center"/>
                </w:tcPr>
                <w:p w14:paraId="69A043B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主要成分</w:t>
                  </w:r>
                </w:p>
              </w:tc>
              <w:tc>
                <w:tcPr>
                  <w:tcW w:w="424" w:type="pct"/>
                  <w:vAlign w:val="center"/>
                </w:tcPr>
                <w:p w14:paraId="332390D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有害成分</w:t>
                  </w:r>
                </w:p>
              </w:tc>
              <w:tc>
                <w:tcPr>
                  <w:tcW w:w="375" w:type="pct"/>
                  <w:vAlign w:val="center"/>
                </w:tcPr>
                <w:p w14:paraId="60C81BFC">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产废周期</w:t>
                  </w:r>
                </w:p>
              </w:tc>
              <w:tc>
                <w:tcPr>
                  <w:tcW w:w="410" w:type="pct"/>
                  <w:vAlign w:val="center"/>
                </w:tcPr>
                <w:p w14:paraId="322B90C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危险特性</w:t>
                  </w:r>
                </w:p>
              </w:tc>
              <w:tc>
                <w:tcPr>
                  <w:tcW w:w="431" w:type="pct"/>
                  <w:vAlign w:val="center"/>
                </w:tcPr>
                <w:p w14:paraId="0450751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污染防治措施</w:t>
                  </w:r>
                </w:p>
              </w:tc>
            </w:tr>
            <w:tr w14:paraId="06799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0C88DCF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废原料桶</w:t>
                  </w:r>
                </w:p>
              </w:tc>
              <w:tc>
                <w:tcPr>
                  <w:tcW w:w="482" w:type="pct"/>
                  <w:vAlign w:val="center"/>
                </w:tcPr>
                <w:p w14:paraId="6105607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13</w:t>
                  </w:r>
                </w:p>
              </w:tc>
              <w:tc>
                <w:tcPr>
                  <w:tcW w:w="719" w:type="pct"/>
                  <w:vAlign w:val="center"/>
                </w:tcPr>
                <w:p w14:paraId="204BE56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771" w:type="dxa"/>
                  <w:vAlign w:val="center"/>
                </w:tcPr>
                <w:p w14:paraId="5C61214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c>
                <w:tcPr>
                  <w:tcW w:w="439" w:type="pct"/>
                  <w:vMerge w:val="restart"/>
                  <w:vAlign w:val="center"/>
                </w:tcPr>
                <w:p w14:paraId="62522E1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玻璃纤维增强塑料制品、生活用品、玻纤布生产线</w:t>
                  </w:r>
                </w:p>
              </w:tc>
              <w:tc>
                <w:tcPr>
                  <w:tcW w:w="252" w:type="pct"/>
                  <w:vAlign w:val="center"/>
                </w:tcPr>
                <w:p w14:paraId="62F4CD27">
                  <w:pPr>
                    <w:keepNext w:val="0"/>
                    <w:keepLines w:val="0"/>
                    <w:pageBreakBefore w:val="0"/>
                    <w:widowControl w:val="0"/>
                    <w:kinsoku/>
                    <w:overflowPunct/>
                    <w:topLinePunct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固态</w:t>
                  </w:r>
                </w:p>
              </w:tc>
              <w:tc>
                <w:tcPr>
                  <w:tcW w:w="436" w:type="pct"/>
                  <w:vAlign w:val="center"/>
                </w:tcPr>
                <w:p w14:paraId="7CEE7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有机树脂</w:t>
                  </w:r>
                </w:p>
              </w:tc>
              <w:tc>
                <w:tcPr>
                  <w:tcW w:w="424" w:type="pct"/>
                  <w:vAlign w:val="center"/>
                </w:tcPr>
                <w:p w14:paraId="7B95B23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苯乙烯</w:t>
                  </w:r>
                </w:p>
              </w:tc>
              <w:tc>
                <w:tcPr>
                  <w:tcW w:w="375" w:type="pct"/>
                  <w:vAlign w:val="center"/>
                </w:tcPr>
                <w:p w14:paraId="5C3DB2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1个月</w:t>
                  </w:r>
                </w:p>
              </w:tc>
              <w:tc>
                <w:tcPr>
                  <w:tcW w:w="410" w:type="pct"/>
                  <w:vAlign w:val="center"/>
                </w:tcPr>
                <w:p w14:paraId="0CC656E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restart"/>
                  <w:vAlign w:val="center"/>
                </w:tcPr>
                <w:p w14:paraId="07EB560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暂存在危险废物暂存间</w:t>
                  </w:r>
                  <w:r>
                    <w:rPr>
                      <w:rFonts w:hint="eastAsia" w:cs="Times New Roman"/>
                      <w:color w:val="auto"/>
                      <w:position w:val="-10"/>
                      <w:sz w:val="21"/>
                      <w:szCs w:val="21"/>
                      <w:highlight w:val="none"/>
                      <w:lang w:val="en-US" w:eastAsia="zh-CN" w:bidi="ar-SA"/>
                    </w:rPr>
                    <w:t>，最大储存能力为15t</w:t>
                  </w:r>
                  <w:r>
                    <w:rPr>
                      <w:rFonts w:hint="default" w:ascii="Times New Roman" w:hAnsi="Times New Roman" w:eastAsia="宋体" w:cs="Times New Roman"/>
                      <w:color w:val="auto"/>
                      <w:position w:val="-10"/>
                      <w:sz w:val="21"/>
                      <w:szCs w:val="21"/>
                      <w:highlight w:val="none"/>
                      <w:lang w:val="en-US" w:eastAsia="zh-CN" w:bidi="ar-SA"/>
                    </w:rPr>
                    <w:t>，定期由危废资质单位处理。</w:t>
                  </w:r>
                </w:p>
              </w:tc>
            </w:tr>
            <w:tr w14:paraId="4CD8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578" w:type="pct"/>
                  <w:vAlign w:val="center"/>
                </w:tcPr>
                <w:p w14:paraId="18D5FF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废油桶</w:t>
                  </w:r>
                </w:p>
              </w:tc>
              <w:tc>
                <w:tcPr>
                  <w:tcW w:w="482" w:type="pct"/>
                  <w:vAlign w:val="center"/>
                </w:tcPr>
                <w:p w14:paraId="51A1309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35FAFCA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771" w:type="dxa"/>
                  <w:vAlign w:val="center"/>
                </w:tcPr>
                <w:p w14:paraId="6D035C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439" w:type="pct"/>
                  <w:vMerge w:val="continue"/>
                  <w:vAlign w:val="center"/>
                </w:tcPr>
                <w:p w14:paraId="7F6DBD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645B2D5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401EEE5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3B43A1E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3E09B53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20F9996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4779E48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7C8E2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005F4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82" w:type="pct"/>
                  <w:vAlign w:val="center"/>
                </w:tcPr>
                <w:p w14:paraId="580B410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3D216C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771" w:type="dxa"/>
                  <w:vAlign w:val="center"/>
                </w:tcPr>
                <w:p w14:paraId="3B9BCF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439" w:type="pct"/>
                  <w:vMerge w:val="continue"/>
                  <w:vAlign w:val="center"/>
                </w:tcPr>
                <w:p w14:paraId="25F7034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2D8385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液</w:t>
                  </w:r>
                  <w:r>
                    <w:rPr>
                      <w:rFonts w:hint="default" w:ascii="Times New Roman" w:hAnsi="Times New Roman" w:eastAsia="宋体" w:cs="Times New Roman"/>
                      <w:color w:val="auto"/>
                      <w:kern w:val="2"/>
                      <w:position w:val="0"/>
                      <w:sz w:val="21"/>
                      <w:szCs w:val="21"/>
                      <w:highlight w:val="none"/>
                      <w:lang w:val="en-US" w:eastAsia="zh-CN" w:bidi="ar-SA"/>
                    </w:rPr>
                    <w:t>态</w:t>
                  </w:r>
                </w:p>
              </w:tc>
              <w:tc>
                <w:tcPr>
                  <w:tcW w:w="436" w:type="pct"/>
                  <w:vAlign w:val="center"/>
                </w:tcPr>
                <w:p w14:paraId="5361BCC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45E1380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6A11475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55B7921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583D21B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49F53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32B2AC8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82" w:type="pct"/>
                  <w:vAlign w:val="center"/>
                </w:tcPr>
                <w:p w14:paraId="54687A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0E61314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1" w:type="dxa"/>
                  <w:vAlign w:val="center"/>
                </w:tcPr>
                <w:p w14:paraId="7CE58B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0.1</w:t>
                  </w:r>
                </w:p>
              </w:tc>
              <w:tc>
                <w:tcPr>
                  <w:tcW w:w="439" w:type="pct"/>
                  <w:vMerge w:val="continue"/>
                  <w:vAlign w:val="center"/>
                </w:tcPr>
                <w:p w14:paraId="63B0763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4ADA7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4426DF3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38BDBC2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6E5E82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4E986BB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61C3573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r>
            <w:tr w14:paraId="7ACDF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DAA492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82" w:type="pct"/>
                  <w:vAlign w:val="center"/>
                </w:tcPr>
                <w:p w14:paraId="176F788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1E001EF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1" w:type="dxa"/>
                  <w:vAlign w:val="center"/>
                </w:tcPr>
                <w:p w14:paraId="1E62DCD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c>
                <w:tcPr>
                  <w:tcW w:w="439" w:type="pct"/>
                  <w:vMerge w:val="restart"/>
                  <w:vAlign w:val="center"/>
                </w:tcPr>
                <w:p w14:paraId="3E7DA6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252" w:type="pct"/>
                  <w:vAlign w:val="center"/>
                </w:tcPr>
                <w:p w14:paraId="3D132E3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27DD8A8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424" w:type="pct"/>
                  <w:vAlign w:val="center"/>
                </w:tcPr>
                <w:p w14:paraId="61BB7C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375" w:type="pct"/>
                  <w:vAlign w:val="center"/>
                </w:tcPr>
                <w:p w14:paraId="2962FBE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34CB2F1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0A3AD87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1E10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1AA3C4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82" w:type="pct"/>
                  <w:vAlign w:val="center"/>
                </w:tcPr>
                <w:p w14:paraId="4821CED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50A81E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771" w:type="dxa"/>
                  <w:vAlign w:val="center"/>
                </w:tcPr>
                <w:p w14:paraId="624771C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c>
                <w:tcPr>
                  <w:tcW w:w="439" w:type="pct"/>
                  <w:vMerge w:val="continue"/>
                  <w:vAlign w:val="center"/>
                </w:tcPr>
                <w:p w14:paraId="5D62538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0B47953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2B8F91D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颗粒物、有机树脂</w:t>
                  </w:r>
                </w:p>
              </w:tc>
              <w:tc>
                <w:tcPr>
                  <w:tcW w:w="424" w:type="pct"/>
                  <w:vAlign w:val="center"/>
                </w:tcPr>
                <w:p w14:paraId="5303880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颗粒物、苯乙烯</w:t>
                  </w:r>
                </w:p>
              </w:tc>
              <w:tc>
                <w:tcPr>
                  <w:tcW w:w="375" w:type="pct"/>
                  <w:vAlign w:val="center"/>
                </w:tcPr>
                <w:p w14:paraId="12CE7B1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159E51A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0D4091DC">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465A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2EC8DA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482" w:type="pct"/>
                  <w:vAlign w:val="center"/>
                </w:tcPr>
                <w:p w14:paraId="10F36ED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7BDEE52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w:t>
                  </w:r>
                  <w:r>
                    <w:rPr>
                      <w:rFonts w:hint="eastAsia"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-49</w:t>
                  </w:r>
                </w:p>
              </w:tc>
              <w:tc>
                <w:tcPr>
                  <w:tcW w:w="771" w:type="dxa"/>
                  <w:vAlign w:val="center"/>
                </w:tcPr>
                <w:p w14:paraId="650E18C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c>
                <w:tcPr>
                  <w:tcW w:w="439" w:type="pct"/>
                  <w:vMerge w:val="continue"/>
                  <w:vAlign w:val="center"/>
                </w:tcPr>
                <w:p w14:paraId="4BE2A03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1FB2274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液态</w:t>
                  </w:r>
                </w:p>
              </w:tc>
              <w:tc>
                <w:tcPr>
                  <w:tcW w:w="436" w:type="pct"/>
                  <w:vAlign w:val="center"/>
                </w:tcPr>
                <w:p w14:paraId="3FAB85E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424" w:type="pct"/>
                  <w:vAlign w:val="center"/>
                </w:tcPr>
                <w:p w14:paraId="15EBF2A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375" w:type="pct"/>
                  <w:vAlign w:val="center"/>
                </w:tcPr>
                <w:p w14:paraId="17CC552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1362826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71D9A6B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bl>
          <w:p w14:paraId="53FF7D40">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（1）产生和收集</w:t>
            </w:r>
          </w:p>
          <w:p w14:paraId="7BA38B08">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危险废物单次产生量很少，部分危险废物有感染性和毒性，其性质相对比较稳定，如果露天堆放，沾染、吸附的有机废气可能会因为日晒雨淋而逐步释放出来，进入大气、地表水体、土壤等环境要素，造成污染影响。</w:t>
            </w:r>
          </w:p>
          <w:p w14:paraId="756D61BB">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4803101B">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（2）贮存库</w:t>
            </w:r>
          </w:p>
          <w:p w14:paraId="62E5729B">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项目设置一个固定的危险废物贮存库，危险废物贮存过程满足《危险废物贮存污染控制标准》（GB18597-2023）的要求，建设单位应根据废物特性设置符合《危险废物贮存污染控制标准》</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GB18597-2023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要求的危险废物暂存场所，且在暂存场所上空设有防雨淋设施，地面采取防渗措施，危险废物收集后分别临时贮存于</w:t>
            </w:r>
            <w:r>
              <w:rPr>
                <w:rFonts w:hint="eastAsia" w:cs="Times New Roman"/>
                <w:color w:val="auto"/>
                <w:kern w:val="2"/>
                <w:sz w:val="24"/>
                <w:szCs w:val="24"/>
                <w:highlight w:val="none"/>
                <w:lang w:val="en-US" w:eastAsia="zh-CN" w:bidi="ar-SA"/>
              </w:rPr>
              <w:t>危险废物暂存间</w:t>
            </w:r>
            <w:r>
              <w:rPr>
                <w:rFonts w:hint="default" w:ascii="Times New Roman" w:hAnsi="Times New Roman" w:eastAsia="宋体" w:cs="Times New Roman"/>
                <w:color w:val="auto"/>
                <w:kern w:val="2"/>
                <w:sz w:val="24"/>
                <w:szCs w:val="24"/>
                <w:highlight w:val="none"/>
                <w:lang w:val="en-US" w:eastAsia="zh-CN" w:bidi="ar-SA"/>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w:t>
            </w:r>
          </w:p>
          <w:p w14:paraId="30432A12">
            <w:pPr>
              <w:widowControl w:val="0"/>
              <w:wordWrap w:val="0"/>
              <w:spacing w:line="360" w:lineRule="auto"/>
              <w:ind w:firstLine="0" w:firstLineChars="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cm/s），或至少2mm 厚高密度聚乙烯膜等人工防渗材料（渗透系数不大于10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cm/s），或其他防渗性能等效的材料。</w:t>
            </w:r>
          </w:p>
          <w:p w14:paraId="65FEB2AA">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项目危险废物贮存场所基本情况见下表。</w:t>
            </w:r>
          </w:p>
          <w:p w14:paraId="24F7879E">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3 </w:t>
            </w:r>
            <w:r>
              <w:rPr>
                <w:rFonts w:hint="default" w:ascii="Times New Roman" w:hAnsi="Times New Roman" w:eastAsia="宋体" w:cs="Times New Roman"/>
                <w:b/>
                <w:bCs/>
                <w:color w:val="auto"/>
                <w:kern w:val="2"/>
                <w:sz w:val="21"/>
                <w:szCs w:val="21"/>
                <w:highlight w:val="none"/>
                <w:lang w:val="en-US" w:eastAsia="zh-CN" w:bidi="ar-SA"/>
              </w:rPr>
              <w:t>危险废物贮存场所（设施）基本情况表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7"/>
              <w:gridCol w:w="1373"/>
              <w:gridCol w:w="828"/>
              <w:gridCol w:w="1268"/>
              <w:gridCol w:w="741"/>
              <w:gridCol w:w="674"/>
              <w:gridCol w:w="1099"/>
              <w:gridCol w:w="699"/>
              <w:gridCol w:w="809"/>
            </w:tblGrid>
            <w:tr w14:paraId="77C2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31F899C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贮存场所（设施）名称</w:t>
                  </w:r>
                </w:p>
              </w:tc>
              <w:tc>
                <w:tcPr>
                  <w:tcW w:w="1986" w:type="pct"/>
                  <w:gridSpan w:val="3"/>
                  <w:vAlign w:val="center"/>
                </w:tcPr>
                <w:p w14:paraId="6A17647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w:t>
                  </w:r>
                </w:p>
              </w:tc>
              <w:tc>
                <w:tcPr>
                  <w:tcW w:w="424" w:type="pct"/>
                  <w:vMerge w:val="restart"/>
                  <w:vAlign w:val="center"/>
                </w:tcPr>
                <w:p w14:paraId="162620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位置</w:t>
                  </w:r>
                </w:p>
              </w:tc>
              <w:tc>
                <w:tcPr>
                  <w:tcW w:w="386" w:type="pct"/>
                  <w:vMerge w:val="restart"/>
                  <w:vAlign w:val="center"/>
                </w:tcPr>
                <w:p w14:paraId="3392ECF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占地面积</w:t>
                  </w:r>
                </w:p>
              </w:tc>
              <w:tc>
                <w:tcPr>
                  <w:tcW w:w="629" w:type="pct"/>
                  <w:vMerge w:val="restart"/>
                  <w:vAlign w:val="center"/>
                </w:tcPr>
                <w:p w14:paraId="5253193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贮存方式</w:t>
                  </w:r>
                </w:p>
              </w:tc>
              <w:tc>
                <w:tcPr>
                  <w:tcW w:w="400" w:type="pct"/>
                  <w:vMerge w:val="restart"/>
                  <w:vAlign w:val="center"/>
                </w:tcPr>
                <w:p w14:paraId="42E8616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贮存能力</w:t>
                  </w:r>
                </w:p>
              </w:tc>
              <w:tc>
                <w:tcPr>
                  <w:tcW w:w="463" w:type="pct"/>
                  <w:vMerge w:val="restart"/>
                  <w:vAlign w:val="center"/>
                </w:tcPr>
                <w:p w14:paraId="79399A2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贮存周期</w:t>
                  </w:r>
                </w:p>
              </w:tc>
            </w:tr>
            <w:tr w14:paraId="4202E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49BBF9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589253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474" w:type="pct"/>
                  <w:vAlign w:val="center"/>
                </w:tcPr>
                <w:p w14:paraId="48756E1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类别</w:t>
                  </w:r>
                </w:p>
              </w:tc>
              <w:tc>
                <w:tcPr>
                  <w:tcW w:w="725" w:type="pct"/>
                  <w:vAlign w:val="center"/>
                </w:tcPr>
                <w:p w14:paraId="6B1093D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424" w:type="pct"/>
                  <w:vMerge w:val="continue"/>
                  <w:vAlign w:val="center"/>
                </w:tcPr>
                <w:p w14:paraId="71C6BD8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AFA936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04ED74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7C2746B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B6A520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8DC1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547DA1A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危险废物贮存库</w:t>
                  </w:r>
                </w:p>
              </w:tc>
              <w:tc>
                <w:tcPr>
                  <w:tcW w:w="786" w:type="pct"/>
                  <w:vAlign w:val="center"/>
                </w:tcPr>
                <w:p w14:paraId="217C71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废原料桶</w:t>
                  </w:r>
                </w:p>
              </w:tc>
              <w:tc>
                <w:tcPr>
                  <w:tcW w:w="474" w:type="pct"/>
                  <w:vAlign w:val="center"/>
                </w:tcPr>
                <w:p w14:paraId="4523A5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13</w:t>
                  </w:r>
                </w:p>
              </w:tc>
              <w:tc>
                <w:tcPr>
                  <w:tcW w:w="725" w:type="pct"/>
                  <w:vAlign w:val="center"/>
                </w:tcPr>
                <w:p w14:paraId="6098E6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424" w:type="pct"/>
                  <w:vMerge w:val="restart"/>
                  <w:vAlign w:val="center"/>
                </w:tcPr>
                <w:p w14:paraId="65ADC03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1#厂房</w:t>
                  </w:r>
                </w:p>
              </w:tc>
              <w:tc>
                <w:tcPr>
                  <w:tcW w:w="386" w:type="pct"/>
                  <w:vMerge w:val="restart"/>
                  <w:vAlign w:val="center"/>
                </w:tcPr>
                <w:p w14:paraId="0AC9B0A8">
                  <w:pPr>
                    <w:keepNext w:val="0"/>
                    <w:keepLines w:val="0"/>
                    <w:pageBreakBefore w:val="0"/>
                    <w:widowControl w:val="0"/>
                    <w:kinsoku/>
                    <w:wordWrap w:val="0"/>
                    <w:overflowPunct/>
                    <w:topLinePunct w:val="0"/>
                    <w:autoSpaceDE w:val="0"/>
                    <w:autoSpaceDN w:val="0"/>
                    <w:bidi w:val="0"/>
                    <w:adjustRightInd/>
                    <w:spacing w:line="240" w:lineRule="auto"/>
                    <w:jc w:val="both"/>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10m</w:t>
                  </w:r>
                  <w:r>
                    <w:rPr>
                      <w:rFonts w:hint="eastAsia" w:cs="Times New Roman"/>
                      <w:color w:val="auto"/>
                      <w:position w:val="-10"/>
                      <w:sz w:val="21"/>
                      <w:szCs w:val="21"/>
                      <w:highlight w:val="none"/>
                      <w:vertAlign w:val="superscript"/>
                      <w:lang w:val="en-US" w:eastAsia="zh-CN" w:bidi="ar-SA"/>
                    </w:rPr>
                    <w:t>2</w:t>
                  </w:r>
                </w:p>
              </w:tc>
              <w:tc>
                <w:tcPr>
                  <w:tcW w:w="629" w:type="pct"/>
                  <w:vMerge w:val="restart"/>
                  <w:vAlign w:val="center"/>
                </w:tcPr>
                <w:p w14:paraId="701DEB1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采用密闭性好、耐腐蚀的塑料容器封存</w:t>
                  </w:r>
                </w:p>
              </w:tc>
              <w:tc>
                <w:tcPr>
                  <w:tcW w:w="400" w:type="pct"/>
                  <w:vMerge w:val="restart"/>
                  <w:vAlign w:val="center"/>
                </w:tcPr>
                <w:p w14:paraId="7F0302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12t</w:t>
                  </w:r>
                </w:p>
              </w:tc>
              <w:tc>
                <w:tcPr>
                  <w:tcW w:w="463" w:type="pct"/>
                  <w:vMerge w:val="restart"/>
                  <w:vAlign w:val="center"/>
                </w:tcPr>
                <w:p w14:paraId="5F36640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半</w:t>
                  </w:r>
                  <w:r>
                    <w:rPr>
                      <w:rFonts w:hint="default" w:ascii="Times New Roman" w:hAnsi="Times New Roman" w:eastAsia="宋体" w:cs="Times New Roman"/>
                      <w:color w:val="auto"/>
                      <w:position w:val="-10"/>
                      <w:sz w:val="21"/>
                      <w:szCs w:val="21"/>
                      <w:highlight w:val="none"/>
                      <w:lang w:val="en-US" w:eastAsia="zh-CN" w:bidi="ar-SA"/>
                    </w:rPr>
                    <w:t>年</w:t>
                  </w:r>
                </w:p>
              </w:tc>
            </w:tr>
            <w:tr w14:paraId="0B28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34288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443FE7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废油桶</w:t>
                  </w:r>
                </w:p>
              </w:tc>
              <w:tc>
                <w:tcPr>
                  <w:tcW w:w="474" w:type="pct"/>
                  <w:vAlign w:val="center"/>
                </w:tcPr>
                <w:p w14:paraId="2598F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2A650F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424" w:type="pct"/>
                  <w:vMerge w:val="continue"/>
                  <w:vAlign w:val="center"/>
                </w:tcPr>
                <w:p w14:paraId="6344DCF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E62760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3E4DAE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26FC2C8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1BB74C5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4453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ED4368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12F6C5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74" w:type="pct"/>
                  <w:vAlign w:val="center"/>
                </w:tcPr>
                <w:p w14:paraId="3C62B8C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4F089F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424" w:type="pct"/>
                  <w:vMerge w:val="continue"/>
                  <w:vAlign w:val="center"/>
                </w:tcPr>
                <w:p w14:paraId="66D78DE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DDEC92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4B67BD2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028E84A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45C6D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E2D0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2428AF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7FB06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74" w:type="pct"/>
                  <w:vAlign w:val="center"/>
                </w:tcPr>
                <w:p w14:paraId="1AD8B8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559CE2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6542A9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5F8027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1F50BB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B0A7F9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104C22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4001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4E3F22C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75B8D8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74" w:type="pct"/>
                  <w:vAlign w:val="center"/>
                </w:tcPr>
                <w:p w14:paraId="0AAF6D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2657EA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0425FAD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092846B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C9C36D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7AF8E7D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B456B5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29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ED4750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A2BC3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74" w:type="pct"/>
                  <w:vAlign w:val="center"/>
                </w:tcPr>
                <w:p w14:paraId="04B9082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498EA1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424" w:type="pct"/>
                  <w:vMerge w:val="continue"/>
                  <w:vAlign w:val="center"/>
                </w:tcPr>
                <w:p w14:paraId="3CECD5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6B4C3D7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09B2EE4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07BA45F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0E736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10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DB249A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B02E1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474" w:type="pct"/>
                  <w:vAlign w:val="center"/>
                </w:tcPr>
                <w:p w14:paraId="50BF5E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5765AB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w:t>
                  </w:r>
                  <w:r>
                    <w:rPr>
                      <w:rFonts w:hint="eastAsia"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-49</w:t>
                  </w:r>
                </w:p>
              </w:tc>
              <w:tc>
                <w:tcPr>
                  <w:tcW w:w="424" w:type="pct"/>
                  <w:vMerge w:val="continue"/>
                  <w:vAlign w:val="center"/>
                </w:tcPr>
                <w:p w14:paraId="06EBA2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6DD1BB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2BBD917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4630EF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DCABD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bl>
          <w:p w14:paraId="3EC68993">
            <w:pPr>
              <w:keepNext/>
              <w:keepLines/>
              <w:tabs>
                <w:tab w:val="left" w:pos="0"/>
              </w:tabs>
              <w:ind w:left="48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（3）转运、处置</w:t>
            </w:r>
          </w:p>
          <w:bookmarkEnd w:id="114"/>
          <w:p w14:paraId="4E8D8B62">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内部无利用或处置危险废物的能力和设施，需要委托具有危险废物处理资质的单位处置。根据广东省生态环境厅危险废物经营许可证颁发情况（截至2023年11月30日），广东省有可以处置本项目危险废物的企业，处理能力充足。建设单位可直接委托其转移处理。</w:t>
            </w:r>
          </w:p>
          <w:p w14:paraId="0E5FA3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4  </w:t>
            </w:r>
            <w:r>
              <w:rPr>
                <w:rFonts w:hint="default" w:ascii="Times New Roman" w:hAnsi="Times New Roman" w:eastAsia="宋体" w:cs="Times New Roman"/>
                <w:b/>
                <w:bCs/>
                <w:color w:val="auto"/>
                <w:kern w:val="2"/>
                <w:sz w:val="21"/>
                <w:szCs w:val="21"/>
                <w:highlight w:val="none"/>
                <w:lang w:val="en-US" w:eastAsia="zh-CN" w:bidi="ar-SA"/>
              </w:rPr>
              <w:t>广东省内可接收本项目危险废物的处理单位一览表（摘录）</w:t>
            </w:r>
          </w:p>
          <w:tbl>
            <w:tblPr>
              <w:tblStyle w:val="46"/>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8"/>
              <w:gridCol w:w="1093"/>
              <w:gridCol w:w="976"/>
              <w:gridCol w:w="706"/>
              <w:gridCol w:w="967"/>
              <w:gridCol w:w="4630"/>
            </w:tblGrid>
            <w:tr w14:paraId="03E03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5CB229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627" w:type="pct"/>
                  <w:vAlign w:val="center"/>
                </w:tcPr>
                <w:p w14:paraId="56FE56E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企业名称</w:t>
                  </w:r>
                </w:p>
              </w:tc>
              <w:tc>
                <w:tcPr>
                  <w:tcW w:w="560" w:type="pct"/>
                  <w:vAlign w:val="center"/>
                </w:tcPr>
                <w:p w14:paraId="6AB79CA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设施地址</w:t>
                  </w:r>
                </w:p>
              </w:tc>
              <w:tc>
                <w:tcPr>
                  <w:tcW w:w="405" w:type="pct"/>
                  <w:vAlign w:val="center"/>
                </w:tcPr>
                <w:p w14:paraId="2272786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许可证编号</w:t>
                  </w:r>
                </w:p>
              </w:tc>
              <w:tc>
                <w:tcPr>
                  <w:tcW w:w="555" w:type="pct"/>
                  <w:vAlign w:val="center"/>
                </w:tcPr>
                <w:p w14:paraId="768488D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经营时间有效期</w:t>
                  </w:r>
                </w:p>
              </w:tc>
              <w:tc>
                <w:tcPr>
                  <w:tcW w:w="2656" w:type="pct"/>
                  <w:vAlign w:val="center"/>
                </w:tcPr>
                <w:p w14:paraId="4D349A3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核准经营范围、类别</w:t>
                  </w:r>
                </w:p>
              </w:tc>
            </w:tr>
            <w:tr w14:paraId="1BCF2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0E8CF02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627" w:type="pct"/>
                  <w:vAlign w:val="center"/>
                </w:tcPr>
                <w:p w14:paraId="03B312C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韶关鹏瑞环保科技有限公司</w:t>
                  </w:r>
                </w:p>
              </w:tc>
              <w:tc>
                <w:tcPr>
                  <w:tcW w:w="560" w:type="pct"/>
                  <w:vAlign w:val="center"/>
                </w:tcPr>
                <w:p w14:paraId="2C20D1D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韶关市翁源县官渡镇官渡经济开发区</w:t>
                  </w:r>
                </w:p>
              </w:tc>
              <w:tc>
                <w:tcPr>
                  <w:tcW w:w="405" w:type="pct"/>
                  <w:vAlign w:val="center"/>
                </w:tcPr>
                <w:p w14:paraId="35D3701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440229190731</w:t>
                  </w:r>
                </w:p>
              </w:tc>
              <w:tc>
                <w:tcPr>
                  <w:tcW w:w="555" w:type="pct"/>
                  <w:vAlign w:val="center"/>
                </w:tcPr>
                <w:p w14:paraId="7A567F0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至2025年7月30日</w:t>
                  </w:r>
                </w:p>
              </w:tc>
              <w:tc>
                <w:tcPr>
                  <w:tcW w:w="2656" w:type="pct"/>
                  <w:vAlign w:val="center"/>
                </w:tcPr>
                <w:p w14:paraId="2E7D1C64">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感光材料废物（HW16类中266-009~010-16、231-001~002-16、398-001-16、873-001-16、806-001-16、900-019-16，限感光废菲林2000吨/年、废定影液和显影液1000吨/年）3000吨/年，表面处理废物（HW17类中336-050-17、336-052-17、336-054~059-17、336-062~064-17、336-066-17，仅限污泥）50000吨/年，含铜废物（HW22类中304-001-22、398-004-22、398-005-22、398-051-22，仅限污泥）、有色金属采选和冶炼废物（HW48类中321-002-48，仅限污泥）50000吨/年，无机氰化物废物（HW33类中336-104-33、900-027~029-33）1000吨/年；</w:t>
                  </w:r>
                </w:p>
                <w:p w14:paraId="0B8F6C7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【收集、贮存、处置】废酸（HW34类中398-005~007-34、900-300~308-34、900-349-34）10000吨/年，废碱（HW35类中900-350~356-35、900-399-35）10000吨/年；共计124000吨/年。</w:t>
                  </w:r>
                </w:p>
              </w:tc>
            </w:tr>
            <w:tr w14:paraId="08EA5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82A270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627" w:type="pct"/>
                  <w:vAlign w:val="center"/>
                </w:tcPr>
                <w:p w14:paraId="509499F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韶关东江环保再生资源发展有限公司</w:t>
                  </w:r>
                </w:p>
              </w:tc>
              <w:tc>
                <w:tcPr>
                  <w:tcW w:w="560" w:type="pct"/>
                  <w:vAlign w:val="center"/>
                </w:tcPr>
                <w:p w14:paraId="5C8DF2D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韶关市翁源县铁龙林场将军屯</w:t>
                  </w:r>
                </w:p>
              </w:tc>
              <w:tc>
                <w:tcPr>
                  <w:tcW w:w="405" w:type="pct"/>
                  <w:vAlign w:val="center"/>
                </w:tcPr>
                <w:p w14:paraId="106C11E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440229210121</w:t>
                  </w:r>
                </w:p>
              </w:tc>
              <w:tc>
                <w:tcPr>
                  <w:tcW w:w="555" w:type="pct"/>
                  <w:vAlign w:val="center"/>
                </w:tcPr>
                <w:p w14:paraId="7993493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至2027年3月5日</w:t>
                  </w:r>
                </w:p>
              </w:tc>
              <w:tc>
                <w:tcPr>
                  <w:tcW w:w="2656" w:type="pct"/>
                  <w:vAlign w:val="center"/>
                </w:tcPr>
                <w:p w14:paraId="3BB880A5">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0EA25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F174F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627" w:type="pct"/>
                  <w:vAlign w:val="center"/>
                </w:tcPr>
                <w:p w14:paraId="3BD86E1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广东华欣环保科技有限公司</w:t>
                  </w:r>
                </w:p>
              </w:tc>
              <w:tc>
                <w:tcPr>
                  <w:tcW w:w="560" w:type="pct"/>
                  <w:vAlign w:val="center"/>
                </w:tcPr>
                <w:p w14:paraId="7E51CF2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韶关市曲江区广东韶钢松山股份有限公司厂区内</w:t>
                  </w:r>
                </w:p>
              </w:tc>
              <w:tc>
                <w:tcPr>
                  <w:tcW w:w="405" w:type="pct"/>
                  <w:vAlign w:val="center"/>
                </w:tcPr>
                <w:p w14:paraId="0CB7A1B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440205220412</w:t>
                  </w:r>
                </w:p>
              </w:tc>
              <w:tc>
                <w:tcPr>
                  <w:tcW w:w="555" w:type="pct"/>
                  <w:vAlign w:val="center"/>
                </w:tcPr>
                <w:p w14:paraId="66027EB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至2028年4月9日</w:t>
                  </w:r>
                </w:p>
              </w:tc>
              <w:tc>
                <w:tcPr>
                  <w:tcW w:w="2656" w:type="pct"/>
                  <w:vAlign w:val="center"/>
                </w:tcPr>
                <w:p w14:paraId="3B4E73D1">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【收集、贮存、利用】废矿物油与含矿物油废物（HW08类中的900-249-08，仅限沾染矿物油的废铁质包装桶 ）1.8万吨/年、其他废物（HW49类中的900-041-49，仅限废铁质包装桶）3.2万吨/年、含铬废物（HW21类中的314-001~002-21）10万吨/年、含锌废物（HW23类中的312-001-23、336-103-23（仅限集尘、除尘装置收集的粉尘））1万吨/年，共计16万吨/年。</w:t>
                  </w:r>
                </w:p>
              </w:tc>
            </w:tr>
          </w:tbl>
          <w:p w14:paraId="78B708A4">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本项目的危险废物种类不多，单次产生量不大，性质较稳定，落实好上述措施后，从产生到转移处置的全过程环境风险均可得到有效控制，不存在重大隐患，不会对外部环境造成重大影响。</w:t>
            </w:r>
          </w:p>
          <w:p w14:paraId="46ECDBF4">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五、土壤、地下水环境影响分析</w:t>
            </w:r>
          </w:p>
          <w:p w14:paraId="4B6F20AC">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本项目属于“二十七－非金属矿物制品业30－58、玻璃纤维和玻璃纤维增强塑料制品制造306</w:t>
            </w:r>
            <w:r>
              <w:rPr>
                <w:rFonts w:hint="eastAsia" w:cs="Times New Roman"/>
                <w:color w:val="auto"/>
                <w:kern w:val="2"/>
                <w:sz w:val="24"/>
                <w:szCs w:val="24"/>
                <w:highlight w:val="none"/>
                <w:lang w:val="en-US" w:eastAsia="zh-CN" w:bidi="ar-SA"/>
              </w:rPr>
              <w:t>， 60、石墨及其他非金属矿物制品制造309</w:t>
            </w:r>
            <w:r>
              <w:rPr>
                <w:rFonts w:hint="default" w:ascii="Times New Roman" w:hAnsi="Times New Roman" w:eastAsia="宋体" w:cs="Times New Roman"/>
                <w:color w:val="auto"/>
                <w:kern w:val="2"/>
                <w:sz w:val="24"/>
                <w:szCs w:val="24"/>
                <w:highlight w:val="none"/>
                <w:lang w:val="en-US" w:eastAsia="zh-CN" w:bidi="ar-SA"/>
              </w:rPr>
              <w:t>”，厂区地面已全部硬化，危废间、</w:t>
            </w:r>
            <w:r>
              <w:rPr>
                <w:rFonts w:hint="eastAsia" w:cs="Times New Roman"/>
                <w:color w:val="auto"/>
                <w:kern w:val="2"/>
                <w:sz w:val="24"/>
                <w:szCs w:val="24"/>
                <w:highlight w:val="none"/>
                <w:lang w:val="en-US" w:eastAsia="zh-CN" w:bidi="ar-SA"/>
              </w:rPr>
              <w:t>原料仓库</w:t>
            </w:r>
            <w:r>
              <w:rPr>
                <w:rFonts w:hint="default" w:ascii="Times New Roman" w:hAnsi="Times New Roman" w:eastAsia="宋体" w:cs="Times New Roman"/>
                <w:color w:val="auto"/>
                <w:kern w:val="2"/>
                <w:sz w:val="24"/>
                <w:szCs w:val="24"/>
                <w:highlight w:val="none"/>
                <w:lang w:val="en-US" w:eastAsia="zh-CN" w:bidi="ar-SA"/>
              </w:rPr>
              <w:t>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8246996">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01D3216A">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分区管控：</w:t>
            </w:r>
          </w:p>
          <w:p w14:paraId="57D1553B">
            <w:pPr>
              <w:widowControl w:val="0"/>
              <w:spacing w:line="360" w:lineRule="auto"/>
              <w:ind w:left="0" w:firstLine="480" w:firstLineChars="20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①简单防渗区：办公室及无液态原料的区域仅进行一般地面硬化，无需进行防渗处理。</w:t>
            </w:r>
          </w:p>
          <w:p w14:paraId="6A79FAF7">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②一般防渗区：本项目不涉及重金属、持久性有机污染物，液态</w:t>
            </w:r>
            <w:r>
              <w:rPr>
                <w:rFonts w:hint="default" w:ascii="Times New Roman" w:hAnsi="Times New Roman" w:eastAsia="宋体" w:cs="Times New Roman"/>
                <w:color w:val="auto"/>
                <w:highlight w:val="none"/>
                <w:lang w:val="en-US" w:eastAsia="zh-CN"/>
              </w:rPr>
              <w:t>化学品</w:t>
            </w:r>
            <w:r>
              <w:rPr>
                <w:rFonts w:hint="default" w:ascii="Times New Roman" w:hAnsi="Times New Roman" w:eastAsia="宋体" w:cs="Times New Roman"/>
                <w:color w:val="auto"/>
                <w:highlight w:val="none"/>
              </w:rPr>
              <w:t>物料存在</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rPr>
              <w:t>。因此对生产车间进行一般防渗处理，防渗要求按照等效黏土防渗层Mb≥1.5m，K≤1×10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p w14:paraId="41AAFA1A">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③重点防渗区：</w:t>
            </w:r>
            <w:r>
              <w:rPr>
                <w:rFonts w:hint="default" w:ascii="Times New Roman" w:hAnsi="Times New Roman" w:eastAsia="宋体" w:cs="Times New Roman"/>
                <w:color w:val="auto"/>
                <w:highlight w:val="none"/>
                <w:lang w:val="en-US" w:eastAsia="zh-CN"/>
              </w:rPr>
              <w:t>本项目危险化学品贮存在</w:t>
            </w:r>
            <w:r>
              <w:rPr>
                <w:rFonts w:hint="eastAsia" w:cs="Times New Roman"/>
                <w:color w:val="auto"/>
                <w:highlight w:val="none"/>
                <w:lang w:val="en-US" w:eastAsia="zh-CN"/>
              </w:rPr>
              <w:t>1#车间</w:t>
            </w:r>
            <w:r>
              <w:rPr>
                <w:rFonts w:hint="default" w:ascii="Times New Roman" w:hAnsi="Times New Roman" w:eastAsia="宋体" w:cs="Times New Roman"/>
                <w:color w:val="auto"/>
                <w:highlight w:val="none"/>
                <w:lang w:val="en-US" w:eastAsia="zh-CN"/>
              </w:rPr>
              <w:t>中的</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危险废物贮存在危废间，对</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危废间进行重点防渗处理，要求按照等效黏土防渗层Mb≥6.0m，K≤1×10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并设置围堰</w:t>
            </w:r>
            <w:r>
              <w:rPr>
                <w:rFonts w:hint="default" w:ascii="Times New Roman" w:hAnsi="Times New Roman" w:eastAsia="宋体" w:cs="Times New Roman"/>
                <w:color w:val="auto"/>
                <w:highlight w:val="none"/>
              </w:rPr>
              <w:t>。</w:t>
            </w:r>
          </w:p>
          <w:p w14:paraId="48D6A8A1">
            <w:pPr>
              <w:keepNext/>
              <w:keepLines/>
              <w:tabs>
                <w:tab w:val="left" w:pos="0"/>
              </w:tabs>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六、生态环境影响分析</w:t>
            </w:r>
          </w:p>
          <w:p w14:paraId="493CD18C">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5E3D38A6">
            <w:pPr>
              <w:keepNext/>
              <w:keepLines/>
              <w:tabs>
                <w:tab w:val="left" w:pos="0"/>
              </w:tabs>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七、环境风险影响分析</w:t>
            </w:r>
          </w:p>
          <w:p w14:paraId="39308174">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1、环境风险识别</w:t>
            </w:r>
          </w:p>
          <w:p w14:paraId="1CF78D31">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6F1679AD">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2、评价依据</w:t>
            </w:r>
          </w:p>
          <w:p w14:paraId="668B550F">
            <w:pPr>
              <w:ind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 169-2018）附录B、附录C。</w:t>
            </w:r>
          </w:p>
          <w:p w14:paraId="50723FC4">
            <w:pPr>
              <w:ind w:firstLine="480" w:firstLineChars="200"/>
              <w:rPr>
                <w:rFonts w:hint="eastAsia" w:cs="Times New Roman"/>
                <w:color w:val="auto"/>
                <w:highlight w:val="none"/>
                <w:lang w:eastAsia="zh-CN"/>
              </w:rPr>
            </w:pPr>
            <w:r>
              <w:rPr>
                <w:rFonts w:hint="default" w:ascii="Times New Roman" w:hAnsi="Times New Roman" w:eastAsia="宋体" w:cs="Times New Roman"/>
                <w:color w:val="auto"/>
                <w:highlight w:val="none"/>
              </w:rPr>
              <w:t>本项目涉及的风险物质</w:t>
            </w:r>
            <w:r>
              <w:rPr>
                <w:rFonts w:hint="eastAsia" w:cs="Times New Roman"/>
                <w:color w:val="auto"/>
                <w:highlight w:val="none"/>
                <w:lang w:val="en-US" w:eastAsia="zh-CN"/>
              </w:rPr>
              <w:t>中</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水性脱模剂、机油、废机油、油漆按“</w:t>
            </w:r>
            <w:r>
              <w:rPr>
                <w:rFonts w:hint="default" w:ascii="Times New Roman" w:hAnsi="Times New Roman" w:eastAsia="宋体" w:cs="Times New Roman"/>
                <w:color w:val="auto"/>
                <w:highlight w:val="none"/>
              </w:rPr>
              <w:t>表B.1油类物质（矿物油类，如石油、汽油、柴油等；生物柴油等）</w:t>
            </w:r>
            <w:r>
              <w:rPr>
                <w:rFonts w:hint="eastAsia" w:cs="Times New Roman"/>
                <w:color w:val="auto"/>
                <w:highlight w:val="none"/>
                <w:lang w:val="en-US" w:eastAsia="zh-CN"/>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临界值</w:t>
            </w:r>
            <w:r>
              <w:rPr>
                <w:rFonts w:hint="eastAsia" w:cs="Times New Roman"/>
                <w:color w:val="auto"/>
                <w:highlight w:val="none"/>
                <w:lang w:val="en-US" w:eastAsia="zh-CN"/>
              </w:rPr>
              <w:t>取</w:t>
            </w:r>
            <w:r>
              <w:rPr>
                <w:rFonts w:hint="default" w:ascii="Times New Roman" w:hAnsi="Times New Roman" w:eastAsia="宋体" w:cs="Times New Roman"/>
                <w:color w:val="auto"/>
                <w:highlight w:val="none"/>
              </w:rPr>
              <w:t>2500</w:t>
            </w:r>
            <w:r>
              <w:rPr>
                <w:rFonts w:hint="eastAsia" w:cs="Times New Roman"/>
                <w:color w:val="auto"/>
                <w:highlight w:val="none"/>
                <w:lang w:val="en-US" w:eastAsia="zh-CN"/>
              </w:rPr>
              <w:t>t</w:t>
            </w:r>
            <w:r>
              <w:rPr>
                <w:rFonts w:hint="eastAsia" w:cs="Times New Roman"/>
                <w:color w:val="auto"/>
                <w:highlight w:val="none"/>
                <w:lang w:eastAsia="zh-CN"/>
              </w:rPr>
              <w:t>；</w:t>
            </w:r>
          </w:p>
          <w:p w14:paraId="1094300C">
            <w:pPr>
              <w:ind w:firstLine="480" w:firstLineChars="200"/>
              <w:rPr>
                <w:rFonts w:hint="eastAsia" w:cs="Times New Roman"/>
                <w:color w:val="auto"/>
                <w:highlight w:val="none"/>
                <w:lang w:val="en-US" w:eastAsia="zh-CN"/>
              </w:rPr>
            </w:pPr>
            <w:r>
              <w:rPr>
                <w:rFonts w:hint="eastAsia" w:cs="Times New Roman"/>
                <w:color w:val="auto"/>
                <w:highlight w:val="none"/>
                <w:lang w:val="en-US" w:eastAsia="zh-CN"/>
              </w:rPr>
              <w:t>不饱和聚酯树脂中折算后苯乙烯按</w:t>
            </w:r>
            <w:r>
              <w:rPr>
                <w:rFonts w:hint="eastAsia" w:cs="Times New Roman"/>
                <w:color w:val="auto"/>
                <w:highlight w:val="none"/>
                <w:lang w:eastAsia="zh-CN"/>
              </w:rPr>
              <w:t>“</w:t>
            </w:r>
            <w:r>
              <w:rPr>
                <w:rFonts w:hint="default" w:ascii="Times New Roman" w:hAnsi="Times New Roman" w:eastAsia="宋体" w:cs="Times New Roman"/>
                <w:color w:val="auto"/>
                <w:highlight w:val="none"/>
              </w:rPr>
              <w:t>表B.1突发环境事件风险物质及临界量</w:t>
            </w:r>
            <w:r>
              <w:rPr>
                <w:rFonts w:hint="eastAsia" w:cs="Times New Roman"/>
                <w:color w:val="auto"/>
                <w:highlight w:val="none"/>
                <w:lang w:eastAsia="zh-CN"/>
              </w:rPr>
              <w:t>”，</w:t>
            </w:r>
            <w:r>
              <w:rPr>
                <w:rFonts w:hint="eastAsia" w:cs="Times New Roman"/>
                <w:color w:val="auto"/>
                <w:highlight w:val="none"/>
                <w:lang w:val="en-US" w:eastAsia="zh-CN"/>
              </w:rPr>
              <w:t>分别取10t；</w:t>
            </w:r>
          </w:p>
          <w:p w14:paraId="41BA3C60">
            <w:pPr>
              <w:ind w:firstLine="480" w:firstLineChars="200"/>
              <w:rPr>
                <w:rFonts w:hint="default" w:cs="Times New Roman"/>
                <w:color w:val="auto"/>
                <w:highlight w:val="none"/>
                <w:lang w:val="en-US" w:eastAsia="zh-CN"/>
              </w:rPr>
            </w:pPr>
            <w:r>
              <w:rPr>
                <w:rFonts w:hint="eastAsia" w:cs="Times New Roman"/>
                <w:color w:val="auto"/>
                <w:highlight w:val="none"/>
                <w:lang w:val="en-US" w:eastAsia="zh-CN"/>
              </w:rPr>
              <w:t>固化剂（过氧苯甲酸叔丁酯）按</w:t>
            </w:r>
            <w:r>
              <w:rPr>
                <w:rFonts w:hint="eastAsia" w:cs="Times New Roman"/>
                <w:color w:val="auto"/>
                <w:highlight w:val="none"/>
                <w:lang w:eastAsia="zh-CN"/>
              </w:rPr>
              <w:t>“</w:t>
            </w:r>
            <w:r>
              <w:rPr>
                <w:rFonts w:hint="default" w:ascii="Times New Roman" w:hAnsi="Times New Roman" w:eastAsia="宋体" w:cs="Times New Roman"/>
                <w:color w:val="auto"/>
                <w:highlight w:val="none"/>
              </w:rPr>
              <w:t>B.2 其他危险物质临界量推荐值--危害水环境物质</w:t>
            </w:r>
            <w:r>
              <w:rPr>
                <w:rFonts w:hint="eastAsia" w:cs="Times New Roman"/>
                <w:color w:val="auto"/>
                <w:highlight w:val="none"/>
                <w:lang w:eastAsia="zh-CN"/>
              </w:rPr>
              <w:t>（</w:t>
            </w:r>
            <w:r>
              <w:rPr>
                <w:rFonts w:hint="default" w:ascii="Times New Roman" w:hAnsi="Times New Roman" w:eastAsia="宋体" w:cs="Times New Roman"/>
                <w:color w:val="auto"/>
                <w:highlight w:val="none"/>
              </w:rPr>
              <w:t>急性毒性类别1</w:t>
            </w:r>
            <w:r>
              <w:rPr>
                <w:rFonts w:hint="eastAsia" w:cs="Times New Roman"/>
                <w:color w:val="auto"/>
                <w:highlight w:val="none"/>
                <w:lang w:eastAsia="zh-CN"/>
              </w:rPr>
              <w:t>）”，</w:t>
            </w:r>
            <w:r>
              <w:rPr>
                <w:rFonts w:hint="eastAsia" w:cs="Times New Roman"/>
                <w:color w:val="auto"/>
                <w:highlight w:val="none"/>
                <w:lang w:val="en-US" w:eastAsia="zh-CN"/>
              </w:rPr>
              <w:t>临界量取100t；</w:t>
            </w:r>
          </w:p>
          <w:p w14:paraId="6A83DDB1">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其余危险废物Q值参照《建设项目环境风险评价技术导则》（HJ169-2018）中“表B.2 其他危险物质临界量推荐值--健康危险急性毒性物质（类别2、类别3）的临界值50</w:t>
            </w:r>
            <w:r>
              <w:rPr>
                <w:rFonts w:hint="eastAsia" w:cs="Times New Roman"/>
                <w:color w:val="auto"/>
                <w:highlight w:val="none"/>
                <w:lang w:val="en-US" w:eastAsia="zh-CN"/>
              </w:rPr>
              <w:t>t</w:t>
            </w:r>
            <w:r>
              <w:rPr>
                <w:rFonts w:hint="default" w:ascii="Times New Roman" w:hAnsi="Times New Roman" w:eastAsia="宋体" w:cs="Times New Roman"/>
                <w:color w:val="auto"/>
                <w:highlight w:val="none"/>
              </w:rPr>
              <w:t>”。</w:t>
            </w:r>
          </w:p>
          <w:p w14:paraId="404DB5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5 </w:t>
            </w:r>
            <w:r>
              <w:rPr>
                <w:rFonts w:hint="default" w:ascii="Times New Roman" w:hAnsi="Times New Roman" w:eastAsia="宋体" w:cs="Times New Roman"/>
                <w:b/>
                <w:bCs/>
                <w:color w:val="auto"/>
                <w:kern w:val="2"/>
                <w:sz w:val="21"/>
                <w:szCs w:val="21"/>
                <w:highlight w:val="none"/>
                <w:lang w:val="en-US" w:eastAsia="zh-CN" w:bidi="ar-SA"/>
              </w:rPr>
              <w:t xml:space="preserve"> 危险物质识别一览表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7"/>
              <w:gridCol w:w="1809"/>
              <w:gridCol w:w="2470"/>
              <w:gridCol w:w="2227"/>
              <w:gridCol w:w="1747"/>
            </w:tblGrid>
            <w:tr w14:paraId="72CA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9005539">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2D3D0B92">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物质名称</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53ED512A">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风险特性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04E5F1DE">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63B05A74">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判断依据</w:t>
                  </w:r>
                </w:p>
              </w:tc>
            </w:tr>
            <w:tr w14:paraId="71E54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4E2CA95">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E5AE1B9">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不饱和聚酯树脂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08BC541D">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3ADC926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苯乙烯</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6A83EB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68C45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DC578BF">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0BA06602">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固化剂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1FA06F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571BD98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过氧苯甲酸叔丁酯</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403B255">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7B2EE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2C7E340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1C0C952">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油性漆（包括PU漆、固化剂、稀释剂）</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14769D4">
                  <w:pPr>
                    <w:widowControl w:val="0"/>
                    <w:spacing w:line="240" w:lineRule="auto"/>
                    <w:jc w:val="center"/>
                    <w:rPr>
                      <w:rFonts w:hint="eastAsia"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1063F883">
                  <w:pPr>
                    <w:widowControl w:val="0"/>
                    <w:spacing w:line="240" w:lineRule="auto"/>
                    <w:jc w:val="center"/>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二甲苯、</w:t>
                  </w:r>
                  <w:r>
                    <w:rPr>
                      <w:rFonts w:hint="eastAsia"/>
                      <w:color w:val="auto"/>
                      <w:sz w:val="21"/>
                      <w:szCs w:val="21"/>
                      <w:highlight w:val="none"/>
                      <w:lang w:val="en-US" w:eastAsia="zh-CN"/>
                    </w:rPr>
                    <w:t>异氰酸酯树脂等</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54EA63C">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05225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0F1C4FAF">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4</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77FB68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0D15F7C">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restart"/>
                  <w:tcBorders>
                    <w:top w:val="single" w:color="auto" w:sz="4" w:space="0"/>
                    <w:left w:val="single" w:color="auto" w:sz="4" w:space="0"/>
                    <w:right w:val="single" w:color="auto" w:sz="4" w:space="0"/>
                    <w:tl2br w:val="nil"/>
                    <w:tr2bl w:val="nil"/>
                  </w:tcBorders>
                  <w:vAlign w:val="center"/>
                </w:tcPr>
                <w:p w14:paraId="2D0CE14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废矿物油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07B2CF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6AE9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3B1777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5</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5E9602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水性脱模剂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0EC76BA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right w:val="single" w:color="auto" w:sz="4" w:space="0"/>
                    <w:tl2br w:val="nil"/>
                    <w:tr2bl w:val="nil"/>
                  </w:tcBorders>
                  <w:vAlign w:val="center"/>
                </w:tcPr>
                <w:p w14:paraId="687D7EE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74B57AA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32753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1E04C87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6</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3E0426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7B1F7D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bottom w:val="single" w:color="auto" w:sz="4" w:space="0"/>
                    <w:right w:val="single" w:color="auto" w:sz="4" w:space="0"/>
                    <w:tl2br w:val="nil"/>
                    <w:tr2bl w:val="nil"/>
                  </w:tcBorders>
                  <w:vAlign w:val="center"/>
                </w:tcPr>
                <w:p w14:paraId="0BADE2BD">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092295A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366F0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46ECAB9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7</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5ED5828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4FE2F0E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3E8A6E3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BD36CF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bl>
          <w:p w14:paraId="6EB43E20">
            <w:pPr>
              <w:adjustRightInd w:val="0"/>
              <w:ind w:firstLine="472"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spacing w:val="-2"/>
                <w:highlight w:val="none"/>
              </w:rPr>
              <w:t>则本项目Q值确定见下表</w:t>
            </w:r>
            <w:r>
              <w:rPr>
                <w:rFonts w:hint="default" w:ascii="Times New Roman" w:hAnsi="Times New Roman" w:eastAsia="宋体" w:cs="Times New Roman"/>
                <w:color w:val="auto"/>
                <w:kern w:val="0"/>
                <w:highlight w:val="none"/>
              </w:rPr>
              <w:t>。</w:t>
            </w:r>
          </w:p>
          <w:p w14:paraId="73B299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6 </w:t>
            </w:r>
            <w:r>
              <w:rPr>
                <w:rFonts w:hint="default" w:ascii="Times New Roman" w:hAnsi="Times New Roman" w:eastAsia="宋体" w:cs="Times New Roman"/>
                <w:b/>
                <w:bCs/>
                <w:color w:val="auto"/>
                <w:kern w:val="2"/>
                <w:sz w:val="21"/>
                <w:szCs w:val="21"/>
                <w:highlight w:val="none"/>
                <w:lang w:val="en-US" w:eastAsia="zh-CN" w:bidi="ar-SA"/>
              </w:rPr>
              <w:t xml:space="preserve"> 建设项目Q值确定表</w:t>
            </w:r>
          </w:p>
          <w:tbl>
            <w:tblPr>
              <w:tblStyle w:val="4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2018"/>
              <w:gridCol w:w="997"/>
              <w:gridCol w:w="2537"/>
              <w:gridCol w:w="931"/>
              <w:gridCol w:w="1441"/>
            </w:tblGrid>
            <w:tr w14:paraId="1D501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7F3DAF6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97" w:type="dxa"/>
                  <w:vAlign w:val="center"/>
                </w:tcPr>
                <w:p w14:paraId="52802FB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危险物质名称</w:t>
                  </w:r>
                </w:p>
              </w:tc>
              <w:tc>
                <w:tcPr>
                  <w:tcW w:w="910" w:type="dxa"/>
                  <w:vAlign w:val="center"/>
                </w:tcPr>
                <w:p w14:paraId="2B0AA620">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CAS号</w:t>
                  </w:r>
                </w:p>
              </w:tc>
              <w:tc>
                <w:tcPr>
                  <w:tcW w:w="2510" w:type="dxa"/>
                  <w:vAlign w:val="center"/>
                </w:tcPr>
                <w:p w14:paraId="0190BB4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最大存储总量（t）</w:t>
                  </w:r>
                </w:p>
              </w:tc>
              <w:tc>
                <w:tcPr>
                  <w:tcW w:w="921" w:type="dxa"/>
                  <w:vAlign w:val="center"/>
                </w:tcPr>
                <w:p w14:paraId="32F191A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临界量Qn/t</w:t>
                  </w:r>
                </w:p>
              </w:tc>
              <w:tc>
                <w:tcPr>
                  <w:tcW w:w="1426" w:type="dxa"/>
                  <w:vAlign w:val="center"/>
                </w:tcPr>
                <w:p w14:paraId="480F3DE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该种危险物质Q值</w:t>
                  </w:r>
                </w:p>
              </w:tc>
            </w:tr>
            <w:tr w14:paraId="43B1B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1DB01FCF">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997" w:type="dxa"/>
                  <w:vAlign w:val="center"/>
                </w:tcPr>
                <w:p w14:paraId="5BA01655">
                  <w:pPr>
                    <w:keepNext w:val="0"/>
                    <w:keepLines w:val="0"/>
                    <w:pageBreakBefore w:val="0"/>
                    <w:widowControl w:val="0"/>
                    <w:kinsoku/>
                    <w:wordWrap/>
                    <w:overflowPunct/>
                    <w:topLinePunct w:val="0"/>
                    <w:autoSpaceDE/>
                    <w:autoSpaceDN/>
                    <w:bidi w:val="0"/>
                    <w:snapToGrid/>
                    <w:spacing w:line="240" w:lineRule="auto"/>
                    <w:jc w:val="center"/>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不饱和聚酯树脂中苯乙烯</w:t>
                  </w:r>
                </w:p>
                <w:p w14:paraId="27A94337">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（含量取38%）</w:t>
                  </w:r>
                </w:p>
              </w:tc>
              <w:tc>
                <w:tcPr>
                  <w:tcW w:w="910" w:type="dxa"/>
                  <w:vAlign w:val="center"/>
                </w:tcPr>
                <w:p w14:paraId="745BC789">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100-42-5</w:t>
                  </w:r>
                </w:p>
              </w:tc>
              <w:tc>
                <w:tcPr>
                  <w:tcW w:w="2510" w:type="dxa"/>
                  <w:vAlign w:val="center"/>
                </w:tcPr>
                <w:p w14:paraId="05A433C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6.27（由不饱和聚酯树脂最大储存量16.5t折算）</w:t>
                  </w:r>
                </w:p>
              </w:tc>
              <w:tc>
                <w:tcPr>
                  <w:tcW w:w="921" w:type="dxa"/>
                  <w:vAlign w:val="center"/>
                </w:tcPr>
                <w:p w14:paraId="3275F856">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426" w:type="dxa"/>
                  <w:vAlign w:val="center"/>
                </w:tcPr>
                <w:p w14:paraId="59ED7B6C">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0.627</w:t>
                  </w:r>
                </w:p>
              </w:tc>
            </w:tr>
            <w:tr w14:paraId="74AE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4FA7A09D">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997" w:type="dxa"/>
                  <w:vAlign w:val="center"/>
                </w:tcPr>
                <w:p w14:paraId="5B24DBF1">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固化剂（过氧苯甲酸叔丁酯）</w:t>
                  </w:r>
                </w:p>
              </w:tc>
              <w:tc>
                <w:tcPr>
                  <w:tcW w:w="910" w:type="dxa"/>
                  <w:vAlign w:val="center"/>
                </w:tcPr>
                <w:p w14:paraId="27BB2FD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614-45-9</w:t>
                  </w:r>
                </w:p>
              </w:tc>
              <w:tc>
                <w:tcPr>
                  <w:tcW w:w="2510" w:type="dxa"/>
                  <w:vAlign w:val="center"/>
                </w:tcPr>
                <w:p w14:paraId="40729A9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21" w:type="dxa"/>
                  <w:vAlign w:val="center"/>
                </w:tcPr>
                <w:p w14:paraId="0DD5A471">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426" w:type="dxa"/>
                  <w:vAlign w:val="center"/>
                </w:tcPr>
                <w:p w14:paraId="217CFDF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0.02</w:t>
                  </w:r>
                </w:p>
              </w:tc>
            </w:tr>
            <w:tr w14:paraId="580F0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0F34A884">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997" w:type="dxa"/>
                  <w:vAlign w:val="center"/>
                </w:tcPr>
                <w:p w14:paraId="0C9E6FFB">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910" w:type="dxa"/>
                  <w:vAlign w:val="center"/>
                </w:tcPr>
                <w:p w14:paraId="2E607EE6">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202F8AA1">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921" w:type="dxa"/>
                  <w:vAlign w:val="center"/>
                </w:tcPr>
                <w:p w14:paraId="4FEC99B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78DE66B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0.00016</w:t>
                  </w:r>
                </w:p>
              </w:tc>
            </w:tr>
            <w:tr w14:paraId="6AA78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5B9E02E2">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4</w:t>
                  </w:r>
                </w:p>
              </w:tc>
              <w:tc>
                <w:tcPr>
                  <w:tcW w:w="1997" w:type="dxa"/>
                  <w:vAlign w:val="center"/>
                </w:tcPr>
                <w:p w14:paraId="2262CD0F">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水性脱模剂</w:t>
                  </w:r>
                </w:p>
              </w:tc>
              <w:tc>
                <w:tcPr>
                  <w:tcW w:w="910" w:type="dxa"/>
                  <w:vAlign w:val="center"/>
                </w:tcPr>
                <w:p w14:paraId="5401EE70">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2F1950C6">
                  <w:pPr>
                    <w:keepNext w:val="0"/>
                    <w:keepLines w:val="0"/>
                    <w:pageBreakBefore w:val="0"/>
                    <w:kinsoku/>
                    <w:wordWrap/>
                    <w:overflowPunct/>
                    <w:topLinePunct w:val="0"/>
                    <w:autoSpaceDE/>
                    <w:autoSpaceDN/>
                    <w:bidi w:val="0"/>
                    <w:adjustRightInd w:val="0"/>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921" w:type="dxa"/>
                  <w:vAlign w:val="center"/>
                </w:tcPr>
                <w:p w14:paraId="7D5C14CD">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00</w:t>
                  </w:r>
                </w:p>
              </w:tc>
              <w:tc>
                <w:tcPr>
                  <w:tcW w:w="1426" w:type="dxa"/>
                  <w:vAlign w:val="center"/>
                </w:tcPr>
                <w:p w14:paraId="6A0D608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1</w:t>
                  </w:r>
                </w:p>
              </w:tc>
            </w:tr>
            <w:tr w14:paraId="3B96F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3AF81136">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5</w:t>
                  </w:r>
                </w:p>
              </w:tc>
              <w:tc>
                <w:tcPr>
                  <w:tcW w:w="1997" w:type="dxa"/>
                  <w:vAlign w:val="center"/>
                </w:tcPr>
                <w:p w14:paraId="24A5DB9D">
                  <w:pPr>
                    <w:keepNext w:val="0"/>
                    <w:keepLines w:val="0"/>
                    <w:pageBreakBefore w:val="0"/>
                    <w:widowControl w:val="0"/>
                    <w:kinsoku/>
                    <w:wordWrap/>
                    <w:overflowPunct/>
                    <w:topLinePunct w:val="0"/>
                    <w:autoSpaceDE/>
                    <w:autoSpaceDN/>
                    <w:bidi w:val="0"/>
                    <w:snapToGrid/>
                    <w:spacing w:line="240" w:lineRule="auto"/>
                    <w:jc w:val="center"/>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油性漆（包括PU漆、固化剂、稀释剂）</w:t>
                  </w:r>
                </w:p>
              </w:tc>
              <w:tc>
                <w:tcPr>
                  <w:tcW w:w="910" w:type="dxa"/>
                  <w:vAlign w:val="center"/>
                </w:tcPr>
                <w:p w14:paraId="32CE0FD8">
                  <w:pPr>
                    <w:keepNext w:val="0"/>
                    <w:keepLines w:val="0"/>
                    <w:pageBreakBefore w:val="0"/>
                    <w:kinsoku/>
                    <w:wordWrap/>
                    <w:overflowPunct/>
                    <w:topLinePunct w:val="0"/>
                    <w:autoSpaceDE/>
                    <w:autoSpaceDN/>
                    <w:bidi w:val="0"/>
                    <w:adjustRightInd w:val="0"/>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10" w:type="dxa"/>
                  <w:vAlign w:val="center"/>
                </w:tcPr>
                <w:p w14:paraId="72EF9877">
                  <w:pPr>
                    <w:keepNext w:val="0"/>
                    <w:keepLines w:val="0"/>
                    <w:pageBreakBefore w:val="0"/>
                    <w:kinsoku/>
                    <w:wordWrap/>
                    <w:overflowPunct/>
                    <w:topLinePunct w:val="0"/>
                    <w:autoSpaceDE/>
                    <w:autoSpaceDN/>
                    <w:bidi w:val="0"/>
                    <w:adjustRightInd w:val="0"/>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0.7</w:t>
                  </w:r>
                </w:p>
              </w:tc>
              <w:tc>
                <w:tcPr>
                  <w:tcW w:w="921" w:type="dxa"/>
                  <w:vAlign w:val="center"/>
                </w:tcPr>
                <w:p w14:paraId="1EAC0CE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426" w:type="dxa"/>
                  <w:vAlign w:val="center"/>
                </w:tcPr>
                <w:p w14:paraId="45AE9890">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7</w:t>
                  </w:r>
                </w:p>
              </w:tc>
            </w:tr>
            <w:tr w14:paraId="2776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3D49196D">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6</w:t>
                  </w:r>
                </w:p>
              </w:tc>
              <w:tc>
                <w:tcPr>
                  <w:tcW w:w="1997" w:type="dxa"/>
                  <w:vAlign w:val="center"/>
                </w:tcPr>
                <w:p w14:paraId="35BCF58E">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910" w:type="dxa"/>
                  <w:vAlign w:val="center"/>
                </w:tcPr>
                <w:p w14:paraId="26C0A3F9">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548D5A0C">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921" w:type="dxa"/>
                  <w:vAlign w:val="center"/>
                </w:tcPr>
                <w:p w14:paraId="3675B50B">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63E1EAE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0.00016</w:t>
                  </w:r>
                </w:p>
              </w:tc>
            </w:tr>
            <w:tr w14:paraId="2C5A1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28CD013A">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bCs/>
                      <w:color w:val="auto"/>
                      <w:kern w:val="2"/>
                      <w:sz w:val="21"/>
                      <w:szCs w:val="21"/>
                      <w:highlight w:val="none"/>
                      <w:lang w:val="en-US" w:eastAsia="zh-CN" w:bidi="ar-SA"/>
                    </w:rPr>
                    <w:t>7</w:t>
                  </w:r>
                </w:p>
              </w:tc>
              <w:tc>
                <w:tcPr>
                  <w:tcW w:w="1997" w:type="dxa"/>
                  <w:vAlign w:val="center"/>
                </w:tcPr>
                <w:p w14:paraId="61F16CAC">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p w14:paraId="5064D494">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（除废机油）</w:t>
                  </w:r>
                </w:p>
              </w:tc>
              <w:tc>
                <w:tcPr>
                  <w:tcW w:w="910" w:type="dxa"/>
                  <w:vAlign w:val="center"/>
                </w:tcPr>
                <w:p w14:paraId="4F1722B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1B7873E2">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10.05</w:t>
                  </w:r>
                </w:p>
              </w:tc>
              <w:tc>
                <w:tcPr>
                  <w:tcW w:w="921" w:type="dxa"/>
                  <w:vAlign w:val="center"/>
                </w:tcPr>
                <w:p w14:paraId="537E4251">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426" w:type="dxa"/>
                  <w:vAlign w:val="center"/>
                </w:tcPr>
                <w:p w14:paraId="3BEBE3F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0.21</w:t>
                  </w:r>
                </w:p>
              </w:tc>
            </w:tr>
            <w:tr w14:paraId="5108E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2" w:type="dxa"/>
                  <w:gridSpan w:val="5"/>
                  <w:vAlign w:val="center"/>
                </w:tcPr>
                <w:p w14:paraId="4D0D632C">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项目Q值</w:t>
                  </w:r>
                </w:p>
              </w:tc>
              <w:tc>
                <w:tcPr>
                  <w:tcW w:w="1426" w:type="dxa"/>
                  <w:vAlign w:val="center"/>
                </w:tcPr>
                <w:p w14:paraId="28AB4D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874</w:t>
                  </w:r>
                </w:p>
              </w:tc>
            </w:tr>
          </w:tbl>
          <w:p w14:paraId="77B10DF7">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spacing w:val="-2"/>
                <w:highlight w:val="none"/>
              </w:rPr>
              <w:t>《建设项目环境</w:t>
            </w:r>
            <w:r>
              <w:rPr>
                <w:rFonts w:hint="eastAsia" w:eastAsia="宋体" w:cs="Times New Roman"/>
                <w:color w:val="auto"/>
                <w:spacing w:val="-2"/>
                <w:highlight w:val="none"/>
                <w:lang w:val="en-US" w:eastAsia="zh-CN"/>
              </w:rPr>
              <w:t>影响报告表编制技术指南</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val="en-US" w:eastAsia="zh-CN"/>
              </w:rPr>
              <w:t>污染影响类</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eastAsia="zh-CN"/>
              </w:rPr>
              <w:t>（</w:t>
            </w:r>
            <w:r>
              <w:rPr>
                <w:rFonts w:hint="eastAsia" w:eastAsia="宋体" w:cs="Times New Roman"/>
                <w:color w:val="auto"/>
                <w:spacing w:val="-2"/>
                <w:highlight w:val="none"/>
                <w:lang w:val="en-US" w:eastAsia="zh-CN"/>
              </w:rPr>
              <w:t>试行</w:t>
            </w:r>
            <w:r>
              <w:rPr>
                <w:rFonts w:hint="eastAsia"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rPr>
              <w:t>，当Q</w:t>
            </w:r>
            <w:r>
              <w:rPr>
                <w:rFonts w:hint="eastAsia" w:cs="Times New Roman"/>
                <w:color w:val="auto"/>
                <w:spacing w:val="-2"/>
                <w:highlight w:val="none"/>
                <w:lang w:val="en-US" w:eastAsia="zh-CN"/>
              </w:rPr>
              <w:t>=0.874＜</w:t>
            </w:r>
            <w:r>
              <w:rPr>
                <w:rFonts w:hint="default" w:ascii="Times New Roman" w:hAnsi="Times New Roman" w:eastAsia="宋体" w:cs="Times New Roman"/>
                <w:color w:val="auto"/>
                <w:spacing w:val="-2"/>
                <w:highlight w:val="none"/>
              </w:rPr>
              <w:t>1时，</w:t>
            </w:r>
            <w:r>
              <w:rPr>
                <w:rFonts w:hint="eastAsia" w:cs="Times New Roman"/>
                <w:color w:val="auto"/>
                <w:spacing w:val="-2"/>
                <w:highlight w:val="none"/>
                <w:lang w:val="en-US" w:eastAsia="zh-CN"/>
              </w:rPr>
              <w:t>无需编制环境风险专项评价</w:t>
            </w:r>
            <w:r>
              <w:rPr>
                <w:rFonts w:hint="default" w:ascii="Times New Roman" w:hAnsi="Times New Roman" w:eastAsia="宋体" w:cs="Times New Roman"/>
                <w:color w:val="auto"/>
                <w:spacing w:val="-2"/>
                <w:highlight w:val="none"/>
              </w:rPr>
              <w:t>。</w:t>
            </w:r>
          </w:p>
          <w:p w14:paraId="58B430AB">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3、环境敏感目标调查</w:t>
            </w:r>
          </w:p>
          <w:p w14:paraId="1AA8022B">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eastAsia="宋体" w:cs="Times New Roman"/>
                <w:color w:val="auto"/>
                <w:highlight w:val="none"/>
              </w:rPr>
              <w:t>，厂区四周为其他企业、园区公园、空地、山地，项目边界周围500m范围内无学校、医院、文物古迹、风景名胜区、自然保护区、水源保护区。本项目最近的环境保护目标为</w:t>
            </w:r>
            <w:r>
              <w:rPr>
                <w:rFonts w:hint="eastAsia" w:cs="Times New Roman"/>
                <w:color w:val="auto"/>
                <w:highlight w:val="none"/>
                <w:lang w:val="en-US" w:eastAsia="zh-CN"/>
              </w:rPr>
              <w:t>东侧194m的付村</w:t>
            </w:r>
            <w:r>
              <w:rPr>
                <w:rFonts w:hint="default" w:ascii="Times New Roman" w:hAnsi="Times New Roman" w:eastAsia="宋体" w:cs="Times New Roman"/>
                <w:color w:val="auto"/>
                <w:highlight w:val="none"/>
              </w:rPr>
              <w:t>。</w:t>
            </w:r>
          </w:p>
          <w:p w14:paraId="72D96654">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4、环境风险分析</w:t>
            </w:r>
          </w:p>
          <w:p w14:paraId="421A0DFF">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（1）大气环境风险分析</w:t>
            </w:r>
          </w:p>
          <w:p w14:paraId="6E939E24">
            <w:pPr>
              <w:widowControl/>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物料在运输、装卸、储存和使用过程中发生泄漏、火灾，有毒有害物质在高温情况下散发到空气中，泄漏的物料、物料燃烧产生的次生污染物如烟尘、</w:t>
            </w:r>
            <w:r>
              <w:rPr>
                <w:rFonts w:hint="eastAsia" w:cs="Times New Roman"/>
                <w:color w:val="auto"/>
                <w:highlight w:val="none"/>
                <w:lang w:val="en-US" w:eastAsia="zh-CN"/>
              </w:rPr>
              <w:t>苯乙烯</w:t>
            </w:r>
            <w:r>
              <w:rPr>
                <w:rFonts w:hint="default" w:ascii="Times New Roman" w:hAnsi="Times New Roman" w:eastAsia="宋体" w:cs="Times New Roman"/>
                <w:color w:val="auto"/>
                <w:highlight w:val="none"/>
              </w:rPr>
              <w:t>等将对周边的环境空气带来较为严重的污染甚至对人群健康造成危害。</w:t>
            </w:r>
          </w:p>
          <w:p w14:paraId="75A2EAD4">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（2）地表水、地下水环境风险分析</w:t>
            </w:r>
          </w:p>
          <w:p w14:paraId="677AF0D9">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w:t>
            </w:r>
            <w:r>
              <w:rPr>
                <w:rFonts w:hint="eastAsia" w:cs="Times New Roman"/>
                <w:color w:val="auto"/>
                <w:highlight w:val="none"/>
                <w:lang w:eastAsia="zh-CN"/>
              </w:rPr>
              <w:t>原料仓库</w:t>
            </w:r>
            <w:r>
              <w:rPr>
                <w:rFonts w:hint="default" w:ascii="Times New Roman" w:hAnsi="Times New Roman" w:eastAsia="宋体" w:cs="Times New Roman"/>
                <w:color w:val="auto"/>
                <w:highlight w:val="none"/>
              </w:rPr>
              <w:t>内，且出入口处设置围堰围挡，物料随用随取，不使用时密闭封存，本项目厂区内均已进行地面硬化，厂界四周设置围墙围挡，仅保留厂区出入口，且厂区与</w:t>
            </w:r>
            <w:r>
              <w:rPr>
                <w:rFonts w:hint="default" w:ascii="Times New Roman" w:hAnsi="Times New Roman" w:cs="Times New Roman"/>
                <w:bCs/>
                <w:color w:val="auto"/>
                <w:kern w:val="28"/>
                <w:sz w:val="24"/>
                <w:highlight w:val="none"/>
                <w:lang w:val="en-US" w:eastAsia="zh-CN"/>
              </w:rPr>
              <w:t>东南侧廊田河</w:t>
            </w:r>
            <w:r>
              <w:rPr>
                <w:rFonts w:hint="eastAsia" w:cs="Times New Roman"/>
                <w:bCs/>
                <w:color w:val="auto"/>
                <w:kern w:val="28"/>
                <w:sz w:val="24"/>
                <w:highlight w:val="none"/>
                <w:lang w:val="en-US" w:eastAsia="zh-CN"/>
              </w:rPr>
              <w:t>最小距离为</w:t>
            </w:r>
            <w:r>
              <w:rPr>
                <w:rFonts w:hint="default" w:ascii="Times New Roman" w:hAnsi="Times New Roman" w:cs="Times New Roman"/>
                <w:bCs/>
                <w:color w:val="auto"/>
                <w:kern w:val="28"/>
                <w:sz w:val="24"/>
                <w:highlight w:val="none"/>
                <w:lang w:val="en-US" w:eastAsia="zh-CN"/>
              </w:rPr>
              <w:t>350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地表水、地下水环境污染途径</w:t>
            </w:r>
            <w:r>
              <w:rPr>
                <w:rFonts w:hint="default" w:ascii="Times New Roman" w:hAnsi="Times New Roman" w:eastAsia="宋体" w:cs="Times New Roman"/>
                <w:color w:val="auto"/>
                <w:highlight w:val="none"/>
                <w:lang w:val="en-US" w:eastAsia="zh-CN"/>
              </w:rPr>
              <w:t>较少，且有对应防范措施</w:t>
            </w:r>
            <w:r>
              <w:rPr>
                <w:rFonts w:hint="default" w:ascii="Times New Roman" w:hAnsi="Times New Roman" w:eastAsia="宋体" w:cs="Times New Roman"/>
                <w:color w:val="auto"/>
                <w:highlight w:val="none"/>
              </w:rPr>
              <w:t>。</w:t>
            </w:r>
          </w:p>
          <w:p w14:paraId="237D0D84">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5、环境风险防范措施及应急要求</w:t>
            </w:r>
          </w:p>
          <w:p w14:paraId="6F58F35B">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①严格执行应急管理、消防等相关规范，从总图布置和建筑安全方面进行风险防范，预留疏散通道或安置场所。</w:t>
            </w:r>
          </w:p>
          <w:p w14:paraId="26848F60">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②从优化改进生产工艺、减少储存量、改善储存条件等方面降低风险程度。</w:t>
            </w:r>
          </w:p>
          <w:p w14:paraId="41B3109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③加强日常管理，降低管理失误而出现的风险事故，提高员工规范性操作水平，减少误操作引发的风险事故。</w:t>
            </w:r>
          </w:p>
          <w:p w14:paraId="366862F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6B06A254">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项目风险防范措施详见下表：</w:t>
            </w:r>
          </w:p>
          <w:p w14:paraId="377721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7 </w:t>
            </w:r>
            <w:r>
              <w:rPr>
                <w:rFonts w:hint="default" w:ascii="Times New Roman" w:hAnsi="Times New Roman" w:eastAsia="宋体" w:cs="Times New Roman"/>
                <w:b/>
                <w:bCs/>
                <w:color w:val="auto"/>
                <w:kern w:val="2"/>
                <w:sz w:val="21"/>
                <w:szCs w:val="21"/>
                <w:highlight w:val="none"/>
                <w:lang w:val="en-US" w:eastAsia="zh-CN" w:bidi="ar-SA"/>
              </w:rPr>
              <w:t xml:space="preserve"> 项目风险防范措施一览表</w:t>
            </w:r>
          </w:p>
          <w:tbl>
            <w:tblPr>
              <w:tblStyle w:val="4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221"/>
              <w:gridCol w:w="3279"/>
              <w:gridCol w:w="3413"/>
            </w:tblGrid>
            <w:tr w14:paraId="5B218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08778A8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环境风险因素</w:t>
                  </w:r>
                </w:p>
              </w:tc>
              <w:tc>
                <w:tcPr>
                  <w:tcW w:w="3279" w:type="dxa"/>
                  <w:vAlign w:val="center"/>
                </w:tcPr>
                <w:p w14:paraId="153F011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环境风险影响</w:t>
                  </w:r>
                </w:p>
              </w:tc>
              <w:tc>
                <w:tcPr>
                  <w:tcW w:w="3413" w:type="dxa"/>
                  <w:vAlign w:val="center"/>
                </w:tcPr>
                <w:p w14:paraId="350D9A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风险防范措施</w:t>
                  </w:r>
                </w:p>
              </w:tc>
            </w:tr>
            <w:tr w14:paraId="6127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6A4620D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原料仓库</w:t>
                  </w:r>
                </w:p>
              </w:tc>
              <w:tc>
                <w:tcPr>
                  <w:tcW w:w="3279" w:type="dxa"/>
                  <w:vAlign w:val="center"/>
                </w:tcPr>
                <w:p w14:paraId="7BC218D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火灾爆炸事故次生环境事件</w:t>
                  </w:r>
                </w:p>
              </w:tc>
              <w:tc>
                <w:tcPr>
                  <w:tcW w:w="3413" w:type="dxa"/>
                  <w:vAlign w:val="center"/>
                </w:tcPr>
                <w:p w14:paraId="40C07DA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安排专人定期巡检，配备一定的消防、环境应急物资</w:t>
                  </w:r>
                </w:p>
              </w:tc>
            </w:tr>
            <w:tr w14:paraId="5B42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19FF9F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玻璃纤维增强塑料制品生产线</w:t>
                  </w:r>
                </w:p>
              </w:tc>
              <w:tc>
                <w:tcPr>
                  <w:tcW w:w="3279" w:type="dxa"/>
                  <w:vAlign w:val="center"/>
                </w:tcPr>
                <w:p w14:paraId="64C35B9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浸酯槽</w:t>
                  </w:r>
                  <w:r>
                    <w:rPr>
                      <w:rFonts w:hint="default" w:ascii="Times New Roman" w:hAnsi="Times New Roman" w:eastAsia="宋体" w:cs="Times New Roman"/>
                      <w:b w:val="0"/>
                      <w:bCs w:val="0"/>
                      <w:color w:val="auto"/>
                      <w:kern w:val="2"/>
                      <w:sz w:val="21"/>
                      <w:szCs w:val="21"/>
                      <w:highlight w:val="none"/>
                      <w:lang w:val="en-US" w:eastAsia="zh-CN" w:bidi="ar-SA"/>
                    </w:rPr>
                    <w:t>槽液存储、使用过程发生泄漏</w:t>
                  </w:r>
                </w:p>
              </w:tc>
              <w:tc>
                <w:tcPr>
                  <w:tcW w:w="3413" w:type="dxa"/>
                  <w:vAlign w:val="center"/>
                </w:tcPr>
                <w:p w14:paraId="7AA651B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浸酯槽</w:t>
                  </w:r>
                  <w:r>
                    <w:rPr>
                      <w:rFonts w:hint="default" w:ascii="Times New Roman" w:hAnsi="Times New Roman" w:eastAsia="宋体" w:cs="Times New Roman"/>
                      <w:b w:val="0"/>
                      <w:bCs w:val="0"/>
                      <w:color w:val="auto"/>
                      <w:kern w:val="2"/>
                      <w:sz w:val="21"/>
                      <w:szCs w:val="21"/>
                      <w:highlight w:val="none"/>
                      <w:lang w:val="en-US" w:eastAsia="zh-CN" w:bidi="ar-SA"/>
                    </w:rPr>
                    <w:t>设置围堰并对其地面设置防渗层，防止泄漏液体渗透至土壤。</w:t>
                  </w:r>
                </w:p>
              </w:tc>
            </w:tr>
            <w:tr w14:paraId="5BB3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restart"/>
                  <w:vAlign w:val="center"/>
                </w:tcPr>
                <w:p w14:paraId="40BCDAD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储运工程</w:t>
                  </w:r>
                </w:p>
              </w:tc>
              <w:tc>
                <w:tcPr>
                  <w:tcW w:w="1221" w:type="dxa"/>
                  <w:vAlign w:val="center"/>
                </w:tcPr>
                <w:p w14:paraId="0D5E39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原辅材料泄漏</w:t>
                  </w:r>
                </w:p>
              </w:tc>
              <w:tc>
                <w:tcPr>
                  <w:tcW w:w="3279" w:type="dxa"/>
                  <w:vAlign w:val="center"/>
                </w:tcPr>
                <w:p w14:paraId="397940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不饱和聚酯树脂、固化剂</w:t>
                  </w:r>
                  <w:r>
                    <w:rPr>
                      <w:rFonts w:hint="default" w:ascii="Times New Roman" w:hAnsi="Times New Roman" w:eastAsia="宋体" w:cs="Times New Roman"/>
                      <w:b w:val="0"/>
                      <w:bCs w:val="0"/>
                      <w:color w:val="auto"/>
                      <w:kern w:val="2"/>
                      <w:sz w:val="21"/>
                      <w:szCs w:val="21"/>
                      <w:highlight w:val="none"/>
                      <w:lang w:val="en-US" w:eastAsia="zh-CN" w:bidi="ar-SA"/>
                    </w:rPr>
                    <w:t>等物质在存储、使用、转运过程中</w:t>
                  </w:r>
                </w:p>
              </w:tc>
              <w:tc>
                <w:tcPr>
                  <w:tcW w:w="3413" w:type="dxa"/>
                  <w:vAlign w:val="center"/>
                </w:tcPr>
                <w:p w14:paraId="44173FD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用于储存危险化学品的</w:t>
                  </w:r>
                  <w:r>
                    <w:rPr>
                      <w:rFonts w:hint="eastAsia" w:cs="Times New Roman"/>
                      <w:b w:val="0"/>
                      <w:bCs w:val="0"/>
                      <w:color w:val="auto"/>
                      <w:kern w:val="2"/>
                      <w:sz w:val="21"/>
                      <w:szCs w:val="21"/>
                      <w:highlight w:val="none"/>
                      <w:lang w:val="en-US" w:eastAsia="zh-CN" w:bidi="ar-SA"/>
                    </w:rPr>
                    <w:t>原料仓库</w:t>
                  </w:r>
                  <w:r>
                    <w:rPr>
                      <w:rFonts w:hint="default" w:ascii="Times New Roman" w:hAnsi="Times New Roman" w:eastAsia="宋体" w:cs="Times New Roman"/>
                      <w:b w:val="0"/>
                      <w:bCs w:val="0"/>
                      <w:color w:val="auto"/>
                      <w:kern w:val="2"/>
                      <w:sz w:val="21"/>
                      <w:szCs w:val="21"/>
                      <w:highlight w:val="none"/>
                      <w:lang w:val="en-US" w:eastAsia="zh-CN" w:bidi="ar-SA"/>
                    </w:rPr>
                    <w:t>进行重点防渗，并设置围堰，其余区域作一般防渗，安全操作；配备一定的环境应急物资</w:t>
                  </w:r>
                </w:p>
              </w:tc>
            </w:tr>
            <w:tr w14:paraId="683C2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continue"/>
                  <w:vAlign w:val="center"/>
                </w:tcPr>
                <w:p w14:paraId="10470BB1">
                  <w:pPr>
                    <w:keepNext w:val="0"/>
                    <w:keepLines w:val="0"/>
                    <w:pageBreakBefore w:val="0"/>
                    <w:widowControl w:val="0"/>
                    <w:kinsoku/>
                    <w:wordWrap/>
                    <w:overflowPunct/>
                    <w:topLinePunct w:val="0"/>
                    <w:autoSpaceDE/>
                    <w:autoSpaceDN/>
                    <w:bidi w:val="0"/>
                    <w:adjustRightInd/>
                    <w:snapToGrid/>
                    <w:spacing w:line="240" w:lineRule="auto"/>
                    <w:ind w:left="24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1221" w:type="dxa"/>
                  <w:vAlign w:val="center"/>
                </w:tcPr>
                <w:p w14:paraId="4A6CBB3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危险废物泄漏</w:t>
                  </w:r>
                </w:p>
              </w:tc>
              <w:tc>
                <w:tcPr>
                  <w:tcW w:w="3279" w:type="dxa"/>
                  <w:vAlign w:val="center"/>
                </w:tcPr>
                <w:p w14:paraId="4CCFAF6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废原料桶</w:t>
                  </w:r>
                  <w:r>
                    <w:rPr>
                      <w:rFonts w:hint="default" w:ascii="Times New Roman" w:hAnsi="Times New Roman" w:eastAsia="宋体" w:cs="Times New Roman"/>
                      <w:b w:val="0"/>
                      <w:bCs w:val="0"/>
                      <w:color w:val="auto"/>
                      <w:kern w:val="2"/>
                      <w:sz w:val="21"/>
                      <w:szCs w:val="21"/>
                      <w:highlight w:val="none"/>
                      <w:lang w:val="en-US" w:eastAsia="zh-CN" w:bidi="ar-SA"/>
                    </w:rPr>
                    <w:t>、废活性炭等危险废物在存储、转运过程中发生泄漏事件，导致项目有毒有害物质经地表径流或雨水管道进入周边水体或通过地表下渗污染地下水水质</w:t>
                  </w:r>
                </w:p>
              </w:tc>
              <w:tc>
                <w:tcPr>
                  <w:tcW w:w="3413" w:type="dxa"/>
                  <w:vAlign w:val="center"/>
                </w:tcPr>
                <w:p w14:paraId="24143D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危废间进行重点防渗，安全操作配备一定的环境应急物资</w:t>
                  </w:r>
                </w:p>
              </w:tc>
            </w:tr>
            <w:tr w14:paraId="4064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Align w:val="center"/>
                </w:tcPr>
                <w:p w14:paraId="7533964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环保工程</w:t>
                  </w:r>
                </w:p>
              </w:tc>
              <w:tc>
                <w:tcPr>
                  <w:tcW w:w="1221" w:type="dxa"/>
                  <w:vAlign w:val="center"/>
                </w:tcPr>
                <w:p w14:paraId="6EFFB35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废气处理措施故障</w:t>
                  </w:r>
                </w:p>
              </w:tc>
              <w:tc>
                <w:tcPr>
                  <w:tcW w:w="3279" w:type="dxa"/>
                  <w:vAlign w:val="center"/>
                </w:tcPr>
                <w:p w14:paraId="05FBE82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废气超标排放，影响区域大气环境</w:t>
                  </w:r>
                </w:p>
              </w:tc>
              <w:tc>
                <w:tcPr>
                  <w:tcW w:w="3413" w:type="dxa"/>
                  <w:vAlign w:val="center"/>
                </w:tcPr>
                <w:p w14:paraId="149C0D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定期进行检修，及时排除故障，废气处理设施故障时及时停产检修</w:t>
                  </w:r>
                </w:p>
              </w:tc>
            </w:tr>
          </w:tbl>
          <w:p w14:paraId="274EE7C8">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本项目厂区设有1个有效容积为</w:t>
            </w:r>
            <w:r>
              <w:rPr>
                <w:rFonts w:hint="eastAsia" w:cs="Times New Roman"/>
                <w:b w:val="0"/>
                <w:bCs w:val="0"/>
                <w:color w:val="auto"/>
                <w:kern w:val="2"/>
                <w:sz w:val="24"/>
                <w:szCs w:val="24"/>
                <w:highlight w:val="none"/>
                <w:lang w:val="en-US" w:eastAsia="zh-CN" w:bidi="ar-SA"/>
              </w:rPr>
              <w:t>260</w:t>
            </w:r>
            <w:r>
              <w:rPr>
                <w:rFonts w:hint="default" w:ascii="Times New Roman" w:hAnsi="Times New Roman" w:eastAsia="宋体" w:cs="Times New Roman"/>
                <w:b w:val="0"/>
                <w:bCs w:val="0"/>
                <w:color w:val="auto"/>
                <w:kern w:val="2"/>
                <w:sz w:val="24"/>
                <w:szCs w:val="24"/>
                <w:highlight w:val="none"/>
                <w:lang w:val="en-US" w:eastAsia="zh-CN" w:bidi="ar-SA"/>
              </w:rPr>
              <w:t>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3</w:t>
            </w:r>
            <w:r>
              <w:rPr>
                <w:rFonts w:hint="default" w:ascii="Times New Roman" w:hAnsi="Times New Roman" w:eastAsia="宋体" w:cs="Times New Roman"/>
                <w:b w:val="0"/>
                <w:bCs w:val="0"/>
                <w:color w:val="auto"/>
                <w:kern w:val="2"/>
                <w:sz w:val="24"/>
                <w:szCs w:val="24"/>
                <w:highlight w:val="none"/>
                <w:lang w:val="en-US" w:eastAsia="zh-CN" w:bidi="ar-SA"/>
              </w:rPr>
              <w:t>的事故应急池，且本项目厂房设有围堰及沙包等应急措施及物资。当发生事故时，泄漏物料、消防废水等事故废水均能截留在厂区内。园区定期对事故应急系统进行排查，发现存在问题，马上进行检修，确保事故时能有效运行。</w:t>
            </w:r>
          </w:p>
          <w:p w14:paraId="0D35F4B1">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6、项目制定突发环境事件应急措施</w:t>
            </w:r>
          </w:p>
          <w:p w14:paraId="4372A622">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为有效防范突发环境事件的发生，及时、合理处置可能发生的各类重大、特大环境污染事故，保障人民群众身心健康及正常生产、生活活动，本项目应依据《中华人民共和国环境保护法》及相关法律的规定，制定本项目的应急预案。</w:t>
            </w:r>
          </w:p>
          <w:p w14:paraId="20EB15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28 </w:t>
            </w:r>
            <w:r>
              <w:rPr>
                <w:rFonts w:hint="default" w:ascii="Times New Roman" w:hAnsi="Times New Roman" w:eastAsia="宋体" w:cs="Times New Roman"/>
                <w:b/>
                <w:bCs/>
                <w:color w:val="auto"/>
                <w:kern w:val="2"/>
                <w:sz w:val="21"/>
                <w:szCs w:val="21"/>
                <w:highlight w:val="none"/>
                <w:lang w:val="en-US" w:eastAsia="zh-CN" w:bidi="ar-SA"/>
              </w:rPr>
              <w:t xml:space="preserve"> 突发环境事件应急预案表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2171"/>
              <w:gridCol w:w="5821"/>
            </w:tblGrid>
            <w:tr w14:paraId="67A7C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3FB1DEA6">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43" w:type="pct"/>
                  <w:vAlign w:val="center"/>
                </w:tcPr>
                <w:p w14:paraId="1203E414">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333" w:type="pct"/>
                  <w:vAlign w:val="center"/>
                </w:tcPr>
                <w:p w14:paraId="68B29A4A">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03169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49F643D">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43" w:type="pct"/>
                  <w:vAlign w:val="center"/>
                </w:tcPr>
                <w:p w14:paraId="627BBA00">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333" w:type="pct"/>
                  <w:vAlign w:val="center"/>
                </w:tcPr>
                <w:p w14:paraId="231D2C5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09F84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584CB484">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43" w:type="pct"/>
                  <w:vAlign w:val="center"/>
                </w:tcPr>
                <w:p w14:paraId="5BCC331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333" w:type="pct"/>
                  <w:vAlign w:val="center"/>
                </w:tcPr>
                <w:p w14:paraId="47626304">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69FF2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907256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43" w:type="pct"/>
                  <w:vAlign w:val="center"/>
                </w:tcPr>
                <w:p w14:paraId="2E69E75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333" w:type="pct"/>
                  <w:vAlign w:val="center"/>
                </w:tcPr>
                <w:p w14:paraId="0338DDBD">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20B5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17CE67B">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43" w:type="pct"/>
                  <w:vAlign w:val="center"/>
                </w:tcPr>
                <w:p w14:paraId="6D0AD488">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333" w:type="pct"/>
                  <w:vAlign w:val="center"/>
                </w:tcPr>
                <w:p w14:paraId="0CF8DE6A">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68B8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701560F">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43" w:type="pct"/>
                  <w:vAlign w:val="center"/>
                </w:tcPr>
                <w:p w14:paraId="7F6067C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333" w:type="pct"/>
                  <w:vAlign w:val="center"/>
                </w:tcPr>
                <w:p w14:paraId="3571EDB1">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74E8E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6FA9EB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43" w:type="pct"/>
                  <w:vAlign w:val="center"/>
                </w:tcPr>
                <w:p w14:paraId="6708B955">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333" w:type="pct"/>
                  <w:vAlign w:val="center"/>
                </w:tcPr>
                <w:p w14:paraId="379D2EF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5809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B31535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43" w:type="pct"/>
                  <w:vAlign w:val="center"/>
                </w:tcPr>
                <w:p w14:paraId="3614E780">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333" w:type="pct"/>
                  <w:vAlign w:val="center"/>
                </w:tcPr>
                <w:p w14:paraId="25ACCF56">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3A85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B9B257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43" w:type="pct"/>
                  <w:vAlign w:val="center"/>
                </w:tcPr>
                <w:p w14:paraId="6765B84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333" w:type="pct"/>
                  <w:vAlign w:val="center"/>
                </w:tcPr>
                <w:p w14:paraId="1F369925">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1A3D1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4BE299C6">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43" w:type="pct"/>
                  <w:vAlign w:val="center"/>
                </w:tcPr>
                <w:p w14:paraId="061210DF">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333" w:type="pct"/>
                  <w:vAlign w:val="center"/>
                </w:tcPr>
                <w:p w14:paraId="6B5219C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50D6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316DD07">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43" w:type="pct"/>
                  <w:vAlign w:val="center"/>
                </w:tcPr>
                <w:p w14:paraId="0875A54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333" w:type="pct"/>
                  <w:vAlign w:val="center"/>
                </w:tcPr>
                <w:p w14:paraId="52FB3B02">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6D214812">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7、环境风险分析小结与建议</w:t>
            </w:r>
          </w:p>
          <w:p w14:paraId="7DABD082">
            <w:pPr>
              <w:keepNext w:val="0"/>
              <w:keepLines w:val="0"/>
              <w:ind w:left="0" w:firstLine="480" w:firstLineChars="20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本项目无风险物质，泄漏、火灾、爆炸等事故发生概率较低，物质泄漏、火灾、爆炸等事故下引发的伴生/次生污染物排放的风险隐患较低，在落实上述防范措施后，生产过程的环境风险总体可控。</w:t>
            </w:r>
          </w:p>
          <w:p w14:paraId="651A8965">
            <w:pPr>
              <w:ind w:firstLine="480" w:firstLineChars="200"/>
              <w:jc w:val="left"/>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8、环保验收“三同时”</w:t>
            </w:r>
          </w:p>
          <w:p w14:paraId="755859BF">
            <w:pPr>
              <w:ind w:firstLine="480" w:firstLineChars="200"/>
              <w:jc w:val="left"/>
              <w:rPr>
                <w:rFonts w:hint="default" w:ascii="Times New Roman" w:hAnsi="Times New Roman" w:eastAsia="宋体" w:cs="Times New Roman"/>
                <w:b w:val="0"/>
                <w:bCs w:val="0"/>
                <w:color w:val="auto"/>
                <w:kern w:val="0"/>
                <w:sz w:val="24"/>
                <w:szCs w:val="24"/>
                <w:highlight w:val="none"/>
              </w:rPr>
            </w:pPr>
            <w:r>
              <w:rPr>
                <w:rFonts w:hint="default" w:ascii="Times New Roman" w:hAnsi="Times New Roman" w:eastAsia="宋体"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537DC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29 </w:t>
            </w:r>
            <w:r>
              <w:rPr>
                <w:rFonts w:hint="default" w:ascii="Times New Roman" w:hAnsi="Times New Roman" w:eastAsia="宋体" w:cs="Times New Roman"/>
                <w:b/>
                <w:bCs/>
                <w:color w:val="auto"/>
                <w:kern w:val="2"/>
                <w:sz w:val="21"/>
                <w:szCs w:val="21"/>
                <w:highlight w:val="none"/>
                <w:lang w:val="en-US" w:eastAsia="zh-CN" w:bidi="ar-SA"/>
              </w:rPr>
              <w:t xml:space="preserve"> 项目环境保护“三同时”验收一览表</w:t>
            </w:r>
          </w:p>
          <w:tbl>
            <w:tblPr>
              <w:tblStyle w:val="46"/>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21"/>
              <w:gridCol w:w="1190"/>
              <w:gridCol w:w="404"/>
              <w:gridCol w:w="760"/>
              <w:gridCol w:w="1051"/>
              <w:gridCol w:w="1590"/>
              <w:gridCol w:w="3196"/>
            </w:tblGrid>
            <w:tr w14:paraId="6A4F96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01C0306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683" w:type="pct"/>
                  <w:vAlign w:val="center"/>
                </w:tcPr>
                <w:p w14:paraId="506A48A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668" w:type="pct"/>
                  <w:gridSpan w:val="2"/>
                  <w:vAlign w:val="center"/>
                </w:tcPr>
                <w:p w14:paraId="34B6CD1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03" w:type="pct"/>
                  <w:vAlign w:val="center"/>
                </w:tcPr>
                <w:p w14:paraId="582C116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242F05B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912" w:type="pct"/>
                  <w:vAlign w:val="center"/>
                </w:tcPr>
                <w:p w14:paraId="0A86C0C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833" w:type="pct"/>
                  <w:vAlign w:val="center"/>
                </w:tcPr>
                <w:p w14:paraId="4F535C9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4E5303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1C5021B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83" w:type="pct"/>
                  <w:vAlign w:val="center"/>
                </w:tcPr>
                <w:p w14:paraId="04B43DB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生活</w:t>
                  </w: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68" w:type="pct"/>
                  <w:gridSpan w:val="2"/>
                  <w:vAlign w:val="center"/>
                </w:tcPr>
                <w:p w14:paraId="5A50D38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pH、</w:t>
                  </w: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p>
              </w:tc>
              <w:tc>
                <w:tcPr>
                  <w:tcW w:w="603" w:type="pct"/>
                  <w:vAlign w:val="center"/>
                </w:tcPr>
                <w:p w14:paraId="4AFB2AD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p>
              </w:tc>
              <w:tc>
                <w:tcPr>
                  <w:tcW w:w="912" w:type="pct"/>
                  <w:vAlign w:val="center"/>
                </w:tcPr>
                <w:p w14:paraId="372876C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污水处理设施、出水管道设置情况；污染物实际排放浓度</w:t>
                  </w:r>
                </w:p>
              </w:tc>
              <w:tc>
                <w:tcPr>
                  <w:tcW w:w="1833" w:type="pct"/>
                  <w:vAlign w:val="center"/>
                </w:tcPr>
                <w:p w14:paraId="133D52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园区污水处理厂接管水质要求及广东省《水污染排放限值》（DB44/26-2001）第二时段三级标准两者较严值</w:t>
                  </w:r>
                </w:p>
              </w:tc>
            </w:tr>
            <w:tr w14:paraId="24D40F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restart"/>
                  <w:vAlign w:val="center"/>
                </w:tcPr>
                <w:p w14:paraId="0A2EFFF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683" w:type="pct"/>
                  <w:vMerge w:val="restart"/>
                  <w:vAlign w:val="center"/>
                </w:tcPr>
                <w:p w14:paraId="74688B0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有组织</w:t>
                  </w:r>
                </w:p>
              </w:tc>
              <w:tc>
                <w:tcPr>
                  <w:tcW w:w="668" w:type="pct"/>
                  <w:gridSpan w:val="2"/>
                  <w:vAlign w:val="center"/>
                </w:tcPr>
                <w:p w14:paraId="3081E66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603" w:type="pct"/>
                  <w:vMerge w:val="restart"/>
                  <w:vAlign w:val="center"/>
                </w:tcPr>
                <w:p w14:paraId="22FCC50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cs="宋体"/>
                      <w:i w:val="0"/>
                      <w:iCs w:val="0"/>
                      <w:color w:val="auto"/>
                      <w:kern w:val="0"/>
                      <w:sz w:val="21"/>
                      <w:szCs w:val="21"/>
                      <w:highlight w:val="none"/>
                      <w:u w:val="none"/>
                      <w:lang w:val="en-US" w:eastAsia="zh-CN"/>
                    </w:rPr>
                    <w:t>水帘柜喷淋+</w:t>
                  </w:r>
                  <w:r>
                    <w:rPr>
                      <w:rFonts w:hint="eastAsia" w:ascii="宋体" w:hAnsi="宋体" w:eastAsia="宋体" w:cs="宋体"/>
                      <w:i w:val="0"/>
                      <w:iCs w:val="0"/>
                      <w:color w:val="auto"/>
                      <w:kern w:val="0"/>
                      <w:sz w:val="21"/>
                      <w:szCs w:val="21"/>
                      <w:highlight w:val="none"/>
                      <w:u w:val="none"/>
                      <w:lang w:val="en-US" w:eastAsia="zh-CN"/>
                    </w:rPr>
                    <w:t>干式过滤器</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二级活性炭吸附装置</w:t>
                  </w:r>
                </w:p>
              </w:tc>
              <w:tc>
                <w:tcPr>
                  <w:tcW w:w="912" w:type="pct"/>
                  <w:vMerge w:val="restart"/>
                  <w:vAlign w:val="center"/>
                </w:tcPr>
                <w:p w14:paraId="5AFEB21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3" w:type="pct"/>
                  <w:vMerge w:val="restart"/>
                  <w:vAlign w:val="center"/>
                </w:tcPr>
                <w:p w14:paraId="6C684B2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4D5FB5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C9A006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vAlign w:val="center"/>
                </w:tcPr>
                <w:p w14:paraId="39287C1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70A0B2E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603" w:type="pct"/>
                  <w:vMerge w:val="continue"/>
                  <w:vAlign w:val="center"/>
                </w:tcPr>
                <w:p w14:paraId="5C2300A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6CF4F4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EA1209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3FF726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4250148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vAlign w:val="center"/>
                </w:tcPr>
                <w:p w14:paraId="292EE0A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0859A27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3" w:type="pct"/>
                  <w:vMerge w:val="continue"/>
                  <w:vAlign w:val="center"/>
                </w:tcPr>
                <w:p w14:paraId="09FD063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5653321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45D36FF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34A1BE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F6F3AD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tcBorders>
                    <w:bottom w:val="single" w:color="auto" w:sz="4" w:space="0"/>
                  </w:tcBorders>
                  <w:vAlign w:val="center"/>
                </w:tcPr>
                <w:p w14:paraId="5EE913A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75E86B6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603" w:type="pct"/>
                  <w:vMerge w:val="continue"/>
                  <w:tcBorders>
                    <w:bottom w:val="single" w:color="auto" w:sz="4" w:space="0"/>
                  </w:tcBorders>
                  <w:vAlign w:val="center"/>
                </w:tcPr>
                <w:p w14:paraId="6538A94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tcBorders>
                    <w:bottom w:val="single" w:color="auto" w:sz="4" w:space="0"/>
                  </w:tcBorders>
                  <w:vAlign w:val="center"/>
                </w:tcPr>
                <w:p w14:paraId="5467456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shd w:val="clear" w:color="auto" w:fill="auto"/>
                  <w:vAlign w:val="center"/>
                </w:tcPr>
                <w:p w14:paraId="266C909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w:t>
                  </w:r>
                  <w:r>
                    <w:rPr>
                      <w:rFonts w:hint="eastAsia" w:cs="Times New Roman"/>
                      <w:color w:val="auto"/>
                      <w:sz w:val="21"/>
                      <w:szCs w:val="21"/>
                      <w:highlight w:val="none"/>
                      <w:lang w:val="en-US" w:eastAsia="zh-CN"/>
                    </w:rPr>
                    <w:t>1挥发性有机物排放限值</w:t>
                  </w:r>
                </w:p>
              </w:tc>
            </w:tr>
            <w:tr w14:paraId="3D10E0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1394033A">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restart"/>
                  <w:vAlign w:val="center"/>
                </w:tcPr>
                <w:p w14:paraId="064BBA0F">
                  <w:pPr>
                    <w:keepNext w:val="0"/>
                    <w:keepLines w:val="0"/>
                    <w:pageBreakBefore w:val="0"/>
                    <w:kinsoku/>
                    <w:overflowPunct/>
                    <w:topLinePunct w:val="0"/>
                    <w:bidi w:val="0"/>
                    <w:spacing w:before="0"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无组织</w:t>
                  </w:r>
                </w:p>
              </w:tc>
              <w:tc>
                <w:tcPr>
                  <w:tcW w:w="232" w:type="pct"/>
                  <w:vMerge w:val="restart"/>
                  <w:vAlign w:val="center"/>
                </w:tcPr>
                <w:p w14:paraId="0BCB46A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435" w:type="pct"/>
                  <w:vAlign w:val="center"/>
                </w:tcPr>
                <w:p w14:paraId="2010C15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厂区内</w:t>
                  </w:r>
                </w:p>
              </w:tc>
              <w:tc>
                <w:tcPr>
                  <w:tcW w:w="603" w:type="pct"/>
                  <w:vMerge w:val="restart"/>
                  <w:vAlign w:val="center"/>
                </w:tcPr>
                <w:p w14:paraId="5691504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912" w:type="pct"/>
                  <w:vMerge w:val="restart"/>
                  <w:vAlign w:val="center"/>
                </w:tcPr>
                <w:p w14:paraId="737E130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1833" w:type="pct"/>
                  <w:vAlign w:val="center"/>
                </w:tcPr>
                <w:p w14:paraId="1F21306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268D51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52AAEF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683" w:type="pct"/>
                  <w:vMerge w:val="continue"/>
                  <w:vAlign w:val="center"/>
                </w:tcPr>
                <w:p w14:paraId="64BBB72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232" w:type="pct"/>
                  <w:vMerge w:val="continue"/>
                  <w:vAlign w:val="center"/>
                </w:tcPr>
                <w:p w14:paraId="5C6286E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435" w:type="pct"/>
                  <w:vAlign w:val="center"/>
                </w:tcPr>
                <w:p w14:paraId="09299EE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厂界</w:t>
                  </w:r>
                </w:p>
              </w:tc>
              <w:tc>
                <w:tcPr>
                  <w:tcW w:w="603" w:type="pct"/>
                  <w:vMerge w:val="continue"/>
                  <w:vAlign w:val="center"/>
                </w:tcPr>
                <w:p w14:paraId="1C9FD47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912" w:type="pct"/>
                  <w:vMerge w:val="continue"/>
                  <w:vAlign w:val="center"/>
                </w:tcPr>
                <w:p w14:paraId="1DF3F97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1833" w:type="pct"/>
                  <w:vAlign w:val="center"/>
                </w:tcPr>
                <w:p w14:paraId="73D22A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007D46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5FFE58C">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0EE1AB45">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0A7DAB3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603" w:type="pct"/>
                  <w:vMerge w:val="continue"/>
                  <w:vAlign w:val="center"/>
                </w:tcPr>
                <w:p w14:paraId="004F571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2AF14BF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restart"/>
                  <w:vAlign w:val="center"/>
                </w:tcPr>
                <w:p w14:paraId="09ABEDF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《恶臭污染物排放标准》（GB14554-93）表1 恶臭污染物厂界新扩改建二级标准值</w:t>
                  </w:r>
                </w:p>
              </w:tc>
            </w:tr>
            <w:tr w14:paraId="2097A7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3FD4AB2">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7D4C631A">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57F8ACE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603" w:type="pct"/>
                  <w:vMerge w:val="continue"/>
                  <w:vAlign w:val="center"/>
                </w:tcPr>
                <w:p w14:paraId="00D7D69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6C7709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0F81511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cs="Times New Roman"/>
                      <w:b w:val="0"/>
                      <w:bCs/>
                      <w:color w:val="auto"/>
                      <w:sz w:val="21"/>
                      <w:szCs w:val="21"/>
                      <w:highlight w:val="none"/>
                      <w:lang w:eastAsia="zh-CN"/>
                    </w:rPr>
                  </w:pPr>
                </w:p>
              </w:tc>
            </w:tr>
            <w:tr w14:paraId="50ED51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9CB489D">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0FA9A2EE">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4B014AD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3" w:type="pct"/>
                  <w:vMerge w:val="continue"/>
                  <w:vAlign w:val="center"/>
                </w:tcPr>
                <w:p w14:paraId="053414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49DCFB0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58758D7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7CFAE2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A937136">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453B1D33">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3204F14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603" w:type="pct"/>
                  <w:vMerge w:val="continue"/>
                  <w:vAlign w:val="center"/>
                </w:tcPr>
                <w:p w14:paraId="16D3AD1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59FA61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6B5B76B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《大气污染物排放限值》(DB44/27-2001)</w:t>
                  </w:r>
                  <w:r>
                    <w:rPr>
                      <w:color w:val="auto"/>
                      <w:sz w:val="21"/>
                      <w:szCs w:val="21"/>
                      <w:highlight w:val="none"/>
                    </w:rPr>
                    <w:t>第二时段无组织排放监控浓度限值</w:t>
                  </w:r>
                </w:p>
              </w:tc>
            </w:tr>
            <w:tr w14:paraId="7B90C0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tcBorders>
                    <w:bottom w:val="single" w:color="auto" w:sz="4" w:space="0"/>
                  </w:tcBorders>
                  <w:vAlign w:val="center"/>
                </w:tcPr>
                <w:p w14:paraId="7A82117E">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tcBorders>
                    <w:bottom w:val="single" w:color="auto" w:sz="4" w:space="0"/>
                  </w:tcBorders>
                  <w:vAlign w:val="center"/>
                </w:tcPr>
                <w:p w14:paraId="0C9DC786">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212187F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603" w:type="pct"/>
                  <w:vMerge w:val="continue"/>
                  <w:tcBorders>
                    <w:bottom w:val="single" w:color="auto" w:sz="4" w:space="0"/>
                  </w:tcBorders>
                  <w:vAlign w:val="center"/>
                </w:tcPr>
                <w:p w14:paraId="5C6AFBD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tcBorders>
                    <w:bottom w:val="single" w:color="auto" w:sz="4" w:space="0"/>
                  </w:tcBorders>
                  <w:vAlign w:val="center"/>
                </w:tcPr>
                <w:p w14:paraId="20D24F3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34B01C4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60D5F1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082065B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683" w:type="pct"/>
                  <w:vAlign w:val="center"/>
                </w:tcPr>
                <w:p w14:paraId="19BF830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668" w:type="pct"/>
                  <w:gridSpan w:val="2"/>
                  <w:vAlign w:val="center"/>
                </w:tcPr>
                <w:p w14:paraId="30DF1B9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03" w:type="pct"/>
                  <w:vAlign w:val="center"/>
                </w:tcPr>
                <w:p w14:paraId="68C5507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912" w:type="pct"/>
                  <w:vAlign w:val="center"/>
                </w:tcPr>
                <w:p w14:paraId="34C9E10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833" w:type="pct"/>
                  <w:vAlign w:val="center"/>
                </w:tcPr>
                <w:p w14:paraId="3613CC7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77EA6D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restart"/>
                  <w:vAlign w:val="center"/>
                </w:tcPr>
                <w:p w14:paraId="25F9AB6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4B3D84C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683" w:type="pct"/>
                  <w:vAlign w:val="center"/>
                </w:tcPr>
                <w:p w14:paraId="401DC55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668" w:type="pct"/>
                  <w:gridSpan w:val="2"/>
                  <w:vAlign w:val="center"/>
                </w:tcPr>
                <w:p w14:paraId="1BB7120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Align w:val="center"/>
                </w:tcPr>
                <w:p w14:paraId="3CBA3D0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912" w:type="pct"/>
                  <w:vMerge w:val="restart"/>
                  <w:vAlign w:val="center"/>
                </w:tcPr>
                <w:p w14:paraId="669A828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3" w:type="pct"/>
                  <w:vMerge w:val="restart"/>
                  <w:vAlign w:val="center"/>
                </w:tcPr>
                <w:p w14:paraId="6EA662A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59318D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AE0B8B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4649ED6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废包装材料</w:t>
                  </w:r>
                </w:p>
              </w:tc>
              <w:tc>
                <w:tcPr>
                  <w:tcW w:w="668" w:type="pct"/>
                  <w:gridSpan w:val="2"/>
                  <w:vAlign w:val="center"/>
                </w:tcPr>
                <w:p w14:paraId="14AE62D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restart"/>
                  <w:vAlign w:val="center"/>
                </w:tcPr>
                <w:p w14:paraId="0BB3E3E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w:t>
                  </w:r>
                  <w:r>
                    <w:rPr>
                      <w:rFonts w:hint="eastAsia" w:cs="Times New Roman"/>
                      <w:b w:val="0"/>
                      <w:bCs w:val="0"/>
                      <w:color w:val="auto"/>
                      <w:kern w:val="2"/>
                      <w:sz w:val="21"/>
                      <w:szCs w:val="21"/>
                      <w:highlight w:val="none"/>
                      <w:lang w:val="en-US" w:eastAsia="zh-CN" w:bidi="ar-SA"/>
                    </w:rPr>
                    <w:t>专业单位</w:t>
                  </w:r>
                  <w:r>
                    <w:rPr>
                      <w:rFonts w:hint="default" w:ascii="Times New Roman" w:hAnsi="Times New Roman" w:eastAsia="宋体" w:cs="Times New Roman"/>
                      <w:b w:val="0"/>
                      <w:bCs w:val="0"/>
                      <w:color w:val="auto"/>
                      <w:kern w:val="2"/>
                      <w:sz w:val="21"/>
                      <w:szCs w:val="21"/>
                      <w:highlight w:val="none"/>
                      <w:lang w:val="en-US" w:eastAsia="zh-CN" w:bidi="ar-SA"/>
                    </w:rPr>
                    <w:t>统一清运处理</w:t>
                  </w:r>
                </w:p>
              </w:tc>
              <w:tc>
                <w:tcPr>
                  <w:tcW w:w="912" w:type="pct"/>
                  <w:vMerge w:val="continue"/>
                  <w:vAlign w:val="center"/>
                </w:tcPr>
                <w:p w14:paraId="2F43654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6D7B597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FDC0C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39" w:hRule="atLeast"/>
                <w:jc w:val="center"/>
              </w:trPr>
              <w:tc>
                <w:tcPr>
                  <w:tcW w:w="299" w:type="pct"/>
                  <w:vMerge w:val="continue"/>
                  <w:vAlign w:val="center"/>
                </w:tcPr>
                <w:p w14:paraId="625D923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1BDB34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668" w:type="pct"/>
                  <w:gridSpan w:val="2"/>
                  <w:vAlign w:val="center"/>
                </w:tcPr>
                <w:p w14:paraId="12E884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continue"/>
                  <w:vAlign w:val="center"/>
                </w:tcPr>
                <w:p w14:paraId="0CC40B9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ED0CFE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7CC5739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8A541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92016C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C0AC8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w:t>
                  </w:r>
                  <w:r>
                    <w:rPr>
                      <w:rFonts w:hint="eastAsia" w:ascii="Times New Roman" w:hAnsi="Times New Roman" w:eastAsia="宋体" w:cs="Times New Roman"/>
                      <w:color w:val="auto"/>
                      <w:kern w:val="2"/>
                      <w:position w:val="0"/>
                      <w:sz w:val="21"/>
                      <w:szCs w:val="21"/>
                      <w:highlight w:val="none"/>
                      <w:lang w:val="en-US" w:eastAsia="zh-CN" w:bidi="ar-SA"/>
                    </w:rPr>
                    <w:t>下脚料</w:t>
                  </w:r>
                  <w:r>
                    <w:rPr>
                      <w:rFonts w:hint="eastAsia" w:cs="Times New Roman"/>
                      <w:color w:val="auto"/>
                      <w:kern w:val="2"/>
                      <w:position w:val="0"/>
                      <w:sz w:val="21"/>
                      <w:szCs w:val="21"/>
                      <w:highlight w:val="none"/>
                      <w:lang w:val="en-US" w:eastAsia="zh-CN" w:bidi="ar-SA"/>
                    </w:rPr>
                    <w:t>及</w:t>
                  </w:r>
                  <w:r>
                    <w:rPr>
                      <w:rFonts w:hint="eastAsia" w:ascii="Times New Roman" w:hAnsi="Times New Roman" w:eastAsia="宋体" w:cs="Times New Roman"/>
                      <w:color w:val="auto"/>
                      <w:kern w:val="2"/>
                      <w:position w:val="0"/>
                      <w:sz w:val="21"/>
                      <w:szCs w:val="21"/>
                      <w:highlight w:val="none"/>
                      <w:lang w:val="en-US" w:eastAsia="zh-CN" w:bidi="ar-SA"/>
                    </w:rPr>
                    <w:t>不合格品</w:t>
                  </w:r>
                </w:p>
              </w:tc>
              <w:tc>
                <w:tcPr>
                  <w:tcW w:w="668" w:type="pct"/>
                  <w:gridSpan w:val="2"/>
                  <w:vAlign w:val="center"/>
                </w:tcPr>
                <w:p w14:paraId="3A8EF31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3B55EC6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137C88B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C4B116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AB894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007BDD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30A427C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668" w:type="pct"/>
                  <w:gridSpan w:val="2"/>
                  <w:vAlign w:val="center"/>
                </w:tcPr>
                <w:p w14:paraId="7A5E6AF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continue"/>
                  <w:vAlign w:val="center"/>
                </w:tcPr>
                <w:p w14:paraId="2896D56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22C5DD0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58FFE5E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6C68AE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50CB29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51A9C84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碳纤维边角料及不合格品</w:t>
                  </w:r>
                </w:p>
              </w:tc>
              <w:tc>
                <w:tcPr>
                  <w:tcW w:w="668" w:type="pct"/>
                  <w:gridSpan w:val="2"/>
                  <w:shd w:val="clear" w:color="auto" w:fill="auto"/>
                  <w:vAlign w:val="center"/>
                </w:tcPr>
                <w:p w14:paraId="3986663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483DD89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4BC45A6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79AFA3D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052CA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6626DC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275F892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668" w:type="pct"/>
                  <w:gridSpan w:val="2"/>
                  <w:shd w:val="clear" w:color="auto" w:fill="auto"/>
                  <w:vAlign w:val="center"/>
                </w:tcPr>
                <w:p w14:paraId="10109CA0">
                  <w:pPr>
                    <w:keepNext w:val="0"/>
                    <w:keepLines w:val="0"/>
                    <w:pageBreakBefore w:val="0"/>
                    <w:kinsoku/>
                    <w:overflowPunct/>
                    <w:topLinePunct w:val="0"/>
                    <w:bidi w:val="0"/>
                    <w:spacing w:before="0" w:line="240" w:lineRule="auto"/>
                    <w:ind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23092B1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174822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3F4E3A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5BB83B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2D3F22C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6F49D5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sz w:val="21"/>
                      <w:szCs w:val="21"/>
                      <w:highlight w:val="none"/>
                      <w:lang w:val="en-US" w:eastAsia="zh-CN"/>
                    </w:rPr>
                    <w:t>沉淀滤渣</w:t>
                  </w:r>
                </w:p>
              </w:tc>
              <w:tc>
                <w:tcPr>
                  <w:tcW w:w="668" w:type="pct"/>
                  <w:gridSpan w:val="2"/>
                  <w:shd w:val="clear" w:color="auto" w:fill="auto"/>
                  <w:vAlign w:val="center"/>
                </w:tcPr>
                <w:p w14:paraId="6D22589E">
                  <w:pPr>
                    <w:keepNext w:val="0"/>
                    <w:keepLines w:val="0"/>
                    <w:pageBreakBefore w:val="0"/>
                    <w:kinsoku/>
                    <w:overflowPunct/>
                    <w:topLinePunct w:val="0"/>
                    <w:bidi w:val="0"/>
                    <w:spacing w:before="0" w:line="240" w:lineRule="auto"/>
                    <w:ind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0BC7B89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741838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2C94A0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CE6A1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6B43EB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077752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废滤料</w:t>
                  </w:r>
                </w:p>
              </w:tc>
              <w:tc>
                <w:tcPr>
                  <w:tcW w:w="668" w:type="pct"/>
                  <w:gridSpan w:val="2"/>
                  <w:vAlign w:val="center"/>
                </w:tcPr>
                <w:p w14:paraId="729427D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46CAE2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05868E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32E77DA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100C8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D4B4EC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3B32D8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68" w:type="pct"/>
                  <w:gridSpan w:val="2"/>
                  <w:vAlign w:val="center"/>
                </w:tcPr>
                <w:p w14:paraId="6BEC0DE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w:t>
                  </w:r>
                </w:p>
              </w:tc>
              <w:tc>
                <w:tcPr>
                  <w:tcW w:w="603" w:type="pct"/>
                  <w:vMerge w:val="restart"/>
                  <w:vAlign w:val="center"/>
                </w:tcPr>
                <w:p w14:paraId="7A4FABF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912" w:type="pct"/>
                  <w:vMerge w:val="restart"/>
                  <w:vAlign w:val="center"/>
                </w:tcPr>
                <w:p w14:paraId="387A5B7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3" w:type="pct"/>
                  <w:vMerge w:val="restart"/>
                  <w:vAlign w:val="center"/>
                </w:tcPr>
                <w:p w14:paraId="0F000CD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0A8C8A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289ABC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793BCA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68" w:type="pct"/>
                  <w:gridSpan w:val="2"/>
                  <w:vAlign w:val="center"/>
                </w:tcPr>
                <w:p w14:paraId="27E16BA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524FA43F">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672B153C">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7170DA59">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5CBCA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32776A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17EA06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68" w:type="pct"/>
                  <w:gridSpan w:val="2"/>
                  <w:vAlign w:val="center"/>
                </w:tcPr>
                <w:p w14:paraId="363F077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2693AC8B">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2A26711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4EC18EE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020815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3D929C2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97935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68" w:type="pct"/>
                  <w:gridSpan w:val="2"/>
                  <w:vAlign w:val="center"/>
                </w:tcPr>
                <w:p w14:paraId="419F1A5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22C5255B">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4F9ACFC9">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2F0A2843">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1D083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C5FB1F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44C872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68" w:type="pct"/>
                  <w:gridSpan w:val="2"/>
                  <w:vAlign w:val="center"/>
                </w:tcPr>
                <w:p w14:paraId="3F4BE29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w:t>
                  </w:r>
                </w:p>
              </w:tc>
              <w:tc>
                <w:tcPr>
                  <w:tcW w:w="603" w:type="pct"/>
                  <w:vMerge w:val="continue"/>
                  <w:vAlign w:val="center"/>
                </w:tcPr>
                <w:p w14:paraId="554A3CC2">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02ECEAF1">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3C0C903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EBF49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5FCF8B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2976DA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68" w:type="pct"/>
                  <w:gridSpan w:val="2"/>
                  <w:vAlign w:val="center"/>
                </w:tcPr>
                <w:p w14:paraId="621DF4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有机废气</w:t>
                  </w:r>
                </w:p>
              </w:tc>
              <w:tc>
                <w:tcPr>
                  <w:tcW w:w="603" w:type="pct"/>
                  <w:vMerge w:val="continue"/>
                  <w:vAlign w:val="center"/>
                </w:tcPr>
                <w:p w14:paraId="28EF9867">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6EFC5C53">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1F204C4B">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F6AC0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4E4F234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290D46D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668" w:type="pct"/>
                  <w:gridSpan w:val="2"/>
                  <w:vAlign w:val="center"/>
                </w:tcPr>
                <w:p w14:paraId="2BCC039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有机树脂、漆渣</w:t>
                  </w:r>
                </w:p>
              </w:tc>
              <w:tc>
                <w:tcPr>
                  <w:tcW w:w="603" w:type="pct"/>
                  <w:vMerge w:val="continue"/>
                  <w:vAlign w:val="center"/>
                </w:tcPr>
                <w:p w14:paraId="02271FB9">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0413B6C0">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1B7EB79B">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bl>
          <w:p w14:paraId="7963E2DE">
            <w:pPr>
              <w:keepNext/>
              <w:keepLines/>
              <w:tabs>
                <w:tab w:val="left" w:pos="0"/>
              </w:tabs>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八、电磁辐射环境</w:t>
            </w:r>
          </w:p>
          <w:p w14:paraId="610CC260">
            <w:p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本项目不存在电磁辐射影响。</w:t>
            </w:r>
          </w:p>
        </w:tc>
      </w:tr>
    </w:tbl>
    <w:p w14:paraId="625A59ED">
      <w:pPr>
        <w:rPr>
          <w:rFonts w:hint="default" w:ascii="Times New Roman" w:hAnsi="Times New Roman"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525620AE">
      <w:pPr>
        <w:pStyle w:val="18"/>
        <w:numPr>
          <w:ilvl w:val="0"/>
          <w:numId w:val="0"/>
        </w:numPr>
        <w:rPr>
          <w:rFonts w:hint="default" w:ascii="Times New Roman" w:hAnsi="Times New Roman" w:cs="Times New Roman"/>
          <w:color w:val="auto"/>
          <w:highlight w:val="none"/>
        </w:rPr>
      </w:pPr>
      <w:bookmarkStart w:id="115" w:name="_Toc15545"/>
      <w:r>
        <w:rPr>
          <w:rFonts w:hint="default" w:ascii="Times New Roman" w:hAnsi="Times New Roman" w:cs="Times New Roman"/>
          <w:color w:val="auto"/>
          <w:highlight w:val="none"/>
        </w:rPr>
        <w:t>五、环境保护措施监督检查清单</w:t>
      </w:r>
      <w:bookmarkEnd w:id="112"/>
      <w:bookmarkEnd w:id="115"/>
    </w:p>
    <w:tbl>
      <w:tblPr>
        <w:tblStyle w:val="46"/>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00"/>
        <w:gridCol w:w="1464"/>
        <w:gridCol w:w="1886"/>
        <w:gridCol w:w="3098"/>
      </w:tblGrid>
      <w:tr w14:paraId="6CA38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tcBorders>
              <w:tl2br w:val="single" w:color="auto" w:sz="4" w:space="0"/>
            </w:tcBorders>
          </w:tcPr>
          <w:p w14:paraId="3BDE5239">
            <w:pPr>
              <w:keepNext w:val="0"/>
              <w:keepLines w:val="0"/>
              <w:pageBreakBefore w:val="0"/>
              <w:widowControl w:val="0"/>
              <w:kinsoku/>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
                <w:color w:val="auto"/>
                <w:sz w:val="21"/>
                <w:szCs w:val="21"/>
                <w:highlight w:val="none"/>
              </w:rPr>
            </w:pPr>
            <w:bookmarkStart w:id="116" w:name="_Toc15960"/>
            <w:r>
              <w:rPr>
                <w:rFonts w:hint="default" w:ascii="Times New Roman" w:hAnsi="Times New Roman" w:cs="Times New Roman"/>
                <w:b/>
                <w:color w:val="auto"/>
                <w:sz w:val="21"/>
                <w:szCs w:val="21"/>
                <w:highlight w:val="none"/>
              </w:rPr>
              <w:t>内容</w:t>
            </w:r>
          </w:p>
          <w:p w14:paraId="6BEB1697">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p>
          <w:p w14:paraId="02C85BDD">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要素</w:t>
            </w:r>
          </w:p>
        </w:tc>
        <w:tc>
          <w:tcPr>
            <w:tcW w:w="1800" w:type="dxa"/>
            <w:tcBorders>
              <w:bottom w:val="single" w:color="auto" w:sz="4" w:space="0"/>
            </w:tcBorders>
            <w:vAlign w:val="center"/>
          </w:tcPr>
          <w:p w14:paraId="21784CC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排放口（编号、名称）/污染源</w:t>
            </w:r>
          </w:p>
        </w:tc>
        <w:tc>
          <w:tcPr>
            <w:tcW w:w="1464" w:type="dxa"/>
            <w:vAlign w:val="center"/>
          </w:tcPr>
          <w:p w14:paraId="2ACD52BE">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污染物项目</w:t>
            </w:r>
          </w:p>
        </w:tc>
        <w:tc>
          <w:tcPr>
            <w:tcW w:w="1886" w:type="dxa"/>
            <w:vAlign w:val="center"/>
          </w:tcPr>
          <w:p w14:paraId="6EF1300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环境保护措施</w:t>
            </w:r>
          </w:p>
        </w:tc>
        <w:tc>
          <w:tcPr>
            <w:tcW w:w="3098" w:type="dxa"/>
            <w:vAlign w:val="center"/>
          </w:tcPr>
          <w:p w14:paraId="0022B1E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67555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108" w:type="dxa"/>
            <w:vMerge w:val="restart"/>
            <w:vAlign w:val="center"/>
          </w:tcPr>
          <w:p w14:paraId="697EE85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w:t>
            </w:r>
          </w:p>
        </w:tc>
        <w:tc>
          <w:tcPr>
            <w:tcW w:w="1800" w:type="dxa"/>
            <w:vMerge w:val="restart"/>
            <w:tcBorders>
              <w:top w:val="single" w:color="auto" w:sz="4" w:space="0"/>
            </w:tcBorders>
            <w:vAlign w:val="center"/>
          </w:tcPr>
          <w:p w14:paraId="574538C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烫芯、热压、喷漆、抽漆、烘干等工序</w:t>
            </w:r>
            <w:r>
              <w:rPr>
                <w:rFonts w:hint="default" w:ascii="Times New Roman" w:hAnsi="Times New Roman" w:eastAsia="宋体" w:cs="Times New Roman"/>
                <w:color w:val="auto"/>
                <w:sz w:val="21"/>
                <w:szCs w:val="21"/>
                <w:highlight w:val="none"/>
                <w:lang w:val="en-US" w:eastAsia="zh-CN"/>
              </w:rPr>
              <w:t>DA001</w:t>
            </w:r>
          </w:p>
        </w:tc>
        <w:tc>
          <w:tcPr>
            <w:tcW w:w="1464" w:type="dxa"/>
            <w:vAlign w:val="center"/>
          </w:tcPr>
          <w:p w14:paraId="41088CF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886" w:type="dxa"/>
            <w:vMerge w:val="restart"/>
            <w:vAlign w:val="center"/>
          </w:tcPr>
          <w:p w14:paraId="18F72B8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设备排口直连集气管</w:t>
            </w:r>
            <w:r>
              <w:rPr>
                <w:rFonts w:hint="default" w:ascii="Times New Roman" w:hAnsi="Times New Roman" w:eastAsia="宋体" w:cs="Times New Roman"/>
                <w:color w:val="auto"/>
                <w:sz w:val="21"/>
                <w:szCs w:val="21"/>
                <w:highlight w:val="none"/>
                <w:lang w:val="en-US" w:eastAsia="zh-CN"/>
              </w:rPr>
              <w:t>，废气经收集后送至“</w:t>
            </w:r>
            <w:r>
              <w:rPr>
                <w:rFonts w:hint="default" w:ascii="Times New Roman" w:hAnsi="Times New Roman" w:cs="Times New Roman"/>
                <w:color w:val="auto"/>
                <w:sz w:val="21"/>
                <w:szCs w:val="21"/>
                <w:highlight w:val="none"/>
                <w:lang w:val="en-US" w:eastAsia="zh-CN"/>
              </w:rPr>
              <w:t>水</w:t>
            </w:r>
            <w:r>
              <w:rPr>
                <w:rFonts w:hint="eastAsia" w:cs="Times New Roman"/>
                <w:color w:val="auto"/>
                <w:sz w:val="21"/>
                <w:szCs w:val="21"/>
                <w:highlight w:val="none"/>
                <w:lang w:val="en-US" w:eastAsia="zh-CN"/>
              </w:rPr>
              <w:t>帘柜</w:t>
            </w:r>
            <w:r>
              <w:rPr>
                <w:rFonts w:hint="default" w:ascii="Times New Roman" w:hAnsi="Times New Roman" w:cs="Times New Roman"/>
                <w:color w:val="auto"/>
                <w:sz w:val="21"/>
                <w:szCs w:val="21"/>
                <w:highlight w:val="none"/>
                <w:lang w:val="en-US" w:eastAsia="zh-CN"/>
              </w:rPr>
              <w:t>+干式过滤器+二级活性炭吸附装置</w:t>
            </w:r>
            <w:r>
              <w:rPr>
                <w:rFonts w:hint="default" w:ascii="Times New Roman" w:hAnsi="Times New Roman" w:eastAsia="宋体" w:cs="Times New Roman"/>
                <w:color w:val="auto"/>
                <w:sz w:val="21"/>
                <w:szCs w:val="21"/>
                <w:highlight w:val="none"/>
                <w:lang w:val="en-US" w:eastAsia="zh-CN"/>
              </w:rPr>
              <w:t>”处理后由1条15m高排气筒排放</w:t>
            </w:r>
          </w:p>
        </w:tc>
        <w:tc>
          <w:tcPr>
            <w:tcW w:w="3098" w:type="dxa"/>
            <w:vMerge w:val="restart"/>
            <w:vAlign w:val="center"/>
          </w:tcPr>
          <w:p w14:paraId="116B3EB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79020C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08" w:type="dxa"/>
            <w:vMerge w:val="continue"/>
            <w:vAlign w:val="center"/>
          </w:tcPr>
          <w:p w14:paraId="0F9A36F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4453C83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31CFE14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非甲烷总烃</w:t>
            </w:r>
          </w:p>
        </w:tc>
        <w:tc>
          <w:tcPr>
            <w:tcW w:w="1886" w:type="dxa"/>
            <w:vMerge w:val="continue"/>
            <w:vAlign w:val="center"/>
          </w:tcPr>
          <w:p w14:paraId="21B0ACB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59AB53D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r>
      <w:tr w14:paraId="4B86BA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08" w:type="dxa"/>
            <w:vMerge w:val="continue"/>
            <w:vAlign w:val="center"/>
          </w:tcPr>
          <w:p w14:paraId="61520A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3505031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7C82566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1886" w:type="dxa"/>
            <w:vMerge w:val="continue"/>
            <w:vAlign w:val="center"/>
          </w:tcPr>
          <w:p w14:paraId="60BE445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Align w:val="center"/>
          </w:tcPr>
          <w:p w14:paraId="3D12F45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w:t>
            </w:r>
            <w:r>
              <w:rPr>
                <w:rFonts w:hint="eastAsia" w:cs="Times New Roman"/>
                <w:color w:val="auto"/>
                <w:sz w:val="21"/>
                <w:szCs w:val="21"/>
                <w:highlight w:val="none"/>
                <w:lang w:val="en-US" w:eastAsia="zh-CN"/>
              </w:rPr>
              <w:t>1挥发性有机物排放限值</w:t>
            </w:r>
          </w:p>
        </w:tc>
      </w:tr>
      <w:tr w14:paraId="1DF72D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23077B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0300406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7A91A96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886" w:type="dxa"/>
            <w:vMerge w:val="continue"/>
            <w:vAlign w:val="center"/>
          </w:tcPr>
          <w:p w14:paraId="29736A5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2E6225E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0D291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1108" w:type="dxa"/>
            <w:vMerge w:val="continue"/>
            <w:vAlign w:val="center"/>
          </w:tcPr>
          <w:p w14:paraId="531EF1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vAlign w:val="center"/>
          </w:tcPr>
          <w:p w14:paraId="4BD2CC8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定型</w:t>
            </w:r>
            <w:r>
              <w:rPr>
                <w:rFonts w:hint="default" w:ascii="Times New Roman" w:hAnsi="Times New Roman" w:cs="Times New Roman"/>
                <w:color w:val="auto"/>
                <w:sz w:val="21"/>
                <w:szCs w:val="21"/>
                <w:highlight w:val="none"/>
                <w:lang w:val="en-US" w:eastAsia="zh-CN"/>
              </w:rPr>
              <w:t>、注塑</w:t>
            </w:r>
            <w:r>
              <w:rPr>
                <w:rFonts w:hint="default" w:ascii="Times New Roman" w:hAnsi="Times New Roman" w:eastAsia="宋体" w:cs="Times New Roman"/>
                <w:color w:val="auto"/>
                <w:sz w:val="21"/>
                <w:szCs w:val="21"/>
                <w:highlight w:val="none"/>
                <w:lang w:val="en-US" w:eastAsia="zh-CN"/>
              </w:rPr>
              <w:t>废气排放口</w:t>
            </w:r>
            <w:r>
              <w:rPr>
                <w:rFonts w:hint="eastAsia" w:cs="Times New Roman"/>
                <w:color w:val="auto"/>
                <w:sz w:val="21"/>
                <w:szCs w:val="21"/>
                <w:highlight w:val="none"/>
                <w:lang w:val="en-US" w:eastAsia="zh-CN"/>
              </w:rPr>
              <w:t>DA002</w:t>
            </w:r>
          </w:p>
        </w:tc>
        <w:tc>
          <w:tcPr>
            <w:tcW w:w="1464" w:type="dxa"/>
            <w:shd w:val="clear" w:color="auto" w:fill="auto"/>
            <w:vAlign w:val="center"/>
          </w:tcPr>
          <w:p w14:paraId="70762A5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1886" w:type="dxa"/>
            <w:vMerge w:val="restart"/>
            <w:vAlign w:val="center"/>
          </w:tcPr>
          <w:p w14:paraId="6C262D6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项目拟</w:t>
            </w:r>
            <w:r>
              <w:rPr>
                <w:rFonts w:hint="eastAsia" w:cs="Times New Roman"/>
                <w:color w:val="auto"/>
                <w:sz w:val="21"/>
                <w:szCs w:val="21"/>
                <w:highlight w:val="none"/>
                <w:lang w:val="en-US" w:eastAsia="zh-CN"/>
              </w:rPr>
              <w:t>收集</w:t>
            </w:r>
            <w:r>
              <w:rPr>
                <w:rFonts w:hint="default" w:ascii="Times New Roman" w:hAnsi="Times New Roman" w:eastAsia="宋体" w:cs="Times New Roman"/>
                <w:color w:val="auto"/>
                <w:sz w:val="21"/>
                <w:szCs w:val="21"/>
                <w:highlight w:val="none"/>
                <w:lang w:val="en-US" w:eastAsia="zh-CN"/>
              </w:rPr>
              <w:t>定型、注塑等废气</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送至“</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干式过滤器+二级活性炭吸附装置</w:t>
            </w:r>
            <w:r>
              <w:rPr>
                <w:rFonts w:hint="default" w:ascii="Times New Roman" w:hAnsi="Times New Roman" w:eastAsia="宋体" w:cs="Times New Roman"/>
                <w:color w:val="auto"/>
                <w:sz w:val="21"/>
                <w:szCs w:val="21"/>
                <w:highlight w:val="none"/>
                <w:lang w:val="en-US" w:eastAsia="zh-CN"/>
              </w:rPr>
              <w:t>”处理后由1条15m高排气筒排放</w:t>
            </w:r>
          </w:p>
        </w:tc>
        <w:tc>
          <w:tcPr>
            <w:tcW w:w="3098" w:type="dxa"/>
            <w:vMerge w:val="restart"/>
            <w:shd w:val="clear" w:color="auto" w:fill="auto"/>
            <w:vAlign w:val="center"/>
          </w:tcPr>
          <w:p w14:paraId="797F8B5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6681C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08" w:type="dxa"/>
            <w:vMerge w:val="continue"/>
            <w:vAlign w:val="center"/>
          </w:tcPr>
          <w:p w14:paraId="7899AF0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1704DA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459F659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1886" w:type="dxa"/>
            <w:vMerge w:val="continue"/>
            <w:vAlign w:val="center"/>
          </w:tcPr>
          <w:p w14:paraId="4415BB7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613EEEE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56BE0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A98186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2A326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163B1F1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86" w:type="dxa"/>
            <w:vMerge w:val="continue"/>
            <w:vAlign w:val="center"/>
          </w:tcPr>
          <w:p w14:paraId="08D99C3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restart"/>
            <w:shd w:val="clear" w:color="auto" w:fill="auto"/>
            <w:vAlign w:val="center"/>
          </w:tcPr>
          <w:p w14:paraId="42CA080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449A8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995216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1A168A1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27650D5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1886" w:type="dxa"/>
            <w:vMerge w:val="continue"/>
            <w:vAlign w:val="center"/>
          </w:tcPr>
          <w:p w14:paraId="053A2C5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shd w:val="clear" w:color="auto" w:fill="auto"/>
            <w:vAlign w:val="center"/>
          </w:tcPr>
          <w:p w14:paraId="0E8C8D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4A8DA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815BD3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shd w:val="clear" w:color="auto" w:fill="auto"/>
            <w:vAlign w:val="center"/>
          </w:tcPr>
          <w:p w14:paraId="651D27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厂界</w:t>
            </w:r>
          </w:p>
        </w:tc>
        <w:tc>
          <w:tcPr>
            <w:tcW w:w="1464" w:type="dxa"/>
            <w:shd w:val="clear" w:color="auto" w:fill="auto"/>
            <w:vAlign w:val="center"/>
          </w:tcPr>
          <w:p w14:paraId="74343E6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1886" w:type="dxa"/>
            <w:vMerge w:val="restart"/>
            <w:shd w:val="clear" w:color="auto" w:fill="auto"/>
            <w:vAlign w:val="center"/>
          </w:tcPr>
          <w:p w14:paraId="03B3ABE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3098" w:type="dxa"/>
            <w:shd w:val="clear" w:color="auto" w:fill="auto"/>
            <w:vAlign w:val="center"/>
          </w:tcPr>
          <w:p w14:paraId="33A6A9E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358DF3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A9D8B1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02A623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454CE53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1886" w:type="dxa"/>
            <w:vMerge w:val="continue"/>
            <w:vAlign w:val="center"/>
          </w:tcPr>
          <w:p w14:paraId="5897E4F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restart"/>
            <w:shd w:val="clear" w:color="auto" w:fill="auto"/>
            <w:vAlign w:val="center"/>
          </w:tcPr>
          <w:p w14:paraId="622D9C7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表1恶臭污染物厂界标准值</w:t>
            </w:r>
            <w:r>
              <w:rPr>
                <w:rFonts w:hint="default" w:ascii="Times New Roman" w:hAnsi="Times New Roman" w:cs="Times New Roman"/>
                <w:color w:val="auto"/>
                <w:sz w:val="21"/>
                <w:szCs w:val="21"/>
                <w:highlight w:val="none"/>
                <w:lang w:eastAsia="zh-CN"/>
              </w:rPr>
              <w:t>”</w:t>
            </w:r>
          </w:p>
        </w:tc>
      </w:tr>
      <w:tr w14:paraId="26BA8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507C5C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4324F80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78544C2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1886" w:type="dxa"/>
            <w:vMerge w:val="continue"/>
            <w:vAlign w:val="center"/>
          </w:tcPr>
          <w:p w14:paraId="66282B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shd w:val="clear" w:color="auto" w:fill="auto"/>
            <w:vAlign w:val="center"/>
          </w:tcPr>
          <w:p w14:paraId="1CA9A4E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6E904B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5CF57D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05F550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69C7B9E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86" w:type="dxa"/>
            <w:vMerge w:val="continue"/>
            <w:vAlign w:val="center"/>
          </w:tcPr>
          <w:p w14:paraId="27546BB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3C97785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r>
      <w:tr w14:paraId="3E9D7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643538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2338372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4BE6042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86" w:type="dxa"/>
            <w:vMerge w:val="continue"/>
            <w:vAlign w:val="center"/>
          </w:tcPr>
          <w:p w14:paraId="5B793C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75E374F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7B73CF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5851857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08A9DC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2EC8D43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1886" w:type="dxa"/>
            <w:vMerge w:val="continue"/>
            <w:vAlign w:val="center"/>
          </w:tcPr>
          <w:p w14:paraId="7E8DA5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21316E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广东省《大气污染物排放限值》(DB44/27-2001)</w:t>
            </w:r>
            <w:r>
              <w:rPr>
                <w:color w:val="auto"/>
                <w:sz w:val="21"/>
                <w:szCs w:val="21"/>
                <w:highlight w:val="none"/>
              </w:rPr>
              <w:t>第二时段无组织排放监控浓度限值</w:t>
            </w:r>
          </w:p>
        </w:tc>
      </w:tr>
      <w:tr w14:paraId="3C2AC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FEF66C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bottom w:val="single" w:color="auto" w:sz="4" w:space="0"/>
            </w:tcBorders>
            <w:vAlign w:val="center"/>
          </w:tcPr>
          <w:p w14:paraId="52AA041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1464" w:type="dxa"/>
            <w:vAlign w:val="center"/>
          </w:tcPr>
          <w:p w14:paraId="0BCD6E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p>
        </w:tc>
        <w:tc>
          <w:tcPr>
            <w:tcW w:w="1886" w:type="dxa"/>
            <w:vAlign w:val="center"/>
          </w:tcPr>
          <w:p w14:paraId="56ECB26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加强车间管理</w:t>
            </w:r>
          </w:p>
        </w:tc>
        <w:tc>
          <w:tcPr>
            <w:tcW w:w="3098" w:type="dxa"/>
            <w:vAlign w:val="center"/>
          </w:tcPr>
          <w:p w14:paraId="2948461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3552A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restart"/>
            <w:vAlign w:val="center"/>
          </w:tcPr>
          <w:p w14:paraId="51EBA8A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w:t>
            </w:r>
          </w:p>
        </w:tc>
        <w:tc>
          <w:tcPr>
            <w:tcW w:w="1800" w:type="dxa"/>
            <w:tcBorders>
              <w:top w:val="single" w:color="auto" w:sz="4" w:space="0"/>
            </w:tcBorders>
            <w:vAlign w:val="center"/>
          </w:tcPr>
          <w:p w14:paraId="0DEA308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DW001</w:t>
            </w:r>
          </w:p>
        </w:tc>
        <w:tc>
          <w:tcPr>
            <w:tcW w:w="1464" w:type="dxa"/>
            <w:vAlign w:val="center"/>
          </w:tcPr>
          <w:p w14:paraId="297C274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-N、TP、TN</w:t>
            </w:r>
          </w:p>
        </w:tc>
        <w:tc>
          <w:tcPr>
            <w:tcW w:w="1886" w:type="dxa"/>
            <w:vAlign w:val="center"/>
          </w:tcPr>
          <w:p w14:paraId="5105D23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厂区化粪池预处理后，接管排入</w:t>
            </w:r>
            <w:r>
              <w:rPr>
                <w:rFonts w:hint="eastAsia" w:cs="Times New Roman"/>
                <w:color w:val="auto"/>
                <w:sz w:val="21"/>
                <w:szCs w:val="21"/>
                <w:highlight w:val="none"/>
                <w:lang w:val="en-US" w:eastAsia="zh-CN"/>
              </w:rPr>
              <w:t>园区污水处理厂</w:t>
            </w:r>
          </w:p>
        </w:tc>
        <w:tc>
          <w:tcPr>
            <w:tcW w:w="3098" w:type="dxa"/>
            <w:vAlign w:val="center"/>
          </w:tcPr>
          <w:p w14:paraId="29299C8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园区污水处理厂接管水质要求及广东省《水污染排放限值》（DB44/26-2001）第二时段三级标准两者较严值</w:t>
            </w:r>
          </w:p>
        </w:tc>
      </w:tr>
      <w:tr w14:paraId="153CE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27E8C9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3AB0ADC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切割用水</w:t>
            </w:r>
          </w:p>
        </w:tc>
        <w:tc>
          <w:tcPr>
            <w:tcW w:w="1464" w:type="dxa"/>
            <w:vAlign w:val="center"/>
          </w:tcPr>
          <w:p w14:paraId="1A74FD7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788CB3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3098" w:type="dxa"/>
            <w:vAlign w:val="center"/>
          </w:tcPr>
          <w:p w14:paraId="208D724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AECF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4D8103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264BEBB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冷却用水</w:t>
            </w:r>
          </w:p>
        </w:tc>
        <w:tc>
          <w:tcPr>
            <w:tcW w:w="1464" w:type="dxa"/>
            <w:vAlign w:val="center"/>
          </w:tcPr>
          <w:p w14:paraId="165C7C8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SS</w:t>
            </w:r>
          </w:p>
        </w:tc>
        <w:tc>
          <w:tcPr>
            <w:tcW w:w="1886" w:type="dxa"/>
            <w:vAlign w:val="center"/>
          </w:tcPr>
          <w:p w14:paraId="753D192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3098" w:type="dxa"/>
            <w:vAlign w:val="center"/>
          </w:tcPr>
          <w:p w14:paraId="4C89B1D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E097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368426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1DB0260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水喷淋用水</w:t>
            </w:r>
          </w:p>
        </w:tc>
        <w:tc>
          <w:tcPr>
            <w:tcW w:w="1464" w:type="dxa"/>
            <w:vAlign w:val="center"/>
          </w:tcPr>
          <w:p w14:paraId="338EACF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5F6300E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不外排</w:t>
            </w:r>
          </w:p>
        </w:tc>
        <w:tc>
          <w:tcPr>
            <w:tcW w:w="3098" w:type="dxa"/>
            <w:vAlign w:val="center"/>
          </w:tcPr>
          <w:p w14:paraId="6935AE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7924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B434AF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043E43D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水磨抛光废水</w:t>
            </w:r>
          </w:p>
        </w:tc>
        <w:tc>
          <w:tcPr>
            <w:tcW w:w="1464" w:type="dxa"/>
            <w:vAlign w:val="center"/>
          </w:tcPr>
          <w:p w14:paraId="1E20D60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615D40F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rPr>
              <w:t>循环使用，不外排</w:t>
            </w:r>
          </w:p>
        </w:tc>
        <w:tc>
          <w:tcPr>
            <w:tcW w:w="3098" w:type="dxa"/>
            <w:vAlign w:val="center"/>
          </w:tcPr>
          <w:p w14:paraId="1AE4007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4F3F59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A79E17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40D676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清洗废水</w:t>
            </w:r>
          </w:p>
        </w:tc>
        <w:tc>
          <w:tcPr>
            <w:tcW w:w="1464" w:type="dxa"/>
            <w:vAlign w:val="center"/>
          </w:tcPr>
          <w:p w14:paraId="328B77A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083A8B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rPr>
              <w:t>循环使用，不外排</w:t>
            </w:r>
          </w:p>
        </w:tc>
        <w:tc>
          <w:tcPr>
            <w:tcW w:w="3098" w:type="dxa"/>
            <w:vAlign w:val="center"/>
          </w:tcPr>
          <w:p w14:paraId="32BDB5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DD673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48F4A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43D42A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1464" w:type="dxa"/>
            <w:vAlign w:val="center"/>
          </w:tcPr>
          <w:p w14:paraId="43187DD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E14474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lang w:val="en-US" w:eastAsia="zh-CN"/>
              </w:rPr>
              <w:t>委托有资质单位处置</w:t>
            </w:r>
          </w:p>
        </w:tc>
        <w:tc>
          <w:tcPr>
            <w:tcW w:w="3098" w:type="dxa"/>
            <w:vAlign w:val="center"/>
          </w:tcPr>
          <w:p w14:paraId="1DE5027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6A9B3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0E16D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声环境</w:t>
            </w:r>
          </w:p>
        </w:tc>
        <w:tc>
          <w:tcPr>
            <w:tcW w:w="1800" w:type="dxa"/>
            <w:vAlign w:val="center"/>
          </w:tcPr>
          <w:p w14:paraId="209717B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车间设备噪声</w:t>
            </w:r>
          </w:p>
        </w:tc>
        <w:tc>
          <w:tcPr>
            <w:tcW w:w="1464" w:type="dxa"/>
            <w:vAlign w:val="center"/>
          </w:tcPr>
          <w:p w14:paraId="4F94AF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p>
        </w:tc>
        <w:tc>
          <w:tcPr>
            <w:tcW w:w="1886" w:type="dxa"/>
            <w:vAlign w:val="center"/>
          </w:tcPr>
          <w:p w14:paraId="588DCFE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设备减振、厂房隔声、定期保养机械设备</w:t>
            </w:r>
          </w:p>
        </w:tc>
        <w:tc>
          <w:tcPr>
            <w:tcW w:w="3098" w:type="dxa"/>
            <w:vAlign w:val="center"/>
          </w:tcPr>
          <w:p w14:paraId="7321AF6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厂界噪声满足《工业企业厂界环境噪声排放标准》（GB12348-2008）3类限值</w:t>
            </w:r>
          </w:p>
        </w:tc>
      </w:tr>
      <w:tr w14:paraId="15F33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A6AC6B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电磁辐射</w:t>
            </w:r>
          </w:p>
        </w:tc>
        <w:tc>
          <w:tcPr>
            <w:tcW w:w="1800" w:type="dxa"/>
            <w:vAlign w:val="center"/>
          </w:tcPr>
          <w:p w14:paraId="73C4A35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64" w:type="dxa"/>
            <w:vAlign w:val="center"/>
          </w:tcPr>
          <w:p w14:paraId="56E709D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86" w:type="dxa"/>
            <w:vAlign w:val="center"/>
          </w:tcPr>
          <w:p w14:paraId="65D846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98" w:type="dxa"/>
            <w:vAlign w:val="center"/>
          </w:tcPr>
          <w:p w14:paraId="52AC3CE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8FA8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F2AA94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5150" w:type="dxa"/>
            <w:gridSpan w:val="3"/>
            <w:vAlign w:val="center"/>
          </w:tcPr>
          <w:p w14:paraId="2513EF1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生活垃圾委托环卫部门定期清运；</w:t>
            </w:r>
          </w:p>
          <w:p w14:paraId="2EBF19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r>
              <w:rPr>
                <w:rFonts w:hint="default" w:ascii="Times New Roman" w:hAnsi="Times New Roman" w:cs="Times New Roman"/>
                <w:color w:val="auto"/>
                <w:sz w:val="21"/>
                <w:szCs w:val="21"/>
                <w:highlight w:val="none"/>
              </w:rPr>
              <w:t>废包装材料</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eastAsia="zh-CN"/>
              </w:rPr>
              <w:t>碳纤维边角料及不合格品、</w:t>
            </w:r>
            <w:r>
              <w:rPr>
                <w:rFonts w:hint="default" w:ascii="Times New Roman" w:hAnsi="Times New Roman" w:cs="Times New Roman"/>
                <w:color w:val="auto"/>
                <w:sz w:val="21"/>
                <w:szCs w:val="21"/>
                <w:highlight w:val="none"/>
              </w:rPr>
              <w:t>玻璃纤维边角料</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塑料边角料及不合格品</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玻纤布下脚料及不合格品、废BOPP膜、沉淀滤渣、废滤料</w:t>
            </w:r>
            <w:r>
              <w:rPr>
                <w:rFonts w:hint="default" w:ascii="Times New Roman" w:hAnsi="Times New Roman" w:eastAsia="宋体" w:cs="Times New Roman"/>
                <w:color w:val="auto"/>
                <w:sz w:val="21"/>
                <w:szCs w:val="21"/>
                <w:highlight w:val="none"/>
                <w:lang w:val="en-US" w:eastAsia="zh-CN"/>
              </w:rPr>
              <w:t>）交由专业单位处理；</w:t>
            </w:r>
          </w:p>
          <w:p w14:paraId="4EA445F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危险固废（</w:t>
            </w:r>
            <w:r>
              <w:rPr>
                <w:rFonts w:hint="default" w:ascii="Times New Roman" w:hAnsi="Times New Roman" w:cs="Times New Roman"/>
                <w:color w:val="auto"/>
                <w:sz w:val="21"/>
                <w:szCs w:val="21"/>
                <w:highlight w:val="none"/>
                <w:lang w:eastAsia="zh-CN"/>
              </w:rPr>
              <w:t>废原料桶</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废空压机油</w:t>
            </w:r>
            <w:r>
              <w:rPr>
                <w:rFonts w:hint="default" w:ascii="Times New Roman" w:hAnsi="Times New Roman" w:cs="Times New Roman"/>
                <w:color w:val="auto"/>
                <w:sz w:val="21"/>
                <w:szCs w:val="21"/>
                <w:highlight w:val="none"/>
                <w:lang w:eastAsia="zh-CN"/>
              </w:rPr>
              <w:t>及</w:t>
            </w:r>
            <w:r>
              <w:rPr>
                <w:rFonts w:hint="default" w:ascii="Times New Roman" w:hAnsi="Times New Roman" w:cs="Times New Roman"/>
                <w:color w:val="auto"/>
                <w:sz w:val="21"/>
                <w:szCs w:val="21"/>
                <w:highlight w:val="none"/>
              </w:rPr>
              <w:t>桶</w:t>
            </w:r>
            <w:r>
              <w:rPr>
                <w:rFonts w:hint="default" w:ascii="Times New Roman" w:hAnsi="Times New Roman" w:cs="Times New Roman"/>
                <w:color w:val="auto"/>
                <w:sz w:val="21"/>
                <w:szCs w:val="21"/>
                <w:highlight w:val="none"/>
                <w:lang w:eastAsia="zh-CN"/>
              </w:rPr>
              <w:t>、废含油抹布及手套、废过滤棉、</w:t>
            </w:r>
            <w:r>
              <w:rPr>
                <w:rFonts w:hint="default"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、喷淋废水、水帘柜废液及喷淋沉渣、喷枪清洗废液</w:t>
            </w:r>
            <w:r>
              <w:rPr>
                <w:rFonts w:hint="default" w:ascii="Times New Roman" w:hAnsi="Times New Roman" w:eastAsia="宋体" w:cs="Times New Roman"/>
                <w:color w:val="auto"/>
                <w:sz w:val="21"/>
                <w:szCs w:val="21"/>
                <w:highlight w:val="none"/>
                <w:lang w:val="en-US" w:eastAsia="zh-CN"/>
              </w:rPr>
              <w:t>）委托有资质的单位处置。</w:t>
            </w:r>
          </w:p>
        </w:tc>
        <w:tc>
          <w:tcPr>
            <w:tcW w:w="3098" w:type="dxa"/>
            <w:vAlign w:val="center"/>
          </w:tcPr>
          <w:p w14:paraId="24814F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《一般工业固体废物贮存和填埋污染控制标准》（GB18599-2020）</w:t>
            </w:r>
          </w:p>
          <w:p w14:paraId="3BA7458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《危险废物贮存污染控制标准》（GB18597-20</w:t>
            </w:r>
            <w:r>
              <w:rPr>
                <w:rFonts w:hint="default" w:ascii="Times New Roman" w:hAnsi="Times New Roman"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lang w:val="en-US" w:eastAsia="zh-CN"/>
              </w:rPr>
              <w:t>）</w:t>
            </w:r>
          </w:p>
        </w:tc>
      </w:tr>
      <w:tr w14:paraId="6A6D0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0E9290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土壤及地下水污染防治措施</w:t>
            </w:r>
          </w:p>
        </w:tc>
        <w:tc>
          <w:tcPr>
            <w:tcW w:w="8248" w:type="dxa"/>
            <w:gridSpan w:val="4"/>
            <w:vAlign w:val="center"/>
          </w:tcPr>
          <w:p w14:paraId="2A8E4FC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源头控制：防止污水“跑、冒、滴、漏”，防止对土壤造成污染。</w:t>
            </w:r>
          </w:p>
          <w:p w14:paraId="6F39BFC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建设项目各生产设备、管线、贮存、运输装置等因素，根据可能进入地下水环境的各种有毒有害污染物的性质、产生量和排放量，将污染区划分为重点防渗区、一般防渗区和简单防渗区。</w:t>
            </w:r>
          </w:p>
        </w:tc>
      </w:tr>
      <w:tr w14:paraId="1A1A0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6B2C340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8248" w:type="dxa"/>
            <w:gridSpan w:val="4"/>
            <w:vAlign w:val="center"/>
          </w:tcPr>
          <w:p w14:paraId="0DE89D5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1DD12A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D62FED4">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环境风险防范措施</w:t>
            </w:r>
          </w:p>
        </w:tc>
        <w:tc>
          <w:tcPr>
            <w:tcW w:w="8248" w:type="dxa"/>
            <w:gridSpan w:val="4"/>
            <w:vAlign w:val="center"/>
          </w:tcPr>
          <w:p w14:paraId="5CFB1152">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lang w:val="en-US" w:eastAsia="zh-CN"/>
              </w:rPr>
              <w:t>编制突发环境事件应急预案，并报生态环境部门备案；开展环境应急预案培训和演练，按规定对预案进行评估修订。</w:t>
            </w:r>
          </w:p>
          <w:p w14:paraId="3C7F3AAD">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建立健全各种有关消防与安全生产的规章制度，建立岗位责任制。配置相应的消防设施，并在火灾危险场所设置报警装置，一旦发生火灾，立即作出应急反应，严禁生产区域有明火出现。</w:t>
            </w:r>
          </w:p>
          <w:p w14:paraId="0AEDC887">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全面加强安全管理和安全教育工作，制定和强化各种安全管理、安全生产规程，防止火灾事故的发生。</w:t>
            </w:r>
          </w:p>
          <w:p w14:paraId="741F6605">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对于</w:t>
            </w:r>
            <w:r>
              <w:rPr>
                <w:rFonts w:hint="default" w:ascii="Times New Roman" w:hAnsi="Times New Roman" w:cs="Times New Roman"/>
                <w:color w:val="auto"/>
                <w:sz w:val="21"/>
                <w:szCs w:val="21"/>
                <w:highlight w:val="none"/>
                <w:lang w:eastAsia="zh-CN"/>
              </w:rPr>
              <w:t>危废暂存间</w:t>
            </w:r>
            <w:r>
              <w:rPr>
                <w:rFonts w:hint="default" w:ascii="Times New Roman" w:hAnsi="Times New Roman" w:cs="Times New Roman"/>
                <w:color w:val="auto"/>
                <w:sz w:val="21"/>
                <w:szCs w:val="21"/>
                <w:highlight w:val="none"/>
              </w:rPr>
              <w:t>，需设置有监控系统，主要在仓库出入口、仓库内、厂门口等关键位置安装视频监控设施，进行实时监控。</w:t>
            </w:r>
          </w:p>
          <w:p w14:paraId="6802F095">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rPr>
              <w:t>严格执行国家、行业有关安全生产的法规和标准规范进行设计和建设，经营过</w:t>
            </w:r>
            <w:r>
              <w:rPr>
                <w:rFonts w:hint="default" w:ascii="Times New Roman" w:hAnsi="Times New Roman" w:cs="Times New Roman"/>
                <w:color w:val="auto"/>
                <w:sz w:val="21"/>
                <w:szCs w:val="21"/>
                <w:highlight w:val="none"/>
                <w:lang w:val="en-US" w:eastAsia="zh-CN"/>
              </w:rPr>
              <w:t>程中</w:t>
            </w:r>
            <w:r>
              <w:rPr>
                <w:rFonts w:hint="default" w:ascii="Times New Roman" w:hAnsi="Times New Roman" w:cs="Times New Roman"/>
                <w:color w:val="auto"/>
                <w:sz w:val="21"/>
                <w:szCs w:val="21"/>
                <w:highlight w:val="none"/>
              </w:rPr>
              <w:t>应注意防火、防静电。</w:t>
            </w:r>
          </w:p>
        </w:tc>
      </w:tr>
      <w:tr w14:paraId="7660C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90EA6C1">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其他环境管理要求</w:t>
            </w:r>
          </w:p>
        </w:tc>
        <w:tc>
          <w:tcPr>
            <w:tcW w:w="8248" w:type="dxa"/>
            <w:gridSpan w:val="4"/>
            <w:vAlign w:val="center"/>
          </w:tcPr>
          <w:p w14:paraId="32F44F66">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（一）环境管理要求</w:t>
            </w:r>
          </w:p>
          <w:p w14:paraId="293EE36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企业要完善环境管理制度，首先必须建立相应的环境管理机构，明确环境管理机构的职责。</w:t>
            </w:r>
          </w:p>
          <w:p w14:paraId="2FBF2CC6">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落实各项环境保护措施，环保设施运行的管理和维护，日常的监测及污染事故的防范和应急处理。</w:t>
            </w:r>
          </w:p>
          <w:p w14:paraId="03AE7450">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环境管理机构的职责</w:t>
            </w:r>
          </w:p>
          <w:p w14:paraId="71253BEE">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建设单位应向国家排污许可系统提交《固定污染源排污登记表》，取得《固定污染源排污登记回执》；超标排放或未符合总量指标，应限期治理。</w:t>
            </w:r>
          </w:p>
          <w:p w14:paraId="0169557F">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根据环保部门、安全部门对环保设施验收报告的批复意见进行补充完善。</w:t>
            </w:r>
          </w:p>
          <w:p w14:paraId="08E49987">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default" w:ascii="Times New Roman" w:hAnsi="Times New Roman" w:cs="Times New Roman"/>
                <w:color w:val="auto"/>
                <w:sz w:val="21"/>
                <w:szCs w:val="21"/>
                <w:highlight w:val="none"/>
              </w:rPr>
              <w:t>根据企业的环境保护目标考核计划，结合生产过程各环节的不同环境要求，把资源和能源消耗、资源回收利用、污染物排放量的反映环保工作水平的生产环境质量等环保指标，纳入各级生产作业计划，同其他生产指标一同组织实施和考核。</w:t>
            </w:r>
          </w:p>
          <w:p w14:paraId="34D8DC54">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default" w:ascii="Times New Roman" w:hAnsi="Times New Roman" w:cs="Times New Roman"/>
                <w:color w:val="auto"/>
                <w:sz w:val="21"/>
                <w:szCs w:val="21"/>
                <w:highlight w:val="none"/>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57E8910D">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（5）</w:t>
            </w:r>
            <w:r>
              <w:rPr>
                <w:rFonts w:hint="default" w:ascii="Times New Roman" w:hAnsi="Times New Roman" w:cs="Times New Roman"/>
                <w:color w:val="auto"/>
                <w:sz w:val="21"/>
                <w:szCs w:val="21"/>
                <w:highlight w:val="none"/>
              </w:rPr>
              <w:t>要加强设备、仪器、仪表的检查、维护、检修，保证设备完好运行，防止跑、冒、滴、漏对环境的污染。</w:t>
            </w:r>
          </w:p>
          <w:p w14:paraId="59AA7E9F">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（6）</w:t>
            </w:r>
            <w:r>
              <w:rPr>
                <w:rFonts w:hint="default" w:ascii="Times New Roman" w:hAnsi="Times New Roman" w:cs="Times New Roman"/>
                <w:color w:val="auto"/>
                <w:sz w:val="21"/>
                <w:szCs w:val="21"/>
                <w:highlight w:val="none"/>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73127660">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（7）</w:t>
            </w:r>
            <w:r>
              <w:rPr>
                <w:rFonts w:hint="default" w:ascii="Times New Roman" w:hAnsi="Times New Roman" w:cs="Times New Roman"/>
                <w:color w:val="auto"/>
                <w:sz w:val="21"/>
                <w:szCs w:val="21"/>
                <w:highlight w:val="none"/>
              </w:rPr>
              <w:t>做好绿化的建设和维护工作。绿色植物不仅能涵养水分，保持水土，而且能挡尘降噪，调节小气候，有利于改善生态环境。</w:t>
            </w:r>
          </w:p>
          <w:p w14:paraId="0EE131F2">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（8）</w:t>
            </w:r>
            <w:r>
              <w:rPr>
                <w:rFonts w:hint="default" w:ascii="Times New Roman" w:hAnsi="Times New Roman" w:cs="Times New Roman"/>
                <w:color w:val="auto"/>
                <w:sz w:val="21"/>
                <w:szCs w:val="21"/>
                <w:highlight w:val="none"/>
              </w:rPr>
              <w:t>建立环境管理体系，提高环境管理水平。定期进行清洁生产审计，不断采用无污染和少污染的新工艺和新技术。</w:t>
            </w:r>
          </w:p>
          <w:p w14:paraId="305D9DB2">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（9）</w:t>
            </w:r>
            <w:r>
              <w:rPr>
                <w:rFonts w:hint="default" w:ascii="Times New Roman" w:hAnsi="Times New Roman" w:cs="Times New Roman"/>
                <w:color w:val="auto"/>
                <w:sz w:val="21"/>
                <w:szCs w:val="21"/>
                <w:highlight w:val="none"/>
              </w:rPr>
              <w:t>接受环保主管部门的监督检查。主要内容有：污染物排放情况、环保设施运行管理情况、环境监测及污染物监测情况、环境事故的调查和有关记录、污染源建档记录等。</w:t>
            </w:r>
          </w:p>
          <w:p w14:paraId="5AED2E9A">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 xml:space="preserve">（二）排污口规范化 </w:t>
            </w:r>
          </w:p>
          <w:p w14:paraId="70D08524">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1ED90D11">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排污口规范化的范围和时间：一切新建、扩建、技改、改建的排污单位以及限期治理的排污单位，必须在建设污染治理设施的同时，建设规范化排污口。因此，排污口必须规范化设置和管理。规范化工作应</w:t>
            </w:r>
            <w:r>
              <w:rPr>
                <w:rFonts w:hint="eastAsia" w:cs="Times New Roman"/>
                <w:color w:val="auto"/>
                <w:sz w:val="21"/>
                <w:szCs w:val="21"/>
                <w:highlight w:val="none"/>
                <w:lang w:val="en-US" w:eastAsia="zh-CN"/>
              </w:rPr>
              <w:t>与</w:t>
            </w:r>
            <w:r>
              <w:rPr>
                <w:rFonts w:hint="default" w:ascii="Times New Roman" w:hAnsi="Times New Roman" w:cs="Times New Roman"/>
                <w:color w:val="auto"/>
                <w:sz w:val="21"/>
                <w:szCs w:val="21"/>
                <w:highlight w:val="none"/>
              </w:rPr>
              <w:t>污染治理同步实施，即治理设施完工时，规范化工作必须同时完成，并列入污染治理设施的验收内容。</w:t>
            </w:r>
          </w:p>
          <w:p w14:paraId="0CBEDBD7">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排污口规范化内容 </w:t>
            </w:r>
          </w:p>
          <w:p w14:paraId="6F2CB85B">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需规范化排放口：排放口应预留监测口，做到便于采样和测定流量，并设立标志。</w:t>
            </w:r>
          </w:p>
          <w:p w14:paraId="6191AAD6">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11F1AE24">
            <w:pPr>
              <w:pStyle w:val="100"/>
              <w:keepNext w:val="0"/>
              <w:keepLines w:val="0"/>
              <w:pageBreakBefore w:val="0"/>
              <w:widowControl w:val="0"/>
              <w:kinsoku/>
              <w:overflowPunct/>
              <w:topLinePunct w:val="0"/>
              <w:autoSpaceDE/>
              <w:autoSpaceDN/>
              <w:bidi w:val="0"/>
              <w:spacing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表5-1排污口规范化标识示意图表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542"/>
              <w:gridCol w:w="1542"/>
              <w:gridCol w:w="1863"/>
              <w:gridCol w:w="1543"/>
            </w:tblGrid>
            <w:tr w14:paraId="70AF7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68CA4A83">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废水排放口</w:t>
                  </w:r>
                </w:p>
              </w:tc>
              <w:tc>
                <w:tcPr>
                  <w:tcW w:w="1491" w:type="dxa"/>
                </w:tcPr>
                <w:p w14:paraId="42A1E8C2">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废气排放口</w:t>
                  </w:r>
                </w:p>
              </w:tc>
              <w:tc>
                <w:tcPr>
                  <w:tcW w:w="1491" w:type="dxa"/>
                </w:tcPr>
                <w:p w14:paraId="3B1BEB16">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w:t>
                  </w:r>
                </w:p>
              </w:tc>
              <w:tc>
                <w:tcPr>
                  <w:tcW w:w="1801" w:type="dxa"/>
                </w:tcPr>
                <w:p w14:paraId="2357383D">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固体废弃物堆场</w:t>
                  </w:r>
                </w:p>
              </w:tc>
              <w:tc>
                <w:tcPr>
                  <w:tcW w:w="1492" w:type="dxa"/>
                </w:tcPr>
                <w:p w14:paraId="53A8E4BE">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危险废物暂存</w:t>
                  </w:r>
                </w:p>
              </w:tc>
            </w:tr>
            <w:tr w14:paraId="4F381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293F3EF5">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118745</wp:posOffset>
                        </wp:positionH>
                        <wp:positionV relativeFrom="paragraph">
                          <wp:posOffset>52705</wp:posOffset>
                        </wp:positionV>
                        <wp:extent cx="640715" cy="647700"/>
                        <wp:effectExtent l="0" t="0" r="6985" b="0"/>
                        <wp:wrapNone/>
                        <wp:docPr id="1060" name="图片 42" descr="排放口"/>
                        <wp:cNvGraphicFramePr/>
                        <a:graphic xmlns:a="http://schemas.openxmlformats.org/drawingml/2006/main">
                          <a:graphicData uri="http://schemas.openxmlformats.org/drawingml/2006/picture">
                            <pic:pic xmlns:pic="http://schemas.openxmlformats.org/drawingml/2006/picture">
                              <pic:nvPicPr>
                                <pic:cNvPr id="1060" name="图片 42" descr="排放口"/>
                                <pic:cNvPicPr/>
                              </pic:nvPicPr>
                              <pic:blipFill>
                                <a:blip r:embed="rId33" cstate="print"/>
                                <a:srcRect l="66771" t="5846" r="3780" b="55385"/>
                                <a:stretch>
                                  <a:fillRect/>
                                </a:stretch>
                              </pic:blipFill>
                              <pic:spPr>
                                <a:xfrm>
                                  <a:off x="0" y="0"/>
                                  <a:ext cx="640715" cy="647700"/>
                                </a:xfrm>
                                <a:prstGeom prst="rect">
                                  <a:avLst/>
                                </a:prstGeom>
                                <a:ln>
                                  <a:noFill/>
                                </a:ln>
                              </pic:spPr>
                            </pic:pic>
                          </a:graphicData>
                        </a:graphic>
                      </wp:anchor>
                    </w:drawing>
                  </w:r>
                </w:p>
              </w:tc>
              <w:tc>
                <w:tcPr>
                  <w:tcW w:w="1491" w:type="dxa"/>
                </w:tcPr>
                <w:p w14:paraId="1505F4D6">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105410</wp:posOffset>
                        </wp:positionH>
                        <wp:positionV relativeFrom="paragraph">
                          <wp:posOffset>54610</wp:posOffset>
                        </wp:positionV>
                        <wp:extent cx="637540" cy="647700"/>
                        <wp:effectExtent l="0" t="0" r="10160" b="0"/>
                        <wp:wrapNone/>
                        <wp:docPr id="1061" name="图片 43" descr="排放口"/>
                        <wp:cNvGraphicFramePr/>
                        <a:graphic xmlns:a="http://schemas.openxmlformats.org/drawingml/2006/main">
                          <a:graphicData uri="http://schemas.openxmlformats.org/drawingml/2006/picture">
                            <pic:pic xmlns:pic="http://schemas.openxmlformats.org/drawingml/2006/picture">
                              <pic:nvPicPr>
                                <pic:cNvPr id="1061" name="图片 43" descr="排放口"/>
                                <pic:cNvPicPr/>
                              </pic:nvPicPr>
                              <pic:blipFill>
                                <a:blip r:embed="rId34" cstate="print"/>
                                <a:srcRect l="19153" t="6250" r="51726" b="55122"/>
                                <a:stretch>
                                  <a:fillRect/>
                                </a:stretch>
                              </pic:blipFill>
                              <pic:spPr>
                                <a:xfrm>
                                  <a:off x="0" y="0"/>
                                  <a:ext cx="637540" cy="647700"/>
                                </a:xfrm>
                                <a:prstGeom prst="rect">
                                  <a:avLst/>
                                </a:prstGeom>
                                <a:ln>
                                  <a:noFill/>
                                </a:ln>
                              </pic:spPr>
                            </pic:pic>
                          </a:graphicData>
                        </a:graphic>
                      </wp:anchor>
                    </w:drawing>
                  </w:r>
                </w:p>
              </w:tc>
              <w:tc>
                <w:tcPr>
                  <w:tcW w:w="1491" w:type="dxa"/>
                </w:tcPr>
                <w:p w14:paraId="437CDE61">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85725</wp:posOffset>
                        </wp:positionH>
                        <wp:positionV relativeFrom="paragraph">
                          <wp:posOffset>48895</wp:posOffset>
                        </wp:positionV>
                        <wp:extent cx="638810" cy="647700"/>
                        <wp:effectExtent l="0" t="0" r="8890" b="0"/>
                        <wp:wrapNone/>
                        <wp:docPr id="1062" name="图片 44" descr="排放口"/>
                        <wp:cNvGraphicFramePr/>
                        <a:graphic xmlns:a="http://schemas.openxmlformats.org/drawingml/2006/main">
                          <a:graphicData uri="http://schemas.openxmlformats.org/drawingml/2006/picture">
                            <pic:pic xmlns:pic="http://schemas.openxmlformats.org/drawingml/2006/picture">
                              <pic:nvPicPr>
                                <pic:cNvPr id="1062" name="图片 44" descr="排放口"/>
                                <pic:cNvPicPr/>
                              </pic:nvPicPr>
                              <pic:blipFill>
                                <a:blip r:embed="rId35" cstate="print"/>
                                <a:srcRect l="51723" t="47942" r="27067" b="13129"/>
                                <a:stretch>
                                  <a:fillRect/>
                                </a:stretch>
                              </pic:blipFill>
                              <pic:spPr>
                                <a:xfrm>
                                  <a:off x="0" y="0"/>
                                  <a:ext cx="638810" cy="647700"/>
                                </a:xfrm>
                                <a:prstGeom prst="rect">
                                  <a:avLst/>
                                </a:prstGeom>
                                <a:ln>
                                  <a:noFill/>
                                </a:ln>
                              </pic:spPr>
                            </pic:pic>
                          </a:graphicData>
                        </a:graphic>
                      </wp:anchor>
                    </w:drawing>
                  </w:r>
                </w:p>
              </w:tc>
              <w:tc>
                <w:tcPr>
                  <w:tcW w:w="1801" w:type="dxa"/>
                </w:tcPr>
                <w:p w14:paraId="77915DDB">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152400</wp:posOffset>
                        </wp:positionH>
                        <wp:positionV relativeFrom="paragraph">
                          <wp:posOffset>50800</wp:posOffset>
                        </wp:positionV>
                        <wp:extent cx="652145" cy="647700"/>
                        <wp:effectExtent l="0" t="0" r="6350" b="0"/>
                        <wp:wrapNone/>
                        <wp:docPr id="1063" name="图片 46" descr="排放口"/>
                        <wp:cNvGraphicFramePr/>
                        <a:graphic xmlns:a="http://schemas.openxmlformats.org/drawingml/2006/main">
                          <a:graphicData uri="http://schemas.openxmlformats.org/drawingml/2006/picture">
                            <pic:pic xmlns:pic="http://schemas.openxmlformats.org/drawingml/2006/picture">
                              <pic:nvPicPr>
                                <pic:cNvPr id="1063" name="图片 46" descr="排放口"/>
                                <pic:cNvPicPr/>
                              </pic:nvPicPr>
                              <pic:blipFill>
                                <a:blip r:embed="rId36" cstate="print"/>
                                <a:srcRect l="18872" t="47525" r="51678" b="14358"/>
                                <a:stretch>
                                  <a:fillRect/>
                                </a:stretch>
                              </pic:blipFill>
                              <pic:spPr>
                                <a:xfrm>
                                  <a:off x="0" y="0"/>
                                  <a:ext cx="652145" cy="647700"/>
                                </a:xfrm>
                                <a:prstGeom prst="rect">
                                  <a:avLst/>
                                </a:prstGeom>
                                <a:ln>
                                  <a:noFill/>
                                </a:ln>
                              </pic:spPr>
                            </pic:pic>
                          </a:graphicData>
                        </a:graphic>
                      </wp:anchor>
                    </w:drawing>
                  </w:r>
                </w:p>
              </w:tc>
              <w:tc>
                <w:tcPr>
                  <w:tcW w:w="1492" w:type="dxa"/>
                </w:tcPr>
                <w:p w14:paraId="74FB8897">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15875</wp:posOffset>
                        </wp:positionH>
                        <wp:positionV relativeFrom="paragraph">
                          <wp:posOffset>50800</wp:posOffset>
                        </wp:positionV>
                        <wp:extent cx="673735" cy="687070"/>
                        <wp:effectExtent l="0" t="0" r="6350" b="3810"/>
                        <wp:wrapNone/>
                        <wp:docPr id="1064" name="图片 6"/>
                        <wp:cNvGraphicFramePr/>
                        <a:graphic xmlns:a="http://schemas.openxmlformats.org/drawingml/2006/main">
                          <a:graphicData uri="http://schemas.openxmlformats.org/drawingml/2006/picture">
                            <pic:pic xmlns:pic="http://schemas.openxmlformats.org/drawingml/2006/picture">
                              <pic:nvPicPr>
                                <pic:cNvPr id="1064" name="图片 6"/>
                                <pic:cNvPicPr/>
                              </pic:nvPicPr>
                              <pic:blipFill>
                                <a:blip r:embed="rId37" cstate="print"/>
                                <a:srcRect l="15968" t="5974" r="13557" b="48367"/>
                                <a:stretch>
                                  <a:fillRect/>
                                </a:stretch>
                              </pic:blipFill>
                              <pic:spPr>
                                <a:xfrm>
                                  <a:off x="0" y="0"/>
                                  <a:ext cx="673735" cy="687070"/>
                                </a:xfrm>
                                <a:prstGeom prst="rect">
                                  <a:avLst/>
                                </a:prstGeom>
                                <a:ln>
                                  <a:noFill/>
                                </a:ln>
                              </pic:spPr>
                            </pic:pic>
                          </a:graphicData>
                        </a:graphic>
                      </wp:anchor>
                    </w:drawing>
                  </w: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-29210</wp:posOffset>
                        </wp:positionH>
                        <wp:positionV relativeFrom="paragraph">
                          <wp:posOffset>81280</wp:posOffset>
                        </wp:positionV>
                        <wp:extent cx="720090" cy="597535"/>
                        <wp:effectExtent l="0" t="0" r="3175" b="6985"/>
                        <wp:wrapNone/>
                        <wp:docPr id="1065" name="图片 45" descr="危废"/>
                        <wp:cNvGraphicFramePr/>
                        <a:graphic xmlns:a="http://schemas.openxmlformats.org/drawingml/2006/main">
                          <a:graphicData uri="http://schemas.openxmlformats.org/drawingml/2006/picture">
                            <pic:pic xmlns:pic="http://schemas.openxmlformats.org/drawingml/2006/picture">
                              <pic:nvPicPr>
                                <pic:cNvPr id="1065" name="图片 45" descr="危废"/>
                                <pic:cNvPicPr/>
                              </pic:nvPicPr>
                              <pic:blipFill>
                                <a:blip r:embed="rId38" cstate="print"/>
                                <a:srcRect t="15695" r="57016" b="30949"/>
                                <a:stretch>
                                  <a:fillRect/>
                                </a:stretch>
                              </pic:blipFill>
                              <pic:spPr>
                                <a:xfrm>
                                  <a:off x="0" y="0"/>
                                  <a:ext cx="720090" cy="597535"/>
                                </a:xfrm>
                                <a:prstGeom prst="rect">
                                  <a:avLst/>
                                </a:prstGeom>
                                <a:ln>
                                  <a:noFill/>
                                </a:ln>
                              </pic:spPr>
                            </pic:pic>
                          </a:graphicData>
                        </a:graphic>
                      </wp:anchor>
                    </w:drawing>
                  </w:r>
                </w:p>
              </w:tc>
            </w:tr>
            <w:tr w14:paraId="36578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61AC53BF">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背景颜色：绿色            图形颜色：白色</w:t>
                  </w:r>
                </w:p>
              </w:tc>
              <w:tc>
                <w:tcPr>
                  <w:tcW w:w="1492" w:type="dxa"/>
                </w:tcPr>
                <w:p w14:paraId="55C6E114">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r>
          </w:tbl>
          <w:p w14:paraId="123D8467">
            <w:pPr>
              <w:pStyle w:val="104"/>
              <w:keepNext w:val="0"/>
              <w:keepLines w:val="0"/>
              <w:pageBreakBefore w:val="0"/>
              <w:widowControl w:val="0"/>
              <w:numPr>
                <w:ilvl w:val="0"/>
                <w:numId w:val="0"/>
              </w:numPr>
              <w:kinsoku/>
              <w:overflowPunct/>
              <w:topLinePunct w:val="0"/>
              <w:autoSpaceDE/>
              <w:autoSpaceDN/>
              <w:bidi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（三）</w:t>
            </w:r>
            <w:r>
              <w:rPr>
                <w:rFonts w:hint="default" w:ascii="Times New Roman" w:hAnsi="Times New Roman" w:cs="Times New Roman"/>
                <w:color w:val="auto"/>
                <w:sz w:val="21"/>
                <w:szCs w:val="21"/>
                <w:highlight w:val="none"/>
              </w:rPr>
              <w:t>排污许可</w:t>
            </w:r>
          </w:p>
          <w:p w14:paraId="263B9395">
            <w:pPr>
              <w:keepNext w:val="0"/>
              <w:keepLines w:val="0"/>
              <w:pageBreakBefore w:val="0"/>
              <w:widowControl w:val="0"/>
              <w:kinsoku/>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根据《固定污染源排污许可分类管理名录（2019版）》，对本项目排污许可分类进行判定，具体如下：</w:t>
            </w:r>
          </w:p>
          <w:p w14:paraId="11FC1CC8">
            <w:pPr>
              <w:pStyle w:val="100"/>
              <w:keepNext w:val="0"/>
              <w:keepLines w:val="0"/>
              <w:pageBreakBefore w:val="0"/>
              <w:widowControl w:val="0"/>
              <w:kinsoku/>
              <w:overflowPunct/>
              <w:topLinePunct w:val="0"/>
              <w:autoSpaceDE/>
              <w:autoSpaceDN/>
              <w:bidi w:val="0"/>
              <w:spacing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表5-2 项目排污许可类别判定表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304"/>
              <w:gridCol w:w="1571"/>
              <w:gridCol w:w="1759"/>
              <w:gridCol w:w="1128"/>
              <w:gridCol w:w="1186"/>
            </w:tblGrid>
            <w:tr w14:paraId="2282F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restart"/>
                  <w:tcBorders>
                    <w:tl2br w:val="nil"/>
                    <w:tr2bl w:val="nil"/>
                  </w:tcBorders>
                  <w:vAlign w:val="center"/>
                </w:tcPr>
                <w:p w14:paraId="16A37304">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国民经济行业类别</w:t>
                  </w:r>
                </w:p>
              </w:tc>
              <w:tc>
                <w:tcPr>
                  <w:tcW w:w="812" w:type="pct"/>
                  <w:vMerge w:val="restart"/>
                  <w:tcBorders>
                    <w:tl2br w:val="nil"/>
                    <w:tr2bl w:val="nil"/>
                  </w:tcBorders>
                  <w:vAlign w:val="center"/>
                </w:tcPr>
                <w:p w14:paraId="41E2B6AB">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建设项目行业类别</w:t>
                  </w:r>
                </w:p>
              </w:tc>
              <w:tc>
                <w:tcPr>
                  <w:tcW w:w="3513" w:type="pct"/>
                  <w:gridSpan w:val="4"/>
                  <w:tcBorders>
                    <w:tl2br w:val="nil"/>
                    <w:tr2bl w:val="nil"/>
                  </w:tcBorders>
                  <w:vAlign w:val="center"/>
                </w:tcPr>
                <w:p w14:paraId="726D5F92">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排污许可类别判定</w:t>
                  </w:r>
                </w:p>
              </w:tc>
            </w:tr>
            <w:tr w14:paraId="43416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tcBorders>
                    <w:tl2br w:val="nil"/>
                    <w:tr2bl w:val="nil"/>
                  </w:tcBorders>
                  <w:vAlign w:val="center"/>
                </w:tcPr>
                <w:p w14:paraId="34B404DD">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812" w:type="pct"/>
                  <w:vMerge w:val="continue"/>
                  <w:tcBorders>
                    <w:tl2br w:val="nil"/>
                    <w:tr2bl w:val="nil"/>
                  </w:tcBorders>
                  <w:vAlign w:val="center"/>
                </w:tcPr>
                <w:p w14:paraId="1033043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978" w:type="pct"/>
                  <w:tcBorders>
                    <w:tl2br w:val="nil"/>
                    <w:tr2bl w:val="nil"/>
                  </w:tcBorders>
                  <w:vAlign w:val="center"/>
                </w:tcPr>
                <w:p w14:paraId="2DE15433">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重点管理</w:t>
                  </w:r>
                </w:p>
              </w:tc>
              <w:tc>
                <w:tcPr>
                  <w:tcW w:w="1095" w:type="pct"/>
                  <w:tcBorders>
                    <w:tl2br w:val="nil"/>
                    <w:tr2bl w:val="nil"/>
                  </w:tcBorders>
                  <w:vAlign w:val="center"/>
                </w:tcPr>
                <w:p w14:paraId="38DA2CD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简化管理</w:t>
                  </w:r>
                </w:p>
              </w:tc>
              <w:tc>
                <w:tcPr>
                  <w:tcW w:w="702" w:type="pct"/>
                  <w:tcBorders>
                    <w:tl2br w:val="nil"/>
                    <w:tr2bl w:val="nil"/>
                  </w:tcBorders>
                  <w:vAlign w:val="center"/>
                </w:tcPr>
                <w:p w14:paraId="27041009">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登记管理</w:t>
                  </w:r>
                </w:p>
              </w:tc>
              <w:tc>
                <w:tcPr>
                  <w:tcW w:w="737" w:type="pct"/>
                  <w:tcBorders>
                    <w:tl2br w:val="nil"/>
                    <w:tr2bl w:val="nil"/>
                  </w:tcBorders>
                  <w:vAlign w:val="center"/>
                </w:tcPr>
                <w:p w14:paraId="1FE1DC9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w:t>
                  </w:r>
                </w:p>
              </w:tc>
            </w:tr>
            <w:tr w14:paraId="05F7B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tcBorders>
                    <w:tl2br w:val="nil"/>
                    <w:tr2bl w:val="nil"/>
                  </w:tcBorders>
                  <w:vAlign w:val="center"/>
                </w:tcPr>
                <w:p w14:paraId="30189BCA">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3062玻璃纤维增强塑料制品制造</w:t>
                  </w:r>
                </w:p>
              </w:tc>
              <w:tc>
                <w:tcPr>
                  <w:tcW w:w="812" w:type="pct"/>
                  <w:tcBorders>
                    <w:tl2br w:val="nil"/>
                    <w:tr2bl w:val="nil"/>
                  </w:tcBorders>
                  <w:vAlign w:val="center"/>
                </w:tcPr>
                <w:p w14:paraId="79A9373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二十七－非金属矿物制品业30－58、玻璃纤维和玻璃纤维增强塑料制品制造306</w:t>
                  </w:r>
                </w:p>
              </w:tc>
              <w:tc>
                <w:tcPr>
                  <w:tcW w:w="978" w:type="pct"/>
                  <w:tcBorders>
                    <w:tl2br w:val="nil"/>
                    <w:tr2bl w:val="nil"/>
                  </w:tcBorders>
                  <w:vAlign w:val="center"/>
                </w:tcPr>
                <w:p w14:paraId="51CB9FDF">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以煤、石油焦、油和发生炉煤气为燃料的</w:t>
                  </w:r>
                </w:p>
              </w:tc>
              <w:tc>
                <w:tcPr>
                  <w:tcW w:w="1095" w:type="pct"/>
                  <w:tcBorders>
                    <w:tl2br w:val="nil"/>
                    <w:tr2bl w:val="nil"/>
                  </w:tcBorders>
                  <w:vAlign w:val="center"/>
                </w:tcPr>
                <w:p w14:paraId="05449285">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shd w:val="clear" w:color="auto" w:fill="FFFFFF"/>
                    </w:rPr>
                    <w:t>以天然气为燃料的</w:t>
                  </w:r>
                </w:p>
              </w:tc>
              <w:tc>
                <w:tcPr>
                  <w:tcW w:w="702" w:type="pct"/>
                  <w:tcBorders>
                    <w:tl2br w:val="nil"/>
                    <w:tr2bl w:val="nil"/>
                  </w:tcBorders>
                  <w:vAlign w:val="center"/>
                </w:tcPr>
                <w:p w14:paraId="04EE2D2F">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w:t>
                  </w:r>
                </w:p>
              </w:tc>
              <w:tc>
                <w:tcPr>
                  <w:tcW w:w="737" w:type="pct"/>
                  <w:tcBorders>
                    <w:tl2br w:val="nil"/>
                    <w:tr2bl w:val="nil"/>
                  </w:tcBorders>
                  <w:vAlign w:val="center"/>
                </w:tcPr>
                <w:p w14:paraId="076D3058">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本项目生产过程使用电能，实行登记管理</w:t>
                  </w:r>
                </w:p>
              </w:tc>
            </w:tr>
            <w:tr w14:paraId="06CD7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tcBorders>
                    <w:tl2br w:val="nil"/>
                    <w:tr2bl w:val="nil"/>
                  </w:tcBorders>
                  <w:vAlign w:val="center"/>
                </w:tcPr>
                <w:p w14:paraId="6A8696BC">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石墨及其他非金属矿物制品制造309</w:t>
                  </w:r>
                </w:p>
              </w:tc>
              <w:tc>
                <w:tcPr>
                  <w:tcW w:w="812" w:type="pct"/>
                  <w:tcBorders>
                    <w:tl2br w:val="nil"/>
                    <w:tr2bl w:val="nil"/>
                  </w:tcBorders>
                  <w:vAlign w:val="center"/>
                </w:tcPr>
                <w:p w14:paraId="6ABE54B1">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60、石墨及其他非金属矿物制品制造309</w:t>
                  </w:r>
                </w:p>
              </w:tc>
              <w:tc>
                <w:tcPr>
                  <w:tcW w:w="978" w:type="pct"/>
                  <w:tcBorders>
                    <w:tl2br w:val="nil"/>
                    <w:tr2bl w:val="nil"/>
                  </w:tcBorders>
                  <w:vAlign w:val="center"/>
                </w:tcPr>
                <w:p w14:paraId="5CB35F4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石墨及碳素制品制造3091（石墨制品、碳制品、碳素新材料），其他非金属矿物制品制造3099（多晶硅棒）</w:t>
                  </w:r>
                </w:p>
              </w:tc>
              <w:tc>
                <w:tcPr>
                  <w:tcW w:w="1095" w:type="pct"/>
                  <w:tcBorders>
                    <w:tl2br w:val="nil"/>
                    <w:tr2bl w:val="nil"/>
                  </w:tcBorders>
                  <w:vAlign w:val="center"/>
                </w:tcPr>
                <w:p w14:paraId="55EDE3A8">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石墨及碳素制品制造3091（除石墨制品、碳制品、碳素新材料以外的），其他非金属矿物制品制造3099（单晶硅棒，沥青混合物）</w:t>
                  </w:r>
                </w:p>
              </w:tc>
              <w:tc>
                <w:tcPr>
                  <w:tcW w:w="702" w:type="pct"/>
                  <w:tcBorders>
                    <w:tl2br w:val="nil"/>
                    <w:tr2bl w:val="nil"/>
                  </w:tcBorders>
                  <w:vAlign w:val="center"/>
                </w:tcPr>
                <w:p w14:paraId="4C00102C">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其他非金属矿物制品制造3099（除重点管理、简化管理以外的）</w:t>
                  </w:r>
                </w:p>
              </w:tc>
              <w:tc>
                <w:tcPr>
                  <w:tcW w:w="737" w:type="pct"/>
                  <w:tcBorders>
                    <w:tl2br w:val="nil"/>
                    <w:tr2bl w:val="nil"/>
                  </w:tcBorders>
                  <w:vAlign w:val="center"/>
                </w:tcPr>
                <w:p w14:paraId="52881C93">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本项目生产碳制品，实行重点管理。</w:t>
                  </w:r>
                </w:p>
              </w:tc>
            </w:tr>
          </w:tbl>
          <w:p w14:paraId="07AA8200">
            <w:pPr>
              <w:pStyle w:val="27"/>
              <w:keepNext w:val="0"/>
              <w:keepLines w:val="0"/>
              <w:pageBreakBefore w:val="0"/>
              <w:widowControl w:val="0"/>
              <w:numPr>
                <w:ilvl w:val="0"/>
                <w:numId w:val="0"/>
              </w:numPr>
              <w:kinsoku/>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对照名录分析，本项目属于登记管理。本项目启动生产设施或者实际排污之前应</w:t>
            </w:r>
            <w:r>
              <w:rPr>
                <w:rFonts w:hint="eastAsia" w:cs="Times New Roman"/>
                <w:color w:val="auto"/>
                <w:sz w:val="21"/>
                <w:szCs w:val="21"/>
                <w:highlight w:val="none"/>
                <w:lang w:val="en-US" w:eastAsia="zh-CN"/>
              </w:rPr>
              <w:t>进行</w:t>
            </w:r>
            <w:r>
              <w:rPr>
                <w:rFonts w:hint="default" w:ascii="Times New Roman" w:hAnsi="Times New Roman" w:cs="Times New Roman"/>
                <w:color w:val="auto"/>
                <w:sz w:val="21"/>
                <w:szCs w:val="21"/>
                <w:highlight w:val="none"/>
                <w:lang w:val="en-US" w:eastAsia="zh-CN"/>
              </w:rPr>
              <w:t>排污许可登记</w:t>
            </w:r>
            <w:r>
              <w:rPr>
                <w:rFonts w:hint="default" w:ascii="Times New Roman" w:hAnsi="Times New Roman" w:cs="Times New Roman"/>
                <w:color w:val="auto"/>
                <w:sz w:val="21"/>
                <w:szCs w:val="21"/>
                <w:highlight w:val="none"/>
              </w:rPr>
              <w:t>。</w:t>
            </w:r>
          </w:p>
          <w:p w14:paraId="2759C6E2">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（四）竣工验收要求</w:t>
            </w:r>
          </w:p>
          <w:p w14:paraId="6151D03B">
            <w:pPr>
              <w:pStyle w:val="103"/>
              <w:keepNext w:val="0"/>
              <w:keepLines w:val="0"/>
              <w:pageBreakBefore w:val="0"/>
              <w:widowControl w:val="0"/>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根据《建设项目竣工环境保护验收暂行办法》（国环规环评〔2017〕4号），建设单位自行验收。本项目自行验收要求如下： </w:t>
            </w:r>
          </w:p>
          <w:p w14:paraId="7084B41C">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329E0F48">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36BA09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存在下列情形之一的建设项目，不得通过竣工环境保护验收： </w:t>
            </w:r>
          </w:p>
          <w:p w14:paraId="508DEDB8">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未按环境影响报告表及其审批部门审批决定要求建成环境保护设施，或者环境保护设施不能与主体工程同时投产或者使用的；</w:t>
            </w:r>
          </w:p>
          <w:p w14:paraId="0BAE39C6">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污染物排放不符合国家和地方相关标准、环境影响报告书及其审批部门审批决定或者重点污染物排放总量控制指标要求的；</w:t>
            </w:r>
          </w:p>
          <w:p w14:paraId="27E0AF24">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环境影响报告表经批准后，该建设项目的性质、规模、地点、采用的生产工艺或者防治污染、防止生态破坏的措施发生重大变动，建设单位未重新报批环境影响报告书或者环境影响报告书未经批准的； </w:t>
            </w:r>
          </w:p>
          <w:p w14:paraId="2CC8CC21">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建设过程中造成重大环境污染未治理完成，或者造成重大生态破坏未恢复的； </w:t>
            </w:r>
          </w:p>
          <w:p w14:paraId="5E76A6D9">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纳入排污许可管理的建设项目，无证排污或者不按证排污的；</w:t>
            </w:r>
          </w:p>
          <w:p w14:paraId="03CE92A5">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建设单位因该建设项目违反国家和地方环境保护法律法规受到处罚，被责令改正，尚未改正完成的；</w:t>
            </w:r>
          </w:p>
          <w:p w14:paraId="405D6068">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验收报告的基础资料数据明显不实，内容存在重大缺项、遗漏，或者验收结论不明确、不合理的。</w:t>
            </w:r>
          </w:p>
          <w:p w14:paraId="42AEE451">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w:t>
            </w:r>
            <w:r>
              <w:rPr>
                <w:rFonts w:hint="default" w:ascii="Times New Roman" w:hAnsi="Times New Roman" w:cs="Times New Roman"/>
                <w:color w:val="auto"/>
                <w:sz w:val="21"/>
                <w:szCs w:val="21"/>
                <w:highlight w:val="none"/>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65B2C967">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建设项目配套建设的环境保护设施竣工后，公开竣工日期；</w:t>
            </w:r>
          </w:p>
          <w:p w14:paraId="276801CC">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对建设项目配套建设的环境保护设施进行调试前，公开调试的起止日期；</w:t>
            </w:r>
          </w:p>
          <w:p w14:paraId="3BE7EB43">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验收报告编制完成后5个工作日内，公开验收报告，公示的期限不得少于20个工作日。</w:t>
            </w:r>
          </w:p>
          <w:p w14:paraId="6267BED8">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default" w:ascii="Times New Roman" w:hAnsi="Times New Roman" w:cs="Times New Roman"/>
                <w:color w:val="auto"/>
                <w:sz w:val="21"/>
                <w:szCs w:val="21"/>
                <w:highlight w:val="none"/>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5EA418FF">
            <w:pPr>
              <w:pStyle w:val="103"/>
              <w:keepNext w:val="0"/>
              <w:keepLines w:val="0"/>
              <w:pageBreakBefore w:val="0"/>
              <w:widowControl w:val="0"/>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p>
          <w:p w14:paraId="70AB3B1E">
            <w:pPr>
              <w:pStyle w:val="103"/>
              <w:keepNext w:val="0"/>
              <w:keepLines w:val="0"/>
              <w:pageBreakBefore w:val="0"/>
              <w:widowControl w:val="0"/>
              <w:kinsoku/>
              <w:overflowPunct/>
              <w:topLinePunct w:val="0"/>
              <w:autoSpaceDE/>
              <w:autoSpaceDN/>
              <w:bidi w:val="0"/>
              <w:spacing w:before="0" w:after="0" w:line="240" w:lineRule="auto"/>
              <w:jc w:val="both"/>
              <w:textAlignment w:val="auto"/>
              <w:rPr>
                <w:rFonts w:hint="default" w:ascii="Times New Roman" w:hAnsi="Times New Roman" w:cs="Times New Roman"/>
                <w:color w:val="auto"/>
                <w:sz w:val="21"/>
                <w:szCs w:val="21"/>
                <w:highlight w:val="none"/>
              </w:rPr>
            </w:pPr>
          </w:p>
          <w:p w14:paraId="4F9DB464">
            <w:pPr>
              <w:pStyle w:val="103"/>
              <w:keepNext w:val="0"/>
              <w:keepLines w:val="0"/>
              <w:pageBreakBefore w:val="0"/>
              <w:widowControl w:val="0"/>
              <w:kinsoku/>
              <w:overflowPunct/>
              <w:topLinePunct w:val="0"/>
              <w:autoSpaceDE/>
              <w:autoSpaceDN/>
              <w:bidi w:val="0"/>
              <w:spacing w:before="0" w:after="0" w:line="240" w:lineRule="auto"/>
              <w:jc w:val="both"/>
              <w:textAlignment w:val="auto"/>
              <w:rPr>
                <w:rFonts w:hint="default" w:ascii="Times New Roman" w:hAnsi="Times New Roman" w:cs="Times New Roman"/>
                <w:color w:val="auto"/>
                <w:sz w:val="21"/>
                <w:szCs w:val="21"/>
                <w:highlight w:val="none"/>
              </w:rPr>
            </w:pPr>
          </w:p>
        </w:tc>
      </w:tr>
    </w:tbl>
    <w:p w14:paraId="3C602DEC">
      <w:pPr>
        <w:pStyle w:val="18"/>
        <w:numPr>
          <w:ilvl w:val="0"/>
          <w:numId w:val="0"/>
        </w:numPr>
        <w:rPr>
          <w:rFonts w:hint="default" w:ascii="Times New Roman" w:hAnsi="Times New Roman" w:cs="Times New Roman"/>
          <w:color w:val="auto"/>
          <w:highlight w:val="none"/>
        </w:rPr>
      </w:pPr>
      <w:bookmarkStart w:id="117" w:name="_Toc401"/>
      <w:r>
        <w:rPr>
          <w:rFonts w:hint="default" w:ascii="Times New Roman" w:hAnsi="Times New Roman" w:cs="Times New Roman"/>
          <w:color w:val="auto"/>
          <w:highlight w:val="none"/>
        </w:rPr>
        <w:t>六、结论</w:t>
      </w:r>
      <w:bookmarkEnd w:id="116"/>
      <w:bookmarkEnd w:id="117"/>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43C6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79AEC7DA">
            <w:pPr>
              <w:adjustRightInd w:val="0"/>
              <w:ind w:firstLine="480" w:firstLineChars="200"/>
              <w:rPr>
                <w:rFonts w:hint="default" w:ascii="Times New Roman" w:hAnsi="Times New Roman" w:cs="Times New Roman"/>
                <w:bCs/>
                <w:color w:val="auto"/>
                <w:kern w:val="0"/>
                <w:highlight w:val="none"/>
              </w:rPr>
            </w:pPr>
          </w:p>
          <w:p w14:paraId="055D37E6">
            <w:pPr>
              <w:adjustRightInd w:val="0"/>
              <w:ind w:firstLine="480" w:firstLineChars="200"/>
              <w:rPr>
                <w:rFonts w:hint="default" w:ascii="Times New Roman" w:hAnsi="Times New Roman" w:cs="Times New Roman"/>
                <w:bCs/>
                <w:color w:val="auto"/>
                <w:kern w:val="0"/>
                <w:highlight w:val="none"/>
              </w:rPr>
            </w:pPr>
          </w:p>
          <w:p w14:paraId="4402F85E">
            <w:pPr>
              <w:adjustRightInd w:val="0"/>
              <w:ind w:firstLine="480" w:firstLineChars="200"/>
              <w:rPr>
                <w:rFonts w:hint="default" w:ascii="Times New Roman" w:hAnsi="Times New Roman" w:cs="Times New Roman"/>
                <w:bCs/>
                <w:color w:val="auto"/>
                <w:kern w:val="0"/>
                <w:highlight w:val="none"/>
              </w:rPr>
            </w:pPr>
          </w:p>
          <w:p w14:paraId="25022D38">
            <w:pPr>
              <w:adjustRightInd w:val="0"/>
              <w:ind w:firstLine="480" w:firstLineChars="200"/>
              <w:rPr>
                <w:rFonts w:hint="default" w:ascii="Times New Roman" w:hAnsi="Times New Roman" w:cs="Times New Roman"/>
                <w:bCs/>
                <w:color w:val="auto"/>
                <w:kern w:val="0"/>
                <w:highlight w:val="none"/>
              </w:rPr>
            </w:pPr>
          </w:p>
          <w:p w14:paraId="5852E38A">
            <w:pPr>
              <w:adjustRightInd w:val="0"/>
              <w:ind w:firstLine="480" w:firstLineChars="200"/>
              <w:rPr>
                <w:rFonts w:hint="default" w:ascii="Times New Roman" w:hAnsi="Times New Roman" w:cs="Times New Roman"/>
                <w:bCs/>
                <w:color w:val="auto"/>
                <w:kern w:val="0"/>
                <w:highlight w:val="none"/>
              </w:rPr>
            </w:pPr>
          </w:p>
          <w:p w14:paraId="7C4C3AD5">
            <w:pPr>
              <w:adjustRightInd w:val="0"/>
              <w:ind w:firstLine="480" w:firstLineChars="200"/>
              <w:rPr>
                <w:rFonts w:hint="default" w:ascii="Times New Roman" w:hAnsi="Times New Roman" w:cs="Times New Roman"/>
                <w:bCs/>
                <w:color w:val="auto"/>
                <w:kern w:val="0"/>
                <w:highlight w:val="none"/>
              </w:rPr>
            </w:pPr>
          </w:p>
          <w:p w14:paraId="2FB1EE15">
            <w:pPr>
              <w:rPr>
                <w:rFonts w:hint="default" w:ascii="Times New Roman" w:hAnsi="Times New Roman" w:cs="Times New Roman"/>
                <w:color w:val="auto"/>
                <w:highlight w:val="none"/>
              </w:rPr>
            </w:pPr>
          </w:p>
          <w:p w14:paraId="5A68BA09">
            <w:pPr>
              <w:adjustRightInd w:val="0"/>
              <w:ind w:firstLine="480" w:firstLineChars="200"/>
              <w:rPr>
                <w:rFonts w:hint="default" w:ascii="Times New Roman" w:hAnsi="Times New Roman" w:cs="Times New Roman"/>
                <w:bCs/>
                <w:color w:val="auto"/>
                <w:kern w:val="0"/>
                <w:highlight w:val="none"/>
              </w:rPr>
            </w:pPr>
          </w:p>
          <w:p w14:paraId="0613A90E">
            <w:pPr>
              <w:adjustRightInd w:val="0"/>
              <w:ind w:firstLine="480" w:firstLineChars="200"/>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3F348B09">
            <w:pPr>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02D31E04">
            <w:pPr>
              <w:rPr>
                <w:rFonts w:hint="default" w:ascii="Times New Roman" w:hAnsi="Times New Roman" w:cs="Times New Roman"/>
                <w:color w:val="auto"/>
                <w:highlight w:val="none"/>
              </w:rPr>
            </w:pPr>
          </w:p>
          <w:p w14:paraId="3DB7CA92">
            <w:pPr>
              <w:rPr>
                <w:rFonts w:hint="default" w:ascii="Times New Roman" w:hAnsi="Times New Roman" w:cs="Times New Roman"/>
                <w:color w:val="auto"/>
                <w:highlight w:val="none"/>
              </w:rPr>
            </w:pPr>
          </w:p>
          <w:p w14:paraId="43EAEB1C">
            <w:pPr>
              <w:rPr>
                <w:rFonts w:hint="default" w:ascii="Times New Roman" w:hAnsi="Times New Roman" w:cs="Times New Roman"/>
                <w:color w:val="auto"/>
                <w:highlight w:val="none"/>
              </w:rPr>
            </w:pPr>
          </w:p>
          <w:p w14:paraId="4BC13D30">
            <w:pPr>
              <w:rPr>
                <w:rFonts w:hint="default" w:ascii="Times New Roman" w:hAnsi="Times New Roman" w:cs="Times New Roman"/>
                <w:color w:val="auto"/>
                <w:highlight w:val="none"/>
              </w:rPr>
            </w:pPr>
          </w:p>
          <w:p w14:paraId="7397F0B5">
            <w:pPr>
              <w:rPr>
                <w:rFonts w:hint="default" w:ascii="Times New Roman" w:hAnsi="Times New Roman" w:cs="Times New Roman"/>
                <w:color w:val="auto"/>
                <w:highlight w:val="none"/>
              </w:rPr>
            </w:pPr>
          </w:p>
          <w:p w14:paraId="0B0FB60D">
            <w:pPr>
              <w:rPr>
                <w:rFonts w:hint="default" w:ascii="Times New Roman" w:hAnsi="Times New Roman" w:cs="Times New Roman"/>
                <w:color w:val="auto"/>
                <w:highlight w:val="none"/>
              </w:rPr>
            </w:pPr>
          </w:p>
        </w:tc>
      </w:tr>
    </w:tbl>
    <w:p w14:paraId="7266F176">
      <w:pPr>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F8096E0">
      <w:pPr>
        <w:jc w:val="left"/>
        <w:outlineLvl w:val="0"/>
        <w:rPr>
          <w:rFonts w:hint="default" w:ascii="Times New Roman" w:hAnsi="Times New Roman" w:eastAsia="宋体" w:cs="Times New Roman"/>
          <w:color w:val="auto"/>
          <w:sz w:val="28"/>
          <w:szCs w:val="28"/>
          <w:highlight w:val="none"/>
          <w:lang w:val="en-US" w:eastAsia="zh-CN"/>
        </w:rPr>
      </w:pPr>
      <w:bookmarkStart w:id="118" w:name="_Toc8548"/>
      <w:bookmarkStart w:id="119" w:name="_Toc19831"/>
      <w:r>
        <w:rPr>
          <w:rFonts w:hint="default" w:ascii="Times New Roman" w:hAnsi="Times New Roman" w:eastAsia="宋体" w:cs="Times New Roman"/>
          <w:color w:val="auto"/>
          <w:sz w:val="28"/>
          <w:szCs w:val="28"/>
          <w:highlight w:val="none"/>
          <w:lang w:val="en-US" w:eastAsia="zh-CN"/>
        </w:rPr>
        <w:t>附表</w:t>
      </w:r>
      <w:bookmarkEnd w:id="118"/>
    </w:p>
    <w:p w14:paraId="239E49BA">
      <w:pPr>
        <w:jc w:val="center"/>
        <w:outlineLvl w:val="9"/>
        <w:rPr>
          <w:rFonts w:hint="default" w:ascii="Times New Roman" w:hAnsi="Times New Roman" w:eastAsia="黑体" w:cs="Times New Roman"/>
          <w:color w:val="auto"/>
          <w:sz w:val="40"/>
          <w:szCs w:val="40"/>
          <w:highlight w:val="none"/>
        </w:rPr>
      </w:pPr>
      <w:r>
        <w:rPr>
          <w:rFonts w:hint="default" w:ascii="Times New Roman" w:hAnsi="Times New Roman" w:eastAsia="黑体" w:cs="Times New Roman"/>
          <w:color w:val="auto"/>
          <w:sz w:val="40"/>
          <w:szCs w:val="40"/>
          <w:highlight w:val="none"/>
        </w:rPr>
        <w:t>建设项目污染物排放量汇总表</w:t>
      </w:r>
      <w:bookmarkEnd w:id="11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261"/>
        <w:gridCol w:w="942"/>
        <w:gridCol w:w="1386"/>
        <w:gridCol w:w="1562"/>
        <w:gridCol w:w="1479"/>
        <w:gridCol w:w="1651"/>
        <w:gridCol w:w="1564"/>
        <w:gridCol w:w="1720"/>
        <w:gridCol w:w="1407"/>
      </w:tblGrid>
      <w:tr w14:paraId="69DDC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tcBorders>
              <w:tl2br w:val="single" w:color="auto" w:sz="4" w:space="0"/>
            </w:tcBorders>
            <w:vAlign w:val="center"/>
          </w:tcPr>
          <w:p w14:paraId="327F803E">
            <w:pPr>
              <w:spacing w:line="240" w:lineRule="auto"/>
              <w:jc w:val="right"/>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项目</w:t>
            </w:r>
          </w:p>
          <w:p w14:paraId="2B24A249">
            <w:pPr>
              <w:spacing w:line="240" w:lineRule="auto"/>
              <w:rPr>
                <w:rFonts w:hint="default" w:ascii="Times New Roman" w:hAnsi="Times New Roman" w:cs="Times New Roman"/>
                <w:color w:val="auto"/>
                <w:sz w:val="21"/>
                <w:szCs w:val="21"/>
                <w:highlight w:val="none"/>
              </w:rPr>
            </w:pPr>
            <w:r>
              <w:rPr>
                <w:rFonts w:hint="default" w:ascii="Times New Roman" w:hAnsi="Times New Roman" w:eastAsia="黑体" w:cs="Times New Roman"/>
                <w:color w:val="auto"/>
                <w:sz w:val="21"/>
                <w:szCs w:val="21"/>
                <w:highlight w:val="none"/>
              </w:rPr>
              <w:t>分类</w:t>
            </w:r>
          </w:p>
        </w:tc>
        <w:tc>
          <w:tcPr>
            <w:tcW w:w="2203" w:type="dxa"/>
            <w:gridSpan w:val="2"/>
            <w:vAlign w:val="center"/>
          </w:tcPr>
          <w:p w14:paraId="42C3361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污染物名称</w:t>
            </w:r>
          </w:p>
        </w:tc>
        <w:tc>
          <w:tcPr>
            <w:tcW w:w="1386" w:type="dxa"/>
            <w:vAlign w:val="center"/>
          </w:tcPr>
          <w:p w14:paraId="18262DEC">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现有工程排放量（固体废物产生量）①</w:t>
            </w:r>
          </w:p>
        </w:tc>
        <w:tc>
          <w:tcPr>
            <w:tcW w:w="1562" w:type="dxa"/>
            <w:vAlign w:val="center"/>
          </w:tcPr>
          <w:p w14:paraId="4D1BC638">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现有工程排污许可排放量②</w:t>
            </w:r>
          </w:p>
        </w:tc>
        <w:tc>
          <w:tcPr>
            <w:tcW w:w="1479" w:type="dxa"/>
            <w:vAlign w:val="center"/>
          </w:tcPr>
          <w:p w14:paraId="40D73BA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在建工程排放量（固体废物产生量）③</w:t>
            </w:r>
          </w:p>
        </w:tc>
        <w:tc>
          <w:tcPr>
            <w:tcW w:w="1651" w:type="dxa"/>
            <w:vAlign w:val="center"/>
          </w:tcPr>
          <w:p w14:paraId="6256AE9F">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本项目排放量（固体废物产生量）④</w:t>
            </w:r>
          </w:p>
        </w:tc>
        <w:tc>
          <w:tcPr>
            <w:tcW w:w="1564" w:type="dxa"/>
            <w:vAlign w:val="center"/>
          </w:tcPr>
          <w:p w14:paraId="2467091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以新带老削减量（新建项目不填）⑤</w:t>
            </w:r>
          </w:p>
        </w:tc>
        <w:tc>
          <w:tcPr>
            <w:tcW w:w="1720" w:type="dxa"/>
            <w:vAlign w:val="center"/>
          </w:tcPr>
          <w:p w14:paraId="0D2768FF">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本项目建成后全厂排放量（固体废物产生量）⑥</w:t>
            </w:r>
          </w:p>
        </w:tc>
        <w:tc>
          <w:tcPr>
            <w:tcW w:w="1407" w:type="dxa"/>
            <w:vAlign w:val="center"/>
          </w:tcPr>
          <w:p w14:paraId="12547993">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变化量⑦</w:t>
            </w:r>
          </w:p>
        </w:tc>
      </w:tr>
      <w:tr w14:paraId="7BEEB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742CC37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203" w:type="dxa"/>
            <w:gridSpan w:val="2"/>
            <w:vAlign w:val="center"/>
          </w:tcPr>
          <w:p w14:paraId="5053159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rPr>
              <w:t>（万t/a）</w:t>
            </w:r>
          </w:p>
        </w:tc>
        <w:tc>
          <w:tcPr>
            <w:tcW w:w="1386" w:type="dxa"/>
            <w:vAlign w:val="center"/>
          </w:tcPr>
          <w:p w14:paraId="3BB3B12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FF0763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E5F99C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0B70210">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0.1197</w:t>
            </w:r>
          </w:p>
        </w:tc>
        <w:tc>
          <w:tcPr>
            <w:tcW w:w="1564" w:type="dxa"/>
            <w:vAlign w:val="center"/>
          </w:tcPr>
          <w:p w14:paraId="0A37FF7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2B28E5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0.1197</w:t>
            </w:r>
          </w:p>
        </w:tc>
        <w:tc>
          <w:tcPr>
            <w:tcW w:w="1407" w:type="dxa"/>
            <w:vAlign w:val="center"/>
          </w:tcPr>
          <w:p w14:paraId="707F45EB">
            <w:pPr>
              <w:pStyle w:val="60"/>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+0.1197</w:t>
            </w:r>
          </w:p>
        </w:tc>
      </w:tr>
      <w:tr w14:paraId="096D0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75628D2">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6F1214B0">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COD</w:t>
            </w:r>
            <w:r>
              <w:rPr>
                <w:rFonts w:hint="default" w:ascii="Times New Roman" w:hAnsi="Times New Roman" w:cs="Times New Roman"/>
                <w:color w:val="auto"/>
                <w:kern w:val="0"/>
                <w:sz w:val="21"/>
                <w:szCs w:val="21"/>
                <w:highlight w:val="none"/>
                <w:vertAlign w:val="subscript"/>
              </w:rPr>
              <w:t>Cr</w:t>
            </w:r>
            <w:r>
              <w:rPr>
                <w:rFonts w:hint="default" w:ascii="Times New Roman" w:hAnsi="Times New Roman" w:cs="Times New Roman"/>
                <w:color w:val="auto"/>
                <w:kern w:val="0"/>
                <w:sz w:val="21"/>
                <w:szCs w:val="21"/>
                <w:highlight w:val="none"/>
              </w:rPr>
              <w:t>（t/a）</w:t>
            </w:r>
          </w:p>
        </w:tc>
        <w:tc>
          <w:tcPr>
            <w:tcW w:w="1386" w:type="dxa"/>
            <w:vAlign w:val="center"/>
          </w:tcPr>
          <w:p w14:paraId="78DDEBC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83A83C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84F9FD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4B84F0E">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0.239</w:t>
            </w:r>
          </w:p>
        </w:tc>
        <w:tc>
          <w:tcPr>
            <w:tcW w:w="1564" w:type="dxa"/>
            <w:vAlign w:val="center"/>
          </w:tcPr>
          <w:p w14:paraId="398C45E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5C948432">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0.239</w:t>
            </w:r>
          </w:p>
        </w:tc>
        <w:tc>
          <w:tcPr>
            <w:tcW w:w="1407" w:type="dxa"/>
            <w:vAlign w:val="center"/>
          </w:tcPr>
          <w:p w14:paraId="3B10EDF7">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+0.239</w:t>
            </w:r>
          </w:p>
        </w:tc>
      </w:tr>
      <w:tr w14:paraId="647C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2F84EAA">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1DE7C78B">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BOD</w:t>
            </w:r>
            <w:r>
              <w:rPr>
                <w:rFonts w:hint="default" w:ascii="Times New Roman" w:hAnsi="Times New Roman" w:cs="Times New Roman"/>
                <w:color w:val="auto"/>
                <w:kern w:val="0"/>
                <w:sz w:val="21"/>
                <w:szCs w:val="21"/>
                <w:highlight w:val="none"/>
                <w:vertAlign w:val="subscript"/>
              </w:rPr>
              <w:t>5</w:t>
            </w:r>
            <w:r>
              <w:rPr>
                <w:rFonts w:hint="default" w:ascii="Times New Roman" w:hAnsi="Times New Roman" w:cs="Times New Roman"/>
                <w:color w:val="auto"/>
                <w:kern w:val="0"/>
                <w:sz w:val="21"/>
                <w:szCs w:val="21"/>
                <w:highlight w:val="none"/>
              </w:rPr>
              <w:t>（t/a）</w:t>
            </w:r>
          </w:p>
        </w:tc>
        <w:tc>
          <w:tcPr>
            <w:tcW w:w="1386" w:type="dxa"/>
            <w:vAlign w:val="center"/>
          </w:tcPr>
          <w:p w14:paraId="1CC5AB9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9A30CE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0E6F02F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01DB73E3">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0.093</w:t>
            </w:r>
          </w:p>
        </w:tc>
        <w:tc>
          <w:tcPr>
            <w:tcW w:w="1564" w:type="dxa"/>
            <w:vAlign w:val="center"/>
          </w:tcPr>
          <w:p w14:paraId="1FAE2B4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F6EBB3C">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0.093</w:t>
            </w:r>
          </w:p>
        </w:tc>
        <w:tc>
          <w:tcPr>
            <w:tcW w:w="1407" w:type="dxa"/>
            <w:vAlign w:val="center"/>
          </w:tcPr>
          <w:p w14:paraId="28B0664F">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+0.093</w:t>
            </w:r>
          </w:p>
        </w:tc>
      </w:tr>
      <w:tr w14:paraId="6C996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D37CCF8">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78B8027">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SS（t/a）</w:t>
            </w:r>
          </w:p>
        </w:tc>
        <w:tc>
          <w:tcPr>
            <w:tcW w:w="1386" w:type="dxa"/>
            <w:vAlign w:val="center"/>
          </w:tcPr>
          <w:p w14:paraId="7C440FD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7D45367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3EF6F3F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8EA6F35">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0.084</w:t>
            </w:r>
          </w:p>
        </w:tc>
        <w:tc>
          <w:tcPr>
            <w:tcW w:w="1564" w:type="dxa"/>
            <w:vAlign w:val="center"/>
          </w:tcPr>
          <w:p w14:paraId="2F005C7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A443B28">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0.084</w:t>
            </w:r>
          </w:p>
        </w:tc>
        <w:tc>
          <w:tcPr>
            <w:tcW w:w="1407" w:type="dxa"/>
            <w:vAlign w:val="center"/>
          </w:tcPr>
          <w:p w14:paraId="1B625027">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+0.084</w:t>
            </w:r>
          </w:p>
        </w:tc>
      </w:tr>
      <w:tr w14:paraId="2F3F8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1D2CC7B">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38B244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氨氮（t/a）</w:t>
            </w:r>
          </w:p>
        </w:tc>
        <w:tc>
          <w:tcPr>
            <w:tcW w:w="1386" w:type="dxa"/>
            <w:vAlign w:val="center"/>
          </w:tcPr>
          <w:p w14:paraId="399D8B7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E6DCB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6D4F918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5918846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0.023</w:t>
            </w:r>
          </w:p>
        </w:tc>
        <w:tc>
          <w:tcPr>
            <w:tcW w:w="1564" w:type="dxa"/>
            <w:vAlign w:val="center"/>
          </w:tcPr>
          <w:p w14:paraId="3D277D9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2C0AC1EB">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0.023</w:t>
            </w:r>
          </w:p>
        </w:tc>
        <w:tc>
          <w:tcPr>
            <w:tcW w:w="1407" w:type="dxa"/>
            <w:vAlign w:val="center"/>
          </w:tcPr>
          <w:p w14:paraId="00DD9949">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+0.023</w:t>
            </w:r>
          </w:p>
        </w:tc>
      </w:tr>
      <w:tr w14:paraId="100B2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1020C1F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203" w:type="dxa"/>
            <w:gridSpan w:val="2"/>
            <w:vAlign w:val="center"/>
          </w:tcPr>
          <w:p w14:paraId="567ECA53">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废气量（万m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1386" w:type="dxa"/>
            <w:vAlign w:val="center"/>
          </w:tcPr>
          <w:p w14:paraId="73E7428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53DF151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2B5E34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3BD87A16">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31200</w:t>
            </w:r>
          </w:p>
        </w:tc>
        <w:tc>
          <w:tcPr>
            <w:tcW w:w="1564" w:type="dxa"/>
            <w:vAlign w:val="center"/>
          </w:tcPr>
          <w:p w14:paraId="52C5D0C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8DCD86A">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31200</w:t>
            </w:r>
          </w:p>
        </w:tc>
        <w:tc>
          <w:tcPr>
            <w:tcW w:w="1407" w:type="dxa"/>
            <w:vAlign w:val="center"/>
          </w:tcPr>
          <w:p w14:paraId="6D41083C">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+31200</w:t>
            </w:r>
          </w:p>
        </w:tc>
      </w:tr>
      <w:tr w14:paraId="4CFB5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2772D3B">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799283A5">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（t/a）</w:t>
            </w:r>
          </w:p>
        </w:tc>
        <w:tc>
          <w:tcPr>
            <w:tcW w:w="942" w:type="dxa"/>
            <w:vAlign w:val="center"/>
          </w:tcPr>
          <w:p w14:paraId="1E9981C0">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3EEFE8E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96FF48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1D6696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FF1C01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0.739</w:t>
            </w:r>
          </w:p>
        </w:tc>
        <w:tc>
          <w:tcPr>
            <w:tcW w:w="1564" w:type="dxa"/>
            <w:vAlign w:val="center"/>
          </w:tcPr>
          <w:p w14:paraId="102F1204">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5160AD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0.739</w:t>
            </w:r>
          </w:p>
        </w:tc>
        <w:tc>
          <w:tcPr>
            <w:tcW w:w="1407" w:type="dxa"/>
            <w:vAlign w:val="center"/>
          </w:tcPr>
          <w:p w14:paraId="6EF425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0.739</w:t>
            </w:r>
          </w:p>
        </w:tc>
      </w:tr>
      <w:tr w14:paraId="445DE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994E7A9">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483B516B">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1F84036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3921D3E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3FC3B1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ADE4E7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56B77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2.153</w:t>
            </w:r>
          </w:p>
        </w:tc>
        <w:tc>
          <w:tcPr>
            <w:tcW w:w="1564" w:type="dxa"/>
            <w:vAlign w:val="center"/>
          </w:tcPr>
          <w:p w14:paraId="2B3A9ED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22BD82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2.153</w:t>
            </w:r>
          </w:p>
        </w:tc>
        <w:tc>
          <w:tcPr>
            <w:tcW w:w="1407" w:type="dxa"/>
            <w:vAlign w:val="center"/>
          </w:tcPr>
          <w:p w14:paraId="1348EA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2.153</w:t>
            </w:r>
          </w:p>
        </w:tc>
      </w:tr>
      <w:tr w14:paraId="0261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AD9B169">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57E5D8F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苯乙烯</w:t>
            </w:r>
            <w:r>
              <w:rPr>
                <w:rFonts w:hint="default" w:ascii="Times New Roman" w:hAnsi="Times New Roman" w:cs="Times New Roman"/>
                <w:color w:val="auto"/>
                <w:sz w:val="21"/>
                <w:szCs w:val="21"/>
                <w:highlight w:val="none"/>
              </w:rPr>
              <w:t>（t/a）</w:t>
            </w:r>
          </w:p>
        </w:tc>
        <w:tc>
          <w:tcPr>
            <w:tcW w:w="942" w:type="dxa"/>
            <w:vAlign w:val="center"/>
          </w:tcPr>
          <w:p w14:paraId="383DD2F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1AD38F3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4F3CC03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F54A8F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F75D4D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0.070</w:t>
            </w:r>
          </w:p>
        </w:tc>
        <w:tc>
          <w:tcPr>
            <w:tcW w:w="1564" w:type="dxa"/>
            <w:vAlign w:val="center"/>
          </w:tcPr>
          <w:p w14:paraId="5EDF02C5">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27A024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0.070</w:t>
            </w:r>
          </w:p>
        </w:tc>
        <w:tc>
          <w:tcPr>
            <w:tcW w:w="1407" w:type="dxa"/>
            <w:vAlign w:val="center"/>
          </w:tcPr>
          <w:p w14:paraId="59C4A3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0.070</w:t>
            </w:r>
          </w:p>
        </w:tc>
      </w:tr>
      <w:tr w14:paraId="1F51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CD4F9FE">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6A1FF150">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4240F291">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0EE9DB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67F04B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22F0432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11E92C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0.351</w:t>
            </w:r>
          </w:p>
        </w:tc>
        <w:tc>
          <w:tcPr>
            <w:tcW w:w="1564" w:type="dxa"/>
            <w:vAlign w:val="center"/>
          </w:tcPr>
          <w:p w14:paraId="2D8CF1B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7FD66C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0.351</w:t>
            </w:r>
          </w:p>
        </w:tc>
        <w:tc>
          <w:tcPr>
            <w:tcW w:w="1407" w:type="dxa"/>
            <w:vAlign w:val="center"/>
          </w:tcPr>
          <w:p w14:paraId="581C48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0.351</w:t>
            </w:r>
          </w:p>
        </w:tc>
      </w:tr>
      <w:tr w14:paraId="7DC61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C7593A6">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076E2D2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苯系物（t/a）</w:t>
            </w:r>
          </w:p>
        </w:tc>
        <w:tc>
          <w:tcPr>
            <w:tcW w:w="942" w:type="dxa"/>
            <w:vAlign w:val="center"/>
          </w:tcPr>
          <w:p w14:paraId="69D348EF">
            <w:pPr>
              <w:widowControl/>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13CF768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0D10901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16D00EC7">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7F1AD8CE">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c>
          <w:tcPr>
            <w:tcW w:w="1564" w:type="dxa"/>
            <w:vAlign w:val="center"/>
          </w:tcPr>
          <w:p w14:paraId="4AA24359">
            <w:pPr>
              <w:pStyle w:val="60"/>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0</w:t>
            </w:r>
          </w:p>
        </w:tc>
        <w:tc>
          <w:tcPr>
            <w:tcW w:w="1720" w:type="dxa"/>
            <w:vAlign w:val="center"/>
          </w:tcPr>
          <w:p w14:paraId="7FE7A67B">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c>
          <w:tcPr>
            <w:tcW w:w="1407" w:type="dxa"/>
            <w:vAlign w:val="center"/>
          </w:tcPr>
          <w:p w14:paraId="3CD677F2">
            <w:pPr>
              <w:keepNext w:val="0"/>
              <w:keepLines w:val="0"/>
              <w:widowControl/>
              <w:suppressLineNumbers w:val="0"/>
              <w:jc w:val="center"/>
              <w:textAlignment w:val="center"/>
              <w:rPr>
                <w:rFonts w:hint="default" w:ascii="Times New Roman" w:hAnsi="Times New Roman" w:cs="Times New Roman"/>
                <w:i w:val="0"/>
                <w:iCs w:val="0"/>
                <w:color w:val="0000FF"/>
                <w:kern w:val="0"/>
                <w:sz w:val="21"/>
                <w:szCs w:val="21"/>
                <w:u w:val="none"/>
                <w:lang w:val="en-US" w:eastAsia="zh-CN"/>
              </w:rPr>
            </w:pPr>
            <w:r>
              <w:rPr>
                <w:rFonts w:hint="eastAsia" w:cs="Times New Roman"/>
                <w:i w:val="0"/>
                <w:iCs w:val="0"/>
                <w:color w:val="0000FF"/>
                <w:kern w:val="0"/>
                <w:sz w:val="21"/>
                <w:szCs w:val="21"/>
                <w:u w:val="none"/>
                <w:lang w:val="en-US" w:eastAsia="zh-CN"/>
              </w:rPr>
              <w:t>+</w:t>
            </w: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r>
      <w:tr w14:paraId="5EBAB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7027B35">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3A2B634A">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5776E2D3">
            <w:pPr>
              <w:widowControl/>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4B3A87B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562" w:type="dxa"/>
            <w:vAlign w:val="center"/>
          </w:tcPr>
          <w:p w14:paraId="3290E8D2">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479" w:type="dxa"/>
            <w:vAlign w:val="center"/>
          </w:tcPr>
          <w:p w14:paraId="5F2FF006">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651" w:type="dxa"/>
            <w:vAlign w:val="center"/>
          </w:tcPr>
          <w:p w14:paraId="03796292">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c>
          <w:tcPr>
            <w:tcW w:w="1564" w:type="dxa"/>
            <w:vAlign w:val="center"/>
          </w:tcPr>
          <w:p w14:paraId="440F4104">
            <w:pPr>
              <w:pStyle w:val="60"/>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0</w:t>
            </w:r>
          </w:p>
        </w:tc>
        <w:tc>
          <w:tcPr>
            <w:tcW w:w="1720" w:type="dxa"/>
            <w:vAlign w:val="center"/>
          </w:tcPr>
          <w:p w14:paraId="18335FF9">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c>
          <w:tcPr>
            <w:tcW w:w="1407" w:type="dxa"/>
            <w:vAlign w:val="center"/>
          </w:tcPr>
          <w:p w14:paraId="21806A9E">
            <w:pPr>
              <w:keepNext w:val="0"/>
              <w:keepLines w:val="0"/>
              <w:widowControl/>
              <w:suppressLineNumbers w:val="0"/>
              <w:jc w:val="center"/>
              <w:textAlignment w:val="center"/>
              <w:rPr>
                <w:rFonts w:hint="default" w:ascii="Times New Roman" w:hAnsi="Times New Roman" w:cs="Times New Roman"/>
                <w:i w:val="0"/>
                <w:iCs w:val="0"/>
                <w:color w:val="0000FF"/>
                <w:kern w:val="0"/>
                <w:sz w:val="21"/>
                <w:szCs w:val="21"/>
                <w:u w:val="none"/>
                <w:lang w:val="en-US" w:eastAsia="zh-CN"/>
              </w:rPr>
            </w:pPr>
            <w:r>
              <w:rPr>
                <w:rFonts w:hint="eastAsia" w:cs="Times New Roman"/>
                <w:i w:val="0"/>
                <w:iCs w:val="0"/>
                <w:color w:val="0000FF"/>
                <w:kern w:val="0"/>
                <w:sz w:val="21"/>
                <w:szCs w:val="21"/>
                <w:u w:val="none"/>
                <w:lang w:val="en-US" w:eastAsia="zh-CN"/>
              </w:rPr>
              <w:t>+</w:t>
            </w: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r>
      <w:tr w14:paraId="121B1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8E09D3A">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15F4001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颗粒物（t/a）</w:t>
            </w:r>
          </w:p>
        </w:tc>
        <w:tc>
          <w:tcPr>
            <w:tcW w:w="942" w:type="dxa"/>
            <w:vAlign w:val="center"/>
          </w:tcPr>
          <w:p w14:paraId="5A27D89A">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4D23181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4E3AB36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05B7AB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3692C72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000000"/>
                <w:kern w:val="0"/>
                <w:sz w:val="21"/>
                <w:szCs w:val="21"/>
                <w:u w:val="none"/>
                <w:lang w:val="en-US" w:eastAsia="zh-CN"/>
              </w:rPr>
              <w:t>1.034</w:t>
            </w:r>
          </w:p>
        </w:tc>
        <w:tc>
          <w:tcPr>
            <w:tcW w:w="1564" w:type="dxa"/>
            <w:vAlign w:val="center"/>
          </w:tcPr>
          <w:p w14:paraId="3362E5E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61E8C3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1.034</w:t>
            </w:r>
          </w:p>
        </w:tc>
        <w:tc>
          <w:tcPr>
            <w:tcW w:w="1407" w:type="dxa"/>
            <w:vAlign w:val="center"/>
          </w:tcPr>
          <w:p w14:paraId="36A121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+1.034</w:t>
            </w:r>
          </w:p>
        </w:tc>
      </w:tr>
      <w:tr w14:paraId="6AAD2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E9F9810">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1036223F">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1EBB5DBD">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4C2D0DC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F9BB20C">
            <w:pPr>
              <w:pStyle w:val="60"/>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0</w:t>
            </w:r>
          </w:p>
        </w:tc>
        <w:tc>
          <w:tcPr>
            <w:tcW w:w="1479" w:type="dxa"/>
            <w:vAlign w:val="center"/>
          </w:tcPr>
          <w:p w14:paraId="5363F1A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CD5963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c>
          <w:tcPr>
            <w:tcW w:w="1564" w:type="dxa"/>
            <w:vAlign w:val="center"/>
          </w:tcPr>
          <w:p w14:paraId="6A60649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67D49E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c>
          <w:tcPr>
            <w:tcW w:w="1407" w:type="dxa"/>
            <w:vAlign w:val="center"/>
          </w:tcPr>
          <w:p w14:paraId="675D21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r>
      <w:tr w14:paraId="77A2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72846EE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一般工业固体废物（t/a）</w:t>
            </w:r>
          </w:p>
        </w:tc>
        <w:tc>
          <w:tcPr>
            <w:tcW w:w="2203" w:type="dxa"/>
            <w:gridSpan w:val="2"/>
            <w:vAlign w:val="center"/>
          </w:tcPr>
          <w:p w14:paraId="76D833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1386" w:type="dxa"/>
            <w:vAlign w:val="center"/>
          </w:tcPr>
          <w:p w14:paraId="348EC2B8">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562" w:type="dxa"/>
            <w:vAlign w:val="center"/>
          </w:tcPr>
          <w:p w14:paraId="0309D106">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479" w:type="dxa"/>
            <w:vAlign w:val="center"/>
          </w:tcPr>
          <w:p w14:paraId="7FF2080A">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651" w:type="dxa"/>
            <w:vAlign w:val="center"/>
          </w:tcPr>
          <w:p w14:paraId="6761B494">
            <w:pPr>
              <w:pStyle w:val="60"/>
              <w:snapToGrid w:val="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5.25</w:t>
            </w:r>
          </w:p>
        </w:tc>
        <w:tc>
          <w:tcPr>
            <w:tcW w:w="1564" w:type="dxa"/>
            <w:vAlign w:val="center"/>
          </w:tcPr>
          <w:p w14:paraId="6AAD8078">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720" w:type="dxa"/>
            <w:vAlign w:val="center"/>
          </w:tcPr>
          <w:p w14:paraId="3F27AAAC">
            <w:pPr>
              <w:pStyle w:val="60"/>
              <w:snapToGrid w:val="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5.25</w:t>
            </w:r>
          </w:p>
        </w:tc>
        <w:tc>
          <w:tcPr>
            <w:tcW w:w="1407" w:type="dxa"/>
            <w:vAlign w:val="center"/>
          </w:tcPr>
          <w:p w14:paraId="5B4BED8A">
            <w:pPr>
              <w:pStyle w:val="6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+5.25</w:t>
            </w:r>
          </w:p>
        </w:tc>
      </w:tr>
      <w:tr w14:paraId="4D6D6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11BC412">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6D134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废包装材料</w:t>
            </w:r>
          </w:p>
        </w:tc>
        <w:tc>
          <w:tcPr>
            <w:tcW w:w="1386" w:type="dxa"/>
            <w:vAlign w:val="center"/>
          </w:tcPr>
          <w:p w14:paraId="2F786ED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562" w:type="dxa"/>
            <w:vAlign w:val="center"/>
          </w:tcPr>
          <w:p w14:paraId="62033A9B">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479" w:type="dxa"/>
            <w:vAlign w:val="center"/>
          </w:tcPr>
          <w:p w14:paraId="785E6274">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651" w:type="dxa"/>
            <w:vAlign w:val="center"/>
          </w:tcPr>
          <w:p w14:paraId="71810B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1564" w:type="dxa"/>
            <w:vAlign w:val="center"/>
          </w:tcPr>
          <w:p w14:paraId="6BF3B58A">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4AC9105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1407" w:type="dxa"/>
            <w:vAlign w:val="center"/>
          </w:tcPr>
          <w:p w14:paraId="6223DD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r>
      <w:tr w14:paraId="5F230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875EFE6">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B74E2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b/>
                <w:bCs/>
                <w:color w:val="auto"/>
                <w:sz w:val="21"/>
                <w:szCs w:val="21"/>
                <w:highlight w:val="none"/>
                <w:lang w:val="en-US"/>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1386" w:type="dxa"/>
            <w:vAlign w:val="center"/>
          </w:tcPr>
          <w:p w14:paraId="05934AE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A1CAD5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D1F0B88">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04845B0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c>
          <w:tcPr>
            <w:tcW w:w="1564" w:type="dxa"/>
            <w:vAlign w:val="center"/>
          </w:tcPr>
          <w:p w14:paraId="1609BDC2">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0FA9A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c>
          <w:tcPr>
            <w:tcW w:w="1407" w:type="dxa"/>
            <w:vAlign w:val="center"/>
          </w:tcPr>
          <w:p w14:paraId="648634F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r>
      <w:tr w14:paraId="0135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DB1C860">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49F23A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1386" w:type="dxa"/>
            <w:vAlign w:val="center"/>
          </w:tcPr>
          <w:p w14:paraId="43E8856A">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7F21D208">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289266A6">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46E346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c>
          <w:tcPr>
            <w:tcW w:w="1564" w:type="dxa"/>
            <w:vAlign w:val="center"/>
          </w:tcPr>
          <w:p w14:paraId="4AA2F33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4B2FB6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c>
          <w:tcPr>
            <w:tcW w:w="1407" w:type="dxa"/>
            <w:vAlign w:val="center"/>
          </w:tcPr>
          <w:p w14:paraId="1E7F8D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r>
      <w:tr w14:paraId="79B0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10A33DD">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23AEE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玻纤布下脚料及不合格品</w:t>
            </w:r>
          </w:p>
        </w:tc>
        <w:tc>
          <w:tcPr>
            <w:tcW w:w="1386" w:type="dxa"/>
            <w:vAlign w:val="center"/>
          </w:tcPr>
          <w:p w14:paraId="7F23A582">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2B11AE8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14BB2100">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146538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c>
          <w:tcPr>
            <w:tcW w:w="1564" w:type="dxa"/>
            <w:vAlign w:val="center"/>
          </w:tcPr>
          <w:p w14:paraId="7B9102D2">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788426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c>
          <w:tcPr>
            <w:tcW w:w="1407" w:type="dxa"/>
            <w:vAlign w:val="center"/>
          </w:tcPr>
          <w:p w14:paraId="36FB67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r>
      <w:tr w14:paraId="207FB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31EE0BA">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5B04B3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pacing w:val="-2"/>
                <w:kern w:val="2"/>
                <w:sz w:val="21"/>
                <w:szCs w:val="21"/>
                <w:highlight w:val="none"/>
              </w:rPr>
            </w:pPr>
            <w:r>
              <w:rPr>
                <w:rFonts w:hint="default" w:ascii="Times New Roman" w:hAnsi="Times New Roman" w:eastAsia="宋体" w:cs="Times New Roman"/>
                <w:color w:val="auto"/>
                <w:kern w:val="2"/>
                <w:position w:val="0"/>
                <w:sz w:val="21"/>
                <w:szCs w:val="21"/>
                <w:highlight w:val="none"/>
                <w:lang w:val="en-US" w:eastAsia="zh-CN" w:bidi="ar-SA"/>
              </w:rPr>
              <w:t>碳纤维边角料及不合格品</w:t>
            </w:r>
          </w:p>
        </w:tc>
        <w:tc>
          <w:tcPr>
            <w:tcW w:w="1386" w:type="dxa"/>
            <w:vAlign w:val="center"/>
          </w:tcPr>
          <w:p w14:paraId="50E4CCC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05C080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23A385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209FC3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1564" w:type="dxa"/>
            <w:vAlign w:val="center"/>
          </w:tcPr>
          <w:p w14:paraId="2E030692">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04CE99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1407" w:type="dxa"/>
            <w:vAlign w:val="center"/>
          </w:tcPr>
          <w:p w14:paraId="543062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0.5</w:t>
            </w:r>
          </w:p>
        </w:tc>
      </w:tr>
      <w:tr w14:paraId="03FA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D9F9D80">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79AA6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1386" w:type="dxa"/>
            <w:vAlign w:val="center"/>
          </w:tcPr>
          <w:p w14:paraId="54C8129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CC06E7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550276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74559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1564" w:type="dxa"/>
            <w:vAlign w:val="center"/>
          </w:tcPr>
          <w:p w14:paraId="09AACDD7">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677B16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1407" w:type="dxa"/>
            <w:vAlign w:val="center"/>
          </w:tcPr>
          <w:p w14:paraId="4D60194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r>
      <w:tr w14:paraId="22999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6D3F100">
            <w:pPr>
              <w:spacing w:line="240" w:lineRule="auto"/>
              <w:jc w:val="center"/>
              <w:rPr>
                <w:rFonts w:hint="default" w:ascii="Times New Roman" w:hAnsi="Times New Roman" w:cs="Times New Roman"/>
                <w:color w:val="auto"/>
                <w:sz w:val="21"/>
                <w:szCs w:val="21"/>
                <w:highlight w:val="none"/>
              </w:rPr>
            </w:pPr>
          </w:p>
        </w:tc>
        <w:tc>
          <w:tcPr>
            <w:tcW w:w="2203" w:type="dxa"/>
            <w:gridSpan w:val="2"/>
            <w:shd w:val="clear" w:color="auto" w:fill="auto"/>
            <w:vAlign w:val="center"/>
          </w:tcPr>
          <w:p w14:paraId="1C7ABF5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沉淀滤渣</w:t>
            </w:r>
          </w:p>
        </w:tc>
        <w:tc>
          <w:tcPr>
            <w:tcW w:w="1386" w:type="dxa"/>
            <w:shd w:val="clear" w:color="auto" w:fill="auto"/>
            <w:vAlign w:val="center"/>
          </w:tcPr>
          <w:p w14:paraId="2FFF7ACA">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562" w:type="dxa"/>
            <w:shd w:val="clear" w:color="auto" w:fill="auto"/>
            <w:vAlign w:val="center"/>
          </w:tcPr>
          <w:p w14:paraId="32A0E2C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479" w:type="dxa"/>
            <w:shd w:val="clear" w:color="auto" w:fill="auto"/>
            <w:vAlign w:val="center"/>
          </w:tcPr>
          <w:p w14:paraId="2B150168">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651" w:type="dxa"/>
            <w:shd w:val="clear" w:color="auto" w:fill="auto"/>
            <w:vAlign w:val="center"/>
          </w:tcPr>
          <w:p w14:paraId="6037658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c>
          <w:tcPr>
            <w:tcW w:w="1564" w:type="dxa"/>
            <w:shd w:val="clear" w:color="auto" w:fill="auto"/>
            <w:vAlign w:val="center"/>
          </w:tcPr>
          <w:p w14:paraId="1FE61432">
            <w:pPr>
              <w:pStyle w:val="60"/>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0</w:t>
            </w:r>
          </w:p>
        </w:tc>
        <w:tc>
          <w:tcPr>
            <w:tcW w:w="1720" w:type="dxa"/>
            <w:shd w:val="clear" w:color="auto" w:fill="auto"/>
            <w:vAlign w:val="center"/>
          </w:tcPr>
          <w:p w14:paraId="38AF52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c>
          <w:tcPr>
            <w:tcW w:w="1407" w:type="dxa"/>
            <w:shd w:val="clear" w:color="auto" w:fill="auto"/>
            <w:vAlign w:val="center"/>
          </w:tcPr>
          <w:p w14:paraId="26209A2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r>
      <w:tr w14:paraId="04CB8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39045C3">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36D3E4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废滤料</w:t>
            </w:r>
          </w:p>
        </w:tc>
        <w:tc>
          <w:tcPr>
            <w:tcW w:w="1386" w:type="dxa"/>
            <w:vAlign w:val="center"/>
          </w:tcPr>
          <w:p w14:paraId="119A386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1CD0B7C9">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4906320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14CC9F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c>
          <w:tcPr>
            <w:tcW w:w="1564" w:type="dxa"/>
            <w:vAlign w:val="center"/>
          </w:tcPr>
          <w:p w14:paraId="5B2D9E5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2BDC49B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c>
          <w:tcPr>
            <w:tcW w:w="1407" w:type="dxa"/>
            <w:vAlign w:val="center"/>
          </w:tcPr>
          <w:p w14:paraId="722029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r>
      <w:tr w14:paraId="71F90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66C4C262">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2203" w:type="dxa"/>
            <w:gridSpan w:val="2"/>
            <w:vAlign w:val="center"/>
          </w:tcPr>
          <w:p w14:paraId="38BAA8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b/>
                <w:bCs/>
                <w:color w:val="auto"/>
                <w:kern w:val="2"/>
                <w:sz w:val="21"/>
                <w:szCs w:val="21"/>
                <w:highlight w:val="none"/>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1386" w:type="dxa"/>
            <w:vAlign w:val="center"/>
          </w:tcPr>
          <w:p w14:paraId="2E5A357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BD485D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37F51C8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FFDA0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c>
          <w:tcPr>
            <w:tcW w:w="1564" w:type="dxa"/>
            <w:vAlign w:val="center"/>
          </w:tcPr>
          <w:p w14:paraId="4E350889">
            <w:pPr>
              <w:pStyle w:val="6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383D0F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c>
          <w:tcPr>
            <w:tcW w:w="1407" w:type="dxa"/>
            <w:vAlign w:val="center"/>
          </w:tcPr>
          <w:p w14:paraId="7BBC309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r>
      <w:tr w14:paraId="5649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B72095D">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080187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1386" w:type="dxa"/>
            <w:vAlign w:val="center"/>
          </w:tcPr>
          <w:p w14:paraId="512A34D4">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74A69634">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01EA7AC8">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7A4804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1564" w:type="dxa"/>
            <w:vAlign w:val="center"/>
          </w:tcPr>
          <w:p w14:paraId="719DE87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468910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1407" w:type="dxa"/>
            <w:vAlign w:val="center"/>
          </w:tcPr>
          <w:p w14:paraId="4D23E7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0.42</w:t>
            </w:r>
          </w:p>
        </w:tc>
      </w:tr>
      <w:tr w14:paraId="7BAF5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F5E81E1">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5342A1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w:t>
            </w:r>
            <w:r>
              <w:rPr>
                <w:rFonts w:hint="eastAsia" w:cs="Times New Roman"/>
                <w:color w:val="auto"/>
                <w:kern w:val="2"/>
                <w:position w:val="0"/>
                <w:sz w:val="21"/>
                <w:szCs w:val="21"/>
                <w:highlight w:val="none"/>
                <w:lang w:val="en-US" w:eastAsia="zh-CN" w:bidi="ar-SA"/>
              </w:rPr>
              <w:t>机</w:t>
            </w:r>
            <w:r>
              <w:rPr>
                <w:rFonts w:hint="eastAsia" w:ascii="Times New Roman" w:hAnsi="Times New Roman" w:eastAsia="宋体" w:cs="Times New Roman"/>
                <w:color w:val="auto"/>
                <w:kern w:val="2"/>
                <w:position w:val="0"/>
                <w:sz w:val="21"/>
                <w:szCs w:val="21"/>
                <w:highlight w:val="none"/>
                <w:lang w:val="en-US" w:eastAsia="zh-CN" w:bidi="ar-SA"/>
              </w:rPr>
              <w:t>油</w:t>
            </w:r>
          </w:p>
        </w:tc>
        <w:tc>
          <w:tcPr>
            <w:tcW w:w="1386" w:type="dxa"/>
            <w:vAlign w:val="center"/>
          </w:tcPr>
          <w:p w14:paraId="255F1F3C">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62" w:type="dxa"/>
            <w:vAlign w:val="center"/>
          </w:tcPr>
          <w:p w14:paraId="592663B1">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479" w:type="dxa"/>
            <w:vAlign w:val="center"/>
          </w:tcPr>
          <w:p w14:paraId="0BFC9D00">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651" w:type="dxa"/>
            <w:vAlign w:val="center"/>
          </w:tcPr>
          <w:p w14:paraId="0AE4CB8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1564" w:type="dxa"/>
            <w:vAlign w:val="center"/>
          </w:tcPr>
          <w:p w14:paraId="541205DC">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720" w:type="dxa"/>
            <w:vAlign w:val="center"/>
          </w:tcPr>
          <w:p w14:paraId="3363A7B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1407" w:type="dxa"/>
            <w:vAlign w:val="center"/>
          </w:tcPr>
          <w:p w14:paraId="582B71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0.4</w:t>
            </w:r>
          </w:p>
        </w:tc>
      </w:tr>
      <w:tr w14:paraId="2013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6E9AC34">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63CE43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废含油抹布及手套</w:t>
            </w:r>
          </w:p>
        </w:tc>
        <w:tc>
          <w:tcPr>
            <w:tcW w:w="1386" w:type="dxa"/>
            <w:vAlign w:val="center"/>
          </w:tcPr>
          <w:p w14:paraId="2286482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1009A0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117F774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58860F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position w:val="-10"/>
                <w:sz w:val="21"/>
                <w:szCs w:val="21"/>
                <w:highlight w:val="none"/>
                <w:lang w:val="en-US" w:eastAsia="zh-CN" w:bidi="ar-SA"/>
              </w:rPr>
              <w:t>0.01</w:t>
            </w:r>
          </w:p>
        </w:tc>
        <w:tc>
          <w:tcPr>
            <w:tcW w:w="1564" w:type="dxa"/>
            <w:vAlign w:val="center"/>
          </w:tcPr>
          <w:p w14:paraId="2066AD6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5154AED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position w:val="-10"/>
                <w:sz w:val="21"/>
                <w:szCs w:val="21"/>
                <w:highlight w:val="none"/>
                <w:lang w:val="en-US" w:eastAsia="zh-CN" w:bidi="ar-SA"/>
              </w:rPr>
              <w:t>0.01</w:t>
            </w:r>
          </w:p>
        </w:tc>
        <w:tc>
          <w:tcPr>
            <w:tcW w:w="1407" w:type="dxa"/>
            <w:vAlign w:val="center"/>
          </w:tcPr>
          <w:p w14:paraId="417C32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10"/>
                <w:sz w:val="21"/>
                <w:szCs w:val="21"/>
                <w:highlight w:val="none"/>
                <w:lang w:val="en-US" w:eastAsia="zh-CN" w:bidi="ar-SA"/>
              </w:rPr>
              <w:t>+</w:t>
            </w:r>
            <w:r>
              <w:rPr>
                <w:rFonts w:hint="eastAsia" w:ascii="Times New Roman" w:hAnsi="Times New Roman" w:eastAsia="宋体" w:cs="Times New Roman"/>
                <w:color w:val="auto"/>
                <w:position w:val="-10"/>
                <w:sz w:val="21"/>
                <w:szCs w:val="21"/>
                <w:highlight w:val="none"/>
                <w:lang w:val="en-US" w:eastAsia="zh-CN" w:bidi="ar-SA"/>
              </w:rPr>
              <w:t>0.01</w:t>
            </w:r>
          </w:p>
        </w:tc>
      </w:tr>
      <w:tr w14:paraId="4353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F17DD5F">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179D85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废过滤棉</w:t>
            </w:r>
          </w:p>
        </w:tc>
        <w:tc>
          <w:tcPr>
            <w:tcW w:w="1386" w:type="dxa"/>
            <w:vAlign w:val="center"/>
          </w:tcPr>
          <w:p w14:paraId="54CC140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80B033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1E0EB62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9C6E5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c>
          <w:tcPr>
            <w:tcW w:w="1564" w:type="dxa"/>
            <w:vAlign w:val="center"/>
          </w:tcPr>
          <w:p w14:paraId="59B9792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084534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c>
          <w:tcPr>
            <w:tcW w:w="1407" w:type="dxa"/>
            <w:vAlign w:val="center"/>
          </w:tcPr>
          <w:p w14:paraId="146CFC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r>
      <w:tr w14:paraId="2F37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AF0F33C">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7F097BC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废活性炭</w:t>
            </w:r>
          </w:p>
        </w:tc>
        <w:tc>
          <w:tcPr>
            <w:tcW w:w="1386" w:type="dxa"/>
            <w:vAlign w:val="center"/>
          </w:tcPr>
          <w:p w14:paraId="22CCC8D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E9B461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E6F1B1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EC8547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33.029</w:t>
            </w:r>
          </w:p>
        </w:tc>
        <w:tc>
          <w:tcPr>
            <w:tcW w:w="1564" w:type="dxa"/>
            <w:vAlign w:val="center"/>
          </w:tcPr>
          <w:p w14:paraId="47ECE8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1384EC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33.029</w:t>
            </w:r>
          </w:p>
        </w:tc>
        <w:tc>
          <w:tcPr>
            <w:tcW w:w="1407" w:type="dxa"/>
            <w:vAlign w:val="center"/>
          </w:tcPr>
          <w:p w14:paraId="77045EB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+33.029</w:t>
            </w:r>
          </w:p>
        </w:tc>
      </w:tr>
      <w:tr w14:paraId="66993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D2DDD0F">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38EBFB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水帘柜</w:t>
            </w:r>
            <w:r>
              <w:rPr>
                <w:rFonts w:hint="eastAsia" w:ascii="Times New Roman" w:hAnsi="Times New Roman" w:eastAsia="宋体" w:cs="Times New Roman"/>
                <w:color w:val="auto"/>
                <w:kern w:val="2"/>
                <w:position w:val="0"/>
                <w:sz w:val="21"/>
                <w:szCs w:val="21"/>
                <w:highlight w:val="none"/>
                <w:lang w:val="en-US" w:eastAsia="zh-CN" w:bidi="ar-SA"/>
              </w:rPr>
              <w:t>废液及喷淋沉渣</w:t>
            </w:r>
            <w:r>
              <w:rPr>
                <w:rFonts w:hint="eastAsia" w:cs="Times New Roman"/>
                <w:color w:val="auto"/>
                <w:kern w:val="2"/>
                <w:position w:val="0"/>
                <w:sz w:val="21"/>
                <w:szCs w:val="21"/>
                <w:highlight w:val="none"/>
                <w:lang w:val="en-US" w:eastAsia="zh-CN" w:bidi="ar-SA"/>
              </w:rPr>
              <w:t>、喷枪清洗废液</w:t>
            </w:r>
          </w:p>
        </w:tc>
        <w:tc>
          <w:tcPr>
            <w:tcW w:w="1386" w:type="dxa"/>
            <w:vAlign w:val="center"/>
          </w:tcPr>
          <w:p w14:paraId="4901562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547FBE3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AB2202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C58C8B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185</w:t>
            </w:r>
          </w:p>
        </w:tc>
        <w:tc>
          <w:tcPr>
            <w:tcW w:w="1564" w:type="dxa"/>
            <w:vAlign w:val="center"/>
          </w:tcPr>
          <w:p w14:paraId="1DF78EC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13D9AF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185</w:t>
            </w:r>
          </w:p>
        </w:tc>
        <w:tc>
          <w:tcPr>
            <w:tcW w:w="1407" w:type="dxa"/>
            <w:vAlign w:val="center"/>
          </w:tcPr>
          <w:p w14:paraId="3B4E587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+185</w:t>
            </w:r>
          </w:p>
        </w:tc>
      </w:tr>
    </w:tbl>
    <w:p w14:paraId="67C455D9">
      <w:pPr>
        <w:spacing w:line="240" w:lineRule="auto"/>
        <w:jc w:val="left"/>
        <w:rPr>
          <w:rFonts w:hint="default" w:ascii="Times New Roman" w:hAnsi="Times New Roman" w:cs="Times New Roman"/>
          <w:color w:val="auto"/>
          <w:highlight w:val="none"/>
        </w:rPr>
      </w:pPr>
      <w:r>
        <w:rPr>
          <w:rFonts w:hint="default" w:ascii="Times New Roman" w:hAnsi="Times New Roman" w:eastAsia="黑体" w:cs="Times New Roman"/>
          <w:color w:val="auto"/>
          <w:sz w:val="21"/>
          <w:szCs w:val="21"/>
          <w:highlight w:val="none"/>
        </w:rPr>
        <w:t>注：⑥=①+③+④-⑤；⑦=⑥-①。</w:t>
      </w:r>
    </w:p>
    <w:p w14:paraId="489D5846">
      <w:pPr>
        <w:rPr>
          <w:rFonts w:hint="default" w:ascii="Times New Roman" w:hAnsi="Times New Roman" w:eastAsia="黑体" w:cs="Times New Roman"/>
          <w:snapToGrid w:val="0"/>
          <w:color w:val="auto"/>
          <w:sz w:val="32"/>
          <w:szCs w:val="32"/>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2FB65553">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0" w:name="_Toc10251"/>
      <w:bookmarkStart w:id="121" w:name="_Toc27190"/>
      <w:r>
        <w:rPr>
          <w:rFonts w:hint="default" w:ascii="Times New Roman" w:hAnsi="Times New Roman" w:eastAsia="宋体" w:cs="Times New Roman"/>
          <w:b/>
          <w:bCs/>
          <w:color w:val="auto"/>
          <w:sz w:val="24"/>
          <w:szCs w:val="24"/>
        </w:rPr>
        <w:t>项目地理位置图</w:t>
      </w:r>
      <w:bookmarkEnd w:id="120"/>
      <w:bookmarkEnd w:id="121"/>
    </w:p>
    <w:p w14:paraId="06EC86B0">
      <w:pPr>
        <w:pStyle w:val="57"/>
        <w:jc w:val="center"/>
        <w:rPr>
          <w:rFonts w:hint="default" w:ascii="Times New Roman" w:hAnsi="Times New Roman" w:cs="Times New Roman"/>
          <w:b w:val="0"/>
          <w:bCs w:val="0"/>
          <w:color w:val="auto"/>
          <w:highlight w:val="none"/>
        </w:rPr>
      </w:pPr>
      <w:r>
        <w:rPr>
          <w:rFonts w:hint="default" w:ascii="Times New Roman" w:hAnsi="Times New Roman" w:cs="Times New Roman"/>
          <w:color w:val="auto"/>
        </w:rPr>
        <w:drawing>
          <wp:inline distT="0" distB="0" distL="0" distR="0">
            <wp:extent cx="7303135" cy="5198745"/>
            <wp:effectExtent l="0" t="0" r="12065" b="1905"/>
            <wp:docPr id="1066" name="图片 2"/>
            <wp:cNvGraphicFramePr/>
            <a:graphic xmlns:a="http://schemas.openxmlformats.org/drawingml/2006/main">
              <a:graphicData uri="http://schemas.openxmlformats.org/drawingml/2006/picture">
                <pic:pic xmlns:pic="http://schemas.openxmlformats.org/drawingml/2006/picture">
                  <pic:nvPicPr>
                    <pic:cNvPr id="1066" name="图片 2"/>
                    <pic:cNvPicPr/>
                  </pic:nvPicPr>
                  <pic:blipFill>
                    <a:blip r:embed="rId39" cstate="print"/>
                    <a:srcRect/>
                    <a:stretch>
                      <a:fillRect/>
                    </a:stretch>
                  </pic:blipFill>
                  <pic:spPr>
                    <a:xfrm>
                      <a:off x="0" y="0"/>
                      <a:ext cx="7303135" cy="5198745"/>
                    </a:xfrm>
                    <a:prstGeom prst="rect">
                      <a:avLst/>
                    </a:prstGeom>
                    <a:ln>
                      <a:noFill/>
                    </a:ln>
                  </pic:spPr>
                </pic:pic>
              </a:graphicData>
            </a:graphic>
          </wp:inline>
        </w:drawing>
      </w:r>
    </w:p>
    <w:p w14:paraId="1152517F">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1FF5DC9">
      <w:pPr>
        <w:rPr>
          <w:rFonts w:hint="default" w:ascii="Times New Roman" w:hAnsi="Times New Roman" w:cs="Times New Roman"/>
          <w:color w:val="auto"/>
        </w:rPr>
      </w:pPr>
    </w:p>
    <w:p w14:paraId="4CD04C04">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2" w:name="_Toc17352"/>
      <w:bookmarkStart w:id="123" w:name="_Toc3620"/>
      <w:r>
        <w:rPr>
          <w:rFonts w:hint="default" w:ascii="Times New Roman" w:hAnsi="Times New Roman" w:eastAsia="宋体" w:cs="Times New Roman"/>
          <w:b/>
          <w:bCs/>
          <w:color w:val="auto"/>
          <w:sz w:val="24"/>
          <w:szCs w:val="24"/>
        </w:rPr>
        <w:t>项目四至情况</w:t>
      </w:r>
      <w:bookmarkEnd w:id="122"/>
      <w:r>
        <w:rPr>
          <w:rFonts w:hint="default" w:ascii="Times New Roman" w:hAnsi="Times New Roman" w:cs="Times New Roman"/>
          <w:b/>
          <w:bCs/>
          <w:color w:val="auto"/>
          <w:sz w:val="24"/>
          <w:szCs w:val="24"/>
          <w:lang w:val="en-US" w:eastAsia="zh-CN"/>
        </w:rPr>
        <w:t>卫星图</w:t>
      </w:r>
      <w:bookmarkEnd w:id="123"/>
    </w:p>
    <w:p w14:paraId="290BE489">
      <w:pPr>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8337550" cy="5113655"/>
            <wp:effectExtent l="0" t="0" r="6350" b="3175"/>
            <wp:docPr id="1067" name="图片 16"/>
            <wp:cNvGraphicFramePr/>
            <a:graphic xmlns:a="http://schemas.openxmlformats.org/drawingml/2006/main">
              <a:graphicData uri="http://schemas.openxmlformats.org/drawingml/2006/picture">
                <pic:pic xmlns:pic="http://schemas.openxmlformats.org/drawingml/2006/picture">
                  <pic:nvPicPr>
                    <pic:cNvPr id="1067" name="图片 16"/>
                    <pic:cNvPicPr/>
                  </pic:nvPicPr>
                  <pic:blipFill>
                    <a:blip r:embed="rId40" cstate="print"/>
                    <a:srcRect/>
                    <a:stretch>
                      <a:fillRect/>
                    </a:stretch>
                  </pic:blipFill>
                  <pic:spPr>
                    <a:xfrm>
                      <a:off x="0" y="0"/>
                      <a:ext cx="8338184" cy="5113655"/>
                    </a:xfrm>
                    <a:prstGeom prst="rect">
                      <a:avLst/>
                    </a:prstGeom>
                    <a:ln>
                      <a:noFill/>
                    </a:ln>
                  </pic:spPr>
                </pic:pic>
              </a:graphicData>
            </a:graphic>
          </wp:inline>
        </w:drawing>
      </w:r>
    </w:p>
    <w:p w14:paraId="68B84469">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5409E22">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4" w:name="_Toc10334"/>
      <w:r>
        <w:rPr>
          <w:rFonts w:hint="default" w:ascii="Times New Roman" w:hAnsi="Times New Roman" w:cs="Times New Roman"/>
          <w:b/>
          <w:bCs/>
          <w:color w:val="auto"/>
          <w:sz w:val="24"/>
          <w:szCs w:val="24"/>
          <w:lang w:eastAsia="zh-CN"/>
        </w:rPr>
        <w:t>厂区</w:t>
      </w:r>
      <w:r>
        <w:rPr>
          <w:rFonts w:hint="default" w:ascii="Times New Roman" w:hAnsi="Times New Roman" w:eastAsia="宋体" w:cs="Times New Roman"/>
          <w:b/>
          <w:bCs/>
          <w:color w:val="auto"/>
          <w:sz w:val="24"/>
          <w:szCs w:val="24"/>
        </w:rPr>
        <w:t>平面布置图</w:t>
      </w:r>
      <w:bookmarkEnd w:id="124"/>
    </w:p>
    <w:p w14:paraId="3D159A31">
      <w:pPr>
        <w:jc w:val="center"/>
        <w:rPr>
          <w:rFonts w:hint="default" w:ascii="Times New Roman" w:hAnsi="Times New Roman" w:cs="Times New Roman"/>
          <w:color w:val="auto"/>
          <w:highlight w:val="none"/>
        </w:rPr>
      </w:pPr>
      <w:r>
        <w:rPr>
          <w:sz w:val="24"/>
        </w:rPr>
        <mc:AlternateContent>
          <mc:Choice Requires="wps">
            <w:drawing>
              <wp:anchor distT="0" distB="0" distL="114300" distR="114300" simplePos="0" relativeHeight="251674624" behindDoc="0" locked="0" layoutInCell="1" allowOverlap="1">
                <wp:simplePos x="0" y="0"/>
                <wp:positionH relativeFrom="column">
                  <wp:posOffset>6756400</wp:posOffset>
                </wp:positionH>
                <wp:positionV relativeFrom="paragraph">
                  <wp:posOffset>2522220</wp:posOffset>
                </wp:positionV>
                <wp:extent cx="158750" cy="137795"/>
                <wp:effectExtent l="12700" t="12700" r="19050" b="20955"/>
                <wp:wrapNone/>
                <wp:docPr id="51" name="图文框 51"/>
                <wp:cNvGraphicFramePr/>
                <a:graphic xmlns:a="http://schemas.openxmlformats.org/drawingml/2006/main">
                  <a:graphicData uri="http://schemas.microsoft.com/office/word/2010/wordprocessingShape">
                    <wps:wsp>
                      <wps:cNvSpPr/>
                      <wps:spPr>
                        <a:xfrm>
                          <a:off x="0" y="0"/>
                          <a:ext cx="158750" cy="137795"/>
                        </a:xfrm>
                        <a:prstGeom prst="frame">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32pt;margin-top:198.6pt;height:10.85pt;width:12.5pt;z-index:251674624;v-text-anchor:middle;mso-width-relative:page;mso-height-relative:page;" fillcolor="#FFFF00" filled="t" stroked="t" coordsize="158750,137795" o:gfxdata="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ruWJ/cAAAADQEAAA8AAAAAAAAAAQAg&#10;AAAAIgAAAGRycy9kb3ducmV2LnhtbFBLAQIUABQAAAAIAIdO4kDO/4ALfAIAAAQFAAAOAAAAAAAA&#10;AAEAIAAAACsBAABkcnMvZTJvRG9jLnhtbFBLBQYAAAAABgAGAFkBAAAZBgAAAAA=&#10;" path="m0,0l158750,0,158750,137795,0,137795xm17224,17224l17224,120570,141525,120570,141525,17224xe">
                <v:path o:connectlocs="79375,0;0,68897;79375,137795;158750,68897" o:connectangles="247,164,82,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4904740</wp:posOffset>
                </wp:positionH>
                <wp:positionV relativeFrom="paragraph">
                  <wp:posOffset>4271645</wp:posOffset>
                </wp:positionV>
                <wp:extent cx="158750" cy="137795"/>
                <wp:effectExtent l="12700" t="12700" r="19050" b="20955"/>
                <wp:wrapNone/>
                <wp:docPr id="50" name="图文框 50"/>
                <wp:cNvGraphicFramePr/>
                <a:graphic xmlns:a="http://schemas.openxmlformats.org/drawingml/2006/main">
                  <a:graphicData uri="http://schemas.microsoft.com/office/word/2010/wordprocessingShape">
                    <wps:wsp>
                      <wps:cNvSpPr/>
                      <wps:spPr>
                        <a:xfrm>
                          <a:off x="5884545" y="5509260"/>
                          <a:ext cx="158750" cy="137795"/>
                        </a:xfrm>
                        <a:prstGeom prst="fram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6.2pt;margin-top:336.35pt;height:10.85pt;width:12.5pt;z-index:251673600;v-text-anchor:middle;mso-width-relative:page;mso-height-relative:page;" fillcolor="#4F81BD [3204]" filled="t" stroked="t" coordsize="158750,137795" o:gfxdata="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gCxlDZAAAACwEAAA8A&#10;AAAAAAAAAQAgAAAAIgAAAGRycy9kb3ducmV2LnhtbFBLAQIUABQAAAAIAIdO4kC3WJ1tiAIAABAF&#10;AAAOAAAAAAAAAAEAIAAAACgBAABkcnMvZTJvRG9jLnhtbFBLBQYAAAAABgAGAFkBAAAiBgAAAAA=&#10;" path="m0,0l158750,0,158750,137795,0,137795xm17224,17224l17224,120570,141525,120570,141525,17224xe">
                <v:path o:connectlocs="79375,0;0,68897;79375,137795;158750,68897" o:connectangles="247,164,82,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5793105</wp:posOffset>
                </wp:positionH>
                <wp:positionV relativeFrom="paragraph">
                  <wp:posOffset>2498090</wp:posOffset>
                </wp:positionV>
                <wp:extent cx="158750" cy="179705"/>
                <wp:effectExtent l="12700" t="12700" r="19050" b="17145"/>
                <wp:wrapNone/>
                <wp:docPr id="49" name="同心圆 49"/>
                <wp:cNvGraphicFramePr/>
                <a:graphic xmlns:a="http://schemas.openxmlformats.org/drawingml/2006/main">
                  <a:graphicData uri="http://schemas.microsoft.com/office/word/2010/wordprocessingShape">
                    <wps:wsp>
                      <wps:cNvSpPr/>
                      <wps:spPr>
                        <a:xfrm>
                          <a:off x="0" y="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56.15pt;margin-top:196.7pt;height:14.15pt;width:12.5pt;z-index:251672576;v-text-anchor:middle;mso-width-relative:page;mso-height-relative:page;" fillcolor="#4F81BD [3204]" filled="t" stroked="t" coordsize="21600,21600" o:gfxdata="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MyQ6s1wAAAAsBAAAPAAAAAAAAAAEAIAAA&#10;ACIAAABkcnMvZG93bnJldi54bWxQSwECFAAUAAAACACHTuJAJMylPn8CAAAEBQAADgAAAAAAAAAB&#10;ACAAAAAmAQAAZHJzL2Uyb0RvYy54bWxQSwUGAAAAAAYABgBZAQAAFwYAAAAA&#10;" adj="5400">
                <v:fill on="t" focussize="0,0"/>
                <v:stroke weight="2pt" color="#376092 [2404]" joinstyle="round"/>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5758180</wp:posOffset>
                </wp:positionH>
                <wp:positionV relativeFrom="paragraph">
                  <wp:posOffset>2233295</wp:posOffset>
                </wp:positionV>
                <wp:extent cx="206375" cy="135255"/>
                <wp:effectExtent l="6350" t="6350" r="15875" b="10795"/>
                <wp:wrapNone/>
                <wp:docPr id="1071" name="矩形 74"/>
                <wp:cNvGraphicFramePr/>
                <a:graphic xmlns:a="http://schemas.openxmlformats.org/drawingml/2006/main">
                  <a:graphicData uri="http://schemas.microsoft.com/office/word/2010/wordprocessingShape">
                    <wps:wsp>
                      <wps:cNvSpPr/>
                      <wps:spPr>
                        <a:xfrm>
                          <a:off x="0" y="0"/>
                          <a:ext cx="206375" cy="135253"/>
                        </a:xfrm>
                        <a:prstGeom prst="rec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rect id="矩形 74" o:spid="_x0000_s1026" o:spt="1" style="position:absolute;left:0pt;margin-left:453.4pt;margin-top:175.85pt;height:10.65pt;width:16.25pt;z-index:251660288;mso-width-relative:page;mso-height-relative:page;" fillcolor="#5B9BD5" filled="t" stroked="t" coordsize="21600,21600" o:gfxdata="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41BgtoAAAALAQAADwAAAAAAAAABACAAAAAiAAAAZHJzL2Rvd25y&#10;ZXYueG1sUEsBAhQAFAAAAAgAh07iQNRwFOD8AQAAFgQAAA4AAAAAAAAAAQAgAAAAKQEAAGRycy9l&#10;Mm9Eb2MueG1sUEsFBgAAAAAGAAYAWQEAAJcFAAAAAA==&#10;">
                <v:fill on="t" focussize="0,0"/>
                <v:stroke weight="1pt" color="#2E75B5" joinstyle="miter"/>
                <v:imagedata o:title=""/>
                <o:lock v:ext="edit" aspectratio="f"/>
              </v:rect>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5974080</wp:posOffset>
                </wp:positionH>
                <wp:positionV relativeFrom="paragraph">
                  <wp:posOffset>2414270</wp:posOffset>
                </wp:positionV>
                <wp:extent cx="914400" cy="47053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406830">
                            <w:pPr>
                              <w:rPr>
                                <w:rFonts w:hint="default" w:eastAsia="宋体"/>
                                <w:sz w:val="16"/>
                                <w:szCs w:val="16"/>
                                <w:lang w:val="en-US" w:eastAsia="zh-CN"/>
                              </w:rPr>
                            </w:pPr>
                            <w:r>
                              <w:rPr>
                                <w:rFonts w:hint="eastAsia"/>
                                <w:sz w:val="16"/>
                                <w:szCs w:val="16"/>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4pt;margin-top:190.1pt;height:37.05pt;width:72pt;z-index:251671552;mso-width-relative:page;mso-height-relative:page;" filled="f" stroked="f" coordsize="21600,21600" o:gfxdata="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Mhm6/cAAAADAEAAA8AAAAAAAAAAQAgAAAAIgAAAGRy&#10;cy9kb3ducmV2LnhtbFBLAQIUABQAAAAIAIdO4kBYiWU6OgIAAGcEAAAOAAAAAAAAAAEAIAAAACsB&#10;AABkcnMvZTJvRG9jLnhtbFBLBQYAAAAABgAGAFkBAADXBQAAAAA=&#10;">
                <v:fill on="f" focussize="0,0"/>
                <v:stroke on="f" weight="0.5pt"/>
                <v:imagedata o:title=""/>
                <o:lock v:ext="edit" aspectratio="f"/>
                <v:textbox>
                  <w:txbxContent>
                    <w:p w14:paraId="21406830">
                      <w:pPr>
                        <w:rPr>
                          <w:rFonts w:hint="default" w:eastAsia="宋体"/>
                          <w:sz w:val="16"/>
                          <w:szCs w:val="16"/>
                          <w:lang w:val="en-US" w:eastAsia="zh-CN"/>
                        </w:rPr>
                      </w:pPr>
                      <w:r>
                        <w:rPr>
                          <w:rFonts w:hint="eastAsia"/>
                          <w:sz w:val="16"/>
                          <w:szCs w:val="16"/>
                          <w:lang w:val="en-US" w:eastAsia="zh-CN"/>
                        </w:rPr>
                        <w:t>排气筒</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3169920</wp:posOffset>
                </wp:positionH>
                <wp:positionV relativeFrom="paragraph">
                  <wp:posOffset>2403475</wp:posOffset>
                </wp:positionV>
                <wp:extent cx="914400" cy="47053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3DEBE0">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6pt;margin-top:189.25pt;height:37.05pt;width:72pt;z-index:251670528;mso-width-relative:page;mso-height-relative:page;" filled="f" stroked="f" coordsize="21600,21600" o:gfxdata="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Ucqi/cAAAACwEAAA8AAAAAAAAAAQAgAAAAIgAAAGRy&#10;cy9kb3ducmV2LnhtbFBLAQIUABQAAAAIAIdO4kDJHGHmOgIAAGcEAAAOAAAAAAAAAAEAIAAAACsB&#10;AABkcnMvZTJvRG9jLnhtbFBLBQYAAAAABgAGAFkBAADXBQAAAAA=&#10;">
                <v:fill on="f" focussize="0,0"/>
                <v:stroke on="f" weight="0.5pt"/>
                <v:imagedata o:title=""/>
                <o:lock v:ext="edit" aspectratio="f"/>
                <v:textbox>
                  <w:txbxContent>
                    <w:p w14:paraId="033DEBE0">
                      <w:pPr>
                        <w:rPr>
                          <w:rFonts w:hint="default" w:eastAsia="宋体"/>
                          <w:lang w:val="en-US" w:eastAsia="zh-CN"/>
                        </w:rPr>
                      </w:pPr>
                      <w:r>
                        <w:rPr>
                          <w:rFonts w:hint="eastAsia"/>
                          <w:lang w:val="en-US" w:eastAsia="zh-CN"/>
                        </w:rPr>
                        <w:t>DA001</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3497580</wp:posOffset>
                </wp:positionH>
                <wp:positionV relativeFrom="paragraph">
                  <wp:posOffset>3380740</wp:posOffset>
                </wp:positionV>
                <wp:extent cx="914400" cy="470535"/>
                <wp:effectExtent l="0" t="0" r="0" b="0"/>
                <wp:wrapNone/>
                <wp:docPr id="45" name="文本框 45"/>
                <wp:cNvGraphicFramePr/>
                <a:graphic xmlns:a="http://schemas.openxmlformats.org/drawingml/2006/main">
                  <a:graphicData uri="http://schemas.microsoft.com/office/word/2010/wordprocessingShape">
                    <wps:wsp>
                      <wps:cNvSpPr txBox="1"/>
                      <wps:spPr>
                        <a:xfrm>
                          <a:off x="4551045" y="377190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393F0">
                            <w:pPr>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4pt;margin-top:266.2pt;height:37.05pt;width:72pt;z-index:251668480;mso-width-relative:page;mso-height-relative:page;" filled="f" stroked="f" coordsize="21600,21600" o:gfxdata="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5Lh0fbAAAACwEAAA8AAAAAAAAA&#10;AQAgAAAAIgAAAGRycy9kb3ducmV2LnhtbFBLAQIUABQAAAAIAIdO4kAbJ0XoRwIAAHMEAAAOAAAA&#10;AAAAAAEAIAAAACoBAABkcnMvZTJvRG9jLnhtbFBLBQYAAAAABgAGAFkBAADjBQAAAAA=&#10;">
                <v:fill on="f" focussize="0,0"/>
                <v:stroke on="f" weight="0.5pt"/>
                <v:imagedata o:title=""/>
                <o:lock v:ext="edit" aspectratio="f"/>
                <v:textbox>
                  <w:txbxContent>
                    <w:p w14:paraId="0D6393F0">
                      <w:pPr>
                        <w:rPr>
                          <w:rFonts w:hint="default" w:eastAsia="宋体"/>
                          <w:lang w:val="en-US" w:eastAsia="zh-CN"/>
                        </w:rPr>
                      </w:pPr>
                      <w:r>
                        <w:rPr>
                          <w:rFonts w:hint="eastAsia"/>
                          <w:lang w:val="en-US" w:eastAsia="zh-CN"/>
                        </w:rPr>
                        <w:t>DA002</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3635375</wp:posOffset>
                </wp:positionH>
                <wp:positionV relativeFrom="paragraph">
                  <wp:posOffset>3282315</wp:posOffset>
                </wp:positionV>
                <wp:extent cx="158750" cy="179705"/>
                <wp:effectExtent l="12700" t="12700" r="19050" b="17145"/>
                <wp:wrapNone/>
                <wp:docPr id="46" name="同心圆 46"/>
                <wp:cNvGraphicFramePr/>
                <a:graphic xmlns:a="http://schemas.openxmlformats.org/drawingml/2006/main">
                  <a:graphicData uri="http://schemas.microsoft.com/office/word/2010/wordprocessingShape">
                    <wps:wsp>
                      <wps:cNvSpPr/>
                      <wps:spPr>
                        <a:xfrm>
                          <a:off x="0" y="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86.25pt;margin-top:258.45pt;height:14.15pt;width:12.5pt;z-index:251669504;v-text-anchor:middle;mso-width-relative:page;mso-height-relative:page;" fillcolor="#4F81BD [3204]" filled="t" stroked="t" coordsize="21600,21600" o:gfxdata="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5Mk8O9gAAAALAQAADwAAAAAAAAABACAA&#10;AAAiAAAAZHJzL2Rvd25yZXYueG1sUEsBAhQAFAAAAAgAh07iQN4vkf9/AgAABAUAAA4AAAAAAAAA&#10;AQAgAAAAJwEAAGRycy9lMm9Eb2MueG1sUEsFBgAAAAAGAAYAWQEAABgGAAAAAA==&#10;" adj="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3222625</wp:posOffset>
                </wp:positionH>
                <wp:positionV relativeFrom="paragraph">
                  <wp:posOffset>2724785</wp:posOffset>
                </wp:positionV>
                <wp:extent cx="158750" cy="179705"/>
                <wp:effectExtent l="12700" t="12700" r="19050" b="17145"/>
                <wp:wrapNone/>
                <wp:docPr id="44" name="同心圆 44"/>
                <wp:cNvGraphicFramePr/>
                <a:graphic xmlns:a="http://schemas.openxmlformats.org/drawingml/2006/main">
                  <a:graphicData uri="http://schemas.microsoft.com/office/word/2010/wordprocessingShape">
                    <wps:wsp>
                      <wps:cNvSpPr/>
                      <wps:spPr>
                        <a:xfrm>
                          <a:off x="4212590" y="389890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53.75pt;margin-top:214.55pt;height:14.15pt;width:12.5pt;z-index:251667456;v-text-anchor:middle;mso-width-relative:page;mso-height-relative:page;" fillcolor="#4F81BD [3204]" filled="t" stroked="t" coordsize="21600,21600" o:gfxdata="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HbK7NtgAAAALAQAA&#10;DwAAAAAAAAABACAAAAAiAAAAZHJzL2Rvd25yZXYueG1sUEsBAhQAFAAAAAgAh07iQBnC6D2LAgAA&#10;EAUAAA4AAAAAAAAAAQAgAAAAJwEAAGRycy9lMm9Eb2MueG1sUEsFBgAAAAAGAAYAWQEAACQGAAAA&#10;AA==&#10;" adj="5400">
                <v:fill on="t" focussize="0,0"/>
                <v:stroke weight="2pt" color="#376092 [2404]" joinstyle="round"/>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7030720</wp:posOffset>
                </wp:positionH>
                <wp:positionV relativeFrom="paragraph">
                  <wp:posOffset>2156460</wp:posOffset>
                </wp:positionV>
                <wp:extent cx="523875" cy="613410"/>
                <wp:effectExtent l="0" t="0" r="0" b="0"/>
                <wp:wrapNone/>
                <wp:docPr id="1068" name="文本框 77"/>
                <wp:cNvGraphicFramePr/>
                <a:graphic xmlns:a="http://schemas.openxmlformats.org/drawingml/2006/main">
                  <a:graphicData uri="http://schemas.microsoft.com/office/word/2010/wordprocessingShape">
                    <wps:wsp>
                      <wps:cNvSpPr/>
                      <wps:spPr>
                        <a:xfrm>
                          <a:off x="0" y="0"/>
                          <a:ext cx="523875" cy="613410"/>
                        </a:xfrm>
                        <a:prstGeom prst="rect">
                          <a:avLst/>
                        </a:prstGeom>
                        <a:ln>
                          <a:noFill/>
                        </a:ln>
                      </wps:spPr>
                      <wps:txbx>
                        <w:txbxContent>
                          <w:p w14:paraId="79E2C1D5">
                            <w:pPr>
                              <w:rPr>
                                <w:rFonts w:hint="eastAsia"/>
                                <w:sz w:val="16"/>
                                <w:szCs w:val="16"/>
                                <w:lang w:val="en-US" w:eastAsia="zh-CN"/>
                              </w:rPr>
                            </w:pPr>
                            <w:r>
                              <w:rPr>
                                <w:rFonts w:hint="eastAsia"/>
                                <w:sz w:val="16"/>
                                <w:szCs w:val="16"/>
                                <w:lang w:val="en-US" w:eastAsia="zh-CN"/>
                              </w:rPr>
                              <w:t>危废间</w:t>
                            </w:r>
                          </w:p>
                          <w:p w14:paraId="4EE94268">
                            <w:pPr>
                              <w:rPr>
                                <w:rFonts w:hint="default"/>
                                <w:sz w:val="16"/>
                                <w:szCs w:val="16"/>
                                <w:lang w:val="en-US" w:eastAsia="zh-CN"/>
                              </w:rPr>
                            </w:pPr>
                            <w:r>
                              <w:rPr>
                                <w:rFonts w:hint="eastAsia"/>
                                <w:sz w:val="16"/>
                                <w:szCs w:val="16"/>
                                <w:lang w:val="en-US" w:eastAsia="zh-CN"/>
                              </w:rPr>
                              <w:t>废水排口</w:t>
                            </w:r>
                          </w:p>
                        </w:txbxContent>
                      </wps:txbx>
                      <wps:bodyPr vert="horz" wrap="square" lIns="0" tIns="0" rIns="0" bIns="0" anchor="t">
                        <a:noAutofit/>
                      </wps:bodyPr>
                    </wps:wsp>
                  </a:graphicData>
                </a:graphic>
              </wp:anchor>
            </w:drawing>
          </mc:Choice>
          <mc:Fallback>
            <w:pict>
              <v:rect id="文本框 77" o:spid="_x0000_s1026" o:spt="1" style="position:absolute;left:0pt;margin-left:553.6pt;margin-top:169.8pt;height:48.3pt;width:41.25pt;z-index:251660288;mso-width-relative:page;mso-height-relative:page;" filled="f" stroked="f" coordsize="21600,21600" o:gfxdata="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j9VHd0AAAANAQAADwAAAAAAAAAB&#10;ACAAAAAiAAAAZHJzL2Rvd25yZXYueG1sUEsBAhQAFAAAAAgAh07iQNQbF8/SAQAAkwMAAA4AAAAA&#10;AAAAAQAgAAAALAEAAGRycy9lMm9Eb2MueG1sUEsFBgAAAAAGAAYAWQEAAHAFAAAAAA==&#10;">
                <v:fill on="f" focussize="0,0"/>
                <v:stroke on="f"/>
                <v:imagedata o:title=""/>
                <o:lock v:ext="edit" aspectratio="f"/>
                <v:textbox inset="0mm,0mm,0mm,0mm">
                  <w:txbxContent>
                    <w:p w14:paraId="79E2C1D5">
                      <w:pPr>
                        <w:rPr>
                          <w:rFonts w:hint="eastAsia"/>
                          <w:sz w:val="16"/>
                          <w:szCs w:val="16"/>
                          <w:lang w:val="en-US" w:eastAsia="zh-CN"/>
                        </w:rPr>
                      </w:pPr>
                      <w:r>
                        <w:rPr>
                          <w:rFonts w:hint="eastAsia"/>
                          <w:sz w:val="16"/>
                          <w:szCs w:val="16"/>
                          <w:lang w:val="en-US" w:eastAsia="zh-CN"/>
                        </w:rPr>
                        <w:t>危废间</w:t>
                      </w:r>
                    </w:p>
                    <w:p w14:paraId="4EE94268">
                      <w:pPr>
                        <w:rPr>
                          <w:rFonts w:hint="default"/>
                          <w:sz w:val="16"/>
                          <w:szCs w:val="16"/>
                          <w:lang w:val="en-US" w:eastAsia="zh-CN"/>
                        </w:rPr>
                      </w:pPr>
                      <w:r>
                        <w:rPr>
                          <w:rFonts w:hint="eastAsia"/>
                          <w:sz w:val="16"/>
                          <w:szCs w:val="16"/>
                          <w:lang w:val="en-US" w:eastAsia="zh-CN"/>
                        </w:rPr>
                        <w:t>废水排口</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6076950</wp:posOffset>
                </wp:positionH>
                <wp:positionV relativeFrom="paragraph">
                  <wp:posOffset>2131060</wp:posOffset>
                </wp:positionV>
                <wp:extent cx="523875" cy="296545"/>
                <wp:effectExtent l="0" t="0" r="9525" b="8255"/>
                <wp:wrapNone/>
                <wp:docPr id="1069" name="文本框 76"/>
                <wp:cNvGraphicFramePr/>
                <a:graphic xmlns:a="http://schemas.openxmlformats.org/drawingml/2006/main">
                  <a:graphicData uri="http://schemas.microsoft.com/office/word/2010/wordprocessingShape">
                    <wps:wsp>
                      <wps:cNvSpPr/>
                      <wps:spPr>
                        <a:xfrm>
                          <a:off x="0" y="0"/>
                          <a:ext cx="523875" cy="296545"/>
                        </a:xfrm>
                        <a:prstGeom prst="rect">
                          <a:avLst/>
                        </a:prstGeom>
                        <a:ln>
                          <a:noFill/>
                        </a:ln>
                      </wps:spPr>
                      <wps:txbx>
                        <w:txbxContent>
                          <w:p w14:paraId="74FA5AE2">
                            <w:pPr>
                              <w:rPr>
                                <w:rFonts w:hint="default" w:eastAsia="宋体"/>
                                <w:sz w:val="16"/>
                                <w:szCs w:val="16"/>
                                <w:lang w:val="en-US" w:eastAsia="zh-CN"/>
                              </w:rPr>
                            </w:pPr>
                            <w:r>
                              <w:rPr>
                                <w:rFonts w:hint="eastAsia"/>
                                <w:sz w:val="16"/>
                                <w:szCs w:val="16"/>
                                <w:lang w:val="en-US" w:eastAsia="zh-CN"/>
                              </w:rPr>
                              <w:t>一般固废区</w:t>
                            </w:r>
                          </w:p>
                        </w:txbxContent>
                      </wps:txbx>
                      <wps:bodyPr vert="horz" wrap="square" lIns="0" tIns="0" rIns="0" bIns="0" anchor="t">
                        <a:noAutofit/>
                      </wps:bodyPr>
                    </wps:wsp>
                  </a:graphicData>
                </a:graphic>
              </wp:anchor>
            </w:drawing>
          </mc:Choice>
          <mc:Fallback>
            <w:pict>
              <v:rect id="文本框 76" o:spid="_x0000_s1026" o:spt="1" style="position:absolute;left:0pt;margin-left:478.5pt;margin-top:167.8pt;height:23.35pt;width:41.25pt;z-index:251660288;mso-width-relative:page;mso-height-relative:page;" filled="f" stroked="f" coordsize="21600,21600" o:gfxdata="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uWcNI3AAAAAwBAAAPAAAAAAAAAAEA&#10;IAAAACIAAABkcnMvZG93bnJldi54bWxQSwECFAAUAAAACACHTuJAvt3Zk9IBAACTAwAADgAAAAAA&#10;AAABACAAAAArAQAAZHJzL2Uyb0RvYy54bWxQSwUGAAAAAAYABgBZAQAAbwUAAAAA&#10;">
                <v:fill on="f" focussize="0,0"/>
                <v:stroke on="f"/>
                <v:imagedata o:title=""/>
                <o:lock v:ext="edit" aspectratio="f"/>
                <v:textbox inset="0mm,0mm,0mm,0mm">
                  <w:txbxContent>
                    <w:p w14:paraId="74FA5AE2">
                      <w:pPr>
                        <w:rPr>
                          <w:rFonts w:hint="default" w:eastAsia="宋体"/>
                          <w:sz w:val="16"/>
                          <w:szCs w:val="16"/>
                          <w:lang w:val="en-US" w:eastAsia="zh-CN"/>
                        </w:rPr>
                      </w:pPr>
                      <w:r>
                        <w:rPr>
                          <w:rFonts w:hint="eastAsia"/>
                          <w:sz w:val="16"/>
                          <w:szCs w:val="16"/>
                          <w:lang w:val="en-US" w:eastAsia="zh-CN"/>
                        </w:rPr>
                        <w:t>一般固废区</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6724650</wp:posOffset>
                </wp:positionH>
                <wp:positionV relativeFrom="paragraph">
                  <wp:posOffset>2238375</wp:posOffset>
                </wp:positionV>
                <wp:extent cx="206375" cy="135255"/>
                <wp:effectExtent l="6350" t="6350" r="15875" b="10795"/>
                <wp:wrapNone/>
                <wp:docPr id="1070" name="矩形 75"/>
                <wp:cNvGraphicFramePr/>
                <a:graphic xmlns:a="http://schemas.openxmlformats.org/drawingml/2006/main">
                  <a:graphicData uri="http://schemas.microsoft.com/office/word/2010/wordprocessingShape">
                    <wps:wsp>
                      <wps:cNvSpPr/>
                      <wps:spPr>
                        <a:xfrm>
                          <a:off x="0" y="0"/>
                          <a:ext cx="206375" cy="135253"/>
                        </a:xfrm>
                        <a:prstGeom prst="rect">
                          <a:avLst/>
                        </a:prstGeom>
                        <a:solidFill>
                          <a:srgbClr val="FF0000"/>
                        </a:solidFill>
                        <a:ln w="12700" cap="flat" cmpd="sng">
                          <a:solidFill>
                            <a:srgbClr val="2E75B5"/>
                          </a:solidFill>
                          <a:prstDash val="solid"/>
                          <a:miter/>
                          <a:headEnd type="none" w="med" len="med"/>
                          <a:tailEnd type="none" w="med" len="med"/>
                        </a:ln>
                      </wps:spPr>
                      <wps:bodyPr/>
                    </wps:wsp>
                  </a:graphicData>
                </a:graphic>
              </wp:anchor>
            </w:drawing>
          </mc:Choice>
          <mc:Fallback>
            <w:pict>
              <v:rect id="矩形 75" o:spid="_x0000_s1026" o:spt="1" style="position:absolute;left:0pt;margin-left:529.5pt;margin-top:176.25pt;height:10.65pt;width:16.25pt;z-index:251660288;mso-width-relative:page;mso-height-relative:page;" fillcolor="#FF0000" filled="t" stroked="t" coordsize="21600,21600" o:gfxdata="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Noj2dsAAAANAQAADwAAAAAAAAABACAAAAAiAAAAZHJzL2Rvd25y&#10;ZXYueG1sUEsBAhQAFAAAAAgAh07iQComrML7AQAAFgQAAA4AAAAAAAAAAQAgAAAAKgEAAGRycy9l&#10;Mm9Eb2MueG1sUEsFBgAAAAAGAAYAWQEAAJcFAAAAAA==&#10;">
                <v:fill on="t" focussize="0,0"/>
                <v:stroke weight="1pt" color="#2E75B5" joinstyle="miter"/>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4792980</wp:posOffset>
                </wp:positionH>
                <wp:positionV relativeFrom="paragraph">
                  <wp:posOffset>2402205</wp:posOffset>
                </wp:positionV>
                <wp:extent cx="206375" cy="135255"/>
                <wp:effectExtent l="24765" t="38100" r="35560" b="55245"/>
                <wp:wrapNone/>
                <wp:docPr id="1072" name="矩形 26"/>
                <wp:cNvGraphicFramePr/>
                <a:graphic xmlns:a="http://schemas.openxmlformats.org/drawingml/2006/main">
                  <a:graphicData uri="http://schemas.microsoft.com/office/word/2010/wordprocessingShape">
                    <wps:wsp>
                      <wps:cNvSpPr/>
                      <wps:spPr>
                        <a:xfrm rot="1140000">
                          <a:off x="0" y="0"/>
                          <a:ext cx="206375" cy="135253"/>
                        </a:xfrm>
                        <a:prstGeom prst="rec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rect id="矩形 26" o:spid="_x0000_s1026" o:spt="1" style="position:absolute;left:0pt;margin-left:377.4pt;margin-top:189.15pt;height:10.65pt;width:16.25pt;rotation:1245184f;z-index:251660288;mso-width-relative:page;mso-height-relative:page;" fillcolor="#5B9BD5" filled="t" stroked="t" coordsize="21600,21600" o:gfxdata="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7uR/dkAAAALAQAADwAAAAAAAAABACAAAAAiAAAA&#10;ZHJzL2Rvd25yZXYueG1sUEsBAhQAFAAAAAgAh07iQJ18k5UGAgAAJAQAAA4AAAAAAAAAAQAgAAAA&#10;KAEAAGRycy9lMm9Eb2MueG1sUEsFBgAAAAAGAAYAWQEAAKAFAAAAAA==&#10;">
                <v:fill on="t" focussize="0,0"/>
                <v:stroke weight="1pt" color="#2E75B5" joinstyle="miter"/>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4587240</wp:posOffset>
                </wp:positionH>
                <wp:positionV relativeFrom="paragraph">
                  <wp:posOffset>2990850</wp:posOffset>
                </wp:positionV>
                <wp:extent cx="206375" cy="135255"/>
                <wp:effectExtent l="24765" t="38100" r="35560" b="55245"/>
                <wp:wrapNone/>
                <wp:docPr id="1073" name="矩形 27"/>
                <wp:cNvGraphicFramePr/>
                <a:graphic xmlns:a="http://schemas.openxmlformats.org/drawingml/2006/main">
                  <a:graphicData uri="http://schemas.microsoft.com/office/word/2010/wordprocessingShape">
                    <wps:wsp>
                      <wps:cNvSpPr/>
                      <wps:spPr>
                        <a:xfrm rot="1140000">
                          <a:off x="0" y="0"/>
                          <a:ext cx="206375" cy="135253"/>
                        </a:xfrm>
                        <a:prstGeom prst="rect">
                          <a:avLst/>
                        </a:prstGeom>
                        <a:solidFill>
                          <a:srgbClr val="FF0000"/>
                        </a:solidFill>
                        <a:ln w="12700" cap="flat" cmpd="sng">
                          <a:solidFill>
                            <a:srgbClr val="2E75B5"/>
                          </a:solidFill>
                          <a:prstDash val="solid"/>
                          <a:miter/>
                          <a:headEnd type="none" w="med" len="med"/>
                          <a:tailEnd type="none" w="med" len="med"/>
                        </a:ln>
                      </wps:spPr>
                      <wps:bodyPr/>
                    </wps:wsp>
                  </a:graphicData>
                </a:graphic>
              </wp:anchor>
            </w:drawing>
          </mc:Choice>
          <mc:Fallback>
            <w:pict>
              <v:rect id="矩形 27" o:spid="_x0000_s1026" o:spt="1" style="position:absolute;left:0pt;margin-left:361.2pt;margin-top:235.5pt;height:10.65pt;width:16.25pt;rotation:1245184f;z-index:251660288;mso-width-relative:page;mso-height-relative:page;" fillcolor="#FF0000" filled="t" stroked="t" coordsize="21600,21600" o:gfxdata="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&#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GzAq2QAAAAsBAAAPAAAAAAAAAAEAIAAAACIAAABk&#10;cnMvZG93bnJldi54bWxQSwECFAAUAAAACACHTuJALQ+OUAUCAAAkBAAADgAAAAAAAAABACAAAAAo&#10;AQAAZHJzL2Uyb0RvYy54bWxQSwUGAAAAAAYABgBZAQAAnwUAAAAA&#10;">
                <v:fill on="t" focussize="0,0"/>
                <v:stroke weight="1pt" color="#2E75B5" joinstyle="miter"/>
                <v:imagedata o:title=""/>
                <o:lock v:ext="edit" aspectratio="f"/>
              </v:rect>
            </w:pict>
          </mc:Fallback>
        </mc:AlternateContent>
      </w:r>
      <w:r>
        <w:rPr>
          <w:rFonts w:hint="default" w:ascii="Times New Roman" w:hAnsi="Times New Roman" w:eastAsia="宋体" w:cs="Times New Roman"/>
          <w:color w:val="auto"/>
          <w:lang w:eastAsia="zh-CN"/>
        </w:rPr>
        <w:drawing>
          <wp:inline distT="0" distB="0" distL="0" distR="0">
            <wp:extent cx="7176770" cy="5394960"/>
            <wp:effectExtent l="9525" t="9525" r="14605" b="24765"/>
            <wp:docPr id="1074" name="图片 1" descr="玻璃纤维复合新材料建设项目总图水0408 Model (1)_00"/>
            <wp:cNvGraphicFramePr/>
            <a:graphic xmlns:a="http://schemas.openxmlformats.org/drawingml/2006/main">
              <a:graphicData uri="http://schemas.openxmlformats.org/drawingml/2006/picture">
                <pic:pic xmlns:pic="http://schemas.openxmlformats.org/drawingml/2006/picture">
                  <pic:nvPicPr>
                    <pic:cNvPr id="1074" name="图片 1" descr="玻璃纤维复合新材料建设项目总图水0408 Model (1)_00"/>
                    <pic:cNvPicPr/>
                  </pic:nvPicPr>
                  <pic:blipFill>
                    <a:blip r:embed="rId41" cstate="print"/>
                    <a:srcRect l="1254" t="1708" b="1976"/>
                    <a:stretch>
                      <a:fillRect/>
                    </a:stretch>
                  </pic:blipFill>
                  <pic:spPr>
                    <a:xfrm>
                      <a:off x="0" y="0"/>
                      <a:ext cx="7176770" cy="5394960"/>
                    </a:xfrm>
                    <a:prstGeom prst="rect">
                      <a:avLst/>
                    </a:prstGeom>
                    <a:ln w="9525" cap="flat" cmpd="sng">
                      <a:solidFill>
                        <a:srgbClr val="000000"/>
                      </a:solidFill>
                      <a:prstDash val="solid"/>
                      <a:round/>
                      <a:headEnd type="none" w="med" len="med"/>
                      <a:tailEnd type="none" w="med" len="med"/>
                    </a:ln>
                  </pic:spPr>
                </pic:pic>
              </a:graphicData>
            </a:graphic>
          </wp:inline>
        </w:drawing>
      </w:r>
    </w:p>
    <w:p w14:paraId="015A1A82">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8E7202C">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5" w:name="_Toc1046"/>
      <w:bookmarkStart w:id="126" w:name="_Toc15681"/>
      <w:r>
        <w:rPr>
          <w:color w:val="auto"/>
          <w:sz w:val="24"/>
        </w:rPr>
        <mc:AlternateContent>
          <mc:Choice Requires="wps">
            <w:drawing>
              <wp:anchor distT="0" distB="0" distL="0" distR="0" simplePos="0" relativeHeight="251660288" behindDoc="0" locked="0" layoutInCell="1" allowOverlap="1">
                <wp:simplePos x="0" y="0"/>
                <wp:positionH relativeFrom="column">
                  <wp:posOffset>7447280</wp:posOffset>
                </wp:positionH>
                <wp:positionV relativeFrom="paragraph">
                  <wp:posOffset>219710</wp:posOffset>
                </wp:positionV>
                <wp:extent cx="914400" cy="914400"/>
                <wp:effectExtent l="0" t="0" r="0" b="0"/>
                <wp:wrapNone/>
                <wp:docPr id="1077" name="文本框 57"/>
                <wp:cNvGraphicFramePr/>
                <a:graphic xmlns:a="http://schemas.openxmlformats.org/drawingml/2006/main">
                  <a:graphicData uri="http://schemas.microsoft.com/office/word/2010/wordprocessingShape">
                    <wps:wsp>
                      <wps:cNvSpPr/>
                      <wps:spPr>
                        <a:xfrm>
                          <a:off x="0" y="0"/>
                          <a:ext cx="914400" cy="914400"/>
                        </a:xfrm>
                        <a:prstGeom prst="rect">
                          <a:avLst/>
                        </a:prstGeom>
                        <a:ln>
                          <a:noFill/>
                        </a:ln>
                      </wps:spPr>
                      <wps:txbx>
                        <w:txbxContent>
                          <w:p w14:paraId="12B6C2B2">
                            <w:pPr>
                              <w:rPr>
                                <w:rFonts w:hint="eastAsia"/>
                                <w:b/>
                                <w:bCs/>
                                <w:color w:val="auto"/>
                                <w:sz w:val="32"/>
                                <w:szCs w:val="32"/>
                                <w:lang w:val="en-US" w:eastAsia="zh-CN"/>
                              </w:rPr>
                            </w:pPr>
                            <w:r>
                              <w:rPr>
                                <w:rFonts w:hint="eastAsia"/>
                                <w:b/>
                                <w:bCs/>
                                <w:color w:val="auto"/>
                                <w:sz w:val="32"/>
                                <w:szCs w:val="32"/>
                                <w:lang w:val="en-US" w:eastAsia="zh-CN"/>
                              </w:rPr>
                              <w:t>DA001</w:t>
                            </w:r>
                          </w:p>
                          <w:p w14:paraId="01EFBA60">
                            <w:pPr>
                              <w:rPr>
                                <w:rFonts w:hint="default"/>
                                <w:b/>
                                <w:bCs/>
                                <w:color w:val="auto"/>
                                <w:sz w:val="32"/>
                                <w:szCs w:val="32"/>
                                <w:lang w:val="en-US" w:eastAsia="zh-CN"/>
                              </w:rPr>
                            </w:pPr>
                          </w:p>
                        </w:txbxContent>
                      </wps:txbx>
                      <wps:bodyPr vert="horz" wrap="square" lIns="91440" tIns="45720" rIns="91440" bIns="45720" anchor="t">
                        <a:noAutofit/>
                      </wps:bodyPr>
                    </wps:wsp>
                  </a:graphicData>
                </a:graphic>
              </wp:anchor>
            </w:drawing>
          </mc:Choice>
          <mc:Fallback>
            <w:pict>
              <v:rect id="文本框 57" o:spid="_x0000_s1026" o:spt="1" style="position:absolute;left:0pt;margin-left:586.4pt;margin-top:17.3pt;height:72pt;width:72pt;z-index:251660288;mso-width-relative:page;mso-height-relative:page;" filled="f" stroked="f" coordsize="21600,21600" o:gfxdata="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NYDNTcAAAADAEAAA8AAAAAAAAA&#10;AQAgAAAAIgAAAGRycy9kb3ducmV2LnhtbFBLAQIUABQAAAAIAIdO4kCFbqyO1AEAAKMDAAAOAAAA&#10;AAAAAAEAIAAAACsBAABkcnMvZTJvRG9jLnhtbFBLBQYAAAAABgAGAFkBAABxBQAAAAA=&#10;">
                <v:fill on="f" focussize="0,0"/>
                <v:stroke on="f"/>
                <v:imagedata o:title=""/>
                <o:lock v:ext="edit" aspectratio="f"/>
                <v:textbox>
                  <w:txbxContent>
                    <w:p w14:paraId="12B6C2B2">
                      <w:pPr>
                        <w:rPr>
                          <w:rFonts w:hint="eastAsia"/>
                          <w:b/>
                          <w:bCs/>
                          <w:color w:val="auto"/>
                          <w:sz w:val="32"/>
                          <w:szCs w:val="32"/>
                          <w:lang w:val="en-US" w:eastAsia="zh-CN"/>
                        </w:rPr>
                      </w:pPr>
                      <w:r>
                        <w:rPr>
                          <w:rFonts w:hint="eastAsia"/>
                          <w:b/>
                          <w:bCs/>
                          <w:color w:val="auto"/>
                          <w:sz w:val="32"/>
                          <w:szCs w:val="32"/>
                          <w:lang w:val="en-US" w:eastAsia="zh-CN"/>
                        </w:rPr>
                        <w:t>DA001</w:t>
                      </w:r>
                    </w:p>
                    <w:p w14:paraId="01EFBA60">
                      <w:pPr>
                        <w:rPr>
                          <w:rFonts w:hint="default"/>
                          <w:b/>
                          <w:bCs/>
                          <w:color w:val="auto"/>
                          <w:sz w:val="32"/>
                          <w:szCs w:val="32"/>
                          <w:lang w:val="en-US" w:eastAsia="zh-CN"/>
                        </w:rPr>
                      </w:pPr>
                    </w:p>
                  </w:txbxContent>
                </v:textbox>
              </v:rect>
            </w:pict>
          </mc:Fallback>
        </mc:AlternateContent>
      </w:r>
      <w:r>
        <w:rPr>
          <w:rFonts w:hint="eastAsia" w:cs="Times New Roman"/>
          <w:b/>
          <w:bCs/>
          <w:color w:val="auto"/>
          <w:sz w:val="24"/>
          <w:szCs w:val="24"/>
          <w:lang w:val="en-US" w:eastAsia="zh-CN"/>
        </w:rPr>
        <w:t>1#厂房</w:t>
      </w:r>
      <w:r>
        <w:rPr>
          <w:rFonts w:hint="default" w:ascii="Times New Roman" w:hAnsi="Times New Roman" w:eastAsia="宋体" w:cs="Times New Roman"/>
          <w:b/>
          <w:bCs/>
          <w:color w:val="auto"/>
          <w:sz w:val="24"/>
          <w:szCs w:val="24"/>
          <w:lang w:eastAsia="zh-CN"/>
        </w:rPr>
        <w:t>平面布置图</w:t>
      </w:r>
      <w:bookmarkEnd w:id="125"/>
    </w:p>
    <w:p w14:paraId="663BE0B2">
      <w:pPr>
        <w:pStyle w:val="2"/>
        <w:jc w:val="cente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4"/>
        </w:rPr>
        <mc:AlternateContent>
          <mc:Choice Requires="wps">
            <w:drawing>
              <wp:anchor distT="0" distB="0" distL="0" distR="0" simplePos="0" relativeHeight="251660288" behindDoc="0" locked="0" layoutInCell="1" allowOverlap="1">
                <wp:simplePos x="0" y="0"/>
                <wp:positionH relativeFrom="column">
                  <wp:posOffset>7276465</wp:posOffset>
                </wp:positionH>
                <wp:positionV relativeFrom="paragraph">
                  <wp:posOffset>42545</wp:posOffset>
                </wp:positionV>
                <wp:extent cx="212090" cy="207010"/>
                <wp:effectExtent l="6350" t="6350" r="10160" b="15240"/>
                <wp:wrapNone/>
                <wp:docPr id="1075" name="同心圆 69"/>
                <wp:cNvGraphicFramePr/>
                <a:graphic xmlns:a="http://schemas.openxmlformats.org/drawingml/2006/main">
                  <a:graphicData uri="http://schemas.microsoft.com/office/word/2010/wordprocessingShape">
                    <wps:wsp>
                      <wps:cNvSpPr/>
                      <wps:spPr>
                        <a:xfrm>
                          <a:off x="0" y="0"/>
                          <a:ext cx="212088" cy="207009"/>
                        </a:xfrm>
                        <a:prstGeom prst="donu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shape id="同心圆 69" o:spid="_x0000_s1026" o:spt="23" type="#_x0000_t23" style="position:absolute;left:0pt;margin-left:572.95pt;margin-top:3.35pt;height:16.3pt;width:16.7pt;z-index:251660288;mso-width-relative:page;mso-height-relative:page;" fillcolor="#5B9BD5" filled="t" stroked="t" coordsize="21600,21600" o:gfxdata="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YfPnNsAAAAKAQAADwAAAAAAAAABACAAAAAiAAAAZHJz&#10;L2Rvd25yZXYueG1sUEsBAhQAFAAAAAgAh07iQCRoGrgBAgAAGgQAAA4AAAAAAAAAAQAgAAAAKgEA&#10;AGRycy9lMm9Eb2MueG1sUEsFBgAAAAAGAAYAWQEAAJ0FAAAAAA==&#10;" adj="5270">
                <v:fill on="t" focussize="0,0"/>
                <v:stroke weight="1pt" color="#2E75B5" joinstyle="miter"/>
                <v:imagedata o:title=""/>
                <o:lock v:ext="edit" aspectratio="f"/>
              </v:shape>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375285</wp:posOffset>
                </wp:positionH>
                <wp:positionV relativeFrom="paragraph">
                  <wp:posOffset>4416425</wp:posOffset>
                </wp:positionV>
                <wp:extent cx="914400" cy="438785"/>
                <wp:effectExtent l="0" t="0" r="0" b="0"/>
                <wp:wrapNone/>
                <wp:docPr id="1076" name="文本框 71"/>
                <wp:cNvGraphicFramePr/>
                <a:graphic xmlns:a="http://schemas.openxmlformats.org/drawingml/2006/main">
                  <a:graphicData uri="http://schemas.microsoft.com/office/word/2010/wordprocessingShape">
                    <wps:wsp>
                      <wps:cNvSpPr/>
                      <wps:spPr>
                        <a:xfrm>
                          <a:off x="0" y="0"/>
                          <a:ext cx="914400" cy="438784"/>
                        </a:xfrm>
                        <a:prstGeom prst="rect">
                          <a:avLst/>
                        </a:prstGeom>
                        <a:ln>
                          <a:noFill/>
                        </a:ln>
                      </wps:spPr>
                      <wps:txbx>
                        <w:txbxContent>
                          <w:p w14:paraId="69C6FAF7">
                            <w:pPr>
                              <w:rPr>
                                <w:rFonts w:hint="default"/>
                                <w:b/>
                                <w:bCs/>
                                <w:color w:val="auto"/>
                                <w:sz w:val="32"/>
                                <w:szCs w:val="32"/>
                                <w:lang w:val="en-US" w:eastAsia="zh-CN"/>
                              </w:rPr>
                            </w:pPr>
                            <w:r>
                              <w:rPr>
                                <w:rFonts w:hint="eastAsia"/>
                                <w:b/>
                                <w:bCs/>
                                <w:color w:val="auto"/>
                                <w:sz w:val="32"/>
                                <w:szCs w:val="32"/>
                                <w:lang w:val="en-US" w:eastAsia="zh-CN"/>
                              </w:rPr>
                              <w:t>1#厂房</w:t>
                            </w:r>
                          </w:p>
                        </w:txbxContent>
                      </wps:txbx>
                      <wps:bodyPr vert="horz" wrap="square" lIns="91440" tIns="45720" rIns="91440" bIns="45720" anchor="t">
                        <a:noAutofit/>
                      </wps:bodyPr>
                    </wps:wsp>
                  </a:graphicData>
                </a:graphic>
              </wp:anchor>
            </w:drawing>
          </mc:Choice>
          <mc:Fallback>
            <w:pict>
              <v:rect id="文本框 71" o:spid="_x0000_s1026" o:spt="1" style="position:absolute;left:0pt;margin-left:29.55pt;margin-top:347.75pt;height:34.55pt;width:72pt;z-index:251660288;mso-width-relative:page;mso-height-relative:page;" filled="f" stroked="f" coordsize="21600,21600" o:gfxdata="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SgLdrbAAAACgEAAA8AAAAA&#10;AAAAAQAgAAAAIgAAAGRycy9kb3ducmV2LnhtbFBLAQIUABQAAAAIAIdO4kBWSqlO2AEAAKMDAAAO&#10;AAAAAAAAAAEAIAAAACoBAABkcnMvZTJvRG9jLnhtbFBLBQYAAAAABgAGAFkBAAB0BQAAAAA=&#10;">
                <v:fill on="f" focussize="0,0"/>
                <v:stroke on="f"/>
                <v:imagedata o:title=""/>
                <o:lock v:ext="edit" aspectratio="f"/>
                <v:textbox>
                  <w:txbxContent>
                    <w:p w14:paraId="69C6FAF7">
                      <w:pPr>
                        <w:rPr>
                          <w:rFonts w:hint="default"/>
                          <w:b/>
                          <w:bCs/>
                          <w:color w:val="auto"/>
                          <w:sz w:val="32"/>
                          <w:szCs w:val="32"/>
                          <w:lang w:val="en-US" w:eastAsia="zh-CN"/>
                        </w:rPr>
                      </w:pPr>
                      <w:r>
                        <w:rPr>
                          <w:rFonts w:hint="eastAsia"/>
                          <w:b/>
                          <w:bCs/>
                          <w:color w:val="auto"/>
                          <w:sz w:val="32"/>
                          <w:szCs w:val="32"/>
                          <w:lang w:val="en-US" w:eastAsia="zh-CN"/>
                        </w:rPr>
                        <w:t>1#厂房</w:t>
                      </w:r>
                    </w:p>
                  </w:txbxContent>
                </v:textbox>
              </v:rect>
            </w:pict>
          </mc:Fallback>
        </mc:AlternateContent>
      </w:r>
      <w:r>
        <w:drawing>
          <wp:inline distT="0" distB="0" distL="0" distR="0">
            <wp:extent cx="7969250" cy="5387340"/>
            <wp:effectExtent l="9525" t="9525" r="21590" b="13334"/>
            <wp:docPr id="1078" name="图片 3"/>
            <wp:cNvGraphicFramePr/>
            <a:graphic xmlns:a="http://schemas.openxmlformats.org/drawingml/2006/main">
              <a:graphicData uri="http://schemas.openxmlformats.org/drawingml/2006/picture">
                <pic:pic xmlns:pic="http://schemas.openxmlformats.org/drawingml/2006/picture">
                  <pic:nvPicPr>
                    <pic:cNvPr id="1078" name="图片 3"/>
                    <pic:cNvPicPr/>
                  </pic:nvPicPr>
                  <pic:blipFill>
                    <a:blip r:embed="rId42" cstate="print"/>
                    <a:srcRect/>
                    <a:stretch>
                      <a:fillRect/>
                    </a:stretch>
                  </pic:blipFill>
                  <pic:spPr>
                    <a:xfrm>
                      <a:off x="0" y="0"/>
                      <a:ext cx="7969884" cy="5387340"/>
                    </a:xfrm>
                    <a:prstGeom prst="rect">
                      <a:avLst/>
                    </a:prstGeom>
                    <a:ln w="9525" cap="flat" cmpd="sng">
                      <a:solidFill>
                        <a:srgbClr val="000000"/>
                      </a:solidFill>
                      <a:prstDash val="solid"/>
                      <a:round/>
                      <a:headEnd type="none" w="med" len="med"/>
                      <a:tailEnd type="none" w="med" len="med"/>
                    </a:ln>
                  </pic:spPr>
                </pic:pic>
              </a:graphicData>
            </a:graphic>
          </wp:inline>
        </w:drawing>
      </w:r>
    </w:p>
    <w:p w14:paraId="09235E08">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7" w:name="_Toc490"/>
      <w:r>
        <w:rPr>
          <w:rFonts w:hint="eastAsia" w:cs="Times New Roman"/>
          <w:b/>
          <w:bCs/>
          <w:color w:val="auto"/>
          <w:sz w:val="24"/>
          <w:szCs w:val="24"/>
          <w:lang w:val="en-US" w:eastAsia="zh-CN"/>
        </w:rPr>
        <w:t>4#厂房</w:t>
      </w:r>
      <w:r>
        <w:rPr>
          <w:rFonts w:hint="default" w:ascii="Times New Roman" w:hAnsi="Times New Roman" w:eastAsia="宋体" w:cs="Times New Roman"/>
          <w:b/>
          <w:bCs/>
          <w:color w:val="auto"/>
          <w:sz w:val="24"/>
          <w:szCs w:val="24"/>
          <w:lang w:eastAsia="zh-CN"/>
        </w:rPr>
        <w:t>平面布置图</w:t>
      </w:r>
      <w:bookmarkEnd w:id="127"/>
    </w:p>
    <w:p w14:paraId="0057B75C">
      <w:pPr>
        <w:pStyle w:val="2"/>
        <w:jc w:val="center"/>
        <w:rPr>
          <w:rFonts w:hint="default" w:ascii="Times New Roman" w:hAnsi="Times New Roman" w:cs="Times New Roman"/>
          <w:color w:val="auto"/>
          <w:highlight w:val="none"/>
        </w:rPr>
      </w:pPr>
      <w:r>
        <w:rPr>
          <w:color w:val="auto"/>
          <w:sz w:val="24"/>
        </w:rPr>
        <mc:AlternateContent>
          <mc:Choice Requires="wps">
            <w:drawing>
              <wp:anchor distT="0" distB="0" distL="0" distR="0" simplePos="0" relativeHeight="251660288" behindDoc="0" locked="0" layoutInCell="1" allowOverlap="1">
                <wp:simplePos x="0" y="0"/>
                <wp:positionH relativeFrom="column">
                  <wp:posOffset>6914515</wp:posOffset>
                </wp:positionH>
                <wp:positionV relativeFrom="paragraph">
                  <wp:posOffset>2821940</wp:posOffset>
                </wp:positionV>
                <wp:extent cx="914400" cy="914400"/>
                <wp:effectExtent l="0" t="0" r="0" b="0"/>
                <wp:wrapNone/>
                <wp:docPr id="1083" name="文本框 64"/>
                <wp:cNvGraphicFramePr/>
                <a:graphic xmlns:a="http://schemas.openxmlformats.org/drawingml/2006/main">
                  <a:graphicData uri="http://schemas.microsoft.com/office/word/2010/wordprocessingShape">
                    <wps:wsp>
                      <wps:cNvSpPr/>
                      <wps:spPr>
                        <a:xfrm>
                          <a:off x="0" y="0"/>
                          <a:ext cx="914400" cy="914399"/>
                        </a:xfrm>
                        <a:prstGeom prst="rect">
                          <a:avLst/>
                        </a:prstGeom>
                        <a:ln>
                          <a:noFill/>
                        </a:ln>
                      </wps:spPr>
                      <wps:txbx>
                        <w:txbxContent>
                          <w:p w14:paraId="266DAAFA">
                            <w:pPr>
                              <w:rPr>
                                <w:rFonts w:hint="default" w:eastAsia="宋体"/>
                                <w:color w:val="auto"/>
                                <w:sz w:val="32"/>
                                <w:szCs w:val="32"/>
                                <w:lang w:val="en-US" w:eastAsia="zh-CN"/>
                              </w:rPr>
                            </w:pPr>
                            <w:r>
                              <w:rPr>
                                <w:rFonts w:hint="eastAsia"/>
                                <w:b/>
                                <w:bCs/>
                                <w:color w:val="auto"/>
                                <w:sz w:val="32"/>
                                <w:szCs w:val="32"/>
                                <w:lang w:val="en-US" w:eastAsia="zh-CN"/>
                              </w:rPr>
                              <w:t>DA002</w:t>
                            </w:r>
                          </w:p>
                        </w:txbxContent>
                      </wps:txbx>
                      <wps:bodyPr vert="horz" wrap="square" lIns="91440" tIns="45720" rIns="91440" bIns="45720" anchor="t">
                        <a:noAutofit/>
                      </wps:bodyPr>
                    </wps:wsp>
                  </a:graphicData>
                </a:graphic>
              </wp:anchor>
            </w:drawing>
          </mc:Choice>
          <mc:Fallback>
            <w:pict>
              <v:rect id="文本框 64" o:spid="_x0000_s1026" o:spt="1" style="position:absolute;left:0pt;margin-left:544.45pt;margin-top:222.2pt;height:72pt;width:72pt;z-index:251660288;mso-width-relative:page;mso-height-relative:page;" filled="f" stroked="f" coordsize="21600,21600" o:gfxdata="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HoFh4NsAAAANAQAADwAAAAAA&#10;AAABACAAAAAiAAAAZHJzL2Rvd25yZXYueG1sUEsBAhQAFAAAAAgAh07iQCk5InLXAQAAowMAAA4A&#10;AAAAAAAAAQAgAAAAKgEAAGRycy9lMm9Eb2MueG1sUEsFBgAAAAAGAAYAWQEAAHMFAAAAAA==&#10;">
                <v:fill on="f" focussize="0,0"/>
                <v:stroke on="f"/>
                <v:imagedata o:title=""/>
                <o:lock v:ext="edit" aspectratio="f"/>
                <v:textbox>
                  <w:txbxContent>
                    <w:p w14:paraId="266DAAFA">
                      <w:pPr>
                        <w:rPr>
                          <w:rFonts w:hint="default" w:eastAsia="宋体"/>
                          <w:color w:val="auto"/>
                          <w:sz w:val="32"/>
                          <w:szCs w:val="32"/>
                          <w:lang w:val="en-US" w:eastAsia="zh-CN"/>
                        </w:rPr>
                      </w:pPr>
                      <w:r>
                        <w:rPr>
                          <w:rFonts w:hint="eastAsia"/>
                          <w:b/>
                          <w:bCs/>
                          <w:color w:val="auto"/>
                          <w:sz w:val="32"/>
                          <w:szCs w:val="32"/>
                          <w:lang w:val="en-US" w:eastAsia="zh-CN"/>
                        </w:rPr>
                        <w:t>DA002</w:t>
                      </w:r>
                    </w:p>
                  </w:txbxContent>
                </v:textbox>
              </v:rect>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6909435</wp:posOffset>
                </wp:positionH>
                <wp:positionV relativeFrom="paragraph">
                  <wp:posOffset>2764155</wp:posOffset>
                </wp:positionV>
                <wp:extent cx="212090" cy="207010"/>
                <wp:effectExtent l="6350" t="6350" r="8255" b="13334"/>
                <wp:wrapNone/>
                <wp:docPr id="1089" name="同心圆 58"/>
                <wp:cNvGraphicFramePr/>
                <a:graphic xmlns:a="http://schemas.openxmlformats.org/drawingml/2006/main">
                  <a:graphicData uri="http://schemas.microsoft.com/office/word/2010/wordprocessingShape">
                    <wps:wsp>
                      <wps:cNvSpPr/>
                      <wps:spPr>
                        <a:xfrm>
                          <a:off x="0" y="0"/>
                          <a:ext cx="212090" cy="207010"/>
                        </a:xfrm>
                        <a:prstGeom prst="donu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shape id="同心圆 58" o:spid="_x0000_s1026" o:spt="23" type="#_x0000_t23" style="position:absolute;left:0pt;margin-left:544.05pt;margin-top:217.65pt;height:16.3pt;width:16.7pt;z-index:251660288;mso-width-relative:page;mso-height-relative:page;" fillcolor="#5B9BD5" filled="t" stroked="t" coordsize="21600,21600" o:gfxdata="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gHNuN0AAAANAQAADwAAAAAAAAABACAAAAAiAAAAZHJz&#10;L2Rvd25yZXYueG1sUEsBAhQAFAAAAAgAh07iQP2XSpb/AQAAGgQAAA4AAAAAAAAAAQAgAAAALAEA&#10;AGRycy9lMm9Eb2MueG1sUEsFBgAAAAAGAAYAWQEAAJ0FAAAAAA==&#10;" adj="5270">
                <v:fill on="t" focussize="0,0"/>
                <v:stroke weight="1pt" color="#2E75B5" joinstyle="miter"/>
                <v:imagedata o:title=""/>
                <o:lock v:ext="edit" aspectratio="f"/>
              </v:shape>
            </w:pict>
          </mc:Fallback>
        </mc:AlternateContent>
      </w:r>
      <w:r>
        <w:drawing>
          <wp:anchor distT="0" distB="0" distL="114300" distR="114300" simplePos="0" relativeHeight="251663360" behindDoc="0" locked="0" layoutInCell="1" allowOverlap="1">
            <wp:simplePos x="0" y="0"/>
            <wp:positionH relativeFrom="column">
              <wp:posOffset>1101725</wp:posOffset>
            </wp:positionH>
            <wp:positionV relativeFrom="paragraph">
              <wp:posOffset>705485</wp:posOffset>
            </wp:positionV>
            <wp:extent cx="1514475" cy="1528445"/>
            <wp:effectExtent l="0" t="0" r="0" b="0"/>
            <wp:wrapNone/>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3"/>
                    <a:srcRect t="998" b="2914"/>
                    <a:stretch>
                      <a:fillRect/>
                    </a:stretch>
                  </pic:blipFill>
                  <pic:spPr>
                    <a:xfrm rot="13380000">
                      <a:off x="0" y="0"/>
                      <a:ext cx="1514475" cy="1528445"/>
                    </a:xfrm>
                    <a:prstGeom prst="rect">
                      <a:avLst/>
                    </a:prstGeom>
                    <a:noFill/>
                    <a:ln>
                      <a:noFill/>
                    </a:ln>
                  </pic:spPr>
                </pic:pic>
              </a:graphicData>
            </a:graphic>
          </wp:anchor>
        </w:drawing>
      </w:r>
      <w:r>
        <w:rPr>
          <w:sz w:val="24"/>
        </w:rPr>
        <mc:AlternateContent>
          <mc:Choice Requires="wps">
            <w:drawing>
              <wp:anchor distT="0" distB="0" distL="0" distR="0" simplePos="0" relativeHeight="251660288" behindDoc="0" locked="0" layoutInCell="1" allowOverlap="1">
                <wp:simplePos x="0" y="0"/>
                <wp:positionH relativeFrom="column">
                  <wp:posOffset>2801620</wp:posOffset>
                </wp:positionH>
                <wp:positionV relativeFrom="paragraph">
                  <wp:posOffset>2910840</wp:posOffset>
                </wp:positionV>
                <wp:extent cx="348615" cy="864235"/>
                <wp:effectExtent l="0" t="0" r="13334" b="12065"/>
                <wp:wrapNone/>
                <wp:docPr id="1080" name="矩形 79"/>
                <wp:cNvGraphicFramePr/>
                <a:graphic xmlns:a="http://schemas.openxmlformats.org/drawingml/2006/main">
                  <a:graphicData uri="http://schemas.microsoft.com/office/word/2010/wordprocessingShape">
                    <wps:wsp>
                      <wps:cNvSpPr/>
                      <wps:spPr>
                        <a:xfrm>
                          <a:off x="0" y="0"/>
                          <a:ext cx="348614" cy="864234"/>
                        </a:xfrm>
                        <a:prstGeom prst="rect">
                          <a:avLst/>
                        </a:prstGeom>
                        <a:solidFill>
                          <a:srgbClr val="FFFFFF"/>
                        </a:solidFill>
                        <a:ln>
                          <a:noFill/>
                        </a:ln>
                      </wps:spPr>
                      <wps:bodyPr/>
                    </wps:wsp>
                  </a:graphicData>
                </a:graphic>
              </wp:anchor>
            </w:drawing>
          </mc:Choice>
          <mc:Fallback>
            <w:pict>
              <v:rect id="矩形 79" o:spid="_x0000_s1026" o:spt="1" style="position:absolute;left:0pt;margin-left:220.6pt;margin-top:229.2pt;height:68.05pt;width:27.45pt;z-index:251660288;mso-width-relative:page;mso-height-relative:page;" fillcolor="#FFFFFF" filled="t" stroked="f" coordsize="21600,21600" o:gfxdata="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xi/Ch2QAA&#10;AAsBAAAPAAAAAAAAAAEAIAAAACIAAABkcnMvZG93bnJldi54bWxQSwECFAAUAAAACACHTuJAy4TT&#10;xasBAABWAwAADgAAAAAAAAABACAAAAAoAQAAZHJzL2Uyb0RvYy54bWxQSwUGAAAAAAYABgBZAQAA&#10;RQU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2443480</wp:posOffset>
                </wp:positionH>
                <wp:positionV relativeFrom="paragraph">
                  <wp:posOffset>1998345</wp:posOffset>
                </wp:positionV>
                <wp:extent cx="4500245" cy="1778000"/>
                <wp:effectExtent l="6350" t="6350" r="8255" b="6350"/>
                <wp:wrapNone/>
                <wp:docPr id="1081" name="任意多边形 80"/>
                <wp:cNvGraphicFramePr/>
                <a:graphic xmlns:a="http://schemas.openxmlformats.org/drawingml/2006/main">
                  <a:graphicData uri="http://schemas.microsoft.com/office/word/2010/wordprocessingShape">
                    <wps:wsp>
                      <wps:cNvSpPr/>
                      <wps:spPr>
                        <a:xfrm>
                          <a:off x="0" y="0"/>
                          <a:ext cx="4500245" cy="1778000"/>
                        </a:xfrm>
                        <a:custGeom>
                          <a:avLst/>
                          <a:gdLst/>
                          <a:ahLst/>
                          <a:cxnLst/>
                          <a:rect l="l" t="t" r="r" b="b"/>
                          <a:pathLst>
                            <a:path w="4500245" h="1778000">
                              <a:moveTo>
                                <a:pt x="0" y="1771015"/>
                              </a:moveTo>
                              <a:lnTo>
                                <a:pt x="4500245" y="1778000"/>
                              </a:lnTo>
                              <a:lnTo>
                                <a:pt x="4500245" y="0"/>
                              </a:lnTo>
                              <a:lnTo>
                                <a:pt x="642620" y="0"/>
                              </a:lnTo>
                              <a:lnTo>
                                <a:pt x="642620" y="897890"/>
                              </a:lnTo>
                              <a:lnTo>
                                <a:pt x="0" y="889000"/>
                              </a:lnTo>
                              <a:lnTo>
                                <a:pt x="0" y="1771015"/>
                              </a:lnTo>
                              <a:close/>
                            </a:path>
                          </a:pathLst>
                        </a:custGeom>
                        <a:ln w="12700" cap="flat" cmpd="sng">
                          <a:solidFill>
                            <a:srgbClr val="000000"/>
                          </a:solidFill>
                          <a:prstDash val="solid"/>
                          <a:miter/>
                          <a:headEnd type="none" w="med" len="med"/>
                          <a:tailEnd type="none" w="med" len="med"/>
                        </a:ln>
                      </wps:spPr>
                      <wps:bodyPr/>
                    </wps:wsp>
                  </a:graphicData>
                </a:graphic>
              </wp:anchor>
            </w:drawing>
          </mc:Choice>
          <mc:Fallback>
            <w:pict>
              <v:shape id="任意多边形 80" o:spid="_x0000_s1026" o:spt="100" style="position:absolute;left:0pt;margin-left:192.4pt;margin-top:157.35pt;height:140pt;width:354.35pt;z-index:251660288;mso-width-relative:page;mso-height-relative:page;" filled="f" stroked="t" coordsize="4500245,1778000" o:gfxdata="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81u9ldoAAAAMAQAADwAAAAAAAAABACAAAAAi&#10;AAAAZHJzL2Rvd25yZXYueG1sUEsBAhQAFAAAAAgAh07iQCb64AB6AgAAnQUAAA4AAAAAAAAAAQAg&#10;AAAAKQEAAGRycy9lMm9Eb2MueG1sUEsFBgAAAAAGAAYAWQEAABUGAAAAAA==&#10;" path="m0,1771015l4500245,1778000,4500245,0,642620,0,642620,897890,0,889000,0,1771015xe">
                <v:fill on="f" focussize="0,0"/>
                <v:stroke weight="1pt" color="#000000" joinstyle="miter"/>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2435225</wp:posOffset>
                </wp:positionH>
                <wp:positionV relativeFrom="paragraph">
                  <wp:posOffset>1979930</wp:posOffset>
                </wp:positionV>
                <wp:extent cx="643255" cy="913130"/>
                <wp:effectExtent l="0" t="0" r="4445" b="1270"/>
                <wp:wrapNone/>
                <wp:docPr id="1082" name="矩形 78"/>
                <wp:cNvGraphicFramePr/>
                <a:graphic xmlns:a="http://schemas.openxmlformats.org/drawingml/2006/main">
                  <a:graphicData uri="http://schemas.microsoft.com/office/word/2010/wordprocessingShape">
                    <wps:wsp>
                      <wps:cNvSpPr/>
                      <wps:spPr>
                        <a:xfrm>
                          <a:off x="0" y="0"/>
                          <a:ext cx="643253" cy="913128"/>
                        </a:xfrm>
                        <a:prstGeom prst="rect">
                          <a:avLst/>
                        </a:prstGeom>
                        <a:solidFill>
                          <a:srgbClr val="FFFFFF"/>
                        </a:solidFill>
                        <a:ln>
                          <a:noFill/>
                        </a:ln>
                      </wps:spPr>
                      <wps:bodyPr/>
                    </wps:wsp>
                  </a:graphicData>
                </a:graphic>
              </wp:anchor>
            </w:drawing>
          </mc:Choice>
          <mc:Fallback>
            <w:pict>
              <v:rect id="矩形 78" o:spid="_x0000_s1026" o:spt="1" style="position:absolute;left:0pt;margin-left:191.75pt;margin-top:155.9pt;height:71.9pt;width:50.65pt;z-index:251660288;mso-width-relative:page;mso-height-relative:page;" fillcolor="#FFFFFF" filled="t" stroked="f" coordsize="21600,21600" o:gfxdata="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xPjtcA&#10;AAALAQAADwAAAAAAAAABACAAAAAiAAAAZHJzL2Rvd25yZXYueG1sUEsBAhQAFAAAAAgAh07iQDuP&#10;TMuuAQAAVgMAAA4AAAAAAAAAAQAgAAAAJgEAAGRycy9lMm9Eb2MueG1sUEsFBgAAAAAGAAYAWQEA&#10;AEYFA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2478405</wp:posOffset>
                </wp:positionH>
                <wp:positionV relativeFrom="paragraph">
                  <wp:posOffset>2004695</wp:posOffset>
                </wp:positionV>
                <wp:extent cx="4464685" cy="1780540"/>
                <wp:effectExtent l="13970" t="14605" r="17145" b="14605"/>
                <wp:wrapNone/>
                <wp:docPr id="1084" name="任意多边形 235"/>
                <wp:cNvGraphicFramePr/>
                <a:graphic xmlns:a="http://schemas.openxmlformats.org/drawingml/2006/main">
                  <a:graphicData uri="http://schemas.microsoft.com/office/word/2010/wordprocessingShape">
                    <wps:wsp>
                      <wps:cNvSpPr/>
                      <wps:spPr>
                        <a:xfrm>
                          <a:off x="0" y="0"/>
                          <a:ext cx="4464684" cy="1780539"/>
                        </a:xfrm>
                        <a:custGeom>
                          <a:avLst/>
                          <a:gdLst/>
                          <a:ahLst/>
                          <a:cxnLst/>
                          <a:rect l="l" t="t" r="r" b="b"/>
                          <a:pathLst>
                            <a:path w="4464685" h="1780540">
                              <a:moveTo>
                                <a:pt x="0" y="0"/>
                              </a:moveTo>
                              <a:lnTo>
                                <a:pt x="4464685" y="6350"/>
                              </a:lnTo>
                              <a:lnTo>
                                <a:pt x="4464685" y="1780540"/>
                              </a:lnTo>
                              <a:lnTo>
                                <a:pt x="594995" y="1762125"/>
                              </a:lnTo>
                              <a:lnTo>
                                <a:pt x="589280" y="899795"/>
                              </a:lnTo>
                              <a:lnTo>
                                <a:pt x="0" y="893445"/>
                              </a:lnTo>
                              <a:lnTo>
                                <a:pt x="0" y="0"/>
                              </a:lnTo>
                              <a:close/>
                            </a:path>
                          </a:pathLst>
                        </a:custGeom>
                        <a:ln w="28575" cap="flat" cmpd="sng">
                          <a:solidFill>
                            <a:srgbClr val="000000"/>
                          </a:solidFill>
                          <a:prstDash val="solid"/>
                          <a:miter/>
                          <a:headEnd type="none" w="med" len="med"/>
                          <a:tailEnd type="none" w="med" len="med"/>
                        </a:ln>
                      </wps:spPr>
                      <wps:bodyPr/>
                    </wps:wsp>
                  </a:graphicData>
                </a:graphic>
              </wp:anchor>
            </w:drawing>
          </mc:Choice>
          <mc:Fallback>
            <w:pict>
              <v:shape id="任意多边形 235" o:spid="_x0000_s1026" o:spt="100" style="position:absolute;left:0pt;margin-left:195.15pt;margin-top:157.85pt;height:140.2pt;width:351.55pt;z-index:251660288;mso-width-relative:page;mso-height-relative:page;" filled="f" stroked="t" coordsize="4464685,1780540" o:gfxdata="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tJQf9wAAAAMAQAA&#10;DwAAAAAAAAABACAAAAAiAAAAZHJzL2Rvd25yZXYueG1sUEsBAhQAFAAAAAgAh07iQBkaktSHAgAA&#10;mwUAAA4AAAAAAAAAAQAgAAAAKwEAAGRycy9lMm9Eb2MueG1sUEsFBgAAAAAGAAYAWQEAACQGAAAA&#10;AA==&#10;" path="m0,0l4464685,6350,4464685,1780540,594995,1762125,589280,899795,0,893445,0,0xe">
                <v:fill on="f" focussize="0,0"/>
                <v:stroke weight="2.25pt" color="#000000" joinstyle="miter"/>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6696710</wp:posOffset>
                </wp:positionH>
                <wp:positionV relativeFrom="paragraph">
                  <wp:posOffset>2792095</wp:posOffset>
                </wp:positionV>
                <wp:extent cx="252095" cy="252095"/>
                <wp:effectExtent l="0" t="0" r="14605" b="14605"/>
                <wp:wrapNone/>
                <wp:docPr id="1085" name="矩形 234"/>
                <wp:cNvGraphicFramePr/>
                <a:graphic xmlns:a="http://schemas.openxmlformats.org/drawingml/2006/main">
                  <a:graphicData uri="http://schemas.microsoft.com/office/word/2010/wordprocessingShape">
                    <wps:wsp>
                      <wps:cNvSpPr/>
                      <wps:spPr>
                        <a:xfrm>
                          <a:off x="0" y="0"/>
                          <a:ext cx="252093" cy="252095"/>
                        </a:xfrm>
                        <a:prstGeom prst="rect">
                          <a:avLst/>
                        </a:prstGeom>
                        <a:solidFill>
                          <a:srgbClr val="FFFFFF"/>
                        </a:solidFill>
                        <a:ln>
                          <a:noFill/>
                        </a:ln>
                      </wps:spPr>
                      <wps:bodyPr/>
                    </wps:wsp>
                  </a:graphicData>
                </a:graphic>
              </wp:anchor>
            </w:drawing>
          </mc:Choice>
          <mc:Fallback>
            <w:pict>
              <v:rect id="矩形 234" o:spid="_x0000_s1026" o:spt="1" style="position:absolute;left:0pt;margin-left:527.3pt;margin-top:219.85pt;height:19.85pt;width:19.85pt;z-index:251660288;mso-width-relative:page;mso-height-relative:page;" fillcolor="#FFFFFF" filled="t" stroked="f" coordsize="21600,21600" o:gfxdata="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FExZsbZAAAA&#10;DQEAAA8AAAAAAAAAAQAgAAAAIgAAAGRycy9kb3ducmV2LnhtbFBLAQIUABQAAAAIAIdO4kCUdtrD&#10;qgEAAFcDAAAOAAAAAAAAAAEAIAAAACgBAABkcnMvZTJvRG9jLnhtbFBLBQYAAAAABgAGAFkBAABE&#10;BQ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3079750</wp:posOffset>
                </wp:positionH>
                <wp:positionV relativeFrom="paragraph">
                  <wp:posOffset>2675255</wp:posOffset>
                </wp:positionV>
                <wp:extent cx="215900" cy="215900"/>
                <wp:effectExtent l="0" t="0" r="12700" b="12700"/>
                <wp:wrapNone/>
                <wp:docPr id="1086" name="矩形 233"/>
                <wp:cNvGraphicFramePr/>
                <a:graphic xmlns:a="http://schemas.openxmlformats.org/drawingml/2006/main">
                  <a:graphicData uri="http://schemas.microsoft.com/office/word/2010/wordprocessingShape">
                    <wps:wsp>
                      <wps:cNvSpPr/>
                      <wps:spPr>
                        <a:xfrm>
                          <a:off x="0" y="0"/>
                          <a:ext cx="215900" cy="215900"/>
                        </a:xfrm>
                        <a:prstGeom prst="rect">
                          <a:avLst/>
                        </a:prstGeom>
                        <a:solidFill>
                          <a:srgbClr val="FFFFFF"/>
                        </a:solidFill>
                        <a:ln>
                          <a:noFill/>
                        </a:ln>
                      </wps:spPr>
                      <wps:bodyPr/>
                    </wps:wsp>
                  </a:graphicData>
                </a:graphic>
              </wp:anchor>
            </w:drawing>
          </mc:Choice>
          <mc:Fallback>
            <w:pict>
              <v:rect id="矩形 233" o:spid="_x0000_s1026" o:spt="1" style="position:absolute;left:0pt;margin-left:242.5pt;margin-top:210.65pt;height:17pt;width:17pt;z-index:251660288;mso-width-relative:page;mso-height-relative:page;" fillcolor="#FFFFFF" filled="t" stroked="f" coordsize="21600,21600" o:gfxdata="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sgNxv2QAAAAsB&#10;AAAPAAAAAAAAAAEAIAAAACIAAABkcnMvZG93bnJldi54bWxQSwECFAAUAAAACACHTuJA29k3fKgB&#10;AABXAwAADgAAAAAAAAABACAAAAAoAQAAZHJzL2Uyb0RvYy54bWxQSwUGAAAAAAYABgBZAQAAQgUA&#10;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5399405</wp:posOffset>
                </wp:positionH>
                <wp:positionV relativeFrom="paragraph">
                  <wp:posOffset>2038350</wp:posOffset>
                </wp:positionV>
                <wp:extent cx="755015" cy="256540"/>
                <wp:effectExtent l="0" t="0" r="6985" b="10160"/>
                <wp:wrapNone/>
                <wp:docPr id="1087" name="矩形 195"/>
                <wp:cNvGraphicFramePr/>
                <a:graphic xmlns:a="http://schemas.openxmlformats.org/drawingml/2006/main">
                  <a:graphicData uri="http://schemas.microsoft.com/office/word/2010/wordprocessingShape">
                    <wps:wsp>
                      <wps:cNvSpPr/>
                      <wps:spPr>
                        <a:xfrm>
                          <a:off x="0" y="0"/>
                          <a:ext cx="755015" cy="256538"/>
                        </a:xfrm>
                        <a:prstGeom prst="rect">
                          <a:avLst/>
                        </a:prstGeom>
                        <a:solidFill>
                          <a:srgbClr val="FFFFFF"/>
                        </a:solidFill>
                        <a:ln>
                          <a:noFill/>
                        </a:ln>
                      </wps:spPr>
                      <wps:bodyPr/>
                    </wps:wsp>
                  </a:graphicData>
                </a:graphic>
              </wp:anchor>
            </w:drawing>
          </mc:Choice>
          <mc:Fallback>
            <w:pict>
              <v:rect id="矩形 195" o:spid="_x0000_s1026" o:spt="1" style="position:absolute;left:0pt;margin-left:425.15pt;margin-top:160.5pt;height:20.2pt;width:59.45pt;z-index:251660288;mso-width-relative:page;mso-height-relative:page;" fillcolor="#FFFFFF" filled="t" stroked="f" coordsize="21600,21600" o:gfxdata="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U5XtNgA&#10;AAALAQAADwAAAAAAAAABACAAAAAiAAAAZHJzL2Rvd25yZXYueG1sUEsBAhQAFAAAAAgAh07iQPrz&#10;ryKtAQAAVwMAAA4AAAAAAAAAAQAgAAAAJwEAAGRycy9lMm9Eb2MueG1sUEsFBgAAAAAGAAYAWQEA&#10;AEYFA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3110230</wp:posOffset>
                </wp:positionH>
                <wp:positionV relativeFrom="paragraph">
                  <wp:posOffset>2023110</wp:posOffset>
                </wp:positionV>
                <wp:extent cx="732155" cy="256540"/>
                <wp:effectExtent l="0" t="0" r="10795" b="10160"/>
                <wp:wrapNone/>
                <wp:docPr id="1088" name="矩形 194"/>
                <wp:cNvGraphicFramePr/>
                <a:graphic xmlns:a="http://schemas.openxmlformats.org/drawingml/2006/main">
                  <a:graphicData uri="http://schemas.microsoft.com/office/word/2010/wordprocessingShape">
                    <wps:wsp>
                      <wps:cNvSpPr/>
                      <wps:spPr>
                        <a:xfrm>
                          <a:off x="0" y="0"/>
                          <a:ext cx="732154" cy="256538"/>
                        </a:xfrm>
                        <a:prstGeom prst="rect">
                          <a:avLst/>
                        </a:prstGeom>
                        <a:solidFill>
                          <a:srgbClr val="FFFFFF"/>
                        </a:solidFill>
                        <a:ln>
                          <a:noFill/>
                        </a:ln>
                      </wps:spPr>
                      <wps:bodyPr/>
                    </wps:wsp>
                  </a:graphicData>
                </a:graphic>
              </wp:anchor>
            </w:drawing>
          </mc:Choice>
          <mc:Fallback>
            <w:pict>
              <v:rect id="矩形 194" o:spid="_x0000_s1026" o:spt="1" style="position:absolute;left:0pt;margin-left:244.9pt;margin-top:159.3pt;height:20.2pt;width:57.65pt;z-index:251660288;mso-width-relative:page;mso-height-relative:page;" fillcolor="#FFFFFF" filled="t" stroked="f" coordsize="21600,21600" o:gfxdata="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aA15vZ&#10;AAAACwEAAA8AAAAAAAAAAQAgAAAAIgAAAGRycy9kb3ducmV2LnhtbFBLAQIUABQAAAAIAIdO4kD6&#10;PswyrQEAAFcDAAAOAAAAAAAAAAEAIAAAACgBAABkcnMvZTJvRG9jLnhtbFBLBQYAAAAABgAGAFkB&#10;AABHBQAAAAA=&#10;">
                <v:fill on="t" focussize="0,0"/>
                <v:stroke on="f"/>
                <v:imagedata o:title=""/>
                <o:lock v:ext="edit" aspectratio="f"/>
              </v:rect>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375285</wp:posOffset>
                </wp:positionH>
                <wp:positionV relativeFrom="paragraph">
                  <wp:posOffset>4690745</wp:posOffset>
                </wp:positionV>
                <wp:extent cx="914400" cy="438785"/>
                <wp:effectExtent l="0" t="0" r="0" b="0"/>
                <wp:wrapNone/>
                <wp:docPr id="1090" name="文本框 73"/>
                <wp:cNvGraphicFramePr/>
                <a:graphic xmlns:a="http://schemas.openxmlformats.org/drawingml/2006/main">
                  <a:graphicData uri="http://schemas.microsoft.com/office/word/2010/wordprocessingShape">
                    <wps:wsp>
                      <wps:cNvSpPr/>
                      <wps:spPr>
                        <a:xfrm>
                          <a:off x="0" y="0"/>
                          <a:ext cx="914400" cy="438784"/>
                        </a:xfrm>
                        <a:prstGeom prst="rect">
                          <a:avLst/>
                        </a:prstGeom>
                        <a:ln>
                          <a:noFill/>
                        </a:ln>
                      </wps:spPr>
                      <wps:txbx>
                        <w:txbxContent>
                          <w:p w14:paraId="227FE01B">
                            <w:pPr>
                              <w:rPr>
                                <w:rFonts w:hint="default"/>
                                <w:b/>
                                <w:bCs/>
                                <w:color w:val="auto"/>
                                <w:sz w:val="32"/>
                                <w:szCs w:val="32"/>
                                <w:lang w:val="en-US" w:eastAsia="zh-CN"/>
                              </w:rPr>
                            </w:pPr>
                            <w:r>
                              <w:rPr>
                                <w:rFonts w:hint="eastAsia"/>
                                <w:b/>
                                <w:bCs/>
                                <w:color w:val="auto"/>
                                <w:sz w:val="32"/>
                                <w:szCs w:val="32"/>
                                <w:lang w:val="en-US" w:eastAsia="zh-CN"/>
                              </w:rPr>
                              <w:t>4#厂房</w:t>
                            </w:r>
                          </w:p>
                        </w:txbxContent>
                      </wps:txbx>
                      <wps:bodyPr vert="horz" wrap="square" lIns="91440" tIns="45720" rIns="91440" bIns="45720" anchor="t">
                        <a:noAutofit/>
                      </wps:bodyPr>
                    </wps:wsp>
                  </a:graphicData>
                </a:graphic>
              </wp:anchor>
            </w:drawing>
          </mc:Choice>
          <mc:Fallback>
            <w:pict>
              <v:rect id="文本框 73" o:spid="_x0000_s1026" o:spt="1" style="position:absolute;left:0pt;margin-left:29.55pt;margin-top:369.35pt;height:34.55pt;width:72pt;z-index:251660288;mso-width-relative:page;mso-height-relative:page;" filled="f" stroked="f" coordsize="21600,21600" o:gfxdata="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cOYbW9sAAAAKAQAADwAAAAAA&#10;AAABACAAAAAiAAAAZHJzL2Rvd25yZXYueG1sUEsBAhQAFAAAAAgAh07iQIau4lzXAQAAowMAAA4A&#10;AAAAAAAAAQAgAAAAKgEAAGRycy9lMm9Eb2MueG1sUEsFBgAAAAAGAAYAWQEAAHMFAAAAAA==&#10;">
                <v:fill on="f" focussize="0,0"/>
                <v:stroke on="f"/>
                <v:imagedata o:title=""/>
                <o:lock v:ext="edit" aspectratio="f"/>
                <v:textbox>
                  <w:txbxContent>
                    <w:p w14:paraId="227FE01B">
                      <w:pPr>
                        <w:rPr>
                          <w:rFonts w:hint="default"/>
                          <w:b/>
                          <w:bCs/>
                          <w:color w:val="auto"/>
                          <w:sz w:val="32"/>
                          <w:szCs w:val="32"/>
                          <w:lang w:val="en-US" w:eastAsia="zh-CN"/>
                        </w:rPr>
                      </w:pPr>
                      <w:r>
                        <w:rPr>
                          <w:rFonts w:hint="eastAsia"/>
                          <w:b/>
                          <w:bCs/>
                          <w:color w:val="auto"/>
                          <w:sz w:val="32"/>
                          <w:szCs w:val="32"/>
                          <w:lang w:val="en-US" w:eastAsia="zh-CN"/>
                        </w:rPr>
                        <w:t>4#厂房</w:t>
                      </w:r>
                    </w:p>
                  </w:txbxContent>
                </v:textbox>
              </v:rect>
            </w:pict>
          </mc:Fallback>
        </mc:AlternateContent>
      </w:r>
      <w:r>
        <w:rPr>
          <w:color w:val="auto"/>
        </w:rPr>
        <w:drawing>
          <wp:inline distT="0" distB="0" distL="0" distR="0">
            <wp:extent cx="7833360" cy="5027295"/>
            <wp:effectExtent l="9525" t="9525" r="24765" b="11430"/>
            <wp:docPr id="1091" name="图片 1"/>
            <wp:cNvGraphicFramePr/>
            <a:graphic xmlns:a="http://schemas.openxmlformats.org/drawingml/2006/main">
              <a:graphicData uri="http://schemas.openxmlformats.org/drawingml/2006/picture">
                <pic:pic xmlns:pic="http://schemas.openxmlformats.org/drawingml/2006/picture">
                  <pic:nvPicPr>
                    <pic:cNvPr id="1091" name="图片 1"/>
                    <pic:cNvPicPr/>
                  </pic:nvPicPr>
                  <pic:blipFill>
                    <a:blip r:embed="rId44" cstate="print"/>
                    <a:srcRect/>
                    <a:stretch>
                      <a:fillRect/>
                    </a:stretch>
                  </pic:blipFill>
                  <pic:spPr>
                    <a:xfrm>
                      <a:off x="0" y="0"/>
                      <a:ext cx="7833360" cy="5027295"/>
                    </a:xfrm>
                    <a:prstGeom prst="rect">
                      <a:avLst/>
                    </a:prstGeom>
                    <a:ln w="9525" cap="flat" cmpd="sng">
                      <a:solidFill>
                        <a:srgbClr val="000000"/>
                      </a:solidFill>
                      <a:prstDash val="solid"/>
                      <a:round/>
                      <a:headEnd type="none" w="med" len="med"/>
                      <a:tailEnd type="none" w="med" len="med"/>
                    </a:ln>
                  </pic:spPr>
                </pic:pic>
              </a:graphicData>
            </a:graphic>
          </wp:inline>
        </w:drawing>
      </w:r>
    </w:p>
    <w:p w14:paraId="617D76FC">
      <w:pPr>
        <w:rPr>
          <w:rFonts w:hint="default" w:ascii="Times New Roman" w:hAnsi="Times New Roman" w:cs="Times New Roman"/>
          <w:color w:val="auto"/>
        </w:rPr>
      </w:pPr>
      <w:r>
        <w:rPr>
          <w:sz w:val="24"/>
        </w:rPr>
        <mc:AlternateContent>
          <mc:Choice Requires="wps">
            <w:drawing>
              <wp:anchor distT="0" distB="0" distL="0" distR="0" simplePos="0" relativeHeight="251660288" behindDoc="0" locked="0" layoutInCell="1" allowOverlap="1">
                <wp:simplePos x="0" y="0"/>
                <wp:positionH relativeFrom="column">
                  <wp:posOffset>1492885</wp:posOffset>
                </wp:positionH>
                <wp:positionV relativeFrom="paragraph">
                  <wp:posOffset>4216400</wp:posOffset>
                </wp:positionV>
                <wp:extent cx="743585" cy="537210"/>
                <wp:effectExtent l="0" t="0" r="18415" b="15240"/>
                <wp:wrapNone/>
                <wp:docPr id="1092" name="文本框 142"/>
                <wp:cNvGraphicFramePr/>
                <a:graphic xmlns:a="http://schemas.openxmlformats.org/drawingml/2006/main">
                  <a:graphicData uri="http://schemas.microsoft.com/office/word/2010/wordprocessingShape">
                    <wps:wsp>
                      <wps:cNvSpPr/>
                      <wps:spPr>
                        <a:xfrm>
                          <a:off x="0" y="0"/>
                          <a:ext cx="743585" cy="537209"/>
                        </a:xfrm>
                        <a:prstGeom prst="rect">
                          <a:avLst/>
                        </a:prstGeom>
                        <a:ln>
                          <a:noFill/>
                        </a:ln>
                      </wps:spPr>
                      <wps:txbx>
                        <w:txbxContent>
                          <w:p w14:paraId="7F89EFCA">
                            <w:pPr>
                              <w:rPr>
                                <w:rFonts w:hint="default" w:eastAsia="宋体"/>
                                <w:b/>
                                <w:bCs/>
                                <w:lang w:val="en-US" w:eastAsia="zh-CN"/>
                              </w:rPr>
                            </w:pPr>
                            <w:r>
                              <w:rPr>
                                <w:rFonts w:hint="eastAsia"/>
                                <w:b/>
                                <w:bCs/>
                                <w:lang w:val="en-US" w:eastAsia="zh-CN"/>
                              </w:rPr>
                              <w:t>DA002</w:t>
                            </w:r>
                          </w:p>
                        </w:txbxContent>
                      </wps:txbx>
                      <wps:bodyPr vert="horz" wrap="square" lIns="91440" tIns="45720" rIns="91440" bIns="45720" anchor="t">
                        <a:noAutofit/>
                      </wps:bodyPr>
                    </wps:wsp>
                  </a:graphicData>
                </a:graphic>
              </wp:anchor>
            </w:drawing>
          </mc:Choice>
          <mc:Fallback>
            <w:pict>
              <v:rect id="文本框 142" o:spid="_x0000_s1026" o:spt="1" style="position:absolute;left:0pt;margin-left:117.55pt;margin-top:332pt;height:42.3pt;width:58.55pt;z-index:251660288;mso-width-relative:page;mso-height-relative:page;" filled="f" stroked="f" coordsize="21600,21600" o:gfxdata="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Azqgs3AAAAAsBAAAP&#10;AAAAAAAAAAEAIAAAACIAAABkcnMvZG93bnJldi54bWxQSwECFAAUAAAACACHTuJA6+5/1dsBAACk&#10;AwAADgAAAAAAAAABACAAAAArAQAAZHJzL2Uyb0RvYy54bWxQSwUGAAAAAAYABgBZAQAAeAUAAAAA&#10;">
                <v:fill on="f" focussize="0,0"/>
                <v:stroke on="f"/>
                <v:imagedata o:title=""/>
                <o:lock v:ext="edit" aspectratio="f"/>
                <v:textbox>
                  <w:txbxContent>
                    <w:p w14:paraId="7F89EFCA">
                      <w:pPr>
                        <w:rPr>
                          <w:rFonts w:hint="default" w:eastAsia="宋体"/>
                          <w:b/>
                          <w:bCs/>
                          <w:lang w:val="en-US" w:eastAsia="zh-CN"/>
                        </w:rPr>
                      </w:pPr>
                      <w:r>
                        <w:rPr>
                          <w:rFonts w:hint="eastAsia"/>
                          <w:b/>
                          <w:bCs/>
                          <w:lang w:val="en-US" w:eastAsia="zh-CN"/>
                        </w:rPr>
                        <w:t>DA002</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1729105</wp:posOffset>
                </wp:positionH>
                <wp:positionV relativeFrom="paragraph">
                  <wp:posOffset>4100830</wp:posOffset>
                </wp:positionV>
                <wp:extent cx="233680" cy="216535"/>
                <wp:effectExtent l="6350" t="6350" r="7620" b="24765"/>
                <wp:wrapNone/>
                <wp:docPr id="1093" name="同心圆 141"/>
                <wp:cNvGraphicFramePr/>
                <a:graphic xmlns:a="http://schemas.openxmlformats.org/drawingml/2006/main">
                  <a:graphicData uri="http://schemas.microsoft.com/office/word/2010/wordprocessingShape">
                    <wps:wsp>
                      <wps:cNvSpPr/>
                      <wps:spPr>
                        <a:xfrm>
                          <a:off x="0" y="0"/>
                          <a:ext cx="233680" cy="216534"/>
                        </a:xfrm>
                        <a:prstGeom prst="donut">
                          <a:avLst/>
                        </a:prstGeom>
                        <a:solidFill>
                          <a:srgbClr val="5B9BD5"/>
                        </a:solidFill>
                        <a:ln w="12700" cap="flat" cmpd="sng">
                          <a:solidFill>
                            <a:srgbClr val="2E75B5"/>
                          </a:solidFill>
                          <a:prstDash val="solid"/>
                          <a:miter/>
                          <a:headEnd type="none" w="med" len="med"/>
                          <a:tailEnd type="none" w="med" len="med"/>
                        </a:ln>
                      </wps:spPr>
                      <wps:txbx>
                        <w:txbxContent>
                          <w:p w14:paraId="31F08F39">
                            <w:pPr>
                              <w:jc w:val="center"/>
                            </w:pPr>
                          </w:p>
                        </w:txbxContent>
                      </wps:txbx>
                      <wps:bodyPr vert="horz" wrap="square" lIns="91440" tIns="45720" rIns="91440" bIns="45720" anchor="ctr">
                        <a:noAutofit/>
                      </wps:bodyPr>
                    </wps:wsp>
                  </a:graphicData>
                </a:graphic>
              </wp:anchor>
            </w:drawing>
          </mc:Choice>
          <mc:Fallback>
            <w:pict>
              <v:shape id="同心圆 141" o:spid="_x0000_s1026" o:spt="23" type="#_x0000_t23" style="position:absolute;left:0pt;margin-left:136.15pt;margin-top:322.9pt;height:17.05pt;width:18.4pt;z-index:251660288;v-text-anchor:middle;mso-width-relative:page;mso-height-relative:page;" fillcolor="#5B9BD5" filled="t" stroked="t" coordsize="21600,21600" o:gfxdata="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7jnFe2wAAAAsBAAAPAAAAAAAAAAEA&#10;IAAAACIAAABkcnMvZG93bnJldi54bWxQSwECFAAUAAAACACHTuJAfcLTHkUCAACbBAAADgAAAAAA&#10;AAABACAAAAAqAQAAZHJzL2Uyb0RvYy54bWxQSwUGAAAAAAYABgBZAQAA4QUAAAAA&#10;" adj="5003">
                <v:fill on="t" focussize="0,0"/>
                <v:stroke weight="1pt" color="#2E75B5" joinstyle="miter"/>
                <v:imagedata o:title=""/>
                <o:lock v:ext="edit" aspectratio="f"/>
                <v:textbox>
                  <w:txbxContent>
                    <w:p w14:paraId="31F08F39">
                      <w:pPr>
                        <w:jc w:val="center"/>
                      </w:pPr>
                    </w:p>
                  </w:txbxContent>
                </v:textbox>
              </v:shape>
            </w:pict>
          </mc:Fallback>
        </mc:AlternateContent>
      </w:r>
    </w:p>
    <w:p w14:paraId="6BFD9A87">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26"/>
    <w:p w14:paraId="4EF9DBFB">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8" w:name="_Toc31546"/>
      <w:bookmarkStart w:id="129" w:name="_Toc25832"/>
      <w:r>
        <w:rPr>
          <w:rFonts w:hint="default" w:ascii="Times New Roman" w:hAnsi="Times New Roman" w:eastAsia="宋体" w:cs="Times New Roman"/>
          <w:b/>
          <w:bCs/>
          <w:color w:val="auto"/>
          <w:sz w:val="24"/>
          <w:szCs w:val="24"/>
          <w:lang w:eastAsia="zh-CN"/>
        </w:rPr>
        <w:t>环境保护目标分布图</w:t>
      </w:r>
      <w:bookmarkEnd w:id="128"/>
      <w:bookmarkEnd w:id="129"/>
    </w:p>
    <w:p w14:paraId="5D0750B3">
      <w:pPr>
        <w:pStyle w:val="2"/>
        <w:jc w:val="center"/>
        <w:rPr>
          <w:rFonts w:hint="default" w:ascii="Times New Roman" w:hAnsi="Times New Roman" w:cs="Times New Roman"/>
          <w:color w:val="auto"/>
          <w:sz w:val="21"/>
          <w:highlight w:val="none"/>
        </w:rPr>
      </w:pPr>
      <w:r>
        <w:rPr>
          <w:rFonts w:hint="default" w:ascii="Times New Roman" w:hAnsi="Times New Roman" w:cs="Times New Roman"/>
          <w:color w:val="auto"/>
        </w:rPr>
        <w:drawing>
          <wp:inline distT="0" distB="0" distL="0" distR="0">
            <wp:extent cx="8790940" cy="5174615"/>
            <wp:effectExtent l="0" t="0" r="10160" b="6985"/>
            <wp:docPr id="1094" name="图片 5"/>
            <wp:cNvGraphicFramePr/>
            <a:graphic xmlns:a="http://schemas.openxmlformats.org/drawingml/2006/main">
              <a:graphicData uri="http://schemas.openxmlformats.org/drawingml/2006/picture">
                <pic:pic xmlns:pic="http://schemas.openxmlformats.org/drawingml/2006/picture">
                  <pic:nvPicPr>
                    <pic:cNvPr id="1094" name="图片 5"/>
                    <pic:cNvPicPr/>
                  </pic:nvPicPr>
                  <pic:blipFill>
                    <a:blip r:embed="rId45" cstate="print"/>
                    <a:srcRect/>
                    <a:stretch>
                      <a:fillRect/>
                    </a:stretch>
                  </pic:blipFill>
                  <pic:spPr>
                    <a:xfrm>
                      <a:off x="0" y="0"/>
                      <a:ext cx="8790940" cy="5174615"/>
                    </a:xfrm>
                    <a:prstGeom prst="rect">
                      <a:avLst/>
                    </a:prstGeom>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095"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auto" r:id="rId46">
                          <w14:nvContentPartPr>
                            <w14:cNvPr id="1095" name="墨迹 161"/>
                            <w14:cNvContentPartPr/>
                          </w14:nvContentPartPr>
                          <w14:xfrm>
                            <a:off x="0" y="0"/>
                            <a:ext cx="634" cy="634"/>
                          </w14:xfrm>
                        </w14:contentPart>
                      </mc:Choice>
                    </mc:AlternateContent>
                  </a:graphicData>
                </a:graphic>
              </wp:anchor>
            </w:drawing>
          </mc:Choice>
          <mc:Fallback>
            <w:pict>
              <v:shape id="墨迹 161" o:spid="_x0000_s1026" o:spt="75" style="position:absolute;left:0pt;margin-left:405.65pt;margin-top:284.75pt;height:0.05pt;width:0.05pt;z-index:251660288;mso-width-relative:page;mso-height-relative:page;" coordsize="21600,21600" o:gfxdata="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096"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auto" r:id="rId48">
                          <w14:nvContentPartPr>
                            <w14:cNvPr id="1096" name="墨迹 158"/>
                            <w14:cNvContentPartPr/>
                          </w14:nvContentPartPr>
                          <w14:xfrm>
                            <a:off x="0" y="0"/>
                            <a:ext cx="634" cy="634"/>
                          </w14:xfrm>
                        </w14:contentPart>
                      </mc:Choice>
                    </mc:AlternateContent>
                  </a:graphicData>
                </a:graphic>
              </wp:anchor>
            </w:drawing>
          </mc:Choice>
          <mc:Fallback>
            <w:pict>
              <v:shape id="墨迹 158" o:spid="_x0000_s1026" o:spt="75" style="position:absolute;left:0pt;margin-left:379.4pt;margin-top:284.75pt;height:0.05pt;width:0.05pt;z-index:251660288;mso-width-relative:page;mso-height-relative:page;" coordsize="21600,21600" o:gfxdata="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097"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auto" r:id="rId49">
                          <w14:nvContentPartPr>
                            <w14:cNvPr id="1097" name="墨迹 156"/>
                            <w14:cNvContentPartPr/>
                          </w14:nvContentPartPr>
                          <w14:xfrm>
                            <a:off x="0" y="0"/>
                            <a:ext cx="634" cy="634"/>
                          </w14:xfrm>
                        </w14:contentPart>
                      </mc:Choice>
                    </mc:AlternateContent>
                  </a:graphicData>
                </a:graphic>
              </wp:anchor>
            </w:drawing>
          </mc:Choice>
          <mc:Fallback>
            <w:pict>
              <v:shape id="墨迹 156" o:spid="_x0000_s1026" o:spt="75" style="position:absolute;left:0pt;margin-left:403.4pt;margin-top:292.25pt;height:0.05pt;width:0.05pt;z-index:251660288;mso-width-relative:page;mso-height-relative:page;" coordsize="21600,21600" o:gfxdata="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098"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auto" r:id="rId50">
                          <w14:nvContentPartPr>
                            <w14:cNvPr id="1098" name="墨迹 154"/>
                            <w14:cNvContentPartPr/>
                          </w14:nvContentPartPr>
                          <w14:xfrm>
                            <a:off x="0" y="0"/>
                            <a:ext cx="634" cy="634"/>
                          </w14:xfrm>
                        </w14:contentPart>
                      </mc:Choice>
                    </mc:AlternateContent>
                  </a:graphicData>
                </a:graphic>
              </wp:anchor>
            </w:drawing>
          </mc:Choice>
          <mc:Fallback>
            <w:pict>
              <v:shape id="墨迹 154" o:spid="_x0000_s1026" o:spt="75" style="position:absolute;left:0pt;margin-left:404.15pt;margin-top:284pt;height:0.05pt;width:0.05pt;z-index:251660288;mso-width-relative:page;mso-height-relative:page;" coordsize="21600,21600" o:gfxdata="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">
                <v:imagedata r:id="rId47" o:title=""/>
                <o:lock v:ext="edit"/>
              </v:shape>
            </w:pict>
          </mc:Fallback>
        </mc:AlternateContent>
      </w:r>
    </w:p>
    <w:p w14:paraId="26C231E9">
      <w:pPr>
        <w:pStyle w:val="45"/>
        <w:numPr>
          <w:ilvl w:val="0"/>
          <w:numId w:val="14"/>
        </w:numPr>
        <w:adjustRightInd/>
        <w:spacing w:line="240" w:lineRule="auto"/>
        <w:ind w:leftChars="0" w:firstLineChars="0"/>
        <w:jc w:val="center"/>
        <w:textAlignment w:val="auto"/>
        <w:outlineLvl w:val="0"/>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D5230F">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0" w:name="_Toc21614"/>
      <w:r>
        <w:rPr>
          <w:rFonts w:hint="default" w:ascii="Times New Roman" w:hAnsi="Times New Roman" w:eastAsia="宋体" w:cs="Times New Roman"/>
          <w:b/>
          <w:bCs/>
          <w:color w:val="auto"/>
          <w:sz w:val="24"/>
          <w:szCs w:val="24"/>
          <w:lang w:eastAsia="zh-CN"/>
        </w:rPr>
        <w:t>建设项目土地利用规划图</w:t>
      </w:r>
      <w:bookmarkEnd w:id="130"/>
    </w:p>
    <w:p w14:paraId="7A70FC52">
      <w:pPr>
        <w:pStyle w:val="2"/>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5937885" cy="8368665"/>
            <wp:effectExtent l="0" t="0" r="5715" b="13334"/>
            <wp:docPr id="1099" name="图片 6"/>
            <wp:cNvGraphicFramePr/>
            <a:graphic xmlns:a="http://schemas.openxmlformats.org/drawingml/2006/main">
              <a:graphicData uri="http://schemas.openxmlformats.org/drawingml/2006/picture">
                <pic:pic xmlns:pic="http://schemas.openxmlformats.org/drawingml/2006/picture">
                  <pic:nvPicPr>
                    <pic:cNvPr id="1099" name="图片 6"/>
                    <pic:cNvPicPr/>
                  </pic:nvPicPr>
                  <pic:blipFill>
                    <a:blip r:embed="rId51" cstate="print"/>
                    <a:srcRect/>
                    <a:stretch>
                      <a:fillRect/>
                    </a:stretch>
                  </pic:blipFill>
                  <pic:spPr>
                    <a:xfrm>
                      <a:off x="0" y="0"/>
                      <a:ext cx="5937885" cy="8368665"/>
                    </a:xfrm>
                    <a:prstGeom prst="rect">
                      <a:avLst/>
                    </a:prstGeom>
                    <a:ln>
                      <a:noFill/>
                    </a:ln>
                  </pic:spPr>
                </pic:pic>
              </a:graphicData>
            </a:graphic>
          </wp:inline>
        </w:drawing>
      </w:r>
    </w:p>
    <w:p w14:paraId="0C571418">
      <w:pPr>
        <w:rPr>
          <w:rFonts w:hint="default" w:ascii="Times New Roman" w:hAnsi="Times New Roman" w:cs="Times New Roman"/>
          <w:color w:val="auto"/>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1C619E">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1" w:name="_Toc23701"/>
      <w:r>
        <w:rPr>
          <w:rFonts w:hint="default" w:ascii="Times New Roman" w:hAnsi="Times New Roman" w:eastAsia="宋体" w:cs="Times New Roman"/>
          <w:b/>
          <w:bCs/>
          <w:color w:val="auto"/>
          <w:sz w:val="24"/>
          <w:szCs w:val="24"/>
          <w:lang w:eastAsia="zh-CN"/>
        </w:rPr>
        <w:t>水环境功能区划图</w:t>
      </w:r>
      <w:bookmarkEnd w:id="131"/>
    </w:p>
    <w:p w14:paraId="39D761C7">
      <w:pPr>
        <w:pStyle w:val="2"/>
        <w:jc w:val="center"/>
        <w:rPr>
          <w:rFonts w:hint="default" w:ascii="Times New Roman" w:hAnsi="Times New Roman" w:eastAsia="宋体" w:cs="Times New Roman"/>
          <w:b/>
          <w:bCs/>
          <w:color w:val="auto"/>
          <w:sz w:val="24"/>
          <w:szCs w:val="24"/>
          <w:lang w:eastAsia="zh-CN"/>
        </w:rPr>
      </w:pPr>
      <w:r>
        <w:rPr>
          <w:rFonts w:hint="default" w:ascii="Times New Roman" w:hAnsi="Times New Roman" w:cs="Times New Roman"/>
          <w:color w:val="auto"/>
        </w:rPr>
        <w:drawing>
          <wp:inline distT="0" distB="0" distL="0" distR="0">
            <wp:extent cx="7574915" cy="5328920"/>
            <wp:effectExtent l="0" t="0" r="6985" b="5080"/>
            <wp:docPr id="1100" name="图片 9"/>
            <wp:cNvGraphicFramePr/>
            <a:graphic xmlns:a="http://schemas.openxmlformats.org/drawingml/2006/main">
              <a:graphicData uri="http://schemas.openxmlformats.org/drawingml/2006/picture">
                <pic:pic xmlns:pic="http://schemas.openxmlformats.org/drawingml/2006/picture">
                  <pic:nvPicPr>
                    <pic:cNvPr id="1100" name="图片 9"/>
                    <pic:cNvPicPr/>
                  </pic:nvPicPr>
                  <pic:blipFill>
                    <a:blip r:embed="rId52" cstate="print"/>
                    <a:srcRect/>
                    <a:stretch>
                      <a:fillRect/>
                    </a:stretch>
                  </pic:blipFill>
                  <pic:spPr>
                    <a:xfrm>
                      <a:off x="0" y="0"/>
                      <a:ext cx="7574915" cy="5328920"/>
                    </a:xfrm>
                    <a:prstGeom prst="rect">
                      <a:avLst/>
                    </a:prstGeom>
                    <a:ln>
                      <a:noFill/>
                    </a:ln>
                  </pic:spPr>
                </pic:pic>
              </a:graphicData>
            </a:graphic>
          </wp:inline>
        </w:drawing>
      </w:r>
    </w:p>
    <w:p w14:paraId="604C8F3F">
      <w:pPr>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FE01F5">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2" w:name="_Toc4109"/>
      <w:r>
        <w:rPr>
          <w:rFonts w:hint="default" w:ascii="Times New Roman" w:hAnsi="Times New Roman" w:eastAsia="宋体" w:cs="Times New Roman"/>
          <w:b/>
          <w:bCs/>
          <w:color w:val="auto"/>
          <w:sz w:val="24"/>
          <w:szCs w:val="24"/>
          <w:lang w:eastAsia="zh-CN"/>
        </w:rPr>
        <w:t>大气环境功能区划图</w:t>
      </w:r>
      <w:bookmarkEnd w:id="132"/>
    </w:p>
    <w:p w14:paraId="57FDC3C3">
      <w:pPr>
        <w:kinsoku w:val="0"/>
        <w:overflowPunct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665085" cy="5395595"/>
            <wp:effectExtent l="0" t="0" r="12065" b="14605"/>
            <wp:docPr id="1101" name="图片 10"/>
            <wp:cNvGraphicFramePr/>
            <a:graphic xmlns:a="http://schemas.openxmlformats.org/drawingml/2006/main">
              <a:graphicData uri="http://schemas.openxmlformats.org/drawingml/2006/picture">
                <pic:pic xmlns:pic="http://schemas.openxmlformats.org/drawingml/2006/picture">
                  <pic:nvPicPr>
                    <pic:cNvPr id="1101" name="图片 10"/>
                    <pic:cNvPicPr/>
                  </pic:nvPicPr>
                  <pic:blipFill>
                    <a:blip r:embed="rId53" cstate="print"/>
                    <a:srcRect/>
                    <a:stretch>
                      <a:fillRect/>
                    </a:stretch>
                  </pic:blipFill>
                  <pic:spPr>
                    <a:xfrm>
                      <a:off x="0" y="0"/>
                      <a:ext cx="7665085" cy="5395595"/>
                    </a:xfrm>
                    <a:prstGeom prst="rect">
                      <a:avLst/>
                    </a:prstGeom>
                    <a:ln>
                      <a:noFill/>
                    </a:ln>
                  </pic:spPr>
                </pic:pic>
              </a:graphicData>
            </a:graphic>
          </wp:inline>
        </w:drawing>
      </w:r>
    </w:p>
    <w:p w14:paraId="620264C1">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DB31DA9">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3" w:name="_Toc10890"/>
      <w:r>
        <w:rPr>
          <w:rFonts w:hint="eastAsia" w:cs="Times New Roman"/>
          <w:b/>
          <w:bCs/>
          <w:color w:val="auto"/>
          <w:sz w:val="24"/>
          <w:szCs w:val="24"/>
          <w:lang w:val="en-US" w:eastAsia="zh-CN"/>
        </w:rPr>
        <w:t>声功能区划图</w:t>
      </w:r>
      <w:bookmarkEnd w:id="133"/>
    </w:p>
    <w:p w14:paraId="32CA5FB1">
      <w:pPr>
        <w:rPr>
          <w:rFonts w:hint="eastAsia" w:cs="Times New Roman"/>
          <w:b/>
          <w:bCs/>
          <w:color w:val="auto"/>
          <w:sz w:val="24"/>
          <w:szCs w:val="24"/>
          <w:lang w:val="en-US" w:eastAsia="zh-CN"/>
        </w:rPr>
      </w:pPr>
      <w:r>
        <w:drawing>
          <wp:inline distT="0" distB="0" distL="114300" distR="114300">
            <wp:extent cx="5248275" cy="7496175"/>
            <wp:effectExtent l="0" t="0" r="9525" b="952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54"/>
                    <a:stretch>
                      <a:fillRect/>
                    </a:stretch>
                  </pic:blipFill>
                  <pic:spPr>
                    <a:xfrm>
                      <a:off x="0" y="0"/>
                      <a:ext cx="5248275" cy="7496175"/>
                    </a:xfrm>
                    <a:prstGeom prst="rect">
                      <a:avLst/>
                    </a:prstGeom>
                    <a:noFill/>
                    <a:ln>
                      <a:noFill/>
                    </a:ln>
                  </pic:spPr>
                </pic:pic>
              </a:graphicData>
            </a:graphic>
          </wp:inline>
        </w:drawing>
      </w:r>
    </w:p>
    <w:p w14:paraId="62A09C4F">
      <w:pPr>
        <w:pStyle w:val="2"/>
        <w:rPr>
          <w:rFonts w:hint="default"/>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00FEC3">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4" w:name="_Toc12886"/>
      <w:r>
        <w:rPr>
          <w:rFonts w:hint="default" w:ascii="Times New Roman" w:hAnsi="Times New Roman" w:eastAsia="宋体" w:cs="Times New Roman"/>
          <w:b/>
          <w:bCs/>
          <w:color w:val="auto"/>
          <w:sz w:val="24"/>
          <w:szCs w:val="24"/>
          <w:lang w:eastAsia="zh-CN"/>
        </w:rPr>
        <w:t>生态红线分布图</w:t>
      </w:r>
      <w:bookmarkEnd w:id="134"/>
    </w:p>
    <w:p w14:paraId="6D00BA36">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416165" cy="5229225"/>
            <wp:effectExtent l="0" t="0" r="12700" b="9525"/>
            <wp:docPr id="1102" name="图片 11"/>
            <wp:cNvGraphicFramePr/>
            <a:graphic xmlns:a="http://schemas.openxmlformats.org/drawingml/2006/main">
              <a:graphicData uri="http://schemas.openxmlformats.org/drawingml/2006/picture">
                <pic:pic xmlns:pic="http://schemas.openxmlformats.org/drawingml/2006/picture">
                  <pic:nvPicPr>
                    <pic:cNvPr id="1102" name="图片 11"/>
                    <pic:cNvPicPr/>
                  </pic:nvPicPr>
                  <pic:blipFill>
                    <a:blip r:embed="rId55" cstate="print"/>
                    <a:srcRect/>
                    <a:stretch>
                      <a:fillRect/>
                    </a:stretch>
                  </pic:blipFill>
                  <pic:spPr>
                    <a:xfrm>
                      <a:off x="0" y="0"/>
                      <a:ext cx="7416798" cy="5229225"/>
                    </a:xfrm>
                    <a:prstGeom prst="rect">
                      <a:avLst/>
                    </a:prstGeom>
                    <a:ln>
                      <a:noFill/>
                    </a:ln>
                  </pic:spPr>
                </pic:pic>
              </a:graphicData>
            </a:graphic>
          </wp:inline>
        </w:drawing>
      </w:r>
    </w:p>
    <w:p w14:paraId="44CCEBDC">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11108E9">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5" w:name="_Toc29531"/>
      <w:r>
        <w:rPr>
          <w:rFonts w:hint="default" w:ascii="Times New Roman" w:hAnsi="Times New Roman" w:eastAsia="宋体" w:cs="Times New Roman"/>
          <w:b/>
          <w:bCs/>
          <w:color w:val="auto"/>
          <w:sz w:val="24"/>
          <w:szCs w:val="24"/>
          <w:lang w:eastAsia="zh-CN"/>
        </w:rPr>
        <w:t>水环境管控单元图</w:t>
      </w:r>
      <w:bookmarkEnd w:id="135"/>
    </w:p>
    <w:p w14:paraId="4563B6F1">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587615" cy="5335270"/>
            <wp:effectExtent l="0" t="0" r="12700" b="17780"/>
            <wp:docPr id="1103" name="图片 12"/>
            <wp:cNvGraphicFramePr/>
            <a:graphic xmlns:a="http://schemas.openxmlformats.org/drawingml/2006/main">
              <a:graphicData uri="http://schemas.openxmlformats.org/drawingml/2006/picture">
                <pic:pic xmlns:pic="http://schemas.openxmlformats.org/drawingml/2006/picture">
                  <pic:nvPicPr>
                    <pic:cNvPr id="1103" name="图片 12"/>
                    <pic:cNvPicPr/>
                  </pic:nvPicPr>
                  <pic:blipFill>
                    <a:blip r:embed="rId56" cstate="print"/>
                    <a:srcRect/>
                    <a:stretch>
                      <a:fillRect/>
                    </a:stretch>
                  </pic:blipFill>
                  <pic:spPr>
                    <a:xfrm>
                      <a:off x="0" y="0"/>
                      <a:ext cx="7588248" cy="5335270"/>
                    </a:xfrm>
                    <a:prstGeom prst="rect">
                      <a:avLst/>
                    </a:prstGeom>
                    <a:ln>
                      <a:noFill/>
                    </a:ln>
                  </pic:spPr>
                </pic:pic>
              </a:graphicData>
            </a:graphic>
          </wp:inline>
        </w:drawing>
      </w:r>
    </w:p>
    <w:p w14:paraId="3AC30FAA">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B6F7DDC">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6" w:name="_Toc19580"/>
      <w:r>
        <w:rPr>
          <w:rFonts w:hint="default" w:ascii="Times New Roman" w:hAnsi="Times New Roman" w:eastAsia="宋体" w:cs="Times New Roman"/>
          <w:b/>
          <w:bCs/>
          <w:color w:val="auto"/>
          <w:sz w:val="24"/>
          <w:szCs w:val="24"/>
          <w:lang w:eastAsia="zh-CN"/>
        </w:rPr>
        <w:t>大气环境管控单元图</w:t>
      </w:r>
      <w:bookmarkEnd w:id="136"/>
    </w:p>
    <w:p w14:paraId="0A52AA6D">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642225" cy="5377815"/>
            <wp:effectExtent l="0" t="0" r="15875" b="13334"/>
            <wp:docPr id="1104" name="图片 8"/>
            <wp:cNvGraphicFramePr/>
            <a:graphic xmlns:a="http://schemas.openxmlformats.org/drawingml/2006/main">
              <a:graphicData uri="http://schemas.openxmlformats.org/drawingml/2006/picture">
                <pic:pic xmlns:pic="http://schemas.openxmlformats.org/drawingml/2006/picture">
                  <pic:nvPicPr>
                    <pic:cNvPr id="1104" name="图片 8"/>
                    <pic:cNvPicPr/>
                  </pic:nvPicPr>
                  <pic:blipFill>
                    <a:blip r:embed="rId57" cstate="print"/>
                    <a:srcRect/>
                    <a:stretch>
                      <a:fillRect/>
                    </a:stretch>
                  </pic:blipFill>
                  <pic:spPr>
                    <a:xfrm>
                      <a:off x="0" y="0"/>
                      <a:ext cx="7642225" cy="5377815"/>
                    </a:xfrm>
                    <a:prstGeom prst="rect">
                      <a:avLst/>
                    </a:prstGeom>
                    <a:ln>
                      <a:noFill/>
                    </a:ln>
                  </pic:spPr>
                </pic:pic>
              </a:graphicData>
            </a:graphic>
          </wp:inline>
        </w:drawing>
      </w:r>
    </w:p>
    <w:p w14:paraId="748A0BB0">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FE24C4E">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7" w:name="_Toc15417"/>
      <w:r>
        <w:rPr>
          <w:rFonts w:hint="default" w:ascii="Times New Roman" w:hAnsi="Times New Roman" w:eastAsia="宋体" w:cs="Times New Roman"/>
          <w:b/>
          <w:bCs/>
          <w:color w:val="auto"/>
          <w:sz w:val="24"/>
          <w:szCs w:val="24"/>
          <w:lang w:eastAsia="zh-CN"/>
        </w:rPr>
        <w:t>生态管控单元分区图</w:t>
      </w:r>
      <w:bookmarkEnd w:id="137"/>
    </w:p>
    <w:p w14:paraId="1204227B">
      <w:pPr>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317740" cy="5153025"/>
            <wp:effectExtent l="0" t="0" r="16510" b="9525"/>
            <wp:docPr id="1105" name="图片 13"/>
            <wp:cNvGraphicFramePr/>
            <a:graphic xmlns:a="http://schemas.openxmlformats.org/drawingml/2006/main">
              <a:graphicData uri="http://schemas.openxmlformats.org/drawingml/2006/picture">
                <pic:pic xmlns:pic="http://schemas.openxmlformats.org/drawingml/2006/picture">
                  <pic:nvPicPr>
                    <pic:cNvPr id="1105" name="图片 13"/>
                    <pic:cNvPicPr/>
                  </pic:nvPicPr>
                  <pic:blipFill>
                    <a:blip r:embed="rId58" cstate="print"/>
                    <a:srcRect/>
                    <a:stretch>
                      <a:fillRect/>
                    </a:stretch>
                  </pic:blipFill>
                  <pic:spPr>
                    <a:xfrm>
                      <a:off x="0" y="0"/>
                      <a:ext cx="7317740" cy="5153025"/>
                    </a:xfrm>
                    <a:prstGeom prst="rect">
                      <a:avLst/>
                    </a:prstGeom>
                    <a:ln>
                      <a:noFill/>
                    </a:ln>
                  </pic:spPr>
                </pic:pic>
              </a:graphicData>
            </a:graphic>
          </wp:inline>
        </w:drawing>
      </w:r>
    </w:p>
    <w:p w14:paraId="28767F51">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A87D0E2">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8" w:name="_Toc28856"/>
      <w:bookmarkStart w:id="139" w:name="_Toc19604"/>
      <w:r>
        <w:rPr>
          <w:rFonts w:hint="default" w:ascii="Times New Roman" w:hAnsi="Times New Roman" w:eastAsia="宋体" w:cs="Times New Roman"/>
          <w:b/>
          <w:bCs/>
          <w:color w:val="auto"/>
          <w:sz w:val="24"/>
          <w:szCs w:val="24"/>
          <w:lang w:eastAsia="zh-CN"/>
        </w:rPr>
        <w:t>项目周边现状图</w:t>
      </w:r>
      <w:bookmarkEnd w:id="138"/>
      <w:r>
        <w:rPr>
          <w:rFonts w:hint="eastAsia" w:cs="Times New Roman"/>
          <w:b/>
          <w:bCs/>
          <w:color w:val="auto"/>
          <w:sz w:val="24"/>
          <w:szCs w:val="24"/>
          <w:lang w:eastAsia="zh-CN"/>
        </w:rPr>
        <w:t>、</w:t>
      </w:r>
      <w:r>
        <w:rPr>
          <w:rFonts w:hint="eastAsia" w:cs="Times New Roman"/>
          <w:b/>
          <w:bCs/>
          <w:color w:val="auto"/>
          <w:sz w:val="24"/>
          <w:szCs w:val="24"/>
          <w:lang w:val="en-US" w:eastAsia="zh-CN"/>
        </w:rPr>
        <w:t>喷漆房、烘干房图</w:t>
      </w:r>
      <w:bookmarkEnd w:id="139"/>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21499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3211AB49">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6" name="图片 12" descr="5c34feda6b52cedafd58de29bbc04fcb_"/>
                  <wp:cNvGraphicFramePr/>
                  <a:graphic xmlns:a="http://schemas.openxmlformats.org/drawingml/2006/main">
                    <a:graphicData uri="http://schemas.openxmlformats.org/drawingml/2006/picture">
                      <pic:pic xmlns:pic="http://schemas.openxmlformats.org/drawingml/2006/picture">
                        <pic:nvPicPr>
                          <pic:cNvPr id="1106" name="图片 12" descr="5c34feda6b52cedafd58de29bbc04fcb_"/>
                          <pic:cNvPicPr/>
                        </pic:nvPicPr>
                        <pic:blipFill>
                          <a:blip r:embed="rId59" cstate="print"/>
                          <a:srcRect/>
                          <a:stretch>
                            <a:fillRect/>
                          </a:stretch>
                        </pic:blipFill>
                        <pic:spPr>
                          <a:xfrm>
                            <a:off x="0" y="0"/>
                            <a:ext cx="2892425" cy="2168525"/>
                          </a:xfrm>
                          <a:prstGeom prst="rect">
                            <a:avLst/>
                          </a:prstGeom>
                        </pic:spPr>
                      </pic:pic>
                    </a:graphicData>
                  </a:graphic>
                </wp:inline>
              </w:drawing>
            </w:r>
          </w:p>
        </w:tc>
        <w:tc>
          <w:tcPr>
            <w:tcW w:w="4786" w:type="dxa"/>
            <w:vAlign w:val="center"/>
          </w:tcPr>
          <w:p w14:paraId="4D4AD572">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7" name="图片 13" descr="4dd83641481ab7fa365bccde5559f7a7_"/>
                  <wp:cNvGraphicFramePr/>
                  <a:graphic xmlns:a="http://schemas.openxmlformats.org/drawingml/2006/main">
                    <a:graphicData uri="http://schemas.openxmlformats.org/drawingml/2006/picture">
                      <pic:pic xmlns:pic="http://schemas.openxmlformats.org/drawingml/2006/picture">
                        <pic:nvPicPr>
                          <pic:cNvPr id="1107" name="图片 13" descr="4dd83641481ab7fa365bccde5559f7a7_"/>
                          <pic:cNvPicPr/>
                        </pic:nvPicPr>
                        <pic:blipFill>
                          <a:blip r:embed="rId60" cstate="print"/>
                          <a:srcRect/>
                          <a:stretch>
                            <a:fillRect/>
                          </a:stretch>
                        </pic:blipFill>
                        <pic:spPr>
                          <a:xfrm>
                            <a:off x="0" y="0"/>
                            <a:ext cx="2892425" cy="2168525"/>
                          </a:xfrm>
                          <a:prstGeom prst="rect">
                            <a:avLst/>
                          </a:prstGeom>
                        </pic:spPr>
                      </pic:pic>
                    </a:graphicData>
                  </a:graphic>
                </wp:inline>
              </w:drawing>
            </w:r>
          </w:p>
        </w:tc>
      </w:tr>
      <w:tr w14:paraId="54AAD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D2B2FED">
            <w:pPr>
              <w:pStyle w:val="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东</w:t>
            </w:r>
          </w:p>
        </w:tc>
        <w:tc>
          <w:tcPr>
            <w:tcW w:w="4786" w:type="dxa"/>
            <w:vAlign w:val="center"/>
          </w:tcPr>
          <w:p w14:paraId="49E237C6">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w:t>
            </w:r>
          </w:p>
        </w:tc>
      </w:tr>
      <w:tr w14:paraId="2B7BD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CDAC15E">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8" name="图片 14" descr="8b789702ecaf19a1e25ee75033677062_"/>
                  <wp:cNvGraphicFramePr/>
                  <a:graphic xmlns:a="http://schemas.openxmlformats.org/drawingml/2006/main">
                    <a:graphicData uri="http://schemas.openxmlformats.org/drawingml/2006/picture">
                      <pic:pic xmlns:pic="http://schemas.openxmlformats.org/drawingml/2006/picture">
                        <pic:nvPicPr>
                          <pic:cNvPr id="1108" name="图片 14" descr="8b789702ecaf19a1e25ee75033677062_"/>
                          <pic:cNvPicPr/>
                        </pic:nvPicPr>
                        <pic:blipFill>
                          <a:blip r:embed="rId61" cstate="print"/>
                          <a:srcRect/>
                          <a:stretch>
                            <a:fillRect/>
                          </a:stretch>
                        </pic:blipFill>
                        <pic:spPr>
                          <a:xfrm>
                            <a:off x="0" y="0"/>
                            <a:ext cx="2892425" cy="2168525"/>
                          </a:xfrm>
                          <a:prstGeom prst="rect">
                            <a:avLst/>
                          </a:prstGeom>
                        </pic:spPr>
                      </pic:pic>
                    </a:graphicData>
                  </a:graphic>
                </wp:inline>
              </w:drawing>
            </w:r>
          </w:p>
        </w:tc>
        <w:tc>
          <w:tcPr>
            <w:tcW w:w="4786" w:type="dxa"/>
            <w:vAlign w:val="center"/>
          </w:tcPr>
          <w:p w14:paraId="20C197DC">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9" name="图片 15" descr="625ec898e68a6f11f264ed06ab67e751_"/>
                  <wp:cNvGraphicFramePr/>
                  <a:graphic xmlns:a="http://schemas.openxmlformats.org/drawingml/2006/main">
                    <a:graphicData uri="http://schemas.openxmlformats.org/drawingml/2006/picture">
                      <pic:pic xmlns:pic="http://schemas.openxmlformats.org/drawingml/2006/picture">
                        <pic:nvPicPr>
                          <pic:cNvPr id="1109" name="图片 15" descr="625ec898e68a6f11f264ed06ab67e751_"/>
                          <pic:cNvPicPr/>
                        </pic:nvPicPr>
                        <pic:blipFill>
                          <a:blip r:embed="rId62" cstate="print"/>
                          <a:srcRect/>
                          <a:stretch>
                            <a:fillRect/>
                          </a:stretch>
                        </pic:blipFill>
                        <pic:spPr>
                          <a:xfrm>
                            <a:off x="0" y="0"/>
                            <a:ext cx="2892425" cy="2168525"/>
                          </a:xfrm>
                          <a:prstGeom prst="rect">
                            <a:avLst/>
                          </a:prstGeom>
                        </pic:spPr>
                      </pic:pic>
                    </a:graphicData>
                  </a:graphic>
                </wp:inline>
              </w:drawing>
            </w:r>
          </w:p>
        </w:tc>
      </w:tr>
      <w:tr w14:paraId="6A60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F8946B9">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西</w:t>
            </w:r>
          </w:p>
        </w:tc>
        <w:tc>
          <w:tcPr>
            <w:tcW w:w="4786" w:type="dxa"/>
            <w:vAlign w:val="center"/>
          </w:tcPr>
          <w:p w14:paraId="2AE90A88">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w:t>
            </w:r>
          </w:p>
        </w:tc>
      </w:tr>
      <w:tr w14:paraId="32A4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208550C8">
            <w:pPr>
              <w:pStyle w:val="2"/>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0" distR="0">
                  <wp:extent cx="2897505" cy="1304290"/>
                  <wp:effectExtent l="0" t="0" r="17145" b="10160"/>
                  <wp:docPr id="1110" name="图片 83" descr="62e9052ac1f5135bb2159fafb5d10dd2"/>
                  <wp:cNvGraphicFramePr/>
                  <a:graphic xmlns:a="http://schemas.openxmlformats.org/drawingml/2006/main">
                    <a:graphicData uri="http://schemas.openxmlformats.org/drawingml/2006/picture">
                      <pic:pic xmlns:pic="http://schemas.openxmlformats.org/drawingml/2006/picture">
                        <pic:nvPicPr>
                          <pic:cNvPr id="1110" name="图片 83" descr="62e9052ac1f5135bb2159fafb5d10dd2"/>
                          <pic:cNvPicPr/>
                        </pic:nvPicPr>
                        <pic:blipFill>
                          <a:blip r:embed="rId63" cstate="print"/>
                          <a:srcRect/>
                          <a:stretch>
                            <a:fillRect/>
                          </a:stretch>
                        </pic:blipFill>
                        <pic:spPr>
                          <a:xfrm>
                            <a:off x="0" y="0"/>
                            <a:ext cx="2897505" cy="1304290"/>
                          </a:xfrm>
                          <a:prstGeom prst="rect">
                            <a:avLst/>
                          </a:prstGeom>
                        </pic:spPr>
                      </pic:pic>
                    </a:graphicData>
                  </a:graphic>
                </wp:inline>
              </w:drawing>
            </w:r>
          </w:p>
        </w:tc>
        <w:tc>
          <w:tcPr>
            <w:tcW w:w="4786" w:type="dxa"/>
            <w:vAlign w:val="center"/>
          </w:tcPr>
          <w:p w14:paraId="7E2555AB">
            <w:pPr>
              <w:pStyle w:val="2"/>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0" distR="0">
                  <wp:extent cx="2901950" cy="1631950"/>
                  <wp:effectExtent l="0" t="0" r="12700" b="6350"/>
                  <wp:docPr id="1111" name="图片 84" descr="dd02d67c0bb3435595b44a68254d4e40"/>
                  <wp:cNvGraphicFramePr/>
                  <a:graphic xmlns:a="http://schemas.openxmlformats.org/drawingml/2006/main">
                    <a:graphicData uri="http://schemas.openxmlformats.org/drawingml/2006/picture">
                      <pic:pic xmlns:pic="http://schemas.openxmlformats.org/drawingml/2006/picture">
                        <pic:nvPicPr>
                          <pic:cNvPr id="1111" name="图片 84" descr="dd02d67c0bb3435595b44a68254d4e40"/>
                          <pic:cNvPicPr/>
                        </pic:nvPicPr>
                        <pic:blipFill>
                          <a:blip r:embed="rId64" cstate="print"/>
                          <a:srcRect/>
                          <a:stretch>
                            <a:fillRect/>
                          </a:stretch>
                        </pic:blipFill>
                        <pic:spPr>
                          <a:xfrm>
                            <a:off x="0" y="0"/>
                            <a:ext cx="2901950" cy="1631950"/>
                          </a:xfrm>
                          <a:prstGeom prst="rect">
                            <a:avLst/>
                          </a:prstGeom>
                        </pic:spPr>
                      </pic:pic>
                    </a:graphicData>
                  </a:graphic>
                </wp:inline>
              </w:drawing>
            </w:r>
          </w:p>
        </w:tc>
      </w:tr>
      <w:tr w14:paraId="1FDD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1F9168D">
            <w:pPr>
              <w:pStyle w:val="2"/>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喷漆房</w:t>
            </w:r>
          </w:p>
        </w:tc>
        <w:tc>
          <w:tcPr>
            <w:tcW w:w="4786" w:type="dxa"/>
            <w:vAlign w:val="center"/>
          </w:tcPr>
          <w:p w14:paraId="10A14C91">
            <w:pPr>
              <w:pStyle w:val="2"/>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烘干房</w:t>
            </w:r>
          </w:p>
        </w:tc>
      </w:tr>
    </w:tbl>
    <w:p w14:paraId="37F48952">
      <w:pPr>
        <w:pStyle w:val="2"/>
        <w:rPr>
          <w:rFonts w:hint="default" w:ascii="Times New Roman" w:hAnsi="Times New Roman" w:cs="Times New Roman"/>
          <w:b/>
          <w:bCs/>
          <w:color w:val="auto"/>
          <w:szCs w:val="22"/>
          <w:highlight w:val="none"/>
        </w:rPr>
      </w:pPr>
    </w:p>
    <w:p w14:paraId="6383B060">
      <w:pPr>
        <w:pStyle w:val="4"/>
        <w:ind w:right="-120"/>
        <w:rPr>
          <w:rFonts w:hint="default" w:ascii="Times New Roman" w:hAnsi="Times New Roman" w:cs="Times New Roman"/>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33AF371">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0" w:name="_Toc7871"/>
      <w:r>
        <w:rPr>
          <w:rFonts w:hint="default" w:ascii="Times New Roman" w:hAnsi="Times New Roman" w:eastAsia="宋体" w:cs="Times New Roman"/>
          <w:b/>
          <w:bCs/>
          <w:color w:val="auto"/>
          <w:sz w:val="24"/>
          <w:szCs w:val="24"/>
          <w:lang w:val="en-US" w:eastAsia="zh-CN"/>
        </w:rPr>
        <w:t>广东省“三线一单”截图</w:t>
      </w:r>
      <w:bookmarkEnd w:id="140"/>
    </w:p>
    <w:p w14:paraId="3B20962F">
      <w:pPr>
        <w:pStyle w:val="57"/>
        <w:ind w:left="0"/>
        <w:jc w:val="center"/>
        <w:rPr>
          <w:rFonts w:hint="default" w:ascii="Times New Roman" w:hAnsi="Times New Roman" w:cs="Times New Roman"/>
          <w:color w:val="auto"/>
          <w:highlight w:val="none"/>
          <w:lang w:eastAsia="zh-CN"/>
        </w:rPr>
      </w:pPr>
      <w:r>
        <w:rPr>
          <w:sz w:val="32"/>
        </w:rPr>
        <mc:AlternateContent>
          <mc:Choice Requires="wps">
            <w:drawing>
              <wp:anchor distT="0" distB="0" distL="114300" distR="114300" simplePos="0" relativeHeight="251675648" behindDoc="0" locked="0" layoutInCell="1" allowOverlap="1">
                <wp:simplePos x="0" y="0"/>
                <wp:positionH relativeFrom="column">
                  <wp:posOffset>5365750</wp:posOffset>
                </wp:positionH>
                <wp:positionV relativeFrom="paragraph">
                  <wp:posOffset>3969385</wp:posOffset>
                </wp:positionV>
                <wp:extent cx="114300" cy="95250"/>
                <wp:effectExtent l="12700" t="12700" r="25400" b="25400"/>
                <wp:wrapNone/>
                <wp:docPr id="77" name="同心圆 77"/>
                <wp:cNvGraphicFramePr/>
                <a:graphic xmlns:a="http://schemas.openxmlformats.org/drawingml/2006/main">
                  <a:graphicData uri="http://schemas.microsoft.com/office/word/2010/wordprocessingShape">
                    <wps:wsp>
                      <wps:cNvSpPr/>
                      <wps:spPr>
                        <a:xfrm>
                          <a:off x="6374765" y="5186045"/>
                          <a:ext cx="114300" cy="95250"/>
                        </a:xfrm>
                        <a:prstGeom prst="donut">
                          <a:avLst>
                            <a:gd name="adj" fmla="val 0"/>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22.5pt;margin-top:312.55pt;height:7.5pt;width:9pt;z-index:251675648;v-text-anchor:middle;mso-width-relative:page;mso-height-relative:page;" fillcolor="#4F81BD [3204]" filled="t" stroked="t" coordsize="21600,21600" o:gfxdata="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bm8NvXAAAACwEAAA8AAAAAAAAAAQAgAAAAIgAAAGRycy9kb3ducmV2LnhtbFBLAQIU&#10;ABQAAAAIAIdO4kB3F1KAnwIAADcFAAAOAAAAAAAAAAEAIAAAACYBAABkcnMvZTJvRG9jLnhtbFBL&#10;BQYAAAAABgAGAFkBAAA3BgAAAAA=&#10;" adj="0">
                <v:fill on="t" focussize="0,0"/>
                <v:stroke weight="2pt" color="#376092 [2404]" joinstyle="round"/>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0" distR="0" simplePos="0" relativeHeight="251678720" behindDoc="0" locked="0" layoutInCell="1" allowOverlap="1">
                <wp:simplePos x="0" y="0"/>
                <wp:positionH relativeFrom="column">
                  <wp:posOffset>5306060</wp:posOffset>
                </wp:positionH>
                <wp:positionV relativeFrom="paragraph">
                  <wp:posOffset>3154045</wp:posOffset>
                </wp:positionV>
                <wp:extent cx="1010920" cy="459740"/>
                <wp:effectExtent l="9525" t="9525" r="27305" b="426085"/>
                <wp:wrapNone/>
                <wp:docPr id="1112"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40389"/>
                            <a:gd name="adj2" fmla="val 131906"/>
                            <a:gd name="adj3" fmla="val 16667"/>
                          </a:avLst>
                        </a:prstGeom>
                        <a:solidFill>
                          <a:srgbClr val="FFFFFF"/>
                        </a:solidFill>
                        <a:ln w="19050" cap="flat" cmpd="sng">
                          <a:solidFill>
                            <a:srgbClr val="000000"/>
                          </a:solidFill>
                          <a:prstDash val="solid"/>
                          <a:miter/>
                          <a:headEnd type="none" w="med" len="med"/>
                          <a:tailEnd type="none" w="med" len="med"/>
                        </a:ln>
                      </wps:spPr>
                      <wps:txbx>
                        <w:txbxContent>
                          <w:p w14:paraId="127AFCDA">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wps:txbx>
                      <wps:bodyPr vert="horz" wrap="square" lIns="91440" tIns="45720" rIns="91440" bIns="45720" anchor="ctr">
                        <a:noAutofit/>
                      </wps:bodyPr>
                    </wps:wsp>
                  </a:graphicData>
                </a:graphic>
              </wp:anchor>
            </w:drawing>
          </mc:Choice>
          <mc:Fallback>
            <w:pict>
              <v:shape id="圆角矩形标注 38" o:spid="_x0000_s1026" o:spt="62" type="#_x0000_t62" style="position:absolute;left:0pt;margin-left:417.8pt;margin-top:248.35pt;height:36.2pt;width:79.6pt;z-index:251678720;v-text-anchor:middle;mso-width-relative:page;mso-height-relative:page;" fillcolor="#FFFFFF" filled="t" stroked="t" coordsize="21600,21600" o:gfxdata="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I5oVBPcAAAA&#10;CwEAAA8AAAAAAAAAAQAgAAAAIgAAAGRycy9kb3ducmV2LnhtbFBLAQIUABQAAAAIAIdO4kDXDatA&#10;iwIAACsFAAAOAAAAAAAAAAEAIAAAACsBAABkcnMvZTJvRG9jLnhtbFBLBQYAAAAABgAGAFkBAAAo&#10;BgAAAAA=&#10;" adj="2076,39292,14400">
                <v:fill on="t" focussize="0,0"/>
                <v:stroke weight="1.5pt" color="#000000" joinstyle="miter"/>
                <v:imagedata o:title=""/>
                <o:lock v:ext="edit" aspectratio="f"/>
                <v:textbox>
                  <w:txbxContent>
                    <w:p w14:paraId="127AFCDA">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v:textbox>
              </v:shape>
            </w:pict>
          </mc:Fallback>
        </mc:AlternateContent>
      </w:r>
      <w:r>
        <w:drawing>
          <wp:inline distT="0" distB="0" distL="114300" distR="114300">
            <wp:extent cx="8790940" cy="5060315"/>
            <wp:effectExtent l="0" t="0" r="10160" b="698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65"/>
                    <a:stretch>
                      <a:fillRect/>
                    </a:stretch>
                  </pic:blipFill>
                  <pic:spPr>
                    <a:xfrm>
                      <a:off x="0" y="0"/>
                      <a:ext cx="8790940" cy="5060315"/>
                    </a:xfrm>
                    <a:prstGeom prst="rect">
                      <a:avLst/>
                    </a:prstGeom>
                    <a:noFill/>
                    <a:ln>
                      <a:noFill/>
                    </a:ln>
                  </pic:spPr>
                </pic:pic>
              </a:graphicData>
            </a:graphic>
          </wp:inline>
        </w:drawing>
      </w:r>
    </w:p>
    <w:p w14:paraId="291439FF">
      <w:pPr>
        <w:pStyle w:val="57"/>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39ADB8A">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1" w:name="_Toc28721"/>
      <w:r>
        <w:rPr>
          <w:rFonts w:hint="default" w:ascii="Times New Roman" w:hAnsi="Times New Roman" w:eastAsia="宋体" w:cs="Times New Roman"/>
          <w:b/>
          <w:bCs/>
          <w:color w:val="auto"/>
          <w:sz w:val="24"/>
          <w:szCs w:val="24"/>
          <w:lang w:val="en-US" w:eastAsia="zh-CN"/>
        </w:rPr>
        <w:t>项目与大气</w:t>
      </w:r>
      <w:r>
        <w:rPr>
          <w:rFonts w:hint="eastAsia" w:cs="Times New Roman"/>
          <w:b/>
          <w:bCs/>
          <w:color w:val="auto"/>
          <w:sz w:val="24"/>
          <w:szCs w:val="24"/>
          <w:lang w:val="en-US" w:eastAsia="zh-CN"/>
        </w:rPr>
        <w:t>引用</w:t>
      </w:r>
      <w:r>
        <w:rPr>
          <w:rFonts w:hint="default" w:ascii="Times New Roman" w:hAnsi="Times New Roman" w:eastAsia="宋体" w:cs="Times New Roman"/>
          <w:b/>
          <w:bCs/>
          <w:color w:val="auto"/>
          <w:sz w:val="24"/>
          <w:szCs w:val="24"/>
          <w:lang w:val="en-US" w:eastAsia="zh-CN"/>
        </w:rPr>
        <w:t>监测点位置图</w:t>
      </w:r>
      <w:bookmarkEnd w:id="141"/>
    </w:p>
    <w:p w14:paraId="2C65535F">
      <w:pPr>
        <w:pStyle w:val="57"/>
        <w:ind w:left="0"/>
        <w:jc w:val="center"/>
        <w:rPr>
          <w:rFonts w:hint="default" w:ascii="Times New Roman" w:hAnsi="Times New Roman" w:cs="Times New Roman"/>
          <w:color w:val="auto"/>
          <w:highlight w:val="none"/>
        </w:rPr>
      </w:pPr>
      <w:r>
        <w:rPr>
          <w:sz w:val="32"/>
        </w:rPr>
        <mc:AlternateContent>
          <mc:Choice Requires="wps">
            <w:drawing>
              <wp:anchor distT="0" distB="0" distL="114300" distR="114300" simplePos="0" relativeHeight="251666432" behindDoc="0" locked="0" layoutInCell="1" allowOverlap="1">
                <wp:simplePos x="0" y="0"/>
                <wp:positionH relativeFrom="column">
                  <wp:posOffset>689610</wp:posOffset>
                </wp:positionH>
                <wp:positionV relativeFrom="paragraph">
                  <wp:posOffset>4643120</wp:posOffset>
                </wp:positionV>
                <wp:extent cx="323850" cy="0"/>
                <wp:effectExtent l="0" t="12700" r="0" b="15875"/>
                <wp:wrapNone/>
                <wp:docPr id="41" name="直接连接符 41"/>
                <wp:cNvGraphicFramePr/>
                <a:graphic xmlns:a="http://schemas.openxmlformats.org/drawingml/2006/main">
                  <a:graphicData uri="http://schemas.microsoft.com/office/word/2010/wordprocessingShape">
                    <wps:wsp>
                      <wps:cNvCnPr/>
                      <wps:spPr>
                        <a:xfrm>
                          <a:off x="1784350" y="5831205"/>
                          <a:ext cx="32385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3pt;margin-top:365.6pt;height:0pt;width:25.5pt;z-index:251666432;mso-width-relative:page;mso-height-relative:page;" filled="f" stroked="t" coordsize="21600,21600" o:gfxdata="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5kzUTW&#10;AAAACwEAAA8AAAAAAAAAAQAgAAAAIgAAAGRycy9kb3ducmV2LnhtbFBLAQIUABQAAAAIAIdO4kCI&#10;5Zor6QEAAKgDAAAOAAAAAAAAAAEAIAAAACUBAABkcnMvZTJvRG9jLnhtbFBLBQYAAAAABgAGAFkB&#10;AACABQAAAAA=&#10;">
                <v:fill on="f" focussize="0,0"/>
                <v:stroke weight="2pt" color="#FF0000 [3204]" joinstyle="round"/>
                <v:imagedata o:title=""/>
                <o:lock v:ext="edit" aspectratio="f"/>
              </v:line>
            </w:pict>
          </mc:Fallback>
        </mc:AlternateContent>
      </w:r>
      <w:r>
        <w:rPr>
          <w:sz w:val="32"/>
        </w:rPr>
        <mc:AlternateContent>
          <mc:Choice Requires="wps">
            <w:drawing>
              <wp:anchor distT="0" distB="0" distL="114300" distR="114300" simplePos="0" relativeHeight="251665408" behindDoc="0" locked="0" layoutInCell="1" allowOverlap="1">
                <wp:simplePos x="0" y="0"/>
                <wp:positionH relativeFrom="column">
                  <wp:posOffset>540385</wp:posOffset>
                </wp:positionH>
                <wp:positionV relativeFrom="paragraph">
                  <wp:posOffset>4108450</wp:posOffset>
                </wp:positionV>
                <wp:extent cx="1263650" cy="1094105"/>
                <wp:effectExtent l="4445" t="4445" r="8255" b="6350"/>
                <wp:wrapNone/>
                <wp:docPr id="40" name="文本框 40"/>
                <wp:cNvGraphicFramePr/>
                <a:graphic xmlns:a="http://schemas.openxmlformats.org/drawingml/2006/main">
                  <a:graphicData uri="http://schemas.microsoft.com/office/word/2010/wordprocessingShape">
                    <wps:wsp>
                      <wps:cNvSpPr txBox="1"/>
                      <wps:spPr>
                        <a:xfrm>
                          <a:off x="7499350" y="2131695"/>
                          <a:ext cx="1263650" cy="10941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E105B2">
                            <w:pPr>
                              <w:jc w:val="center"/>
                              <w:rPr>
                                <w:rFonts w:hint="default"/>
                                <w:b/>
                                <w:bCs/>
                                <w:lang w:val="en-US" w:eastAsia="zh-CN"/>
                              </w:rPr>
                            </w:pPr>
                            <w:r>
                              <w:rPr>
                                <w:rFonts w:hint="eastAsia"/>
                                <w:b/>
                                <w:bCs/>
                                <w:lang w:val="en-US" w:eastAsia="zh-CN"/>
                              </w:rPr>
                              <w:t>图例</w:t>
                            </w:r>
                          </w:p>
                          <w:p w14:paraId="5FD4343C">
                            <w:pPr>
                              <w:jc w:val="right"/>
                              <w:rPr>
                                <w:rFonts w:hint="eastAsia"/>
                                <w:lang w:val="en-US" w:eastAsia="zh-CN"/>
                              </w:rPr>
                            </w:pPr>
                            <w:r>
                              <w:rPr>
                                <w:rFonts w:hint="eastAsia"/>
                                <w:lang w:val="en-US" w:eastAsia="zh-CN"/>
                              </w:rPr>
                              <w:t>本项目</w:t>
                            </w:r>
                          </w:p>
                          <w:p w14:paraId="79F46D49">
                            <w:pPr>
                              <w:pStyle w:val="2"/>
                              <w:jc w:val="right"/>
                              <w:rPr>
                                <w:rFonts w:hint="default"/>
                                <w:lang w:val="en-US" w:eastAsia="zh-CN"/>
                              </w:rPr>
                            </w:pPr>
                            <w:r>
                              <w:drawing>
                                <wp:inline distT="0" distB="0" distL="114300" distR="114300">
                                  <wp:extent cx="188595" cy="188595"/>
                                  <wp:effectExtent l="0" t="0" r="1905" b="190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66"/>
                                          <a:stretch>
                                            <a:fillRect/>
                                          </a:stretch>
                                        </pic:blipFill>
                                        <pic:spPr>
                                          <a:xfrm>
                                            <a:off x="0" y="0"/>
                                            <a:ext cx="188595" cy="188595"/>
                                          </a:xfrm>
                                          <a:prstGeom prst="rect">
                                            <a:avLst/>
                                          </a:prstGeom>
                                          <a:noFill/>
                                          <a:ln>
                                            <a:noFill/>
                                          </a:ln>
                                        </pic:spPr>
                                      </pic:pic>
                                    </a:graphicData>
                                  </a:graphic>
                                </wp:inline>
                              </w:drawing>
                            </w:r>
                            <w:r>
                              <w:rPr>
                                <w:rFonts w:hint="eastAsia"/>
                                <w:lang w:val="en-US" w:eastAsia="zh-CN"/>
                              </w:rPr>
                              <w:t xml:space="preserve">  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5pt;margin-top:323.5pt;height:86.15pt;width:99.5pt;z-index:251665408;mso-width-relative:page;mso-height-relative:page;" fillcolor="#FFFFFF [3201]" filled="t" stroked="t" coordsize="21600,21600" o:gfxdata="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7tjOX1wAAAAoBAAAPAAAAAAAAAAEAIAAAACIAAABkcnMvZG93bnJldi54bWxQSwECFAAU&#10;AAAACACHTuJAg3hgpWQCAADGBAAADgAAAAAAAAABACAAAAAmAQAAZHJzL2Uyb0RvYy54bWxQSwUG&#10;AAAAAAYABgBZAQAA/AUAAAAA&#10;">
                <v:fill on="t" focussize="0,0"/>
                <v:stroke weight="0.5pt" color="#000000 [3204]" joinstyle="round"/>
                <v:imagedata o:title=""/>
                <o:lock v:ext="edit" aspectratio="f"/>
                <v:textbox>
                  <w:txbxContent>
                    <w:p w14:paraId="63E105B2">
                      <w:pPr>
                        <w:jc w:val="center"/>
                        <w:rPr>
                          <w:rFonts w:hint="default"/>
                          <w:b/>
                          <w:bCs/>
                          <w:lang w:val="en-US" w:eastAsia="zh-CN"/>
                        </w:rPr>
                      </w:pPr>
                      <w:r>
                        <w:rPr>
                          <w:rFonts w:hint="eastAsia"/>
                          <w:b/>
                          <w:bCs/>
                          <w:lang w:val="en-US" w:eastAsia="zh-CN"/>
                        </w:rPr>
                        <w:t>图例</w:t>
                      </w:r>
                    </w:p>
                    <w:p w14:paraId="5FD4343C">
                      <w:pPr>
                        <w:jc w:val="right"/>
                        <w:rPr>
                          <w:rFonts w:hint="eastAsia"/>
                          <w:lang w:val="en-US" w:eastAsia="zh-CN"/>
                        </w:rPr>
                      </w:pPr>
                      <w:r>
                        <w:rPr>
                          <w:rFonts w:hint="eastAsia"/>
                          <w:lang w:val="en-US" w:eastAsia="zh-CN"/>
                        </w:rPr>
                        <w:t>本项目</w:t>
                      </w:r>
                    </w:p>
                    <w:p w14:paraId="79F46D49">
                      <w:pPr>
                        <w:pStyle w:val="2"/>
                        <w:jc w:val="right"/>
                        <w:rPr>
                          <w:rFonts w:hint="default"/>
                          <w:lang w:val="en-US" w:eastAsia="zh-CN"/>
                        </w:rPr>
                      </w:pPr>
                      <w:r>
                        <w:drawing>
                          <wp:inline distT="0" distB="0" distL="114300" distR="114300">
                            <wp:extent cx="188595" cy="188595"/>
                            <wp:effectExtent l="0" t="0" r="1905" b="190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66"/>
                                    <a:stretch>
                                      <a:fillRect/>
                                    </a:stretch>
                                  </pic:blipFill>
                                  <pic:spPr>
                                    <a:xfrm>
                                      <a:off x="0" y="0"/>
                                      <a:ext cx="188595" cy="188595"/>
                                    </a:xfrm>
                                    <a:prstGeom prst="rect">
                                      <a:avLst/>
                                    </a:prstGeom>
                                    <a:noFill/>
                                    <a:ln>
                                      <a:noFill/>
                                    </a:ln>
                                  </pic:spPr>
                                </pic:pic>
                              </a:graphicData>
                            </a:graphic>
                          </wp:inline>
                        </w:drawing>
                      </w:r>
                      <w:r>
                        <w:rPr>
                          <w:rFonts w:hint="eastAsia"/>
                          <w:lang w:val="en-US" w:eastAsia="zh-CN"/>
                        </w:rPr>
                        <w:t xml:space="preserve">  监测点位</w:t>
                      </w:r>
                    </w:p>
                  </w:txbxContent>
                </v:textbox>
              </v:shape>
            </w:pict>
          </mc:Fallback>
        </mc:AlternateContent>
      </w:r>
      <w:r>
        <w:drawing>
          <wp:anchor distT="0" distB="0" distL="114300" distR="114300" simplePos="0" relativeHeight="251664384" behindDoc="0" locked="0" layoutInCell="1" allowOverlap="1">
            <wp:simplePos x="0" y="0"/>
            <wp:positionH relativeFrom="column">
              <wp:posOffset>527685</wp:posOffset>
            </wp:positionH>
            <wp:positionV relativeFrom="paragraph">
              <wp:posOffset>37465</wp:posOffset>
            </wp:positionV>
            <wp:extent cx="798830" cy="839470"/>
            <wp:effectExtent l="0" t="0" r="1270" b="17780"/>
            <wp:wrapNone/>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43"/>
                    <a:stretch>
                      <a:fillRect/>
                    </a:stretch>
                  </pic:blipFill>
                  <pic:spPr>
                    <a:xfrm>
                      <a:off x="0" y="0"/>
                      <a:ext cx="798830" cy="839470"/>
                    </a:xfrm>
                    <a:prstGeom prst="rect">
                      <a:avLst/>
                    </a:prstGeom>
                    <a:noFill/>
                    <a:ln>
                      <a:noFill/>
                    </a:ln>
                  </pic:spPr>
                </pic:pic>
              </a:graphicData>
            </a:graphic>
          </wp:anchor>
        </w:drawing>
      </w:r>
      <w:r>
        <w:rPr>
          <w:sz w:val="32"/>
        </w:rPr>
        <mc:AlternateContent>
          <mc:Choice Requires="wps">
            <w:drawing>
              <wp:anchor distT="0" distB="0" distL="114300" distR="114300" simplePos="0" relativeHeight="251662336" behindDoc="0" locked="0" layoutInCell="1" allowOverlap="1">
                <wp:simplePos x="0" y="0"/>
                <wp:positionH relativeFrom="column">
                  <wp:posOffset>5753100</wp:posOffset>
                </wp:positionH>
                <wp:positionV relativeFrom="paragraph">
                  <wp:posOffset>2428240</wp:posOffset>
                </wp:positionV>
                <wp:extent cx="914400" cy="450850"/>
                <wp:effectExtent l="0" t="0" r="0" b="0"/>
                <wp:wrapNone/>
                <wp:docPr id="36" name="文本框 36"/>
                <wp:cNvGraphicFramePr/>
                <a:graphic xmlns:a="http://schemas.openxmlformats.org/drawingml/2006/main">
                  <a:graphicData uri="http://schemas.microsoft.com/office/word/2010/wordprocessingShape">
                    <wps:wsp>
                      <wps:cNvSpPr txBox="1"/>
                      <wps:spPr>
                        <a:xfrm>
                          <a:off x="6862445" y="3961765"/>
                          <a:ext cx="914400" cy="450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DA879">
                            <w:pPr>
                              <w:rPr>
                                <w:rFonts w:hint="default" w:eastAsia="宋体"/>
                                <w:b/>
                                <w:bCs/>
                                <w:color w:val="FFC000"/>
                                <w:lang w:val="en-US" w:eastAsia="zh-CN"/>
                              </w:rPr>
                            </w:pPr>
                            <w:r>
                              <w:rPr>
                                <w:rFonts w:hint="eastAsia"/>
                                <w:b/>
                                <w:bCs/>
                                <w:color w:val="FFC000"/>
                                <w:lang w:val="en-US" w:eastAsia="zh-CN"/>
                              </w:rPr>
                              <w:t>1421m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pt;margin-top:191.2pt;height:35.5pt;width:72pt;z-index:251662336;mso-width-relative:page;mso-height-relative:page;" filled="f" stroked="f" coordsize="21600,21600" o:gfxdata="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prCo3cAAAADAEAAA8AAAAAAAAA&#10;AQAgAAAAIgAAAGRycy9kb3ducmV2LnhtbFBLAQIUABQAAAAIAIdO4kDLNt7uRgIAAHMEAAAOAAAA&#10;AAAAAAEAIAAAACsBAABkcnMvZTJvRG9jLnhtbFBLBQYAAAAABgAGAFkBAADjBQAAAAA=&#10;">
                <v:fill on="f" focussize="0,0"/>
                <v:stroke on="f" weight="0.5pt"/>
                <v:imagedata o:title=""/>
                <o:lock v:ext="edit" aspectratio="f"/>
                <v:textbox>
                  <w:txbxContent>
                    <w:p w14:paraId="5B6DA879">
                      <w:pPr>
                        <w:rPr>
                          <w:rFonts w:hint="default" w:eastAsia="宋体"/>
                          <w:b/>
                          <w:bCs/>
                          <w:color w:val="FFC000"/>
                          <w:lang w:val="en-US" w:eastAsia="zh-CN"/>
                        </w:rPr>
                      </w:pPr>
                      <w:r>
                        <w:rPr>
                          <w:rFonts w:hint="eastAsia"/>
                          <w:b/>
                          <w:bCs/>
                          <w:color w:val="FFC000"/>
                          <w:lang w:val="en-US" w:eastAsia="zh-CN"/>
                        </w:rPr>
                        <w:t>1421m</w:t>
                      </w:r>
                    </w:p>
                  </w:txbxContent>
                </v:textbox>
              </v:shape>
            </w:pict>
          </mc:Fallback>
        </mc:AlternateContent>
      </w:r>
      <w:r>
        <w:rPr>
          <w:sz w:val="32"/>
        </w:rPr>
        <mc:AlternateContent>
          <mc:Choice Requires="wps">
            <w:drawing>
              <wp:anchor distT="0" distB="0" distL="114300" distR="114300" simplePos="0" relativeHeight="251661312" behindDoc="0" locked="0" layoutInCell="1" allowOverlap="1">
                <wp:simplePos x="0" y="0"/>
                <wp:positionH relativeFrom="column">
                  <wp:posOffset>5527040</wp:posOffset>
                </wp:positionH>
                <wp:positionV relativeFrom="paragraph">
                  <wp:posOffset>1380490</wp:posOffset>
                </wp:positionV>
                <wp:extent cx="595630" cy="2607310"/>
                <wp:effectExtent l="33655" t="2540" r="18415" b="0"/>
                <wp:wrapNone/>
                <wp:docPr id="35" name="直接箭头连接符 35"/>
                <wp:cNvGraphicFramePr/>
                <a:graphic xmlns:a="http://schemas.openxmlformats.org/drawingml/2006/main">
                  <a:graphicData uri="http://schemas.microsoft.com/office/word/2010/wordprocessingShape">
                    <wps:wsp>
                      <wps:cNvCnPr/>
                      <wps:spPr>
                        <a:xfrm flipH="1">
                          <a:off x="6517005" y="2568575"/>
                          <a:ext cx="595630" cy="2607310"/>
                        </a:xfrm>
                        <a:prstGeom prst="straightConnector1">
                          <a:avLst/>
                        </a:prstGeom>
                        <a:ln>
                          <a:solidFill>
                            <a:srgbClr val="FFC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5.2pt;margin-top:108.7pt;height:205.3pt;width:46.9pt;z-index:251661312;mso-width-relative:page;mso-height-relative:page;" filled="f" stroked="t" coordsize="21600,21600" o:gfxdata="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ASGX2wAAAAsBAAAP&#10;AAAAAAAAAAEAIAAAACIAAABkcnMvZG93bnJldi54bWxQSwECFAAUAAAACACHTuJAJRaS2xUCAADl&#10;AwAADgAAAAAAAAABACAAAAAqAQAAZHJzL2Uyb0RvYy54bWxQSwUGAAAAAAYABgBZAQAAsQUAAAAA&#10;">
                <v:fill on="f" focussize="0,0"/>
                <v:stroke weight="2pt" color="#FFC000 [3204]" joinstyle="round" endarrow="open"/>
                <v:imagedata o:title=""/>
                <o:lock v:ext="edit" aspectratio="f"/>
              </v:shape>
            </w:pict>
          </mc:Fallback>
        </mc:AlternateContent>
      </w:r>
      <w:r>
        <w:drawing>
          <wp:inline distT="0" distB="0" distL="114300" distR="114300">
            <wp:extent cx="7762875" cy="5217160"/>
            <wp:effectExtent l="9525" t="9525" r="19050" b="1206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67"/>
                    <a:stretch>
                      <a:fillRect/>
                    </a:stretch>
                  </pic:blipFill>
                  <pic:spPr>
                    <a:xfrm>
                      <a:off x="0" y="0"/>
                      <a:ext cx="7762875" cy="5217160"/>
                    </a:xfrm>
                    <a:prstGeom prst="rect">
                      <a:avLst/>
                    </a:prstGeom>
                    <a:noFill/>
                    <a:ln>
                      <a:solidFill>
                        <a:schemeClr val="tx1"/>
                      </a:solidFill>
                    </a:ln>
                  </pic:spPr>
                </pic:pic>
              </a:graphicData>
            </a:graphic>
          </wp:inline>
        </w:drawing>
      </w:r>
    </w:p>
    <w:p w14:paraId="32FA2AFB">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DB28FAD">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2" w:name="_Toc25862"/>
      <w:r>
        <w:rPr>
          <w:rFonts w:hint="default" w:ascii="Times New Roman" w:hAnsi="Times New Roman" w:eastAsia="宋体" w:cs="Times New Roman"/>
          <w:b/>
          <w:bCs/>
          <w:color w:val="auto"/>
          <w:sz w:val="24"/>
          <w:szCs w:val="24"/>
          <w:lang w:val="en-US" w:eastAsia="zh-CN"/>
        </w:rPr>
        <w:t>乐昌产业转移工业园管网分布图</w:t>
      </w:r>
      <w:bookmarkEnd w:id="142"/>
    </w:p>
    <w:p w14:paraId="49E62E43">
      <w:pPr>
        <w:pStyle w:val="2"/>
        <w:jc w:val="center"/>
        <w:rPr>
          <w:rFonts w:hint="default" w:ascii="Times New Roman" w:hAnsi="Times New Roman" w:cs="Times New Roman"/>
          <w:color w:val="auto"/>
          <w:highlight w:val="none"/>
        </w:rPr>
      </w:pPr>
      <w:r>
        <w:rPr>
          <w:rFonts w:hint="default" w:ascii="Times New Roman" w:hAnsi="Times New Roman" w:cs="Times New Roman"/>
          <w:color w:val="auto"/>
        </w:rPr>
        <mc:AlternateContent>
          <mc:Choice Requires="wps">
            <w:drawing>
              <wp:anchor distT="0" distB="0" distL="0" distR="0" simplePos="0" relativeHeight="251660288" behindDoc="0" locked="0" layoutInCell="1" allowOverlap="1">
                <wp:simplePos x="0" y="0"/>
                <wp:positionH relativeFrom="column">
                  <wp:posOffset>4399280</wp:posOffset>
                </wp:positionH>
                <wp:positionV relativeFrom="paragraph">
                  <wp:posOffset>6275070</wp:posOffset>
                </wp:positionV>
                <wp:extent cx="1010920" cy="459740"/>
                <wp:effectExtent l="9525" t="9525" r="27305" b="273685"/>
                <wp:wrapNone/>
                <wp:docPr id="1115" name="圆角矩形标注 38"/>
                <wp:cNvGraphicFramePr/>
                <a:graphic xmlns:a="http://schemas.openxmlformats.org/drawingml/2006/main">
                  <a:graphicData uri="http://schemas.microsoft.com/office/word/2010/wordprocessingShape">
                    <wps:wsp>
                      <wps:cNvSpPr/>
                      <wps:spPr>
                        <a:xfrm>
                          <a:off x="0" y="0"/>
                          <a:ext cx="1010920" cy="459739"/>
                        </a:xfrm>
                        <a:prstGeom prst="wedgeRoundRectCallout">
                          <a:avLst>
                            <a:gd name="adj1" fmla="val -21536"/>
                            <a:gd name="adj2" fmla="val 102868"/>
                            <a:gd name="adj3" fmla="val 16667"/>
                          </a:avLst>
                        </a:prstGeom>
                        <a:solidFill>
                          <a:srgbClr val="FFFFFF"/>
                        </a:solidFill>
                        <a:ln w="19050" cap="flat" cmpd="sng">
                          <a:solidFill>
                            <a:srgbClr val="000000"/>
                          </a:solidFill>
                          <a:prstDash val="solid"/>
                          <a:miter/>
                          <a:headEnd type="none" w="med" len="med"/>
                          <a:tailEnd type="none" w="med" len="med"/>
                        </a:ln>
                      </wps:spPr>
                      <wps:txbx>
                        <w:txbxContent>
                          <w:p w14:paraId="4824D6D7">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wps:txbx>
                      <wps:bodyPr vert="horz" wrap="square" lIns="91440" tIns="45720" rIns="91440" bIns="45720" anchor="ctr">
                        <a:noAutofit/>
                      </wps:bodyPr>
                    </wps:wsp>
                  </a:graphicData>
                </a:graphic>
              </wp:anchor>
            </w:drawing>
          </mc:Choice>
          <mc:Fallback>
            <w:pict>
              <v:shape id="圆角矩形标注 38" o:spid="_x0000_s1026" o:spt="62" type="#_x0000_t62" style="position:absolute;left:0pt;margin-left:346.4pt;margin-top:494.1pt;height:36.2pt;width:79.6pt;z-index:251660288;v-text-anchor:middle;mso-width-relative:page;mso-height-relative:page;" fillcolor="#FFFFFF" filled="t" stroked="t" coordsize="21600,21600" o:gfxdata="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LiumJ2gAAAAwB&#10;AAAPAAAAAAAAAAEAIAAAACIAAABkcnMvZG93bnJldi54bWxQSwECFAAUAAAACACHTuJAYbxNIIsC&#10;AAArBQAADgAAAAAAAAABACAAAAApAQAAZHJzL2Uyb0RvYy54bWxQSwUGAAAAAAYABgBZAQAAJgYA&#10;AAAA&#10;" adj="6148,33019,14400">
                <v:fill on="t" focussize="0,0"/>
                <v:stroke weight="1.5pt" color="#000000" joinstyle="miter"/>
                <v:imagedata o:title=""/>
                <o:lock v:ext="edit" aspectratio="f"/>
                <v:textbox>
                  <w:txbxContent>
                    <w:p w14:paraId="4824D6D7">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v:textbox>
              </v:shape>
            </w:pict>
          </mc:Fallback>
        </mc:AlternateContent>
      </w:r>
      <w:r>
        <w:rPr>
          <w:rFonts w:hint="default" w:ascii="Times New Roman" w:hAnsi="Times New Roman" w:cs="Times New Roman"/>
          <w:color w:val="auto"/>
          <w:sz w:val="24"/>
        </w:rPr>
        <mc:AlternateContent>
          <mc:Choice Requires="wps">
            <w:drawing>
              <wp:anchor distT="0" distB="0" distL="0" distR="0" simplePos="0" relativeHeight="251660288" behindDoc="0" locked="0" layoutInCell="1" allowOverlap="1">
                <wp:simplePos x="0" y="0"/>
                <wp:positionH relativeFrom="column">
                  <wp:posOffset>4509770</wp:posOffset>
                </wp:positionH>
                <wp:positionV relativeFrom="paragraph">
                  <wp:posOffset>6841490</wp:posOffset>
                </wp:positionV>
                <wp:extent cx="311150" cy="476250"/>
                <wp:effectExtent l="9525" t="17145" r="22225" b="20955"/>
                <wp:wrapNone/>
                <wp:docPr id="1116" name="任意多边形 49"/>
                <wp:cNvGraphicFramePr/>
                <a:graphic xmlns:a="http://schemas.openxmlformats.org/drawingml/2006/main">
                  <a:graphicData uri="http://schemas.microsoft.com/office/word/2010/wordprocessingShape">
                    <wps:wsp>
                      <wps:cNvSpPr/>
                      <wps:spPr>
                        <a:xfrm>
                          <a:off x="0" y="0"/>
                          <a:ext cx="311150" cy="476249"/>
                        </a:xfrm>
                        <a:custGeom>
                          <a:avLst/>
                          <a:gdLst/>
                          <a:ahLst/>
                          <a:cxnLst/>
                          <a:rect l="l" t="t" r="r" b="b"/>
                          <a:pathLst>
                            <a:path w="311150" h="476250">
                              <a:moveTo>
                                <a:pt x="146050" y="0"/>
                              </a:moveTo>
                              <a:lnTo>
                                <a:pt x="0" y="476250"/>
                              </a:lnTo>
                              <a:lnTo>
                                <a:pt x="304800" y="374650"/>
                              </a:lnTo>
                              <a:lnTo>
                                <a:pt x="311150" y="342900"/>
                              </a:lnTo>
                              <a:lnTo>
                                <a:pt x="146050" y="0"/>
                              </a:lnTo>
                              <a:close/>
                            </a:path>
                          </a:pathLst>
                        </a:custGeom>
                        <a:solidFill>
                          <a:srgbClr val="FF0000"/>
                        </a:solidFill>
                        <a:ln w="12700" cap="flat" cmpd="sng">
                          <a:solidFill>
                            <a:srgbClr val="000000"/>
                          </a:solidFill>
                          <a:prstDash val="solid"/>
                          <a:miter/>
                          <a:headEnd type="none" w="med" len="med"/>
                          <a:tailEnd type="none" w="med" len="med"/>
                        </a:ln>
                      </wps:spPr>
                      <wps:bodyPr/>
                    </wps:wsp>
                  </a:graphicData>
                </a:graphic>
              </wp:anchor>
            </w:drawing>
          </mc:Choice>
          <mc:Fallback>
            <w:pict>
              <v:shape id="任意多边形 49" o:spid="_x0000_s1026" o:spt="100" style="position:absolute;left:0pt;margin-left:355.1pt;margin-top:538.7pt;height:37.5pt;width:24.5pt;z-index:251660288;mso-width-relative:page;mso-height-relative:page;" fillcolor="#FF0000" filled="t" stroked="t" coordsize="311150,476250" o:gfxdata="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8alKXYAAAADQEAAA8AAAAAAAAAAQAgAAAAIgAAAGRycy9k&#10;b3ducmV2LnhtbFBLAQIUABQAAAAIAIdO4kCcyztxdAIAAHYFAAAOAAAAAAAAAAEAIAAAACcBAABk&#10;cnMvZTJvRG9jLnhtbFBLBQYAAAAABgAGAFkBAAANBgAAAAA=&#10;" path="m146050,0l0,476250,304800,374650,311150,342900,146050,0xe">
                <v:fill on="t" focussize="0,0"/>
                <v:stroke weight="1pt" color="#000000" joinstyle="miter"/>
                <v:imagedata o:title=""/>
                <o:lock v:ext="edit" aspectratio="f"/>
              </v:shape>
            </w:pict>
          </mc:Fallback>
        </mc:AlternateContent>
      </w:r>
      <w:r>
        <w:rPr>
          <w:rFonts w:hint="default" w:ascii="Times New Roman" w:hAnsi="Times New Roman" w:cs="Times New Roman"/>
          <w:color w:val="auto"/>
          <w:highlight w:val="none"/>
        </w:rPr>
        <w:drawing>
          <wp:inline distT="0" distB="0" distL="0" distR="0">
            <wp:extent cx="5361305" cy="7717790"/>
            <wp:effectExtent l="0" t="0" r="10795" b="16510"/>
            <wp:docPr id="1117" name="图片 3"/>
            <wp:cNvGraphicFramePr/>
            <a:graphic xmlns:a="http://schemas.openxmlformats.org/drawingml/2006/main">
              <a:graphicData uri="http://schemas.openxmlformats.org/drawingml/2006/picture">
                <pic:pic xmlns:pic="http://schemas.openxmlformats.org/drawingml/2006/picture">
                  <pic:nvPicPr>
                    <pic:cNvPr id="1117" name="图片 3"/>
                    <pic:cNvPicPr/>
                  </pic:nvPicPr>
                  <pic:blipFill>
                    <a:blip r:embed="rId68" cstate="print"/>
                    <a:srcRect/>
                    <a:stretch>
                      <a:fillRect/>
                    </a:stretch>
                  </pic:blipFill>
                  <pic:spPr>
                    <a:xfrm>
                      <a:off x="0" y="0"/>
                      <a:ext cx="5361305" cy="7717790"/>
                    </a:xfrm>
                    <a:prstGeom prst="rect">
                      <a:avLst/>
                    </a:prstGeom>
                    <a:ln>
                      <a:noFill/>
                    </a:ln>
                  </pic:spPr>
                </pic:pic>
              </a:graphicData>
            </a:graphic>
          </wp:inline>
        </w:drawing>
      </w:r>
    </w:p>
    <w:p w14:paraId="77669ABF">
      <w:pPr>
        <w:rPr>
          <w:rFonts w:hint="default" w:ascii="Times New Roman" w:hAnsi="Times New Roman" w:cs="Times New Roman"/>
          <w:color w:val="auto"/>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7EFF47A">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3" w:name="_Toc22104"/>
      <w:bookmarkStart w:id="144" w:name="_Toc31241"/>
      <w:r>
        <w:rPr>
          <w:rFonts w:hint="default" w:ascii="Times New Roman" w:hAnsi="Times New Roman" w:cs="Times New Roman"/>
          <w:b/>
          <w:bCs/>
          <w:color w:val="auto"/>
          <w:sz w:val="24"/>
          <w:szCs w:val="24"/>
          <w:lang w:val="en-US" w:eastAsia="zh-CN"/>
        </w:rPr>
        <w:t>营业执照</w:t>
      </w:r>
      <w:bookmarkEnd w:id="143"/>
      <w:bookmarkEnd w:id="144"/>
    </w:p>
    <w:p w14:paraId="1B59DD20">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7649210" cy="5363845"/>
            <wp:effectExtent l="0" t="0" r="8890" b="8255"/>
            <wp:docPr id="1118" name="图片 4"/>
            <wp:cNvGraphicFramePr/>
            <a:graphic xmlns:a="http://schemas.openxmlformats.org/drawingml/2006/main">
              <a:graphicData uri="http://schemas.openxmlformats.org/drawingml/2006/picture">
                <pic:pic xmlns:pic="http://schemas.openxmlformats.org/drawingml/2006/picture">
                  <pic:nvPicPr>
                    <pic:cNvPr id="1118" name="图片 4"/>
                    <pic:cNvPicPr/>
                  </pic:nvPicPr>
                  <pic:blipFill>
                    <a:blip r:embed="rId69" cstate="print"/>
                    <a:srcRect/>
                    <a:stretch>
                      <a:fillRect/>
                    </a:stretch>
                  </pic:blipFill>
                  <pic:spPr>
                    <a:xfrm>
                      <a:off x="0" y="0"/>
                      <a:ext cx="7649210" cy="5363845"/>
                    </a:xfrm>
                    <a:prstGeom prst="rect">
                      <a:avLst/>
                    </a:prstGeom>
                    <a:ln>
                      <a:noFill/>
                    </a:ln>
                  </pic:spPr>
                </pic:pic>
              </a:graphicData>
            </a:graphic>
          </wp:inline>
        </w:drawing>
      </w:r>
    </w:p>
    <w:p w14:paraId="09C99EA3">
      <w:pP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8888E92">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5" w:name="_Toc10858"/>
      <w:bookmarkStart w:id="146" w:name="_Toc18937"/>
      <w:r>
        <w:rPr>
          <w:rFonts w:hint="default" w:ascii="Times New Roman" w:hAnsi="Times New Roman" w:cs="Times New Roman"/>
          <w:b/>
          <w:bCs/>
          <w:color w:val="auto"/>
          <w:sz w:val="24"/>
          <w:szCs w:val="24"/>
          <w:lang w:val="en-US" w:eastAsia="zh-CN"/>
        </w:rPr>
        <w:t>法人身份证复印件</w:t>
      </w:r>
      <w:bookmarkEnd w:id="145"/>
      <w:bookmarkEnd w:id="146"/>
    </w:p>
    <w:p w14:paraId="50B97458">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3876675" cy="7381875"/>
            <wp:effectExtent l="0" t="0" r="9525" b="9525"/>
            <wp:docPr id="1119" name="图片 5"/>
            <wp:cNvGraphicFramePr/>
            <a:graphic xmlns:a="http://schemas.openxmlformats.org/drawingml/2006/main">
              <a:graphicData uri="http://schemas.openxmlformats.org/drawingml/2006/picture">
                <pic:pic xmlns:pic="http://schemas.openxmlformats.org/drawingml/2006/picture">
                  <pic:nvPicPr>
                    <pic:cNvPr id="1119" name="图片 5"/>
                    <pic:cNvPicPr/>
                  </pic:nvPicPr>
                  <pic:blipFill>
                    <a:blip r:embed="rId70" cstate="print">
                      <a:clrChange>
                        <a:clrFrom>
                          <a:srgbClr val="FBFAFF"/>
                        </a:clrFrom>
                        <a:clrTo>
                          <a:srgbClr val="FBFAFF">
                            <a:alpha val="0"/>
                          </a:srgbClr>
                        </a:clrTo>
                      </a:clrChange>
                    </a:blip>
                    <a:srcRect/>
                    <a:stretch>
                      <a:fillRect/>
                    </a:stretch>
                  </pic:blipFill>
                  <pic:spPr>
                    <a:xfrm>
                      <a:off x="0" y="0"/>
                      <a:ext cx="3876675" cy="7381875"/>
                    </a:xfrm>
                    <a:prstGeom prst="rect">
                      <a:avLst/>
                    </a:prstGeom>
                    <a:ln>
                      <a:noFill/>
                    </a:ln>
                  </pic:spPr>
                </pic:pic>
              </a:graphicData>
            </a:graphic>
          </wp:inline>
        </w:drawing>
      </w:r>
    </w:p>
    <w:p w14:paraId="50D3C98C">
      <w:pPr>
        <w:pStyle w:val="12"/>
        <w:ind w:left="48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1076567">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7" w:name="_Toc8698"/>
      <w:r>
        <w:rPr>
          <w:rFonts w:hint="default" w:ascii="Times New Roman" w:hAnsi="Times New Roman" w:cs="Times New Roman"/>
          <w:b/>
          <w:bCs/>
          <w:color w:val="auto"/>
          <w:sz w:val="24"/>
          <w:szCs w:val="24"/>
          <w:lang w:val="en-US" w:eastAsia="zh-CN"/>
        </w:rPr>
        <w:t>不动产权证书</w:t>
      </w:r>
      <w:bookmarkEnd w:id="147"/>
    </w:p>
    <w:p w14:paraId="221D6068">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6842760" cy="4971415"/>
            <wp:effectExtent l="0" t="0" r="14605" b="635"/>
            <wp:docPr id="1120" name="图片 2"/>
            <wp:cNvGraphicFramePr/>
            <a:graphic xmlns:a="http://schemas.openxmlformats.org/drawingml/2006/main">
              <a:graphicData uri="http://schemas.openxmlformats.org/drawingml/2006/picture">
                <pic:pic xmlns:pic="http://schemas.openxmlformats.org/drawingml/2006/picture">
                  <pic:nvPicPr>
                    <pic:cNvPr id="1120" name="图片 2"/>
                    <pic:cNvPicPr/>
                  </pic:nvPicPr>
                  <pic:blipFill>
                    <a:blip r:embed="rId71" cstate="print"/>
                    <a:srcRect/>
                    <a:stretch>
                      <a:fillRect/>
                    </a:stretch>
                  </pic:blipFill>
                  <pic:spPr>
                    <a:xfrm>
                      <a:off x="0" y="0"/>
                      <a:ext cx="6843394" cy="4971415"/>
                    </a:xfrm>
                    <a:prstGeom prst="rect">
                      <a:avLst/>
                    </a:prstGeom>
                    <a:ln>
                      <a:noFill/>
                    </a:ln>
                  </pic:spPr>
                </pic:pic>
              </a:graphicData>
            </a:graphic>
          </wp:inline>
        </w:drawing>
      </w:r>
    </w:p>
    <w:p w14:paraId="482745F1">
      <w:pPr>
        <w:jc w:val="cente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rPr>
        <w:drawing>
          <wp:inline distT="0" distB="0" distL="0" distR="0">
            <wp:extent cx="7363460" cy="5448300"/>
            <wp:effectExtent l="0" t="0" r="8890" b="0"/>
            <wp:docPr id="1121" name="图片 3"/>
            <wp:cNvGraphicFramePr/>
            <a:graphic xmlns:a="http://schemas.openxmlformats.org/drawingml/2006/main">
              <a:graphicData uri="http://schemas.openxmlformats.org/drawingml/2006/picture">
                <pic:pic xmlns:pic="http://schemas.openxmlformats.org/drawingml/2006/picture">
                  <pic:nvPicPr>
                    <pic:cNvPr id="1121" name="图片 3"/>
                    <pic:cNvPicPr/>
                  </pic:nvPicPr>
                  <pic:blipFill>
                    <a:blip r:embed="rId72" cstate="print"/>
                    <a:srcRect/>
                    <a:stretch>
                      <a:fillRect/>
                    </a:stretch>
                  </pic:blipFill>
                  <pic:spPr>
                    <a:xfrm>
                      <a:off x="0" y="0"/>
                      <a:ext cx="7363460" cy="5448300"/>
                    </a:xfrm>
                    <a:prstGeom prst="rect">
                      <a:avLst/>
                    </a:prstGeom>
                    <a:ln>
                      <a:noFill/>
                    </a:ln>
                  </pic:spPr>
                </pic:pic>
              </a:graphicData>
            </a:graphic>
          </wp:inline>
        </w:drawing>
      </w:r>
    </w:p>
    <w:p w14:paraId="1C37FBB2">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8" w:name="_Toc23643"/>
      <w:r>
        <w:rPr>
          <w:rFonts w:hint="default" w:ascii="Times New Roman" w:hAnsi="Times New Roman" w:cs="Times New Roman"/>
          <w:b/>
          <w:bCs/>
          <w:color w:val="auto"/>
          <w:sz w:val="24"/>
          <w:szCs w:val="24"/>
          <w:lang w:val="en-US" w:eastAsia="zh-CN"/>
        </w:rPr>
        <w:t>备案证</w:t>
      </w:r>
      <w:bookmarkEnd w:id="148"/>
    </w:p>
    <w:p w14:paraId="1420EC29">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drawing>
          <wp:inline distT="0" distB="0" distL="0" distR="0">
            <wp:extent cx="8403590" cy="5252720"/>
            <wp:effectExtent l="0" t="0" r="16510" b="5080"/>
            <wp:docPr id="1122" name="图片 3"/>
            <wp:cNvGraphicFramePr/>
            <a:graphic xmlns:a="http://schemas.openxmlformats.org/drawingml/2006/main">
              <a:graphicData uri="http://schemas.openxmlformats.org/drawingml/2006/picture">
                <pic:pic xmlns:pic="http://schemas.openxmlformats.org/drawingml/2006/picture">
                  <pic:nvPicPr>
                    <pic:cNvPr id="1122" name="图片 3"/>
                    <pic:cNvPicPr/>
                  </pic:nvPicPr>
                  <pic:blipFill>
                    <a:blip r:embed="rId73" cstate="print"/>
                    <a:srcRect/>
                    <a:stretch>
                      <a:fillRect/>
                    </a:stretch>
                  </pic:blipFill>
                  <pic:spPr>
                    <a:xfrm>
                      <a:off x="0" y="0"/>
                      <a:ext cx="8403590" cy="5252720"/>
                    </a:xfrm>
                    <a:prstGeom prst="rect">
                      <a:avLst/>
                    </a:prstGeom>
                    <a:ln>
                      <a:noFill/>
                    </a:ln>
                  </pic:spPr>
                </pic:pic>
              </a:graphicData>
            </a:graphic>
          </wp:inline>
        </w:drawing>
      </w:r>
    </w:p>
    <w:p w14:paraId="4638F614">
      <w:pP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374127">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9" w:name="_Toc22646"/>
      <w:r>
        <w:rPr>
          <w:rFonts w:hint="default" w:ascii="Times New Roman" w:hAnsi="Times New Roman" w:cs="Times New Roman"/>
          <w:b/>
          <w:bCs/>
          <w:color w:val="auto"/>
          <w:sz w:val="24"/>
          <w:szCs w:val="24"/>
          <w:lang w:val="en-US" w:eastAsia="zh-CN"/>
        </w:rPr>
        <w:t>环境质量现状监测报告（摘录部分）</w:t>
      </w:r>
      <w:bookmarkEnd w:id="14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0DAB3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vAlign w:val="center"/>
          </w:tcPr>
          <w:p w14:paraId="695300B3">
            <w:pPr>
              <w:pStyle w:val="57"/>
              <w:ind w:left="0" w:leftChars="0" w:firstLine="0" w:firstLineChars="0"/>
              <w:jc w:val="center"/>
              <w:rPr>
                <w:rFonts w:hint="default" w:ascii="Times New Roman" w:hAnsi="Times New Roman" w:cs="Times New Roman"/>
                <w:color w:val="auto"/>
                <w:sz w:val="21"/>
                <w:szCs w:val="21"/>
                <w:highlight w:val="none"/>
                <w:vertAlign w:val="baseline"/>
              </w:rPr>
            </w:pPr>
            <w:r>
              <w:drawing>
                <wp:inline distT="0" distB="0" distL="0" distR="0">
                  <wp:extent cx="5038725" cy="7124700"/>
                  <wp:effectExtent l="0" t="0" r="9525" b="0"/>
                  <wp:docPr id="1123" name="图片 6"/>
                  <wp:cNvGraphicFramePr/>
                  <a:graphic xmlns:a="http://schemas.openxmlformats.org/drawingml/2006/main">
                    <a:graphicData uri="http://schemas.openxmlformats.org/drawingml/2006/picture">
                      <pic:pic xmlns:pic="http://schemas.openxmlformats.org/drawingml/2006/picture">
                        <pic:nvPicPr>
                          <pic:cNvPr id="1123" name="图片 6"/>
                          <pic:cNvPicPr/>
                        </pic:nvPicPr>
                        <pic:blipFill>
                          <a:blip r:embed="rId74" cstate="print"/>
                          <a:srcRect/>
                          <a:stretch>
                            <a:fillRect/>
                          </a:stretch>
                        </pic:blipFill>
                        <pic:spPr>
                          <a:xfrm>
                            <a:off x="0" y="0"/>
                            <a:ext cx="5038725" cy="7124700"/>
                          </a:xfrm>
                          <a:prstGeom prst="rect">
                            <a:avLst/>
                          </a:prstGeom>
                          <a:ln>
                            <a:noFill/>
                          </a:ln>
                        </pic:spPr>
                      </pic:pic>
                    </a:graphicData>
                  </a:graphic>
                </wp:inline>
              </w:drawing>
            </w:r>
          </w:p>
        </w:tc>
      </w:tr>
      <w:tr w14:paraId="519D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44BF93E">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4933950" cy="7077075"/>
                  <wp:effectExtent l="0" t="0" r="0" b="9525"/>
                  <wp:docPr id="1124" name="图片 7"/>
                  <wp:cNvGraphicFramePr/>
                  <a:graphic xmlns:a="http://schemas.openxmlformats.org/drawingml/2006/main">
                    <a:graphicData uri="http://schemas.openxmlformats.org/drawingml/2006/picture">
                      <pic:pic xmlns:pic="http://schemas.openxmlformats.org/drawingml/2006/picture">
                        <pic:nvPicPr>
                          <pic:cNvPr id="1124" name="图片 7"/>
                          <pic:cNvPicPr/>
                        </pic:nvPicPr>
                        <pic:blipFill>
                          <a:blip r:embed="rId75" cstate="print"/>
                          <a:srcRect/>
                          <a:stretch>
                            <a:fillRect/>
                          </a:stretch>
                        </pic:blipFill>
                        <pic:spPr>
                          <a:xfrm>
                            <a:off x="0" y="0"/>
                            <a:ext cx="4933950" cy="7077075"/>
                          </a:xfrm>
                          <a:prstGeom prst="rect">
                            <a:avLst/>
                          </a:prstGeom>
                          <a:ln>
                            <a:noFill/>
                          </a:ln>
                        </pic:spPr>
                      </pic:pic>
                    </a:graphicData>
                  </a:graphic>
                </wp:inline>
              </w:drawing>
            </w:r>
          </w:p>
        </w:tc>
      </w:tr>
      <w:tr w14:paraId="57F09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C34B0ED">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114300" distR="114300">
                  <wp:extent cx="5476875" cy="781050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76"/>
                          <a:stretch>
                            <a:fillRect/>
                          </a:stretch>
                        </pic:blipFill>
                        <pic:spPr>
                          <a:xfrm>
                            <a:off x="0" y="0"/>
                            <a:ext cx="5476875" cy="7810500"/>
                          </a:xfrm>
                          <a:prstGeom prst="rect">
                            <a:avLst/>
                          </a:prstGeom>
                          <a:noFill/>
                          <a:ln>
                            <a:noFill/>
                          </a:ln>
                        </pic:spPr>
                      </pic:pic>
                    </a:graphicData>
                  </a:graphic>
                </wp:inline>
              </w:drawing>
            </w:r>
            <w:r>
              <w:drawing>
                <wp:inline distT="0" distB="0" distL="114300" distR="114300">
                  <wp:extent cx="5257800" cy="7553325"/>
                  <wp:effectExtent l="0" t="0" r="0" b="952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77"/>
                          <a:stretch>
                            <a:fillRect/>
                          </a:stretch>
                        </pic:blipFill>
                        <pic:spPr>
                          <a:xfrm>
                            <a:off x="0" y="0"/>
                            <a:ext cx="5257800" cy="7553325"/>
                          </a:xfrm>
                          <a:prstGeom prst="rect">
                            <a:avLst/>
                          </a:prstGeom>
                          <a:noFill/>
                          <a:ln>
                            <a:noFill/>
                          </a:ln>
                        </pic:spPr>
                      </pic:pic>
                    </a:graphicData>
                  </a:graphic>
                </wp:inline>
              </w:drawing>
            </w:r>
            <w:r>
              <w:drawing>
                <wp:inline distT="0" distB="0" distL="0" distR="0">
                  <wp:extent cx="5057775" cy="7105650"/>
                  <wp:effectExtent l="0" t="0" r="9525" b="0"/>
                  <wp:docPr id="1125" name="图片 1"/>
                  <wp:cNvGraphicFramePr/>
                  <a:graphic xmlns:a="http://schemas.openxmlformats.org/drawingml/2006/main">
                    <a:graphicData uri="http://schemas.openxmlformats.org/drawingml/2006/picture">
                      <pic:pic xmlns:pic="http://schemas.openxmlformats.org/drawingml/2006/picture">
                        <pic:nvPicPr>
                          <pic:cNvPr id="1125" name="图片 1"/>
                          <pic:cNvPicPr/>
                        </pic:nvPicPr>
                        <pic:blipFill>
                          <a:blip r:embed="rId78" cstate="print"/>
                          <a:srcRect/>
                          <a:stretch>
                            <a:fillRect/>
                          </a:stretch>
                        </pic:blipFill>
                        <pic:spPr>
                          <a:xfrm>
                            <a:off x="0" y="0"/>
                            <a:ext cx="5057775" cy="7105650"/>
                          </a:xfrm>
                          <a:prstGeom prst="rect">
                            <a:avLst/>
                          </a:prstGeom>
                          <a:ln>
                            <a:noFill/>
                          </a:ln>
                        </pic:spPr>
                      </pic:pic>
                    </a:graphicData>
                  </a:graphic>
                </wp:inline>
              </w:drawing>
            </w:r>
          </w:p>
        </w:tc>
      </w:tr>
      <w:tr w14:paraId="45C1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1BA0385">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4991100" cy="6962775"/>
                  <wp:effectExtent l="0" t="0" r="0" b="9525"/>
                  <wp:docPr id="1126" name="图片 2"/>
                  <wp:cNvGraphicFramePr/>
                  <a:graphic xmlns:a="http://schemas.openxmlformats.org/drawingml/2006/main">
                    <a:graphicData uri="http://schemas.openxmlformats.org/drawingml/2006/picture">
                      <pic:pic xmlns:pic="http://schemas.openxmlformats.org/drawingml/2006/picture">
                        <pic:nvPicPr>
                          <pic:cNvPr id="1126" name="图片 2"/>
                          <pic:cNvPicPr/>
                        </pic:nvPicPr>
                        <pic:blipFill>
                          <a:blip r:embed="rId79" cstate="print"/>
                          <a:srcRect/>
                          <a:stretch>
                            <a:fillRect/>
                          </a:stretch>
                        </pic:blipFill>
                        <pic:spPr>
                          <a:xfrm>
                            <a:off x="0" y="0"/>
                            <a:ext cx="4991100" cy="6962775"/>
                          </a:xfrm>
                          <a:prstGeom prst="rect">
                            <a:avLst/>
                          </a:prstGeom>
                          <a:ln>
                            <a:noFill/>
                          </a:ln>
                        </pic:spPr>
                      </pic:pic>
                    </a:graphicData>
                  </a:graphic>
                </wp:inline>
              </w:drawing>
            </w:r>
            <w:r>
              <w:drawing>
                <wp:inline distT="0" distB="0" distL="0" distR="0">
                  <wp:extent cx="4991100" cy="7077075"/>
                  <wp:effectExtent l="0" t="0" r="0" b="9525"/>
                  <wp:docPr id="1127" name="图片 3"/>
                  <wp:cNvGraphicFramePr/>
                  <a:graphic xmlns:a="http://schemas.openxmlformats.org/drawingml/2006/main">
                    <a:graphicData uri="http://schemas.openxmlformats.org/drawingml/2006/picture">
                      <pic:pic xmlns:pic="http://schemas.openxmlformats.org/drawingml/2006/picture">
                        <pic:nvPicPr>
                          <pic:cNvPr id="1127" name="图片 3"/>
                          <pic:cNvPicPr/>
                        </pic:nvPicPr>
                        <pic:blipFill>
                          <a:blip r:embed="rId80" cstate="print"/>
                          <a:srcRect/>
                          <a:stretch>
                            <a:fillRect/>
                          </a:stretch>
                        </pic:blipFill>
                        <pic:spPr>
                          <a:xfrm>
                            <a:off x="0" y="0"/>
                            <a:ext cx="4991100" cy="7077075"/>
                          </a:xfrm>
                          <a:prstGeom prst="rect">
                            <a:avLst/>
                          </a:prstGeom>
                          <a:ln>
                            <a:noFill/>
                          </a:ln>
                        </pic:spPr>
                      </pic:pic>
                    </a:graphicData>
                  </a:graphic>
                </wp:inline>
              </w:drawing>
            </w:r>
          </w:p>
        </w:tc>
      </w:tr>
      <w:tr w14:paraId="3B896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2BEB8D84">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5572125" cy="7905115"/>
                  <wp:effectExtent l="0" t="0" r="9525" b="0"/>
                  <wp:docPr id="1129" name="图片 5"/>
                  <wp:cNvGraphicFramePr/>
                  <a:graphic xmlns:a="http://schemas.openxmlformats.org/drawingml/2006/main">
                    <a:graphicData uri="http://schemas.openxmlformats.org/drawingml/2006/picture">
                      <pic:pic xmlns:pic="http://schemas.openxmlformats.org/drawingml/2006/picture">
                        <pic:nvPicPr>
                          <pic:cNvPr id="1129" name="图片 5"/>
                          <pic:cNvPicPr/>
                        </pic:nvPicPr>
                        <pic:blipFill>
                          <a:blip r:embed="rId81" cstate="print"/>
                          <a:srcRect/>
                          <a:stretch>
                            <a:fillRect/>
                          </a:stretch>
                        </pic:blipFill>
                        <pic:spPr>
                          <a:xfrm>
                            <a:off x="0" y="0"/>
                            <a:ext cx="5572125" cy="7905749"/>
                          </a:xfrm>
                          <a:prstGeom prst="rect">
                            <a:avLst/>
                          </a:prstGeom>
                          <a:ln>
                            <a:noFill/>
                          </a:ln>
                        </pic:spPr>
                      </pic:pic>
                    </a:graphicData>
                  </a:graphic>
                </wp:inline>
              </w:drawing>
            </w:r>
          </w:p>
        </w:tc>
      </w:tr>
    </w:tbl>
    <w:p w14:paraId="3AC548A6">
      <w:pPr>
        <w:pStyle w:val="2"/>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B69184">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50" w:name="_Toc30494"/>
      <w:r>
        <w:rPr>
          <w:rFonts w:hint="eastAsia" w:cs="Times New Roman"/>
          <w:b/>
          <w:bCs/>
          <w:color w:val="auto"/>
          <w:sz w:val="24"/>
          <w:szCs w:val="24"/>
          <w:lang w:val="en-US" w:eastAsia="zh-CN"/>
        </w:rPr>
        <w:t>原辅料MSDS及VOCs含量检测报告</w:t>
      </w:r>
      <w:bookmarkEnd w:id="150"/>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37AE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FEC7FB8">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不饱和聚酯树脂</w:t>
            </w:r>
          </w:p>
        </w:tc>
      </w:tr>
      <w:tr w14:paraId="4F409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8AA4B8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0" name="图片 174" descr="2058 MSDS博力玛(1)_01"/>
                  <wp:cNvGraphicFramePr/>
                  <a:graphic xmlns:a="http://schemas.openxmlformats.org/drawingml/2006/main">
                    <a:graphicData uri="http://schemas.openxmlformats.org/drawingml/2006/picture">
                      <pic:pic xmlns:pic="http://schemas.openxmlformats.org/drawingml/2006/picture">
                        <pic:nvPicPr>
                          <pic:cNvPr id="1130" name="图片 174" descr="2058 MSDS博力玛(1)_01"/>
                          <pic:cNvPicPr/>
                        </pic:nvPicPr>
                        <pic:blipFill>
                          <a:blip r:embed="rId82" cstate="print"/>
                          <a:srcRect/>
                          <a:stretch>
                            <a:fillRect/>
                          </a:stretch>
                        </pic:blipFill>
                        <pic:spPr>
                          <a:xfrm>
                            <a:off x="0" y="0"/>
                            <a:ext cx="5608320" cy="7933690"/>
                          </a:xfrm>
                          <a:prstGeom prst="rect">
                            <a:avLst/>
                          </a:prstGeom>
                        </pic:spPr>
                      </pic:pic>
                    </a:graphicData>
                  </a:graphic>
                </wp:inline>
              </w:drawing>
            </w:r>
          </w:p>
        </w:tc>
      </w:tr>
      <w:tr w14:paraId="092D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EDBAFBA">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1" name="图片 175" descr="2058 MSDS博力玛(1)_02"/>
                  <wp:cNvGraphicFramePr/>
                  <a:graphic xmlns:a="http://schemas.openxmlformats.org/drawingml/2006/main">
                    <a:graphicData uri="http://schemas.openxmlformats.org/drawingml/2006/picture">
                      <pic:pic xmlns:pic="http://schemas.openxmlformats.org/drawingml/2006/picture">
                        <pic:nvPicPr>
                          <pic:cNvPr id="1131" name="图片 175" descr="2058 MSDS博力玛(1)_02"/>
                          <pic:cNvPicPr/>
                        </pic:nvPicPr>
                        <pic:blipFill>
                          <a:blip r:embed="rId83" cstate="print"/>
                          <a:srcRect/>
                          <a:stretch>
                            <a:fillRect/>
                          </a:stretch>
                        </pic:blipFill>
                        <pic:spPr>
                          <a:xfrm>
                            <a:off x="0" y="0"/>
                            <a:ext cx="5608320" cy="7933690"/>
                          </a:xfrm>
                          <a:prstGeom prst="rect">
                            <a:avLst/>
                          </a:prstGeom>
                        </pic:spPr>
                      </pic:pic>
                    </a:graphicData>
                  </a:graphic>
                </wp:inline>
              </w:drawing>
            </w:r>
          </w:p>
        </w:tc>
      </w:tr>
      <w:tr w14:paraId="157B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FE92B3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2" name="图片 176" descr="2058 MSDS博力玛(1)_03"/>
                  <wp:cNvGraphicFramePr/>
                  <a:graphic xmlns:a="http://schemas.openxmlformats.org/drawingml/2006/main">
                    <a:graphicData uri="http://schemas.openxmlformats.org/drawingml/2006/picture">
                      <pic:pic xmlns:pic="http://schemas.openxmlformats.org/drawingml/2006/picture">
                        <pic:nvPicPr>
                          <pic:cNvPr id="1132" name="图片 176" descr="2058 MSDS博力玛(1)_03"/>
                          <pic:cNvPicPr/>
                        </pic:nvPicPr>
                        <pic:blipFill>
                          <a:blip r:embed="rId84" cstate="print"/>
                          <a:srcRect/>
                          <a:stretch>
                            <a:fillRect/>
                          </a:stretch>
                        </pic:blipFill>
                        <pic:spPr>
                          <a:xfrm>
                            <a:off x="0" y="0"/>
                            <a:ext cx="5608320" cy="7933690"/>
                          </a:xfrm>
                          <a:prstGeom prst="rect">
                            <a:avLst/>
                          </a:prstGeom>
                        </pic:spPr>
                      </pic:pic>
                    </a:graphicData>
                  </a:graphic>
                </wp:inline>
              </w:drawing>
            </w:r>
          </w:p>
        </w:tc>
      </w:tr>
      <w:tr w14:paraId="65660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0" w:hRule="atLeast"/>
        </w:trPr>
        <w:tc>
          <w:tcPr>
            <w:tcW w:w="9059" w:type="dxa"/>
            <w:vAlign w:val="center"/>
          </w:tcPr>
          <w:p w14:paraId="06F8002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3" name="图片 177" descr="2058 MSDS博力玛(1)_04"/>
                  <wp:cNvGraphicFramePr/>
                  <a:graphic xmlns:a="http://schemas.openxmlformats.org/drawingml/2006/main">
                    <a:graphicData uri="http://schemas.openxmlformats.org/drawingml/2006/picture">
                      <pic:pic xmlns:pic="http://schemas.openxmlformats.org/drawingml/2006/picture">
                        <pic:nvPicPr>
                          <pic:cNvPr id="1133" name="图片 177" descr="2058 MSDS博力玛(1)_04"/>
                          <pic:cNvPicPr/>
                        </pic:nvPicPr>
                        <pic:blipFill>
                          <a:blip r:embed="rId85" cstate="print"/>
                          <a:srcRect/>
                          <a:stretch>
                            <a:fillRect/>
                          </a:stretch>
                        </pic:blipFill>
                        <pic:spPr>
                          <a:xfrm>
                            <a:off x="0" y="0"/>
                            <a:ext cx="5608320" cy="7933690"/>
                          </a:xfrm>
                          <a:prstGeom prst="rect">
                            <a:avLst/>
                          </a:prstGeom>
                        </pic:spPr>
                      </pic:pic>
                    </a:graphicData>
                  </a:graphic>
                </wp:inline>
              </w:drawing>
            </w:r>
          </w:p>
        </w:tc>
      </w:tr>
      <w:tr w14:paraId="742F8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657D0E0">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固化剂</w:t>
            </w:r>
          </w:p>
        </w:tc>
      </w:tr>
      <w:tr w14:paraId="6202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129420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4" name="图片 178" descr="tbpb过氧苯甲酸叔丁酯75w-固化剂_01"/>
                  <wp:cNvGraphicFramePr/>
                  <a:graphic xmlns:a="http://schemas.openxmlformats.org/drawingml/2006/main">
                    <a:graphicData uri="http://schemas.openxmlformats.org/drawingml/2006/picture">
                      <pic:pic xmlns:pic="http://schemas.openxmlformats.org/drawingml/2006/picture">
                        <pic:nvPicPr>
                          <pic:cNvPr id="1134" name="图片 178" descr="tbpb过氧苯甲酸叔丁酯75w-固化剂_01"/>
                          <pic:cNvPicPr/>
                        </pic:nvPicPr>
                        <pic:blipFill>
                          <a:blip r:embed="rId86" cstate="print"/>
                          <a:srcRect/>
                          <a:stretch>
                            <a:fillRect/>
                          </a:stretch>
                        </pic:blipFill>
                        <pic:spPr>
                          <a:xfrm>
                            <a:off x="0" y="0"/>
                            <a:ext cx="5611495" cy="7261860"/>
                          </a:xfrm>
                          <a:prstGeom prst="rect">
                            <a:avLst/>
                          </a:prstGeom>
                        </pic:spPr>
                      </pic:pic>
                    </a:graphicData>
                  </a:graphic>
                </wp:inline>
              </w:drawing>
            </w:r>
          </w:p>
        </w:tc>
      </w:tr>
      <w:tr w14:paraId="4DA71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3BF030C">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5" name="图片 179" descr="tbpb过氧苯甲酸叔丁酯75w-固化剂_02"/>
                  <wp:cNvGraphicFramePr/>
                  <a:graphic xmlns:a="http://schemas.openxmlformats.org/drawingml/2006/main">
                    <a:graphicData uri="http://schemas.openxmlformats.org/drawingml/2006/picture">
                      <pic:pic xmlns:pic="http://schemas.openxmlformats.org/drawingml/2006/picture">
                        <pic:nvPicPr>
                          <pic:cNvPr id="1135" name="图片 179" descr="tbpb过氧苯甲酸叔丁酯75w-固化剂_02"/>
                          <pic:cNvPicPr/>
                        </pic:nvPicPr>
                        <pic:blipFill>
                          <a:blip r:embed="rId87" cstate="print"/>
                          <a:srcRect/>
                          <a:stretch>
                            <a:fillRect/>
                          </a:stretch>
                        </pic:blipFill>
                        <pic:spPr>
                          <a:xfrm>
                            <a:off x="0" y="0"/>
                            <a:ext cx="5611495" cy="7261860"/>
                          </a:xfrm>
                          <a:prstGeom prst="rect">
                            <a:avLst/>
                          </a:prstGeom>
                        </pic:spPr>
                      </pic:pic>
                    </a:graphicData>
                  </a:graphic>
                </wp:inline>
              </w:drawing>
            </w:r>
          </w:p>
        </w:tc>
      </w:tr>
      <w:tr w14:paraId="3EA9C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56FB03E">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6" name="图片 180" descr="tbpb过氧苯甲酸叔丁酯75w-固化剂_03"/>
                  <wp:cNvGraphicFramePr/>
                  <a:graphic xmlns:a="http://schemas.openxmlformats.org/drawingml/2006/main">
                    <a:graphicData uri="http://schemas.openxmlformats.org/drawingml/2006/picture">
                      <pic:pic xmlns:pic="http://schemas.openxmlformats.org/drawingml/2006/picture">
                        <pic:nvPicPr>
                          <pic:cNvPr id="1136" name="图片 180" descr="tbpb过氧苯甲酸叔丁酯75w-固化剂_03"/>
                          <pic:cNvPicPr/>
                        </pic:nvPicPr>
                        <pic:blipFill>
                          <a:blip r:embed="rId88" cstate="print"/>
                          <a:srcRect/>
                          <a:stretch>
                            <a:fillRect/>
                          </a:stretch>
                        </pic:blipFill>
                        <pic:spPr>
                          <a:xfrm>
                            <a:off x="0" y="0"/>
                            <a:ext cx="5611495" cy="7261860"/>
                          </a:xfrm>
                          <a:prstGeom prst="rect">
                            <a:avLst/>
                          </a:prstGeom>
                        </pic:spPr>
                      </pic:pic>
                    </a:graphicData>
                  </a:graphic>
                </wp:inline>
              </w:drawing>
            </w:r>
          </w:p>
        </w:tc>
      </w:tr>
      <w:tr w14:paraId="1AD3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AC3F147">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7" name="图片 181" descr="tbpb过氧苯甲酸叔丁酯75w-固化剂_04"/>
                  <wp:cNvGraphicFramePr/>
                  <a:graphic xmlns:a="http://schemas.openxmlformats.org/drawingml/2006/main">
                    <a:graphicData uri="http://schemas.openxmlformats.org/drawingml/2006/picture">
                      <pic:pic xmlns:pic="http://schemas.openxmlformats.org/drawingml/2006/picture">
                        <pic:nvPicPr>
                          <pic:cNvPr id="1137" name="图片 181" descr="tbpb过氧苯甲酸叔丁酯75w-固化剂_04"/>
                          <pic:cNvPicPr/>
                        </pic:nvPicPr>
                        <pic:blipFill>
                          <a:blip r:embed="rId89" cstate="print"/>
                          <a:srcRect/>
                          <a:stretch>
                            <a:fillRect/>
                          </a:stretch>
                        </pic:blipFill>
                        <pic:spPr>
                          <a:xfrm>
                            <a:off x="0" y="0"/>
                            <a:ext cx="5611495" cy="7261860"/>
                          </a:xfrm>
                          <a:prstGeom prst="rect">
                            <a:avLst/>
                          </a:prstGeom>
                        </pic:spPr>
                      </pic:pic>
                    </a:graphicData>
                  </a:graphic>
                </wp:inline>
              </w:drawing>
            </w:r>
          </w:p>
        </w:tc>
      </w:tr>
      <w:tr w14:paraId="11C3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66DC13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8" name="图片 182" descr="tbpb过氧苯甲酸叔丁酯75w-固化剂_05"/>
                  <wp:cNvGraphicFramePr/>
                  <a:graphic xmlns:a="http://schemas.openxmlformats.org/drawingml/2006/main">
                    <a:graphicData uri="http://schemas.openxmlformats.org/drawingml/2006/picture">
                      <pic:pic xmlns:pic="http://schemas.openxmlformats.org/drawingml/2006/picture">
                        <pic:nvPicPr>
                          <pic:cNvPr id="1138" name="图片 182" descr="tbpb过氧苯甲酸叔丁酯75w-固化剂_05"/>
                          <pic:cNvPicPr/>
                        </pic:nvPicPr>
                        <pic:blipFill>
                          <a:blip r:embed="rId90" cstate="print"/>
                          <a:srcRect/>
                          <a:stretch>
                            <a:fillRect/>
                          </a:stretch>
                        </pic:blipFill>
                        <pic:spPr>
                          <a:xfrm>
                            <a:off x="0" y="0"/>
                            <a:ext cx="5611495" cy="7261860"/>
                          </a:xfrm>
                          <a:prstGeom prst="rect">
                            <a:avLst/>
                          </a:prstGeom>
                        </pic:spPr>
                      </pic:pic>
                    </a:graphicData>
                  </a:graphic>
                </wp:inline>
              </w:drawing>
            </w:r>
          </w:p>
        </w:tc>
      </w:tr>
      <w:tr w14:paraId="5BE37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53F3109">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9" name="图片 183" descr="tbpb过氧苯甲酸叔丁酯75w-固化剂_06"/>
                  <wp:cNvGraphicFramePr/>
                  <a:graphic xmlns:a="http://schemas.openxmlformats.org/drawingml/2006/main">
                    <a:graphicData uri="http://schemas.openxmlformats.org/drawingml/2006/picture">
                      <pic:pic xmlns:pic="http://schemas.openxmlformats.org/drawingml/2006/picture">
                        <pic:nvPicPr>
                          <pic:cNvPr id="1139" name="图片 183" descr="tbpb过氧苯甲酸叔丁酯75w-固化剂_06"/>
                          <pic:cNvPicPr/>
                        </pic:nvPicPr>
                        <pic:blipFill>
                          <a:blip r:embed="rId91" cstate="print"/>
                          <a:srcRect/>
                          <a:stretch>
                            <a:fillRect/>
                          </a:stretch>
                        </pic:blipFill>
                        <pic:spPr>
                          <a:xfrm>
                            <a:off x="0" y="0"/>
                            <a:ext cx="5611495" cy="7261860"/>
                          </a:xfrm>
                          <a:prstGeom prst="rect">
                            <a:avLst/>
                          </a:prstGeom>
                        </pic:spPr>
                      </pic:pic>
                    </a:graphicData>
                  </a:graphic>
                </wp:inline>
              </w:drawing>
            </w:r>
          </w:p>
        </w:tc>
      </w:tr>
      <w:tr w14:paraId="78D73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207875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0" name="图片 184" descr="tbpb过氧苯甲酸叔丁酯75w-固化剂_07"/>
                  <wp:cNvGraphicFramePr/>
                  <a:graphic xmlns:a="http://schemas.openxmlformats.org/drawingml/2006/main">
                    <a:graphicData uri="http://schemas.openxmlformats.org/drawingml/2006/picture">
                      <pic:pic xmlns:pic="http://schemas.openxmlformats.org/drawingml/2006/picture">
                        <pic:nvPicPr>
                          <pic:cNvPr id="1140" name="图片 184" descr="tbpb过氧苯甲酸叔丁酯75w-固化剂_07"/>
                          <pic:cNvPicPr/>
                        </pic:nvPicPr>
                        <pic:blipFill>
                          <a:blip r:embed="rId92" cstate="print"/>
                          <a:srcRect/>
                          <a:stretch>
                            <a:fillRect/>
                          </a:stretch>
                        </pic:blipFill>
                        <pic:spPr>
                          <a:xfrm>
                            <a:off x="0" y="0"/>
                            <a:ext cx="5611495" cy="7261860"/>
                          </a:xfrm>
                          <a:prstGeom prst="rect">
                            <a:avLst/>
                          </a:prstGeom>
                        </pic:spPr>
                      </pic:pic>
                    </a:graphicData>
                  </a:graphic>
                </wp:inline>
              </w:drawing>
            </w:r>
          </w:p>
        </w:tc>
      </w:tr>
      <w:tr w14:paraId="24D0E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30DD18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1" name="图片 185" descr="tbpb过氧苯甲酸叔丁酯75w-固化剂_08"/>
                  <wp:cNvGraphicFramePr/>
                  <a:graphic xmlns:a="http://schemas.openxmlformats.org/drawingml/2006/main">
                    <a:graphicData uri="http://schemas.openxmlformats.org/drawingml/2006/picture">
                      <pic:pic xmlns:pic="http://schemas.openxmlformats.org/drawingml/2006/picture">
                        <pic:nvPicPr>
                          <pic:cNvPr id="1141" name="图片 185" descr="tbpb过氧苯甲酸叔丁酯75w-固化剂_08"/>
                          <pic:cNvPicPr/>
                        </pic:nvPicPr>
                        <pic:blipFill>
                          <a:blip r:embed="rId93" cstate="print"/>
                          <a:srcRect/>
                          <a:stretch>
                            <a:fillRect/>
                          </a:stretch>
                        </pic:blipFill>
                        <pic:spPr>
                          <a:xfrm>
                            <a:off x="0" y="0"/>
                            <a:ext cx="5611495" cy="7261860"/>
                          </a:xfrm>
                          <a:prstGeom prst="rect">
                            <a:avLst/>
                          </a:prstGeom>
                        </pic:spPr>
                      </pic:pic>
                    </a:graphicData>
                  </a:graphic>
                </wp:inline>
              </w:drawing>
            </w:r>
          </w:p>
        </w:tc>
      </w:tr>
      <w:tr w14:paraId="42D03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082353B">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2" name="图片 186" descr="tbpb过氧苯甲酸叔丁酯75w-固化剂_09"/>
                  <wp:cNvGraphicFramePr/>
                  <a:graphic xmlns:a="http://schemas.openxmlformats.org/drawingml/2006/main">
                    <a:graphicData uri="http://schemas.openxmlformats.org/drawingml/2006/picture">
                      <pic:pic xmlns:pic="http://schemas.openxmlformats.org/drawingml/2006/picture">
                        <pic:nvPicPr>
                          <pic:cNvPr id="1142" name="图片 186" descr="tbpb过氧苯甲酸叔丁酯75w-固化剂_09"/>
                          <pic:cNvPicPr/>
                        </pic:nvPicPr>
                        <pic:blipFill>
                          <a:blip r:embed="rId94" cstate="print"/>
                          <a:srcRect/>
                          <a:stretch>
                            <a:fillRect/>
                          </a:stretch>
                        </pic:blipFill>
                        <pic:spPr>
                          <a:xfrm>
                            <a:off x="0" y="0"/>
                            <a:ext cx="5611495" cy="7261860"/>
                          </a:xfrm>
                          <a:prstGeom prst="rect">
                            <a:avLst/>
                          </a:prstGeom>
                        </pic:spPr>
                      </pic:pic>
                    </a:graphicData>
                  </a:graphic>
                </wp:inline>
              </w:drawing>
            </w:r>
          </w:p>
        </w:tc>
      </w:tr>
      <w:tr w14:paraId="6EE7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0" w:hRule="atLeast"/>
        </w:trPr>
        <w:tc>
          <w:tcPr>
            <w:tcW w:w="9059" w:type="dxa"/>
            <w:vAlign w:val="center"/>
          </w:tcPr>
          <w:p w14:paraId="1B35797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3" name="图片 187" descr="tbpb过氧苯甲酸叔丁酯75w-固化剂_10"/>
                  <wp:cNvGraphicFramePr/>
                  <a:graphic xmlns:a="http://schemas.openxmlformats.org/drawingml/2006/main">
                    <a:graphicData uri="http://schemas.openxmlformats.org/drawingml/2006/picture">
                      <pic:pic xmlns:pic="http://schemas.openxmlformats.org/drawingml/2006/picture">
                        <pic:nvPicPr>
                          <pic:cNvPr id="1143" name="图片 187" descr="tbpb过氧苯甲酸叔丁酯75w-固化剂_10"/>
                          <pic:cNvPicPr/>
                        </pic:nvPicPr>
                        <pic:blipFill>
                          <a:blip r:embed="rId95" cstate="print"/>
                          <a:srcRect/>
                          <a:stretch>
                            <a:fillRect/>
                          </a:stretch>
                        </pic:blipFill>
                        <pic:spPr>
                          <a:xfrm>
                            <a:off x="0" y="0"/>
                            <a:ext cx="5611495" cy="7261860"/>
                          </a:xfrm>
                          <a:prstGeom prst="rect">
                            <a:avLst/>
                          </a:prstGeom>
                        </pic:spPr>
                      </pic:pic>
                    </a:graphicData>
                  </a:graphic>
                </wp:inline>
              </w:drawing>
            </w:r>
          </w:p>
        </w:tc>
      </w:tr>
      <w:tr w14:paraId="1DE97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E29384D">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色浆</w:t>
            </w:r>
          </w:p>
        </w:tc>
      </w:tr>
      <w:tr w14:paraId="5385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2076C16">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9155" cy="8001000"/>
                  <wp:effectExtent l="0" t="0" r="4445" b="0"/>
                  <wp:docPr id="1144" name="图片 22"/>
                  <wp:cNvGraphicFramePr/>
                  <a:graphic xmlns:a="http://schemas.openxmlformats.org/drawingml/2006/main">
                    <a:graphicData uri="http://schemas.openxmlformats.org/drawingml/2006/picture">
                      <pic:pic xmlns:pic="http://schemas.openxmlformats.org/drawingml/2006/picture">
                        <pic:nvPicPr>
                          <pic:cNvPr id="1144" name="图片 22"/>
                          <pic:cNvPicPr/>
                        </pic:nvPicPr>
                        <pic:blipFill>
                          <a:blip r:embed="rId96" cstate="print"/>
                          <a:srcRect/>
                          <a:stretch>
                            <a:fillRect/>
                          </a:stretch>
                        </pic:blipFill>
                        <pic:spPr>
                          <a:xfrm>
                            <a:off x="0" y="0"/>
                            <a:ext cx="5939155" cy="8001000"/>
                          </a:xfrm>
                          <a:prstGeom prst="rect">
                            <a:avLst/>
                          </a:prstGeom>
                          <a:ln>
                            <a:noFill/>
                          </a:ln>
                        </pic:spPr>
                      </pic:pic>
                    </a:graphicData>
                  </a:graphic>
                </wp:inline>
              </w:drawing>
            </w:r>
          </w:p>
        </w:tc>
      </w:tr>
      <w:tr w14:paraId="039AA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8" w:hRule="atLeast"/>
        </w:trPr>
        <w:tc>
          <w:tcPr>
            <w:tcW w:w="9059" w:type="dxa"/>
            <w:vAlign w:val="center"/>
          </w:tcPr>
          <w:p w14:paraId="045DF021">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980" cy="7821295"/>
                  <wp:effectExtent l="0" t="0" r="7620" b="8255"/>
                  <wp:docPr id="1145" name="图片 23"/>
                  <wp:cNvGraphicFramePr/>
                  <a:graphic xmlns:a="http://schemas.openxmlformats.org/drawingml/2006/main">
                    <a:graphicData uri="http://schemas.openxmlformats.org/drawingml/2006/picture">
                      <pic:pic xmlns:pic="http://schemas.openxmlformats.org/drawingml/2006/picture">
                        <pic:nvPicPr>
                          <pic:cNvPr id="1145" name="图片 23"/>
                          <pic:cNvPicPr/>
                        </pic:nvPicPr>
                        <pic:blipFill>
                          <a:blip r:embed="rId97" cstate="print"/>
                          <a:srcRect/>
                          <a:stretch>
                            <a:fillRect/>
                          </a:stretch>
                        </pic:blipFill>
                        <pic:spPr>
                          <a:xfrm>
                            <a:off x="0" y="0"/>
                            <a:ext cx="5935980" cy="7821295"/>
                          </a:xfrm>
                          <a:prstGeom prst="rect">
                            <a:avLst/>
                          </a:prstGeom>
                          <a:ln>
                            <a:noFill/>
                          </a:ln>
                        </pic:spPr>
                      </pic:pic>
                    </a:graphicData>
                  </a:graphic>
                </wp:inline>
              </w:drawing>
            </w:r>
          </w:p>
        </w:tc>
      </w:tr>
      <w:tr w14:paraId="6A75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CFCFE48">
            <w:pPr>
              <w:pStyle w:val="57"/>
              <w:ind w:left="0" w:leftChars="0" w:firstLine="0" w:firstLineChars="0"/>
              <w:jc w:val="both"/>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水性脱模剂</w:t>
            </w:r>
          </w:p>
        </w:tc>
      </w:tr>
      <w:tr w14:paraId="4C191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003632D">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345" cy="8235315"/>
                  <wp:effectExtent l="0" t="0" r="8255" b="13334"/>
                  <wp:docPr id="1146" name="图片 8"/>
                  <wp:cNvGraphicFramePr/>
                  <a:graphic xmlns:a="http://schemas.openxmlformats.org/drawingml/2006/main">
                    <a:graphicData uri="http://schemas.openxmlformats.org/drawingml/2006/picture">
                      <pic:pic xmlns:pic="http://schemas.openxmlformats.org/drawingml/2006/picture">
                        <pic:nvPicPr>
                          <pic:cNvPr id="1146" name="图片 8"/>
                          <pic:cNvPicPr/>
                        </pic:nvPicPr>
                        <pic:blipFill>
                          <a:blip r:embed="rId98" cstate="print"/>
                          <a:srcRect/>
                          <a:stretch>
                            <a:fillRect/>
                          </a:stretch>
                        </pic:blipFill>
                        <pic:spPr>
                          <a:xfrm>
                            <a:off x="0" y="0"/>
                            <a:ext cx="5935345" cy="8235315"/>
                          </a:xfrm>
                          <a:prstGeom prst="rect">
                            <a:avLst/>
                          </a:prstGeom>
                          <a:ln>
                            <a:noFill/>
                          </a:ln>
                        </pic:spPr>
                      </pic:pic>
                    </a:graphicData>
                  </a:graphic>
                </wp:inline>
              </w:drawing>
            </w:r>
          </w:p>
        </w:tc>
      </w:tr>
      <w:tr w14:paraId="5283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452717B">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980" cy="8308975"/>
                  <wp:effectExtent l="0" t="0" r="7620" b="15875"/>
                  <wp:docPr id="1147" name="图片 9"/>
                  <wp:cNvGraphicFramePr/>
                  <a:graphic xmlns:a="http://schemas.openxmlformats.org/drawingml/2006/main">
                    <a:graphicData uri="http://schemas.openxmlformats.org/drawingml/2006/picture">
                      <pic:pic xmlns:pic="http://schemas.openxmlformats.org/drawingml/2006/picture">
                        <pic:nvPicPr>
                          <pic:cNvPr id="1147" name="图片 9"/>
                          <pic:cNvPicPr/>
                        </pic:nvPicPr>
                        <pic:blipFill>
                          <a:blip r:embed="rId99" cstate="print"/>
                          <a:srcRect/>
                          <a:stretch>
                            <a:fillRect/>
                          </a:stretch>
                        </pic:blipFill>
                        <pic:spPr>
                          <a:xfrm>
                            <a:off x="0" y="0"/>
                            <a:ext cx="5935980" cy="8308975"/>
                          </a:xfrm>
                          <a:prstGeom prst="rect">
                            <a:avLst/>
                          </a:prstGeom>
                          <a:ln>
                            <a:noFill/>
                          </a:ln>
                        </pic:spPr>
                      </pic:pic>
                    </a:graphicData>
                  </a:graphic>
                </wp:inline>
              </w:drawing>
            </w:r>
          </w:p>
        </w:tc>
      </w:tr>
      <w:tr w14:paraId="7F50B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7513AE">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9790" cy="8326755"/>
                  <wp:effectExtent l="0" t="0" r="3810" b="17145"/>
                  <wp:docPr id="1148" name="图片 10"/>
                  <wp:cNvGraphicFramePr/>
                  <a:graphic xmlns:a="http://schemas.openxmlformats.org/drawingml/2006/main">
                    <a:graphicData uri="http://schemas.openxmlformats.org/drawingml/2006/picture">
                      <pic:pic xmlns:pic="http://schemas.openxmlformats.org/drawingml/2006/picture">
                        <pic:nvPicPr>
                          <pic:cNvPr id="1148" name="图片 10"/>
                          <pic:cNvPicPr/>
                        </pic:nvPicPr>
                        <pic:blipFill>
                          <a:blip r:embed="rId100" cstate="print"/>
                          <a:srcRect/>
                          <a:stretch>
                            <a:fillRect/>
                          </a:stretch>
                        </pic:blipFill>
                        <pic:spPr>
                          <a:xfrm>
                            <a:off x="0" y="0"/>
                            <a:ext cx="5939790" cy="8326755"/>
                          </a:xfrm>
                          <a:prstGeom prst="rect">
                            <a:avLst/>
                          </a:prstGeom>
                          <a:ln>
                            <a:noFill/>
                          </a:ln>
                        </pic:spPr>
                      </pic:pic>
                    </a:graphicData>
                  </a:graphic>
                </wp:inline>
              </w:drawing>
            </w:r>
          </w:p>
        </w:tc>
      </w:tr>
      <w:tr w14:paraId="0FB82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27EBE85">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7885" cy="8343900"/>
                  <wp:effectExtent l="0" t="0" r="5715" b="0"/>
                  <wp:docPr id="1149" name="图片 11"/>
                  <wp:cNvGraphicFramePr/>
                  <a:graphic xmlns:a="http://schemas.openxmlformats.org/drawingml/2006/main">
                    <a:graphicData uri="http://schemas.openxmlformats.org/drawingml/2006/picture">
                      <pic:pic xmlns:pic="http://schemas.openxmlformats.org/drawingml/2006/picture">
                        <pic:nvPicPr>
                          <pic:cNvPr id="1149" name="图片 11"/>
                          <pic:cNvPicPr/>
                        </pic:nvPicPr>
                        <pic:blipFill>
                          <a:blip r:embed="rId101" cstate="print"/>
                          <a:srcRect/>
                          <a:stretch>
                            <a:fillRect/>
                          </a:stretch>
                        </pic:blipFill>
                        <pic:spPr>
                          <a:xfrm>
                            <a:off x="0" y="0"/>
                            <a:ext cx="5937885" cy="8343900"/>
                          </a:xfrm>
                          <a:prstGeom prst="rect">
                            <a:avLst/>
                          </a:prstGeom>
                          <a:ln>
                            <a:noFill/>
                          </a:ln>
                        </pic:spPr>
                      </pic:pic>
                    </a:graphicData>
                  </a:graphic>
                </wp:inline>
              </w:drawing>
            </w:r>
          </w:p>
        </w:tc>
      </w:tr>
      <w:tr w14:paraId="1D904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534EC3A">
            <w:pPr>
              <w:pStyle w:val="57"/>
              <w:ind w:left="0" w:leftChars="0" w:firstLine="0" w:firstLineChars="0"/>
              <w:jc w:val="left"/>
              <w:rPr>
                <w:rFonts w:hint="default" w:eastAsia="宋体"/>
                <w:color w:val="auto"/>
                <w:lang w:val="en-US" w:eastAsia="zh-CN"/>
              </w:rPr>
            </w:pPr>
            <w:r>
              <w:rPr>
                <w:rFonts w:hint="eastAsia"/>
                <w:color w:val="auto"/>
                <w:sz w:val="21"/>
                <w:szCs w:val="21"/>
                <w:lang w:val="en-US" w:eastAsia="zh-CN"/>
              </w:rPr>
              <w:t>碳纤维预浸料</w:t>
            </w:r>
          </w:p>
        </w:tc>
      </w:tr>
      <w:tr w14:paraId="78D06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8287720">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860" cy="8014335"/>
                  <wp:effectExtent l="0" t="0" r="8890" b="5715"/>
                  <wp:docPr id="1150" name="图片 189" descr="科碳碳纤维预浸料--MSDS_页面_1"/>
                  <wp:cNvGraphicFramePr/>
                  <a:graphic xmlns:a="http://schemas.openxmlformats.org/drawingml/2006/main">
                    <a:graphicData uri="http://schemas.openxmlformats.org/drawingml/2006/picture">
                      <pic:pic xmlns:pic="http://schemas.openxmlformats.org/drawingml/2006/picture">
                        <pic:nvPicPr>
                          <pic:cNvPr id="1150" name="图片 189" descr="科碳碳纤维预浸料--MSDS_页面_1"/>
                          <pic:cNvPicPr/>
                        </pic:nvPicPr>
                        <pic:blipFill>
                          <a:blip r:embed="rId102" cstate="print"/>
                          <a:srcRect/>
                          <a:stretch>
                            <a:fillRect/>
                          </a:stretch>
                        </pic:blipFill>
                        <pic:spPr>
                          <a:xfrm>
                            <a:off x="0" y="0"/>
                            <a:ext cx="5610860" cy="8014335"/>
                          </a:xfrm>
                          <a:prstGeom prst="rect">
                            <a:avLst/>
                          </a:prstGeom>
                        </pic:spPr>
                      </pic:pic>
                    </a:graphicData>
                  </a:graphic>
                </wp:inline>
              </w:drawing>
            </w:r>
          </w:p>
        </w:tc>
      </w:tr>
      <w:tr w14:paraId="7FA00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2B5ED4">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970"/>
                  <wp:effectExtent l="0" t="0" r="9525" b="5080"/>
                  <wp:docPr id="1151" name="图片 190" descr="科碳碳纤维预浸料--MSDS_页面_2"/>
                  <wp:cNvGraphicFramePr/>
                  <a:graphic xmlns:a="http://schemas.openxmlformats.org/drawingml/2006/main">
                    <a:graphicData uri="http://schemas.openxmlformats.org/drawingml/2006/picture">
                      <pic:pic xmlns:pic="http://schemas.openxmlformats.org/drawingml/2006/picture">
                        <pic:nvPicPr>
                          <pic:cNvPr id="1151" name="图片 190" descr="科碳碳纤维预浸料--MSDS_页面_2"/>
                          <pic:cNvPicPr/>
                        </pic:nvPicPr>
                        <pic:blipFill>
                          <a:blip r:embed="rId103" cstate="print"/>
                          <a:srcRect/>
                          <a:stretch>
                            <a:fillRect/>
                          </a:stretch>
                        </pic:blipFill>
                        <pic:spPr>
                          <a:xfrm>
                            <a:off x="0" y="0"/>
                            <a:ext cx="5610225" cy="8014970"/>
                          </a:xfrm>
                          <a:prstGeom prst="rect">
                            <a:avLst/>
                          </a:prstGeom>
                        </pic:spPr>
                      </pic:pic>
                    </a:graphicData>
                  </a:graphic>
                </wp:inline>
              </w:drawing>
            </w:r>
          </w:p>
        </w:tc>
      </w:tr>
      <w:tr w14:paraId="60B28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F33FA8">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860" cy="8014970"/>
                  <wp:effectExtent l="0" t="0" r="8890" b="5080"/>
                  <wp:docPr id="1152" name="图片 191" descr="科碳碳纤维预浸料--MSDS_页面_3"/>
                  <wp:cNvGraphicFramePr/>
                  <a:graphic xmlns:a="http://schemas.openxmlformats.org/drawingml/2006/main">
                    <a:graphicData uri="http://schemas.openxmlformats.org/drawingml/2006/picture">
                      <pic:pic xmlns:pic="http://schemas.openxmlformats.org/drawingml/2006/picture">
                        <pic:nvPicPr>
                          <pic:cNvPr id="1152" name="图片 191" descr="科碳碳纤维预浸料--MSDS_页面_3"/>
                          <pic:cNvPicPr/>
                        </pic:nvPicPr>
                        <pic:blipFill>
                          <a:blip r:embed="rId104" cstate="print"/>
                          <a:srcRect/>
                          <a:stretch>
                            <a:fillRect/>
                          </a:stretch>
                        </pic:blipFill>
                        <pic:spPr>
                          <a:xfrm>
                            <a:off x="0" y="0"/>
                            <a:ext cx="5610860" cy="8014970"/>
                          </a:xfrm>
                          <a:prstGeom prst="rect">
                            <a:avLst/>
                          </a:prstGeom>
                        </pic:spPr>
                      </pic:pic>
                    </a:graphicData>
                  </a:graphic>
                </wp:inline>
              </w:drawing>
            </w:r>
          </w:p>
        </w:tc>
      </w:tr>
      <w:tr w14:paraId="2D3B0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F34D344">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335"/>
                  <wp:effectExtent l="0" t="0" r="9525" b="5715"/>
                  <wp:docPr id="1153" name="图片 192" descr="科碳碳纤维预浸料--MSDS_页面_4"/>
                  <wp:cNvGraphicFramePr/>
                  <a:graphic xmlns:a="http://schemas.openxmlformats.org/drawingml/2006/main">
                    <a:graphicData uri="http://schemas.openxmlformats.org/drawingml/2006/picture">
                      <pic:pic xmlns:pic="http://schemas.openxmlformats.org/drawingml/2006/picture">
                        <pic:nvPicPr>
                          <pic:cNvPr id="1153" name="图片 192" descr="科碳碳纤维预浸料--MSDS_页面_4"/>
                          <pic:cNvPicPr/>
                        </pic:nvPicPr>
                        <pic:blipFill>
                          <a:blip r:embed="rId105" cstate="print"/>
                          <a:srcRect/>
                          <a:stretch>
                            <a:fillRect/>
                          </a:stretch>
                        </pic:blipFill>
                        <pic:spPr>
                          <a:xfrm>
                            <a:off x="0" y="0"/>
                            <a:ext cx="5610225" cy="8014335"/>
                          </a:xfrm>
                          <a:prstGeom prst="rect">
                            <a:avLst/>
                          </a:prstGeom>
                        </pic:spPr>
                      </pic:pic>
                    </a:graphicData>
                  </a:graphic>
                </wp:inline>
              </w:drawing>
            </w:r>
          </w:p>
        </w:tc>
      </w:tr>
      <w:tr w14:paraId="5CB46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65" w:hRule="atLeast"/>
        </w:trPr>
        <w:tc>
          <w:tcPr>
            <w:tcW w:w="9059" w:type="dxa"/>
            <w:vAlign w:val="center"/>
          </w:tcPr>
          <w:p w14:paraId="1E7EFD5C">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970"/>
                  <wp:effectExtent l="0" t="0" r="9525" b="5080"/>
                  <wp:docPr id="1154" name="图片 193" descr="科碳碳纤维预浸料--MSDS_页面_5"/>
                  <wp:cNvGraphicFramePr/>
                  <a:graphic xmlns:a="http://schemas.openxmlformats.org/drawingml/2006/main">
                    <a:graphicData uri="http://schemas.openxmlformats.org/drawingml/2006/picture">
                      <pic:pic xmlns:pic="http://schemas.openxmlformats.org/drawingml/2006/picture">
                        <pic:nvPicPr>
                          <pic:cNvPr id="1154" name="图片 193" descr="科碳碳纤维预浸料--MSDS_页面_5"/>
                          <pic:cNvPicPr/>
                        </pic:nvPicPr>
                        <pic:blipFill>
                          <a:blip r:embed="rId106" cstate="print"/>
                          <a:srcRect/>
                          <a:stretch>
                            <a:fillRect/>
                          </a:stretch>
                        </pic:blipFill>
                        <pic:spPr>
                          <a:xfrm>
                            <a:off x="0" y="0"/>
                            <a:ext cx="5610225" cy="8014970"/>
                          </a:xfrm>
                          <a:prstGeom prst="rect">
                            <a:avLst/>
                          </a:prstGeom>
                        </pic:spPr>
                      </pic:pic>
                    </a:graphicData>
                  </a:graphic>
                </wp:inline>
              </w:drawing>
            </w:r>
          </w:p>
          <w:p w14:paraId="195ACB50">
            <w:pPr>
              <w:rPr>
                <w:rFonts w:hint="eastAsia"/>
                <w:lang w:eastAsia="zh-CN"/>
              </w:rPr>
            </w:pPr>
          </w:p>
        </w:tc>
      </w:tr>
      <w:tr w14:paraId="02C76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3D5B526">
            <w:pPr>
              <w:pStyle w:val="57"/>
              <w:pageBreakBefore w:val="0"/>
              <w:wordWrap w:val="0"/>
              <w:overflowPunct/>
              <w:bidi w:val="0"/>
              <w:ind w:left="0" w:leftChars="0" w:firstLine="0" w:firstLineChars="0"/>
              <w:jc w:val="left"/>
              <w:rPr>
                <w:rFonts w:hint="default" w:ascii="Times New Roman" w:hAnsi="Times New Roman" w:eastAsia="宋体" w:cs="Times New Roman"/>
                <w:color w:val="auto"/>
                <w:sz w:val="21"/>
                <w:szCs w:val="21"/>
                <w:highlight w:val="none"/>
                <w:vertAlign w:val="baseline"/>
                <w:lang w:val="en-US" w:eastAsia="zh-CN"/>
              </w:rPr>
            </w:pPr>
            <w:bookmarkStart w:id="151" w:name="_Toc5095"/>
            <w:bookmarkStart w:id="152" w:name="_Toc469"/>
            <w:r>
              <w:rPr>
                <w:rFonts w:hint="eastAsia" w:ascii="Times New Roman" w:cs="Times New Roman"/>
                <w:color w:val="auto"/>
                <w:sz w:val="21"/>
                <w:szCs w:val="21"/>
                <w:highlight w:val="none"/>
                <w:vertAlign w:val="baseline"/>
                <w:lang w:val="en-US" w:eastAsia="zh-CN"/>
              </w:rPr>
              <w:t>水性漆</w:t>
            </w:r>
          </w:p>
        </w:tc>
      </w:tr>
      <w:tr w14:paraId="352F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6EFDEA">
            <w:pPr>
              <w:pStyle w:val="57"/>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vertAlign w:val="baseline"/>
              </w:rPr>
            </w:pPr>
            <w:r>
              <w:rPr>
                <w:color w:val="auto"/>
                <w:highlight w:val="none"/>
              </w:rPr>
              <w:drawing>
                <wp:inline distT="0" distB="0" distL="0" distR="0">
                  <wp:extent cx="5612765" cy="7940675"/>
                  <wp:effectExtent l="0" t="0" r="6985" b="2540"/>
                  <wp:docPr id="1177" name="图片 1"/>
                  <wp:cNvGraphicFramePr/>
                  <a:graphic xmlns:a="http://schemas.openxmlformats.org/drawingml/2006/main">
                    <a:graphicData uri="http://schemas.openxmlformats.org/drawingml/2006/picture">
                      <pic:pic xmlns:pic="http://schemas.openxmlformats.org/drawingml/2006/picture">
                        <pic:nvPicPr>
                          <pic:cNvPr id="1177" name="图片 1"/>
                          <pic:cNvPicPr/>
                        </pic:nvPicPr>
                        <pic:blipFill>
                          <a:blip r:embed="rId107" cstate="print"/>
                          <a:srcRect/>
                          <a:stretch>
                            <a:fillRect/>
                          </a:stretch>
                        </pic:blipFill>
                        <pic:spPr>
                          <a:xfrm>
                            <a:off x="0" y="0"/>
                            <a:ext cx="5612765" cy="7941309"/>
                          </a:xfrm>
                          <a:prstGeom prst="rect">
                            <a:avLst/>
                          </a:prstGeom>
                          <a:ln>
                            <a:noFill/>
                          </a:ln>
                        </pic:spPr>
                      </pic:pic>
                    </a:graphicData>
                  </a:graphic>
                </wp:inline>
              </w:drawing>
            </w:r>
          </w:p>
        </w:tc>
      </w:tr>
      <w:tr w14:paraId="1FE41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42598D8">
            <w:pPr>
              <w:pStyle w:val="57"/>
              <w:pageBreakBefore w:val="0"/>
              <w:wordWrap w:val="0"/>
              <w:overflowPunct/>
              <w:bidi w:val="0"/>
              <w:ind w:left="0" w:leftChars="0" w:firstLine="0" w:firstLineChars="0"/>
              <w:jc w:val="center"/>
              <w:rPr>
                <w:color w:val="auto"/>
                <w:highlight w:val="none"/>
              </w:rPr>
            </w:pPr>
            <w:r>
              <w:rPr>
                <w:color w:val="auto"/>
                <w:highlight w:val="none"/>
              </w:rPr>
              <w:drawing>
                <wp:inline distT="0" distB="0" distL="0" distR="0">
                  <wp:extent cx="5610860" cy="8353425"/>
                  <wp:effectExtent l="0" t="0" r="8890" b="9525"/>
                  <wp:docPr id="1178" name="图片 12"/>
                  <wp:cNvGraphicFramePr/>
                  <a:graphic xmlns:a="http://schemas.openxmlformats.org/drawingml/2006/main">
                    <a:graphicData uri="http://schemas.openxmlformats.org/drawingml/2006/picture">
                      <pic:pic xmlns:pic="http://schemas.openxmlformats.org/drawingml/2006/picture">
                        <pic:nvPicPr>
                          <pic:cNvPr id="1178" name="图片 12"/>
                          <pic:cNvPicPr/>
                        </pic:nvPicPr>
                        <pic:blipFill>
                          <a:blip r:embed="rId108" cstate="print"/>
                          <a:srcRect/>
                          <a:stretch>
                            <a:fillRect/>
                          </a:stretch>
                        </pic:blipFill>
                        <pic:spPr>
                          <a:xfrm>
                            <a:off x="0" y="0"/>
                            <a:ext cx="5610860" cy="8353425"/>
                          </a:xfrm>
                          <a:prstGeom prst="rect">
                            <a:avLst/>
                          </a:prstGeom>
                          <a:ln>
                            <a:noFill/>
                          </a:ln>
                        </pic:spPr>
                      </pic:pic>
                    </a:graphicData>
                  </a:graphic>
                </wp:inline>
              </w:drawing>
            </w:r>
          </w:p>
        </w:tc>
      </w:tr>
      <w:tr w14:paraId="2E5D3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9059" w:type="dxa"/>
            <w:shd w:val="clear" w:color="auto" w:fill="auto"/>
            <w:vAlign w:val="center"/>
          </w:tcPr>
          <w:p w14:paraId="4C080F55">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油性漆-PU漆</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4" name="图片 74"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组合 1_页面_01"/>
                          <pic:cNvPicPr>
                            <a:picLocks noChangeAspect="1"/>
                          </pic:cNvPicPr>
                        </pic:nvPicPr>
                        <pic:blipFill>
                          <a:blip r:embed="rId109"/>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3" name="图片 73"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组合 1_页面_02"/>
                          <pic:cNvPicPr>
                            <a:picLocks noChangeAspect="1"/>
                          </pic:cNvPicPr>
                        </pic:nvPicPr>
                        <pic:blipFill>
                          <a:blip r:embed="rId110"/>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2" name="图片 72"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组合 1_页面_03"/>
                          <pic:cNvPicPr>
                            <a:picLocks noChangeAspect="1"/>
                          </pic:cNvPicPr>
                        </pic:nvPicPr>
                        <pic:blipFill>
                          <a:blip r:embed="rId111"/>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1" name="图片 71"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组合 1_页面_04"/>
                          <pic:cNvPicPr>
                            <a:picLocks noChangeAspect="1"/>
                          </pic:cNvPicPr>
                        </pic:nvPicPr>
                        <pic:blipFill>
                          <a:blip r:embed="rId112"/>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0" name="图片 70"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组合 1_页面_05"/>
                          <pic:cNvPicPr>
                            <a:picLocks noChangeAspect="1"/>
                          </pic:cNvPicPr>
                        </pic:nvPicPr>
                        <pic:blipFill>
                          <a:blip r:embed="rId113"/>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69" name="图片 69"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组合 1_页面_06"/>
                          <pic:cNvPicPr>
                            <a:picLocks noChangeAspect="1"/>
                          </pic:cNvPicPr>
                        </pic:nvPicPr>
                        <pic:blipFill>
                          <a:blip r:embed="rId114"/>
                          <a:stretch>
                            <a:fillRect/>
                          </a:stretch>
                        </pic:blipFill>
                        <pic:spPr>
                          <a:xfrm>
                            <a:off x="0" y="0"/>
                            <a:ext cx="5613400" cy="7936230"/>
                          </a:xfrm>
                          <a:prstGeom prst="rect">
                            <a:avLst/>
                          </a:prstGeom>
                        </pic:spPr>
                      </pic:pic>
                    </a:graphicData>
                  </a:graphic>
                </wp:inline>
              </w:drawing>
            </w:r>
          </w:p>
          <w:p w14:paraId="2D80FBD8">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46AA099D">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3FA99144">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59908133">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PU漆固化剂</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8" name="图片 68"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组合 1_页面_07"/>
                          <pic:cNvPicPr>
                            <a:picLocks noChangeAspect="1"/>
                          </pic:cNvPicPr>
                        </pic:nvPicPr>
                        <pic:blipFill>
                          <a:blip r:embed="rId115"/>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7" name="图片 67"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组合 1_页面_08"/>
                          <pic:cNvPicPr>
                            <a:picLocks noChangeAspect="1"/>
                          </pic:cNvPicPr>
                        </pic:nvPicPr>
                        <pic:blipFill>
                          <a:blip r:embed="rId116"/>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6" name="图片 66"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组合 1_页面_09"/>
                          <pic:cNvPicPr>
                            <a:picLocks noChangeAspect="1"/>
                          </pic:cNvPicPr>
                        </pic:nvPicPr>
                        <pic:blipFill>
                          <a:blip r:embed="rId117"/>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5" name="图片 65"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组合 1_页面_10"/>
                          <pic:cNvPicPr>
                            <a:picLocks noChangeAspect="1"/>
                          </pic:cNvPicPr>
                        </pic:nvPicPr>
                        <pic:blipFill>
                          <a:blip r:embed="rId118"/>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4" name="图片 64"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组合 1_页面_11"/>
                          <pic:cNvPicPr>
                            <a:picLocks noChangeAspect="1"/>
                          </pic:cNvPicPr>
                        </pic:nvPicPr>
                        <pic:blipFill>
                          <a:blip r:embed="rId119"/>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3" name="图片 63"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组合 1_页面_12"/>
                          <pic:cNvPicPr>
                            <a:picLocks noChangeAspect="1"/>
                          </pic:cNvPicPr>
                        </pic:nvPicPr>
                        <pic:blipFill>
                          <a:blip r:embed="rId120"/>
                          <a:stretch>
                            <a:fillRect/>
                          </a:stretch>
                        </pic:blipFill>
                        <pic:spPr>
                          <a:xfrm>
                            <a:off x="0" y="0"/>
                            <a:ext cx="5613400" cy="7934960"/>
                          </a:xfrm>
                          <a:prstGeom prst="rect">
                            <a:avLst/>
                          </a:prstGeom>
                        </pic:spPr>
                      </pic:pic>
                    </a:graphicData>
                  </a:graphic>
                </wp:inline>
              </w:drawing>
            </w:r>
          </w:p>
          <w:p w14:paraId="279B6060">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22789ED">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A536D91">
            <w:pPr>
              <w:rPr>
                <w:rFonts w:hint="eastAsia" w:ascii="Times New Roman" w:hAnsi="Times New Roman" w:eastAsia="宋体" w:cs="Times New Roman"/>
                <w:b/>
                <w:bCs/>
                <w:color w:val="auto"/>
                <w:kern w:val="2"/>
                <w:sz w:val="21"/>
                <w:szCs w:val="21"/>
                <w:highlight w:val="none"/>
                <w:vertAlign w:val="baseline"/>
                <w:lang w:val="en-US" w:eastAsia="zh-CN" w:bidi="ar-SA"/>
              </w:rPr>
            </w:pPr>
          </w:p>
          <w:p w14:paraId="6A024203">
            <w:pPr>
              <w:pStyle w:val="2"/>
              <w:rPr>
                <w:rFonts w:hint="default"/>
                <w:lang w:val="en-US" w:eastAsia="zh-CN"/>
              </w:rPr>
            </w:pPr>
            <w:r>
              <w:rPr>
                <w:rFonts w:hint="eastAsia" w:ascii="Times New Roman" w:cs="Times New Roman"/>
                <w:b/>
                <w:bCs/>
                <w:color w:val="auto"/>
                <w:kern w:val="2"/>
                <w:sz w:val="21"/>
                <w:szCs w:val="21"/>
                <w:highlight w:val="none"/>
                <w:vertAlign w:val="baseline"/>
                <w:lang w:val="en-US" w:eastAsia="zh-CN" w:bidi="ar-SA"/>
              </w:rPr>
              <w:t>PU漆稀释剂</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733665"/>
                  <wp:effectExtent l="0" t="0" r="6350" b="635"/>
                  <wp:docPr id="62" name="图片 62" descr="组合 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组合 1_页面_13"/>
                          <pic:cNvPicPr>
                            <a:picLocks noChangeAspect="1"/>
                          </pic:cNvPicPr>
                        </pic:nvPicPr>
                        <pic:blipFill>
                          <a:blip r:embed="rId121"/>
                          <a:stretch>
                            <a:fillRect/>
                          </a:stretch>
                        </pic:blipFill>
                        <pic:spPr>
                          <a:xfrm>
                            <a:off x="0" y="0"/>
                            <a:ext cx="5613400" cy="7733665"/>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1" name="图片 61" descr="组合 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组合 1_页面_14"/>
                          <pic:cNvPicPr>
                            <a:picLocks noChangeAspect="1"/>
                          </pic:cNvPicPr>
                        </pic:nvPicPr>
                        <pic:blipFill>
                          <a:blip r:embed="rId122"/>
                          <a:stretch>
                            <a:fillRect/>
                          </a:stretch>
                        </pic:blipFill>
                        <pic:spPr>
                          <a:xfrm>
                            <a:off x="0" y="0"/>
                            <a:ext cx="5613400" cy="7934960"/>
                          </a:xfrm>
                          <a:prstGeom prst="rect">
                            <a:avLst/>
                          </a:prstGeom>
                        </pic:spPr>
                      </pic:pic>
                    </a:graphicData>
                  </a:graphic>
                </wp:inline>
              </w:drawing>
            </w:r>
          </w:p>
          <w:p w14:paraId="37C22201">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0" name="图片 60" descr="组合 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组合 1_页面_15"/>
                          <pic:cNvPicPr>
                            <a:picLocks noChangeAspect="1"/>
                          </pic:cNvPicPr>
                        </pic:nvPicPr>
                        <pic:blipFill>
                          <a:blip r:embed="rId123"/>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59" name="图片 59" descr="组合 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组合 1_页面_16"/>
                          <pic:cNvPicPr>
                            <a:picLocks noChangeAspect="1"/>
                          </pic:cNvPicPr>
                        </pic:nvPicPr>
                        <pic:blipFill>
                          <a:blip r:embed="rId124"/>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58" name="图片 58" descr="组合 1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组合 1_页面_17"/>
                          <pic:cNvPicPr>
                            <a:picLocks noChangeAspect="1"/>
                          </pic:cNvPicPr>
                        </pic:nvPicPr>
                        <pic:blipFill>
                          <a:blip r:embed="rId125"/>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8279765"/>
                  <wp:effectExtent l="0" t="0" r="6350" b="6985"/>
                  <wp:docPr id="57" name="图片 57" descr="组合 1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组合 1_页面_18"/>
                          <pic:cNvPicPr>
                            <a:picLocks noChangeAspect="1"/>
                          </pic:cNvPicPr>
                        </pic:nvPicPr>
                        <pic:blipFill>
                          <a:blip r:embed="rId126"/>
                          <a:stretch>
                            <a:fillRect/>
                          </a:stretch>
                        </pic:blipFill>
                        <pic:spPr>
                          <a:xfrm>
                            <a:off x="0" y="0"/>
                            <a:ext cx="5613400" cy="8279765"/>
                          </a:xfrm>
                          <a:prstGeom prst="rect">
                            <a:avLst/>
                          </a:prstGeom>
                        </pic:spPr>
                      </pic:pic>
                    </a:graphicData>
                  </a:graphic>
                </wp:inline>
              </w:drawing>
            </w:r>
          </w:p>
          <w:p w14:paraId="4A63E5CE">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2E0A472">
            <w:pPr>
              <w:pStyle w:val="57"/>
              <w:pageBreakBefore w:val="0"/>
              <w:wordWrap w:val="0"/>
              <w:overflowPunct/>
              <w:bidi w:val="0"/>
              <w:ind w:left="0" w:leftChars="0" w:firstLine="0" w:firstLineChars="0"/>
              <w:jc w:val="left"/>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喷枪清洗剂</w:t>
            </w:r>
          </w:p>
          <w:p w14:paraId="7F822C7C">
            <w:pPr>
              <w:pStyle w:val="57"/>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09590" cy="7943215"/>
                  <wp:effectExtent l="0" t="0" r="10160" b="635"/>
                  <wp:docPr id="1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5"/>
                          <pic:cNvPicPr>
                            <a:picLocks noChangeAspect="1"/>
                          </pic:cNvPicPr>
                        </pic:nvPicPr>
                        <pic:blipFill>
                          <a:blip r:embed="rId127"/>
                          <a:stretch>
                            <a:fillRect/>
                          </a:stretch>
                        </pic:blipFill>
                        <pic:spPr>
                          <a:xfrm>
                            <a:off x="0" y="0"/>
                            <a:ext cx="5609590" cy="7943215"/>
                          </a:xfrm>
                          <a:prstGeom prst="rect">
                            <a:avLst/>
                          </a:prstGeom>
                          <a:noFill/>
                          <a:ln>
                            <a:noFill/>
                          </a:ln>
                        </pic:spPr>
                      </pic:pic>
                    </a:graphicData>
                  </a:graphic>
                </wp:inline>
              </w:drawing>
            </w:r>
            <w:r>
              <w:rPr>
                <w:color w:val="auto"/>
                <w:highlight w:val="none"/>
              </w:rPr>
              <w:drawing>
                <wp:inline distT="0" distB="0" distL="114300" distR="114300">
                  <wp:extent cx="5612130" cy="8001000"/>
                  <wp:effectExtent l="0" t="0" r="7620" b="0"/>
                  <wp:docPr id="1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
                          <pic:cNvPicPr>
                            <a:picLocks noChangeAspect="1"/>
                          </pic:cNvPicPr>
                        </pic:nvPicPr>
                        <pic:blipFill>
                          <a:blip r:embed="rId128"/>
                          <a:stretch>
                            <a:fillRect/>
                          </a:stretch>
                        </pic:blipFill>
                        <pic:spPr>
                          <a:xfrm>
                            <a:off x="0" y="0"/>
                            <a:ext cx="5612130" cy="8001000"/>
                          </a:xfrm>
                          <a:prstGeom prst="rect">
                            <a:avLst/>
                          </a:prstGeom>
                          <a:noFill/>
                          <a:ln>
                            <a:noFill/>
                          </a:ln>
                        </pic:spPr>
                      </pic:pic>
                    </a:graphicData>
                  </a:graphic>
                </wp:inline>
              </w:drawing>
            </w:r>
          </w:p>
          <w:p w14:paraId="4A8FD3D9">
            <w:pPr>
              <w:rPr>
                <w:color w:val="auto"/>
                <w:highlight w:val="none"/>
              </w:rPr>
            </w:pPr>
            <w:r>
              <w:rPr>
                <w:color w:val="auto"/>
                <w:highlight w:val="none"/>
              </w:rPr>
              <w:drawing>
                <wp:inline distT="0" distB="0" distL="114300" distR="114300">
                  <wp:extent cx="5612765" cy="7944485"/>
                  <wp:effectExtent l="0" t="0" r="6985" b="18415"/>
                  <wp:docPr id="1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
                          <pic:cNvPicPr>
                            <a:picLocks noChangeAspect="1"/>
                          </pic:cNvPicPr>
                        </pic:nvPicPr>
                        <pic:blipFill>
                          <a:blip r:embed="rId129"/>
                          <a:stretch>
                            <a:fillRect/>
                          </a:stretch>
                        </pic:blipFill>
                        <pic:spPr>
                          <a:xfrm>
                            <a:off x="0" y="0"/>
                            <a:ext cx="5612765" cy="7944485"/>
                          </a:xfrm>
                          <a:prstGeom prst="rect">
                            <a:avLst/>
                          </a:prstGeom>
                          <a:noFill/>
                          <a:ln>
                            <a:noFill/>
                          </a:ln>
                        </pic:spPr>
                      </pic:pic>
                    </a:graphicData>
                  </a:graphic>
                </wp:inline>
              </w:drawing>
            </w:r>
          </w:p>
          <w:p w14:paraId="298D5670">
            <w:pPr>
              <w:pStyle w:val="2"/>
              <w:rPr>
                <w:rFonts w:hint="eastAsia"/>
                <w:lang w:val="en-US" w:eastAsia="zh-CN"/>
              </w:rPr>
            </w:pPr>
            <w:r>
              <w:rPr>
                <w:color w:val="auto"/>
                <w:highlight w:val="none"/>
              </w:rPr>
              <w:drawing>
                <wp:inline distT="0" distB="0" distL="114300" distR="114300">
                  <wp:extent cx="5609590" cy="7943215"/>
                  <wp:effectExtent l="0" t="0" r="10160" b="635"/>
                  <wp:docPr id="1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
                          <pic:cNvPicPr>
                            <a:picLocks noChangeAspect="1"/>
                          </pic:cNvPicPr>
                        </pic:nvPicPr>
                        <pic:blipFill>
                          <a:blip r:embed="rId130"/>
                          <a:stretch>
                            <a:fillRect/>
                          </a:stretch>
                        </pic:blipFill>
                        <pic:spPr>
                          <a:xfrm>
                            <a:off x="0" y="0"/>
                            <a:ext cx="5609590" cy="7943215"/>
                          </a:xfrm>
                          <a:prstGeom prst="rect">
                            <a:avLst/>
                          </a:prstGeom>
                          <a:noFill/>
                          <a:ln>
                            <a:noFill/>
                          </a:ln>
                        </pic:spPr>
                      </pic:pic>
                    </a:graphicData>
                  </a:graphic>
                </wp:inline>
              </w:drawing>
            </w:r>
            <w:r>
              <w:rPr>
                <w:color w:val="auto"/>
                <w:highlight w:val="none"/>
              </w:rPr>
              <w:drawing>
                <wp:inline distT="0" distB="0" distL="114300" distR="114300">
                  <wp:extent cx="5612765" cy="7953375"/>
                  <wp:effectExtent l="0" t="0" r="6985" b="9525"/>
                  <wp:docPr id="2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
                          <pic:cNvPicPr>
                            <a:picLocks noChangeAspect="1"/>
                          </pic:cNvPicPr>
                        </pic:nvPicPr>
                        <pic:blipFill>
                          <a:blip r:embed="rId131"/>
                          <a:stretch>
                            <a:fillRect/>
                          </a:stretch>
                        </pic:blipFill>
                        <pic:spPr>
                          <a:xfrm>
                            <a:off x="0" y="0"/>
                            <a:ext cx="5612765" cy="7953375"/>
                          </a:xfrm>
                          <a:prstGeom prst="rect">
                            <a:avLst/>
                          </a:prstGeom>
                          <a:noFill/>
                          <a:ln>
                            <a:noFill/>
                          </a:ln>
                        </pic:spPr>
                      </pic:pic>
                    </a:graphicData>
                  </a:graphic>
                </wp:inline>
              </w:drawing>
            </w:r>
          </w:p>
          <w:p w14:paraId="0ECEF3CB">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14035" cy="7973060"/>
                  <wp:effectExtent l="0" t="0" r="5715" b="8890"/>
                  <wp:docPr id="2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
                          <pic:cNvPicPr>
                            <a:picLocks noChangeAspect="1"/>
                          </pic:cNvPicPr>
                        </pic:nvPicPr>
                        <pic:blipFill>
                          <a:blip r:embed="rId132"/>
                          <a:stretch>
                            <a:fillRect/>
                          </a:stretch>
                        </pic:blipFill>
                        <pic:spPr>
                          <a:xfrm>
                            <a:off x="0" y="0"/>
                            <a:ext cx="5614035" cy="7973060"/>
                          </a:xfrm>
                          <a:prstGeom prst="rect">
                            <a:avLst/>
                          </a:prstGeom>
                          <a:noFill/>
                          <a:ln>
                            <a:noFill/>
                          </a:ln>
                        </pic:spPr>
                      </pic:pic>
                    </a:graphicData>
                  </a:graphic>
                </wp:inline>
              </w:drawing>
            </w:r>
          </w:p>
          <w:p w14:paraId="3C7DD230">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08320" cy="7944485"/>
                  <wp:effectExtent l="0" t="0" r="11430" b="18415"/>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33"/>
                          <a:stretch>
                            <a:fillRect/>
                          </a:stretch>
                        </pic:blipFill>
                        <pic:spPr>
                          <a:xfrm>
                            <a:off x="0" y="0"/>
                            <a:ext cx="5608320" cy="7944485"/>
                          </a:xfrm>
                          <a:prstGeom prst="rect">
                            <a:avLst/>
                          </a:prstGeom>
                          <a:noFill/>
                          <a:ln>
                            <a:noFill/>
                          </a:ln>
                        </pic:spPr>
                      </pic:pic>
                    </a:graphicData>
                  </a:graphic>
                </wp:inline>
              </w:drawing>
            </w:r>
          </w:p>
          <w:p w14:paraId="5D06AA7C">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09590" cy="7938770"/>
                  <wp:effectExtent l="0" t="0" r="10160" b="5080"/>
                  <wp:docPr id="2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2"/>
                          <pic:cNvPicPr>
                            <a:picLocks noChangeAspect="1"/>
                          </pic:cNvPicPr>
                        </pic:nvPicPr>
                        <pic:blipFill>
                          <a:blip r:embed="rId134"/>
                          <a:stretch>
                            <a:fillRect/>
                          </a:stretch>
                        </pic:blipFill>
                        <pic:spPr>
                          <a:xfrm>
                            <a:off x="0" y="0"/>
                            <a:ext cx="5609590" cy="7938770"/>
                          </a:xfrm>
                          <a:prstGeom prst="rect">
                            <a:avLst/>
                          </a:prstGeom>
                          <a:noFill/>
                          <a:ln>
                            <a:noFill/>
                          </a:ln>
                        </pic:spPr>
                      </pic:pic>
                    </a:graphicData>
                  </a:graphic>
                </wp:inline>
              </w:drawing>
            </w:r>
          </w:p>
          <w:p w14:paraId="5C60F7E1">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22E40DB1">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720F30A6">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2EB1E88C">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油性漆VOCs含量检测报告</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6" name="图片 56" descr="组合 1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组合 1_页面_19"/>
                          <pic:cNvPicPr>
                            <a:picLocks noChangeAspect="1"/>
                          </pic:cNvPicPr>
                        </pic:nvPicPr>
                        <pic:blipFill>
                          <a:blip r:embed="rId135"/>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5" name="图片 55" descr="组合 1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组合 1_页面_20"/>
                          <pic:cNvPicPr>
                            <a:picLocks noChangeAspect="1"/>
                          </pic:cNvPicPr>
                        </pic:nvPicPr>
                        <pic:blipFill>
                          <a:blip r:embed="rId136"/>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4" name="图片 54" descr="组合 1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组合 1_页面_21"/>
                          <pic:cNvPicPr>
                            <a:picLocks noChangeAspect="1"/>
                          </pic:cNvPicPr>
                        </pic:nvPicPr>
                        <pic:blipFill>
                          <a:blip r:embed="rId137"/>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3690"/>
                  <wp:effectExtent l="0" t="0" r="8890" b="10160"/>
                  <wp:docPr id="53" name="图片 53" descr="组合 1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组合 1_页面_22"/>
                          <pic:cNvPicPr>
                            <a:picLocks noChangeAspect="1"/>
                          </pic:cNvPicPr>
                        </pic:nvPicPr>
                        <pic:blipFill>
                          <a:blip r:embed="rId138"/>
                          <a:stretch>
                            <a:fillRect/>
                          </a:stretch>
                        </pic:blipFill>
                        <pic:spPr>
                          <a:xfrm>
                            <a:off x="0" y="0"/>
                            <a:ext cx="5610860" cy="793369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8378190"/>
                  <wp:effectExtent l="0" t="0" r="8890" b="3810"/>
                  <wp:docPr id="52" name="图片 52" descr="组合 1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组合 1_页面_23"/>
                          <pic:cNvPicPr>
                            <a:picLocks noChangeAspect="1"/>
                          </pic:cNvPicPr>
                        </pic:nvPicPr>
                        <pic:blipFill>
                          <a:blip r:embed="rId139"/>
                          <a:stretch>
                            <a:fillRect/>
                          </a:stretch>
                        </pic:blipFill>
                        <pic:spPr>
                          <a:xfrm>
                            <a:off x="0" y="0"/>
                            <a:ext cx="5610860" cy="8378190"/>
                          </a:xfrm>
                          <a:prstGeom prst="rect">
                            <a:avLst/>
                          </a:prstGeom>
                        </pic:spPr>
                      </pic:pic>
                    </a:graphicData>
                  </a:graphic>
                </wp:inline>
              </w:drawing>
            </w:r>
          </w:p>
        </w:tc>
      </w:tr>
      <w:tr w14:paraId="60996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4BE886CC">
            <w:pPr>
              <w:pStyle w:val="57"/>
              <w:pageBreakBefore w:val="0"/>
              <w:wordWrap w:val="0"/>
              <w:overflowPunct/>
              <w:bidi w:val="0"/>
              <w:ind w:left="0" w:leftChars="0" w:firstLine="0" w:firstLineChars="0"/>
              <w:jc w:val="left"/>
              <w:rPr>
                <w:rFonts w:hint="default" w:ascii="Times New Roman" w:hAnsi="Times New Roman" w:eastAsia="宋体" w:cs="Times New Roman"/>
                <w:b/>
                <w:bCs/>
                <w:color w:val="auto"/>
                <w:kern w:val="2"/>
                <w:sz w:val="21"/>
                <w:szCs w:val="21"/>
                <w:highlight w:val="none"/>
                <w:vertAlign w:val="baseline"/>
                <w:lang w:val="en-US" w:eastAsia="zh-CN" w:bidi="ar-SA"/>
              </w:rPr>
            </w:pPr>
            <w:bookmarkStart w:id="153" w:name="page1"/>
            <w:bookmarkEnd w:id="153"/>
            <w:r>
              <w:rPr>
                <w:rFonts w:hint="eastAsia" w:ascii="Times New Roman" w:cs="Times New Roman"/>
                <w:color w:val="auto"/>
                <w:sz w:val="21"/>
                <w:szCs w:val="21"/>
                <w:highlight w:val="none"/>
                <w:vertAlign w:val="baseline"/>
                <w:lang w:val="en-US" w:eastAsia="zh-CN"/>
              </w:rPr>
              <w:t>水性漆VOCs含量检测报告</w:t>
            </w:r>
          </w:p>
        </w:tc>
      </w:tr>
      <w:tr w14:paraId="435E7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721E8AC6">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23915" cy="7861300"/>
                  <wp:effectExtent l="0" t="0" r="635" b="6350"/>
                  <wp:docPr id="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4"/>
                          <pic:cNvPicPr>
                            <a:picLocks noChangeAspect="1"/>
                          </pic:cNvPicPr>
                        </pic:nvPicPr>
                        <pic:blipFill>
                          <a:blip r:embed="rId140"/>
                          <a:stretch>
                            <a:fillRect/>
                          </a:stretch>
                        </pic:blipFill>
                        <pic:spPr>
                          <a:xfrm>
                            <a:off x="0" y="0"/>
                            <a:ext cx="5923915" cy="7861300"/>
                          </a:xfrm>
                          <a:prstGeom prst="rect">
                            <a:avLst/>
                          </a:prstGeom>
                          <a:noFill/>
                          <a:ln>
                            <a:noFill/>
                          </a:ln>
                        </pic:spPr>
                      </pic:pic>
                    </a:graphicData>
                  </a:graphic>
                </wp:inline>
              </w:drawing>
            </w:r>
          </w:p>
        </w:tc>
      </w:tr>
      <w:tr w14:paraId="502F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07151015">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0265" cy="8238490"/>
                  <wp:effectExtent l="0" t="0" r="13335" b="10160"/>
                  <wp:docPr id="2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
                          <pic:cNvPicPr>
                            <a:picLocks noChangeAspect="1"/>
                          </pic:cNvPicPr>
                        </pic:nvPicPr>
                        <pic:blipFill>
                          <a:blip r:embed="rId141"/>
                          <a:stretch>
                            <a:fillRect/>
                          </a:stretch>
                        </pic:blipFill>
                        <pic:spPr>
                          <a:xfrm>
                            <a:off x="0" y="0"/>
                            <a:ext cx="5930265" cy="8238490"/>
                          </a:xfrm>
                          <a:prstGeom prst="rect">
                            <a:avLst/>
                          </a:prstGeom>
                          <a:noFill/>
                          <a:ln>
                            <a:noFill/>
                          </a:ln>
                        </pic:spPr>
                      </pic:pic>
                    </a:graphicData>
                  </a:graphic>
                </wp:inline>
              </w:drawing>
            </w:r>
          </w:p>
        </w:tc>
      </w:tr>
      <w:tr w14:paraId="329F3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6FE4321F">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3440" cy="8313420"/>
                  <wp:effectExtent l="0" t="0" r="10160" b="11430"/>
                  <wp:docPr id="2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6"/>
                          <pic:cNvPicPr>
                            <a:picLocks noChangeAspect="1"/>
                          </pic:cNvPicPr>
                        </pic:nvPicPr>
                        <pic:blipFill>
                          <a:blip r:embed="rId142"/>
                          <a:stretch>
                            <a:fillRect/>
                          </a:stretch>
                        </pic:blipFill>
                        <pic:spPr>
                          <a:xfrm>
                            <a:off x="0" y="0"/>
                            <a:ext cx="5933440" cy="8313420"/>
                          </a:xfrm>
                          <a:prstGeom prst="rect">
                            <a:avLst/>
                          </a:prstGeom>
                          <a:noFill/>
                          <a:ln>
                            <a:noFill/>
                          </a:ln>
                        </pic:spPr>
                      </pic:pic>
                    </a:graphicData>
                  </a:graphic>
                </wp:inline>
              </w:drawing>
            </w:r>
          </w:p>
        </w:tc>
      </w:tr>
      <w:tr w14:paraId="5A91E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1763BFA3">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9155" cy="8092440"/>
                  <wp:effectExtent l="0" t="0" r="4445" b="3810"/>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pic:cNvPicPr>
                            <a:picLocks noChangeAspect="1"/>
                          </pic:cNvPicPr>
                        </pic:nvPicPr>
                        <pic:blipFill>
                          <a:blip r:embed="rId143"/>
                          <a:stretch>
                            <a:fillRect/>
                          </a:stretch>
                        </pic:blipFill>
                        <pic:spPr>
                          <a:xfrm>
                            <a:off x="0" y="0"/>
                            <a:ext cx="5939155" cy="8092440"/>
                          </a:xfrm>
                          <a:prstGeom prst="rect">
                            <a:avLst/>
                          </a:prstGeom>
                          <a:noFill/>
                          <a:ln>
                            <a:noFill/>
                          </a:ln>
                        </pic:spPr>
                      </pic:pic>
                    </a:graphicData>
                  </a:graphic>
                </wp:inline>
              </w:drawing>
            </w:r>
          </w:p>
        </w:tc>
      </w:tr>
    </w:tbl>
    <w:p w14:paraId="3B3F2FFE">
      <w:pPr>
        <w:widowControl w:val="0"/>
        <w:kinsoku w:val="0"/>
        <w:wordWrap w:val="0"/>
        <w:topLinePunct/>
        <w:spacing w:line="360" w:lineRule="auto"/>
        <w:ind w:firstLine="0" w:firstLineChars="0"/>
        <w:jc w:val="both"/>
        <w:rPr>
          <w:rFonts w:hint="default" w:ascii="Times New Roman" w:hAnsi="Times New Roman" w:eastAsia="宋体" w:cs="Times New Roman"/>
          <w:b/>
          <w:bCs/>
          <w:color w:val="auto"/>
          <w:kern w:val="2"/>
          <w:sz w:val="44"/>
          <w:szCs w:val="44"/>
          <w:lang w:val="en-US" w:eastAsia="zh-CN" w:bidi="ar-SA"/>
        </w:rPr>
      </w:pPr>
    </w:p>
    <w:p w14:paraId="0C83BDE9">
      <w:pPr>
        <w:widowControl w:val="0"/>
        <w:kinsoku w:val="0"/>
        <w:wordWrap w:val="0"/>
        <w:topLinePunct/>
        <w:spacing w:line="240" w:lineRule="auto"/>
        <w:ind w:firstLine="0" w:firstLineChars="0"/>
        <w:jc w:val="both"/>
        <w:rPr>
          <w:rFonts w:hint="default" w:ascii="Times New Roman" w:hAnsi="Times New Roman" w:eastAsia="宋体" w:cs="Times New Roman"/>
          <w:b/>
          <w:bCs/>
          <w:color w:val="auto"/>
          <w:kern w:val="2"/>
          <w:sz w:val="44"/>
          <w:szCs w:val="44"/>
          <w:lang w:val="en-US" w:eastAsia="zh-CN" w:bidi="ar-SA"/>
        </w:rPr>
        <w:sectPr>
          <w:pgSz w:w="11905" w:h="16838"/>
          <w:pgMar w:top="1701" w:right="1531" w:bottom="1701" w:left="1531" w:header="850" w:footer="1077" w:gutter="0"/>
          <w:pgNumType w:fmt="decimal"/>
          <w:cols w:space="0" w:num="1"/>
          <w:docGrid w:linePitch="312" w:charSpace="0"/>
        </w:sectPr>
      </w:pPr>
    </w:p>
    <w:p w14:paraId="796A0AE3">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54" w:name="_Toc25646"/>
      <w:r>
        <w:rPr>
          <w:rFonts w:hint="eastAsia" w:cs="Times New Roman"/>
          <w:b/>
          <w:bCs/>
          <w:color w:val="auto"/>
          <w:sz w:val="24"/>
          <w:szCs w:val="24"/>
          <w:lang w:val="en-US" w:eastAsia="zh-CN"/>
        </w:rPr>
        <w:t>韶关豪立再生资源利用有限公司验收检测报告</w:t>
      </w:r>
      <w:bookmarkEnd w:id="154"/>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6EF85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5474EE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225" cy="7893685"/>
                  <wp:effectExtent l="0" t="0" r="3175" b="8255"/>
                  <wp:docPr id="1179" name="图片 1"/>
                  <wp:cNvGraphicFramePr/>
                  <a:graphic xmlns:a="http://schemas.openxmlformats.org/drawingml/2006/main">
                    <a:graphicData uri="http://schemas.openxmlformats.org/drawingml/2006/picture">
                      <pic:pic xmlns:pic="http://schemas.openxmlformats.org/drawingml/2006/picture">
                        <pic:nvPicPr>
                          <pic:cNvPr id="1179" name="图片 1"/>
                          <pic:cNvPicPr/>
                        </pic:nvPicPr>
                        <pic:blipFill>
                          <a:blip r:embed="rId144" cstate="print"/>
                          <a:srcRect/>
                          <a:stretch>
                            <a:fillRect/>
                          </a:stretch>
                        </pic:blipFill>
                        <pic:spPr>
                          <a:xfrm>
                            <a:off x="0" y="0"/>
                            <a:ext cx="5610225" cy="7893685"/>
                          </a:xfrm>
                          <a:prstGeom prst="rect">
                            <a:avLst/>
                          </a:prstGeom>
                          <a:ln>
                            <a:noFill/>
                          </a:ln>
                        </pic:spPr>
                      </pic:pic>
                    </a:graphicData>
                  </a:graphic>
                </wp:inline>
              </w:drawing>
            </w:r>
          </w:p>
        </w:tc>
      </w:tr>
      <w:tr w14:paraId="01C7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515AC6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24800"/>
                  <wp:effectExtent l="0" t="0" r="6985" b="9525"/>
                  <wp:docPr id="1180" name="图片 2"/>
                  <wp:cNvGraphicFramePr/>
                  <a:graphic xmlns:a="http://schemas.openxmlformats.org/drawingml/2006/main">
                    <a:graphicData uri="http://schemas.openxmlformats.org/drawingml/2006/picture">
                      <pic:pic xmlns:pic="http://schemas.openxmlformats.org/drawingml/2006/picture">
                        <pic:nvPicPr>
                          <pic:cNvPr id="1180" name="图片 2"/>
                          <pic:cNvPicPr/>
                        </pic:nvPicPr>
                        <pic:blipFill>
                          <a:blip r:embed="rId145" cstate="print"/>
                          <a:srcRect/>
                          <a:stretch>
                            <a:fillRect/>
                          </a:stretch>
                        </pic:blipFill>
                        <pic:spPr>
                          <a:xfrm>
                            <a:off x="0" y="0"/>
                            <a:ext cx="5606415" cy="7924800"/>
                          </a:xfrm>
                          <a:prstGeom prst="rect">
                            <a:avLst/>
                          </a:prstGeom>
                          <a:ln>
                            <a:noFill/>
                          </a:ln>
                        </pic:spPr>
                      </pic:pic>
                    </a:graphicData>
                  </a:graphic>
                </wp:inline>
              </w:drawing>
            </w:r>
          </w:p>
        </w:tc>
      </w:tr>
      <w:tr w14:paraId="4A2C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E37254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594985" cy="7930515"/>
                  <wp:effectExtent l="0" t="0" r="7620" b="3810"/>
                  <wp:docPr id="1181" name="图片 3"/>
                  <wp:cNvGraphicFramePr/>
                  <a:graphic xmlns:a="http://schemas.openxmlformats.org/drawingml/2006/main">
                    <a:graphicData uri="http://schemas.openxmlformats.org/drawingml/2006/picture">
                      <pic:pic xmlns:pic="http://schemas.openxmlformats.org/drawingml/2006/picture">
                        <pic:nvPicPr>
                          <pic:cNvPr id="1181" name="图片 3"/>
                          <pic:cNvPicPr/>
                        </pic:nvPicPr>
                        <pic:blipFill>
                          <a:blip r:embed="rId146" cstate="print"/>
                          <a:srcRect/>
                          <a:stretch>
                            <a:fillRect/>
                          </a:stretch>
                        </pic:blipFill>
                        <pic:spPr>
                          <a:xfrm>
                            <a:off x="0" y="0"/>
                            <a:ext cx="5594985" cy="7930515"/>
                          </a:xfrm>
                          <a:prstGeom prst="rect">
                            <a:avLst/>
                          </a:prstGeom>
                          <a:ln>
                            <a:noFill/>
                          </a:ln>
                        </pic:spPr>
                      </pic:pic>
                    </a:graphicData>
                  </a:graphic>
                </wp:inline>
              </w:drawing>
            </w:r>
          </w:p>
        </w:tc>
      </w:tr>
      <w:tr w14:paraId="61A6F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2881F4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1495" cy="7940675"/>
                  <wp:effectExtent l="0" t="0" r="1905" b="3810"/>
                  <wp:docPr id="1182" name="图片 4"/>
                  <wp:cNvGraphicFramePr/>
                  <a:graphic xmlns:a="http://schemas.openxmlformats.org/drawingml/2006/main">
                    <a:graphicData uri="http://schemas.openxmlformats.org/drawingml/2006/picture">
                      <pic:pic xmlns:pic="http://schemas.openxmlformats.org/drawingml/2006/picture">
                        <pic:nvPicPr>
                          <pic:cNvPr id="1182" name="图片 4"/>
                          <pic:cNvPicPr/>
                        </pic:nvPicPr>
                        <pic:blipFill>
                          <a:blip r:embed="rId147" cstate="print"/>
                          <a:srcRect/>
                          <a:stretch>
                            <a:fillRect/>
                          </a:stretch>
                        </pic:blipFill>
                        <pic:spPr>
                          <a:xfrm>
                            <a:off x="0" y="0"/>
                            <a:ext cx="5611495" cy="7941309"/>
                          </a:xfrm>
                          <a:prstGeom prst="rect">
                            <a:avLst/>
                          </a:prstGeom>
                          <a:ln>
                            <a:noFill/>
                          </a:ln>
                        </pic:spPr>
                      </pic:pic>
                    </a:graphicData>
                  </a:graphic>
                </wp:inline>
              </w:drawing>
            </w:r>
          </w:p>
        </w:tc>
      </w:tr>
      <w:tr w14:paraId="3B208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226F49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01305"/>
                  <wp:effectExtent l="0" t="0" r="2540" b="635"/>
                  <wp:docPr id="1183" name="图片 5"/>
                  <wp:cNvGraphicFramePr/>
                  <a:graphic xmlns:a="http://schemas.openxmlformats.org/drawingml/2006/main">
                    <a:graphicData uri="http://schemas.openxmlformats.org/drawingml/2006/picture">
                      <pic:pic xmlns:pic="http://schemas.openxmlformats.org/drawingml/2006/picture">
                        <pic:nvPicPr>
                          <pic:cNvPr id="1183" name="图片 5"/>
                          <pic:cNvPicPr/>
                        </pic:nvPicPr>
                        <pic:blipFill>
                          <a:blip r:embed="rId148" cstate="print"/>
                          <a:srcRect/>
                          <a:stretch>
                            <a:fillRect/>
                          </a:stretch>
                        </pic:blipFill>
                        <pic:spPr>
                          <a:xfrm>
                            <a:off x="0" y="0"/>
                            <a:ext cx="5610860" cy="7901305"/>
                          </a:xfrm>
                          <a:prstGeom prst="rect">
                            <a:avLst/>
                          </a:prstGeom>
                          <a:ln>
                            <a:noFill/>
                          </a:ln>
                        </pic:spPr>
                      </pic:pic>
                    </a:graphicData>
                  </a:graphic>
                </wp:inline>
              </w:drawing>
            </w:r>
          </w:p>
        </w:tc>
      </w:tr>
      <w:tr w14:paraId="415B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0AFEDC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594985" cy="7946390"/>
                  <wp:effectExtent l="0" t="0" r="7620" b="9525"/>
                  <wp:docPr id="1184" name="图片 6"/>
                  <wp:cNvGraphicFramePr/>
                  <a:graphic xmlns:a="http://schemas.openxmlformats.org/drawingml/2006/main">
                    <a:graphicData uri="http://schemas.openxmlformats.org/drawingml/2006/picture">
                      <pic:pic xmlns:pic="http://schemas.openxmlformats.org/drawingml/2006/picture">
                        <pic:nvPicPr>
                          <pic:cNvPr id="1184" name="图片 6"/>
                          <pic:cNvPicPr/>
                        </pic:nvPicPr>
                        <pic:blipFill>
                          <a:blip r:embed="rId149" cstate="print"/>
                          <a:srcRect/>
                          <a:stretch>
                            <a:fillRect/>
                          </a:stretch>
                        </pic:blipFill>
                        <pic:spPr>
                          <a:xfrm>
                            <a:off x="0" y="0"/>
                            <a:ext cx="5594985" cy="7946390"/>
                          </a:xfrm>
                          <a:prstGeom prst="rect">
                            <a:avLst/>
                          </a:prstGeom>
                          <a:ln>
                            <a:noFill/>
                          </a:ln>
                        </pic:spPr>
                      </pic:pic>
                    </a:graphicData>
                  </a:graphic>
                </wp:inline>
              </w:drawing>
            </w:r>
          </w:p>
        </w:tc>
      </w:tr>
      <w:tr w14:paraId="515B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BB0CD5F">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26070"/>
                  <wp:effectExtent l="0" t="0" r="2540" b="8255"/>
                  <wp:docPr id="1185" name="图片 7"/>
                  <wp:cNvGraphicFramePr/>
                  <a:graphic xmlns:a="http://schemas.openxmlformats.org/drawingml/2006/main">
                    <a:graphicData uri="http://schemas.openxmlformats.org/drawingml/2006/picture">
                      <pic:pic xmlns:pic="http://schemas.openxmlformats.org/drawingml/2006/picture">
                        <pic:nvPicPr>
                          <pic:cNvPr id="1185" name="图片 7"/>
                          <pic:cNvPicPr/>
                        </pic:nvPicPr>
                        <pic:blipFill>
                          <a:blip r:embed="rId150" cstate="print"/>
                          <a:srcRect/>
                          <a:stretch>
                            <a:fillRect/>
                          </a:stretch>
                        </pic:blipFill>
                        <pic:spPr>
                          <a:xfrm>
                            <a:off x="0" y="0"/>
                            <a:ext cx="5610860" cy="7926070"/>
                          </a:xfrm>
                          <a:prstGeom prst="rect">
                            <a:avLst/>
                          </a:prstGeom>
                          <a:ln>
                            <a:noFill/>
                          </a:ln>
                        </pic:spPr>
                      </pic:pic>
                    </a:graphicData>
                  </a:graphic>
                </wp:inline>
              </w:drawing>
            </w:r>
          </w:p>
        </w:tc>
      </w:tr>
      <w:tr w14:paraId="696A5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CB6B772">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08925"/>
                  <wp:effectExtent l="0" t="0" r="2540" b="3175"/>
                  <wp:docPr id="1186" name="图片 8"/>
                  <wp:cNvGraphicFramePr/>
                  <a:graphic xmlns:a="http://schemas.openxmlformats.org/drawingml/2006/main">
                    <a:graphicData uri="http://schemas.openxmlformats.org/drawingml/2006/picture">
                      <pic:pic xmlns:pic="http://schemas.openxmlformats.org/drawingml/2006/picture">
                        <pic:nvPicPr>
                          <pic:cNvPr id="1186" name="图片 8"/>
                          <pic:cNvPicPr/>
                        </pic:nvPicPr>
                        <pic:blipFill>
                          <a:blip r:embed="rId151" cstate="print"/>
                          <a:srcRect/>
                          <a:stretch>
                            <a:fillRect/>
                          </a:stretch>
                        </pic:blipFill>
                        <pic:spPr>
                          <a:xfrm>
                            <a:off x="0" y="0"/>
                            <a:ext cx="5610860" cy="7909559"/>
                          </a:xfrm>
                          <a:prstGeom prst="rect">
                            <a:avLst/>
                          </a:prstGeom>
                          <a:ln>
                            <a:noFill/>
                          </a:ln>
                        </pic:spPr>
                      </pic:pic>
                    </a:graphicData>
                  </a:graphic>
                </wp:inline>
              </w:drawing>
            </w:r>
          </w:p>
        </w:tc>
      </w:tr>
      <w:tr w14:paraId="224B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C242F6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1495" cy="7981950"/>
                  <wp:effectExtent l="0" t="0" r="1905" b="6350"/>
                  <wp:docPr id="1187" name="图片 9"/>
                  <wp:cNvGraphicFramePr/>
                  <a:graphic xmlns:a="http://schemas.openxmlformats.org/drawingml/2006/main">
                    <a:graphicData uri="http://schemas.openxmlformats.org/drawingml/2006/picture">
                      <pic:pic xmlns:pic="http://schemas.openxmlformats.org/drawingml/2006/picture">
                        <pic:nvPicPr>
                          <pic:cNvPr id="1187" name="图片 9"/>
                          <pic:cNvPicPr/>
                        </pic:nvPicPr>
                        <pic:blipFill>
                          <a:blip r:embed="rId152" cstate="print"/>
                          <a:srcRect/>
                          <a:stretch>
                            <a:fillRect/>
                          </a:stretch>
                        </pic:blipFill>
                        <pic:spPr>
                          <a:xfrm>
                            <a:off x="0" y="0"/>
                            <a:ext cx="5611495" cy="7981950"/>
                          </a:xfrm>
                          <a:prstGeom prst="rect">
                            <a:avLst/>
                          </a:prstGeom>
                          <a:ln>
                            <a:noFill/>
                          </a:ln>
                        </pic:spPr>
                      </pic:pic>
                    </a:graphicData>
                  </a:graphic>
                </wp:inline>
              </w:drawing>
            </w:r>
          </w:p>
        </w:tc>
      </w:tr>
      <w:tr w14:paraId="3D54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393F07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46390"/>
                  <wp:effectExtent l="0" t="0" r="6985" b="9525"/>
                  <wp:docPr id="1188" name="图片 10"/>
                  <wp:cNvGraphicFramePr/>
                  <a:graphic xmlns:a="http://schemas.openxmlformats.org/drawingml/2006/main">
                    <a:graphicData uri="http://schemas.openxmlformats.org/drawingml/2006/picture">
                      <pic:pic xmlns:pic="http://schemas.openxmlformats.org/drawingml/2006/picture">
                        <pic:nvPicPr>
                          <pic:cNvPr id="1188" name="图片 10"/>
                          <pic:cNvPicPr/>
                        </pic:nvPicPr>
                        <pic:blipFill>
                          <a:blip r:embed="rId153" cstate="print"/>
                          <a:srcRect/>
                          <a:stretch>
                            <a:fillRect/>
                          </a:stretch>
                        </pic:blipFill>
                        <pic:spPr>
                          <a:xfrm>
                            <a:off x="0" y="0"/>
                            <a:ext cx="5606415" cy="7946390"/>
                          </a:xfrm>
                          <a:prstGeom prst="rect">
                            <a:avLst/>
                          </a:prstGeom>
                          <a:ln>
                            <a:noFill/>
                          </a:ln>
                        </pic:spPr>
                      </pic:pic>
                    </a:graphicData>
                  </a:graphic>
                </wp:inline>
              </w:drawing>
            </w:r>
          </w:p>
        </w:tc>
      </w:tr>
      <w:tr w14:paraId="3D1DE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B6F002B">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40675"/>
                  <wp:effectExtent l="0" t="0" r="2540" b="3810"/>
                  <wp:docPr id="1189" name="图片 11"/>
                  <wp:cNvGraphicFramePr/>
                  <a:graphic xmlns:a="http://schemas.openxmlformats.org/drawingml/2006/main">
                    <a:graphicData uri="http://schemas.openxmlformats.org/drawingml/2006/picture">
                      <pic:pic xmlns:pic="http://schemas.openxmlformats.org/drawingml/2006/picture">
                        <pic:nvPicPr>
                          <pic:cNvPr id="1189" name="图片 11"/>
                          <pic:cNvPicPr/>
                        </pic:nvPicPr>
                        <pic:blipFill>
                          <a:blip r:embed="rId154" cstate="print"/>
                          <a:srcRect/>
                          <a:stretch>
                            <a:fillRect/>
                          </a:stretch>
                        </pic:blipFill>
                        <pic:spPr>
                          <a:xfrm>
                            <a:off x="0" y="0"/>
                            <a:ext cx="5610860" cy="7941309"/>
                          </a:xfrm>
                          <a:prstGeom prst="rect">
                            <a:avLst/>
                          </a:prstGeom>
                          <a:ln>
                            <a:noFill/>
                          </a:ln>
                        </pic:spPr>
                      </pic:pic>
                    </a:graphicData>
                  </a:graphic>
                </wp:inline>
              </w:drawing>
            </w:r>
          </w:p>
        </w:tc>
      </w:tr>
      <w:tr w14:paraId="332BC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33353AC">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63535"/>
                  <wp:effectExtent l="0" t="0" r="2540" b="3175"/>
                  <wp:docPr id="1190" name="图片 12"/>
                  <wp:cNvGraphicFramePr/>
                  <a:graphic xmlns:a="http://schemas.openxmlformats.org/drawingml/2006/main">
                    <a:graphicData uri="http://schemas.openxmlformats.org/drawingml/2006/picture">
                      <pic:pic xmlns:pic="http://schemas.openxmlformats.org/drawingml/2006/picture">
                        <pic:nvPicPr>
                          <pic:cNvPr id="1190" name="图片 12"/>
                          <pic:cNvPicPr/>
                        </pic:nvPicPr>
                        <pic:blipFill>
                          <a:blip r:embed="rId155" cstate="print"/>
                          <a:srcRect/>
                          <a:stretch>
                            <a:fillRect/>
                          </a:stretch>
                        </pic:blipFill>
                        <pic:spPr>
                          <a:xfrm>
                            <a:off x="0" y="0"/>
                            <a:ext cx="5610860" cy="7963535"/>
                          </a:xfrm>
                          <a:prstGeom prst="rect">
                            <a:avLst/>
                          </a:prstGeom>
                          <a:ln>
                            <a:noFill/>
                          </a:ln>
                        </pic:spPr>
                      </pic:pic>
                    </a:graphicData>
                  </a:graphic>
                </wp:inline>
              </w:drawing>
            </w:r>
          </w:p>
        </w:tc>
      </w:tr>
      <w:tr w14:paraId="593BC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0558AB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14005"/>
                  <wp:effectExtent l="0" t="0" r="6985" b="9525"/>
                  <wp:docPr id="1191" name="图片 13"/>
                  <wp:cNvGraphicFramePr/>
                  <a:graphic xmlns:a="http://schemas.openxmlformats.org/drawingml/2006/main">
                    <a:graphicData uri="http://schemas.openxmlformats.org/drawingml/2006/picture">
                      <pic:pic xmlns:pic="http://schemas.openxmlformats.org/drawingml/2006/picture">
                        <pic:nvPicPr>
                          <pic:cNvPr id="1191" name="图片 13"/>
                          <pic:cNvPicPr/>
                        </pic:nvPicPr>
                        <pic:blipFill>
                          <a:blip r:embed="rId156" cstate="print"/>
                          <a:srcRect/>
                          <a:stretch>
                            <a:fillRect/>
                          </a:stretch>
                        </pic:blipFill>
                        <pic:spPr>
                          <a:xfrm>
                            <a:off x="0" y="0"/>
                            <a:ext cx="5606415" cy="7914005"/>
                          </a:xfrm>
                          <a:prstGeom prst="rect">
                            <a:avLst/>
                          </a:prstGeom>
                          <a:ln>
                            <a:noFill/>
                          </a:ln>
                        </pic:spPr>
                      </pic:pic>
                    </a:graphicData>
                  </a:graphic>
                </wp:inline>
              </w:drawing>
            </w:r>
          </w:p>
        </w:tc>
      </w:tr>
      <w:tr w14:paraId="13631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2BFE1E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63535"/>
                  <wp:effectExtent l="0" t="0" r="2540" b="3175"/>
                  <wp:docPr id="1192" name="图片 14"/>
                  <wp:cNvGraphicFramePr/>
                  <a:graphic xmlns:a="http://schemas.openxmlformats.org/drawingml/2006/main">
                    <a:graphicData uri="http://schemas.openxmlformats.org/drawingml/2006/picture">
                      <pic:pic xmlns:pic="http://schemas.openxmlformats.org/drawingml/2006/picture">
                        <pic:nvPicPr>
                          <pic:cNvPr id="1192" name="图片 14"/>
                          <pic:cNvPicPr/>
                        </pic:nvPicPr>
                        <pic:blipFill>
                          <a:blip r:embed="rId157" cstate="print"/>
                          <a:srcRect/>
                          <a:stretch>
                            <a:fillRect/>
                          </a:stretch>
                        </pic:blipFill>
                        <pic:spPr>
                          <a:xfrm>
                            <a:off x="0" y="0"/>
                            <a:ext cx="5610860" cy="7963535"/>
                          </a:xfrm>
                          <a:prstGeom prst="rect">
                            <a:avLst/>
                          </a:prstGeom>
                          <a:ln>
                            <a:noFill/>
                          </a:ln>
                        </pic:spPr>
                      </pic:pic>
                    </a:graphicData>
                  </a:graphic>
                </wp:inline>
              </w:drawing>
            </w:r>
          </w:p>
        </w:tc>
      </w:tr>
      <w:tr w14:paraId="5E868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71E80F6">
            <w:pPr>
              <w:pStyle w:val="57"/>
              <w:ind w:left="0" w:leftChars="0" w:firstLine="0" w:firstLineChars="0"/>
              <w:jc w:val="center"/>
              <w:rPr>
                <w:color w:val="auto"/>
              </w:rPr>
            </w:pPr>
            <w:r>
              <w:rPr>
                <w:color w:val="auto"/>
              </w:rPr>
              <w:drawing>
                <wp:inline distT="0" distB="0" distL="0" distR="0">
                  <wp:extent cx="5611495" cy="7994650"/>
                  <wp:effectExtent l="0" t="0" r="1905" b="3810"/>
                  <wp:docPr id="1193" name="图片 15"/>
                  <wp:cNvGraphicFramePr/>
                  <a:graphic xmlns:a="http://schemas.openxmlformats.org/drawingml/2006/main">
                    <a:graphicData uri="http://schemas.openxmlformats.org/drawingml/2006/picture">
                      <pic:pic xmlns:pic="http://schemas.openxmlformats.org/drawingml/2006/picture">
                        <pic:nvPicPr>
                          <pic:cNvPr id="1193" name="图片 15"/>
                          <pic:cNvPicPr/>
                        </pic:nvPicPr>
                        <pic:blipFill>
                          <a:blip r:embed="rId158" cstate="print"/>
                          <a:srcRect/>
                          <a:stretch>
                            <a:fillRect/>
                          </a:stretch>
                        </pic:blipFill>
                        <pic:spPr>
                          <a:xfrm>
                            <a:off x="0" y="0"/>
                            <a:ext cx="5611495" cy="7995284"/>
                          </a:xfrm>
                          <a:prstGeom prst="rect">
                            <a:avLst/>
                          </a:prstGeom>
                          <a:ln>
                            <a:noFill/>
                          </a:ln>
                        </pic:spPr>
                      </pic:pic>
                    </a:graphicData>
                  </a:graphic>
                </wp:inline>
              </w:drawing>
            </w:r>
          </w:p>
        </w:tc>
      </w:tr>
      <w:tr w14:paraId="57DDA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0F9D43B">
            <w:pPr>
              <w:pStyle w:val="57"/>
              <w:ind w:left="0" w:leftChars="0" w:firstLine="0" w:firstLineChars="0"/>
              <w:jc w:val="center"/>
              <w:rPr>
                <w:color w:val="auto"/>
              </w:rPr>
            </w:pPr>
            <w:r>
              <w:rPr>
                <w:color w:val="auto"/>
              </w:rPr>
              <w:drawing>
                <wp:inline distT="0" distB="0" distL="0" distR="0">
                  <wp:extent cx="5610225" cy="7910195"/>
                  <wp:effectExtent l="0" t="0" r="3175" b="2540"/>
                  <wp:docPr id="1194" name="图片 16"/>
                  <wp:cNvGraphicFramePr/>
                  <a:graphic xmlns:a="http://schemas.openxmlformats.org/drawingml/2006/main">
                    <a:graphicData uri="http://schemas.openxmlformats.org/drawingml/2006/picture">
                      <pic:pic xmlns:pic="http://schemas.openxmlformats.org/drawingml/2006/picture">
                        <pic:nvPicPr>
                          <pic:cNvPr id="1194" name="图片 16"/>
                          <pic:cNvPicPr/>
                        </pic:nvPicPr>
                        <pic:blipFill>
                          <a:blip r:embed="rId159" cstate="print"/>
                          <a:srcRect/>
                          <a:stretch>
                            <a:fillRect/>
                          </a:stretch>
                        </pic:blipFill>
                        <pic:spPr>
                          <a:xfrm>
                            <a:off x="0" y="0"/>
                            <a:ext cx="5610225" cy="7910195"/>
                          </a:xfrm>
                          <a:prstGeom prst="rect">
                            <a:avLst/>
                          </a:prstGeom>
                          <a:ln>
                            <a:noFill/>
                          </a:ln>
                        </pic:spPr>
                      </pic:pic>
                    </a:graphicData>
                  </a:graphic>
                </wp:inline>
              </w:drawing>
            </w:r>
          </w:p>
        </w:tc>
      </w:tr>
      <w:tr w14:paraId="69582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C41FF75">
            <w:pPr>
              <w:pStyle w:val="57"/>
              <w:ind w:left="0" w:leftChars="0" w:firstLine="0" w:firstLineChars="0"/>
              <w:jc w:val="center"/>
              <w:rPr>
                <w:color w:val="auto"/>
              </w:rPr>
            </w:pPr>
            <w:r>
              <w:rPr>
                <w:color w:val="auto"/>
              </w:rPr>
              <w:drawing>
                <wp:inline distT="0" distB="0" distL="0" distR="0">
                  <wp:extent cx="5610225" cy="7744460"/>
                  <wp:effectExtent l="0" t="0" r="3175" b="5715"/>
                  <wp:docPr id="1195" name="图片 17"/>
                  <wp:cNvGraphicFramePr/>
                  <a:graphic xmlns:a="http://schemas.openxmlformats.org/drawingml/2006/main">
                    <a:graphicData uri="http://schemas.openxmlformats.org/drawingml/2006/picture">
                      <pic:pic xmlns:pic="http://schemas.openxmlformats.org/drawingml/2006/picture">
                        <pic:nvPicPr>
                          <pic:cNvPr id="1195" name="图片 17"/>
                          <pic:cNvPicPr/>
                        </pic:nvPicPr>
                        <pic:blipFill>
                          <a:blip r:embed="rId160" cstate="print"/>
                          <a:srcRect/>
                          <a:stretch>
                            <a:fillRect/>
                          </a:stretch>
                        </pic:blipFill>
                        <pic:spPr>
                          <a:xfrm>
                            <a:off x="0" y="0"/>
                            <a:ext cx="5610225" cy="7745094"/>
                          </a:xfrm>
                          <a:prstGeom prst="rect">
                            <a:avLst/>
                          </a:prstGeom>
                          <a:ln>
                            <a:noFill/>
                          </a:ln>
                        </pic:spPr>
                      </pic:pic>
                    </a:graphicData>
                  </a:graphic>
                </wp:inline>
              </w:drawing>
            </w:r>
          </w:p>
        </w:tc>
      </w:tr>
    </w:tbl>
    <w:p w14:paraId="2150E5B5">
      <w:pPr>
        <w:pStyle w:val="45"/>
        <w:numPr>
          <w:ilvl w:val="0"/>
          <w:numId w:val="15"/>
        </w:numPr>
        <w:adjustRightInd/>
        <w:spacing w:after="0" w:line="360" w:lineRule="auto"/>
        <w:ind w:left="0" w:leftChars="0" w:firstLine="0" w:firstLineChars="0"/>
        <w:jc w:val="both"/>
        <w:textAlignment w:val="auto"/>
        <w:outlineLvl w:val="0"/>
        <w:rPr>
          <w:rFonts w:hint="eastAsia"/>
          <w:b/>
          <w:bCs/>
          <w:lang w:val="en-US" w:eastAsia="zh-CN"/>
        </w:rPr>
      </w:pPr>
      <w:bookmarkStart w:id="155" w:name="_Toc31763"/>
      <w:r>
        <w:rPr>
          <w:rFonts w:hint="eastAsia"/>
          <w:b/>
          <w:bCs/>
          <w:lang w:val="en-US" w:eastAsia="zh-CN"/>
        </w:rPr>
        <w:t>原环评批复</w:t>
      </w:r>
      <w:bookmarkEnd w:id="155"/>
    </w:p>
    <w:p w14:paraId="13211E87">
      <w:pPr>
        <w:pStyle w:val="14"/>
        <w:ind w:left="0" w:leftChars="0" w:firstLine="0" w:firstLineChars="0"/>
        <w:jc w:val="both"/>
      </w:pPr>
      <w:r>
        <w:drawing>
          <wp:inline distT="0" distB="0" distL="0" distR="0">
            <wp:extent cx="5391150" cy="7667625"/>
            <wp:effectExtent l="0" t="0" r="0" b="9525"/>
            <wp:docPr id="1196" name="图片 1"/>
            <wp:cNvGraphicFramePr/>
            <a:graphic xmlns:a="http://schemas.openxmlformats.org/drawingml/2006/main">
              <a:graphicData uri="http://schemas.openxmlformats.org/drawingml/2006/picture">
                <pic:pic xmlns:pic="http://schemas.openxmlformats.org/drawingml/2006/picture">
                  <pic:nvPicPr>
                    <pic:cNvPr id="1196" name="图片 1"/>
                    <pic:cNvPicPr/>
                  </pic:nvPicPr>
                  <pic:blipFill>
                    <a:blip r:embed="rId161" cstate="print"/>
                    <a:srcRect/>
                    <a:stretch>
                      <a:fillRect/>
                    </a:stretch>
                  </pic:blipFill>
                  <pic:spPr>
                    <a:xfrm>
                      <a:off x="0" y="0"/>
                      <a:ext cx="5391150" cy="7667625"/>
                    </a:xfrm>
                    <a:prstGeom prst="rect">
                      <a:avLst/>
                    </a:prstGeom>
                    <a:ln>
                      <a:noFill/>
                    </a:ln>
                  </pic:spPr>
                </pic:pic>
              </a:graphicData>
            </a:graphic>
          </wp:inline>
        </w:drawing>
      </w:r>
    </w:p>
    <w:p w14:paraId="732060FB">
      <w:pPr>
        <w:pStyle w:val="17"/>
      </w:pPr>
    </w:p>
    <w:p w14:paraId="0A726CDA">
      <w:pPr>
        <w:pStyle w:val="29"/>
        <w:numPr>
          <w:ilvl w:val="0"/>
          <w:numId w:val="0"/>
        </w:numPr>
        <w:tabs>
          <w:tab w:val="clear" w:pos="780"/>
        </w:tabs>
        <w:ind w:left="840" w:leftChars="0" w:hanging="360" w:firstLineChars="0"/>
      </w:pPr>
      <w:r>
        <w:drawing>
          <wp:inline distT="0" distB="0" distL="0" distR="0">
            <wp:extent cx="4905375" cy="7010400"/>
            <wp:effectExtent l="0" t="0" r="9525" b="0"/>
            <wp:docPr id="1197" name="图片 2"/>
            <wp:cNvGraphicFramePr/>
            <a:graphic xmlns:a="http://schemas.openxmlformats.org/drawingml/2006/main">
              <a:graphicData uri="http://schemas.openxmlformats.org/drawingml/2006/picture">
                <pic:pic xmlns:pic="http://schemas.openxmlformats.org/drawingml/2006/picture">
                  <pic:nvPicPr>
                    <pic:cNvPr id="1197" name="图片 2"/>
                    <pic:cNvPicPr/>
                  </pic:nvPicPr>
                  <pic:blipFill>
                    <a:blip r:embed="rId162" cstate="print"/>
                    <a:srcRect/>
                    <a:stretch>
                      <a:fillRect/>
                    </a:stretch>
                  </pic:blipFill>
                  <pic:spPr>
                    <a:xfrm>
                      <a:off x="0" y="0"/>
                      <a:ext cx="4905375" cy="7010400"/>
                    </a:xfrm>
                    <a:prstGeom prst="rect">
                      <a:avLst/>
                    </a:prstGeom>
                    <a:ln>
                      <a:noFill/>
                    </a:ln>
                  </pic:spPr>
                </pic:pic>
              </a:graphicData>
            </a:graphic>
          </wp:inline>
        </w:drawing>
      </w:r>
    </w:p>
    <w:p w14:paraId="07D1501D">
      <w:pPr>
        <w:pStyle w:val="30"/>
        <w:rPr>
          <w:rFonts w:hint="default"/>
          <w:lang w:val="en-US" w:eastAsia="zh-CN"/>
        </w:rPr>
        <w:sectPr>
          <w:pgSz w:w="11905" w:h="16838"/>
          <w:pgMar w:top="1701" w:right="1531" w:bottom="1701" w:left="1531" w:header="850" w:footer="1077" w:gutter="0"/>
          <w:pgNumType w:fmt="decimal"/>
          <w:cols w:space="0" w:num="1"/>
          <w:docGrid w:linePitch="312" w:charSpace="0"/>
        </w:sectPr>
      </w:pPr>
      <w:r>
        <w:drawing>
          <wp:inline distT="0" distB="0" distL="0" distR="0">
            <wp:extent cx="5334000" cy="7600950"/>
            <wp:effectExtent l="0" t="0" r="0" b="0"/>
            <wp:docPr id="1198" name="图片 3"/>
            <wp:cNvGraphicFramePr/>
            <a:graphic xmlns:a="http://schemas.openxmlformats.org/drawingml/2006/main">
              <a:graphicData uri="http://schemas.openxmlformats.org/drawingml/2006/picture">
                <pic:pic xmlns:pic="http://schemas.openxmlformats.org/drawingml/2006/picture">
                  <pic:nvPicPr>
                    <pic:cNvPr id="1198" name="图片 3"/>
                    <pic:cNvPicPr/>
                  </pic:nvPicPr>
                  <pic:blipFill>
                    <a:blip r:embed="rId163" cstate="print"/>
                    <a:srcRect/>
                    <a:stretch>
                      <a:fillRect/>
                    </a:stretch>
                  </pic:blipFill>
                  <pic:spPr>
                    <a:xfrm>
                      <a:off x="0" y="0"/>
                      <a:ext cx="5334000" cy="7600950"/>
                    </a:xfrm>
                    <a:prstGeom prst="rect">
                      <a:avLst/>
                    </a:prstGeom>
                    <a:ln>
                      <a:noFill/>
                    </a:ln>
                  </pic:spPr>
                </pic:pic>
              </a:graphicData>
            </a:graphic>
          </wp:inline>
        </w:drawing>
      </w:r>
    </w:p>
    <w:bookmarkEnd w:id="151"/>
    <w:bookmarkEnd w:id="152"/>
    <w:p w14:paraId="4E1CD26B">
      <w:pPr>
        <w:pStyle w:val="45"/>
        <w:numPr>
          <w:ilvl w:val="0"/>
          <w:numId w:val="15"/>
        </w:numPr>
        <w:adjustRightInd/>
        <w:spacing w:after="0" w:line="360" w:lineRule="auto"/>
        <w:ind w:left="0" w:leftChars="0" w:firstLine="0" w:firstLineChars="0"/>
        <w:jc w:val="both"/>
        <w:textAlignment w:val="auto"/>
        <w:outlineLvl w:val="0"/>
        <w:rPr>
          <w:rFonts w:hint="eastAsia"/>
          <w:b/>
          <w:bCs/>
          <w:lang w:val="en-US" w:eastAsia="zh-CN"/>
        </w:rPr>
      </w:pPr>
      <w:bookmarkStart w:id="156" w:name="_Toc10387"/>
      <w:r>
        <w:rPr>
          <w:rFonts w:hint="eastAsia"/>
          <w:b/>
          <w:bCs/>
          <w:lang w:val="en-US" w:eastAsia="zh-CN"/>
        </w:rPr>
        <w:t>总量指标来源说明</w:t>
      </w:r>
      <w:bookmarkEnd w:id="156"/>
    </w:p>
    <w:p w14:paraId="107B835A">
      <w:pPr>
        <w:rPr>
          <w:rFonts w:hint="eastAsia"/>
          <w:lang w:val="en-US" w:eastAsia="zh-CN"/>
        </w:rPr>
      </w:pPr>
      <w:r>
        <w:drawing>
          <wp:inline distT="0" distB="0" distL="114300" distR="114300">
            <wp:extent cx="5934710" cy="2981960"/>
            <wp:effectExtent l="0" t="0" r="8890" b="8890"/>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164"/>
                    <a:stretch>
                      <a:fillRect/>
                    </a:stretch>
                  </pic:blipFill>
                  <pic:spPr>
                    <a:xfrm>
                      <a:off x="0" y="0"/>
                      <a:ext cx="5934710" cy="2981960"/>
                    </a:xfrm>
                    <a:prstGeom prst="rect">
                      <a:avLst/>
                    </a:prstGeom>
                    <a:noFill/>
                    <a:ln>
                      <a:noFill/>
                    </a:ln>
                  </pic:spPr>
                </pic:pic>
              </a:graphicData>
            </a:graphic>
          </wp:inline>
        </w:drawing>
      </w:r>
    </w:p>
    <w:p w14:paraId="4CEF95EC">
      <w:pPr>
        <w:pStyle w:val="57"/>
        <w:rPr>
          <w:rFonts w:hint="default"/>
          <w:color w:val="auto"/>
        </w:rPr>
      </w:pPr>
    </w:p>
    <w:sectPr>
      <w:headerReference r:id="rId8" w:type="default"/>
      <w:footerReference r:id="rId9" w:type="default"/>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C1B6E11-2D20-4880-9BC5-8533E5D4081B}"/>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BDBF076A-B967-4C78-B39B-8A5D08E219AF}"/>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B9EDDA09-9A21-4111-B660-179E60B56448}"/>
  </w:font>
  <w:font w:name="MS Mincho">
    <w:panose1 w:val="02020609040205080304"/>
    <w:charset w:val="80"/>
    <w:family w:val="roman"/>
    <w:pitch w:val="default"/>
    <w:sig w:usb0="E00002FF" w:usb1="6AC7FDFB" w:usb2="00000012" w:usb3="00000000" w:csb0="4002009F" w:csb1="DFD70000"/>
  </w:font>
  <w:font w:name="楷体_GB2312">
    <w:panose1 w:val="02010609030101010101"/>
    <w:charset w:val="86"/>
    <w:family w:val="modern"/>
    <w:pitch w:val="default"/>
    <w:sig w:usb0="00000001" w:usb1="080E0000" w:usb2="00000000" w:usb3="00000000" w:csb0="00040000" w:csb1="00000000"/>
  </w:font>
  <w:font w:name="方正仿宋_GBK">
    <w:panose1 w:val="02000000000000000000"/>
    <w:charset w:val="86"/>
    <w:family w:val="script"/>
    <w:pitch w:val="default"/>
    <w:sig w:usb0="A00002BF" w:usb1="38CF7CFA" w:usb2="00082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panose1 w:val="02000000000000000000"/>
    <w:charset w:val="86"/>
    <w:family w:val="script"/>
    <w:pitch w:val="default"/>
    <w:sig w:usb0="A00002BF" w:usb1="38CF7CFA" w:usb2="00082016" w:usb3="00000000" w:csb0="00040001" w:csb1="00000000"/>
  </w:font>
  <w:font w:name="Wingdings 2">
    <w:panose1 w:val="05020102010507070707"/>
    <w:charset w:val="02"/>
    <w:family w:val="roman"/>
    <w:pitch w:val="default"/>
    <w:sig w:usb0="00000000" w:usb1="00000000" w:usb2="00000000" w:usb3="00000000" w:csb0="80000000" w:csb1="00000000"/>
    <w:embedRegular r:id="rId4" w:fontKey="{A5B72BCC-EC80-4E5E-951F-9BCB1D0B0F4A}"/>
  </w:font>
  <w:font w:name="WPSEMBED1">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85A8">
    <w:pPr>
      <w:pStyle w:val="36"/>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45"/>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71F00A95">
                          <w:pPr>
                            <w:pStyle w:val="36"/>
                          </w:pPr>
                          <w:r>
                            <w:fldChar w:fldCharType="begin"/>
                          </w:r>
                          <w:r>
                            <w:instrText xml:space="preserve"> PAGE  \* MERGEFORMAT </w:instrText>
                          </w:r>
                          <w:r>
                            <w:fldChar w:fldCharType="separate"/>
                          </w:r>
                          <w:r>
                            <w:t>I</w:t>
                          </w:r>
                          <w:r>
                            <w:fldChar w:fldCharType="end"/>
                          </w:r>
                        </w:p>
                      </w:txbxContent>
                    </wps:txbx>
                    <wps:bodyPr vert="horz" wrap="none" lIns="0" tIns="0" rIns="0" bIns="0" anchor="t" upright="0">
                      <a:spAutoFit/>
                    </wps:bodyPr>
                  </wps:wsp>
                </a:graphicData>
              </a:graphic>
            </wp:anchor>
          </w:drawing>
        </mc:Choice>
        <mc:Fallback>
          <w:pict>
            <v:rect id="文本框 145"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&#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5dblS0AAAAAUBAAAPAAAAAAAAAAEAIAAAACIAAABk&#10;cnMvZG93bnJldi54bWxQSwECFAAUAAAACACHTuJA0jo4mtUBAACgAwAADgAAAAAAAAABACAAAAAf&#10;AQAAZHJzL2Uyb0RvYy54bWxQSwUGAAAAAAYABgBZAQAAZgUAAAAA&#10;">
              <v:fill on="f" focussize="0,0"/>
              <v:stroke on="f"/>
              <v:imagedata o:title=""/>
              <o:lock v:ext="edit" aspectratio="f"/>
              <v:textbox inset="0mm,0mm,0mm,0mm" style="mso-fit-shape-to-text:t;">
                <w:txbxContent>
                  <w:p w14:paraId="71F00A95">
                    <w:pPr>
                      <w:pStyle w:val="36"/>
                    </w:pPr>
                    <w:r>
                      <w:fldChar w:fldCharType="begin"/>
                    </w:r>
                    <w:r>
                      <w:instrText xml:space="preserve"> PAGE  \* MERGEFORMAT </w:instrText>
                    </w:r>
                    <w:r>
                      <w:fldChar w:fldCharType="separate"/>
                    </w:r>
                    <w:r>
                      <w:t>I</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E08FD4">
    <w:pPr>
      <w:tabs>
        <w:tab w:val="center" w:pos="4153"/>
        <w:tab w:val="right" w:pos="8306"/>
      </w:tabs>
    </w:pPr>
    <w:r>
      <w:rPr>
        <w:sz w:val="24"/>
      </w:rPr>
      <mc:AlternateContent>
        <mc:Choice Requires="wps">
          <w:drawing>
            <wp:anchor distT="0" distB="0" distL="0" distR="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8" name="文本框 13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158A9E87">
                          <w:pPr>
                            <w:pStyle w:val="36"/>
                          </w:pPr>
                          <w:r>
                            <w:t xml:space="preserve">— </w:t>
                          </w:r>
                          <w:r>
                            <w:fldChar w:fldCharType="begin"/>
                          </w:r>
                          <w:r>
                            <w:instrText xml:space="preserve"> PAGE  \* MERGEFORMAT </w:instrText>
                          </w:r>
                          <w:r>
                            <w:fldChar w:fldCharType="separate"/>
                          </w:r>
                          <w:r>
                            <w:t>III</w:t>
                          </w:r>
                          <w:r>
                            <w:fldChar w:fldCharType="end"/>
                          </w:r>
                          <w:r>
                            <w:t xml:space="preserve"> —</w:t>
                          </w:r>
                        </w:p>
                      </w:txbxContent>
                    </wps:txbx>
                    <wps:bodyPr vert="horz" wrap="none" lIns="0" tIns="0" rIns="0" bIns="0" anchor="t" upright="0">
                      <a:spAutoFit/>
                    </wps:bodyPr>
                  </wps:wsp>
                </a:graphicData>
              </a:graphic>
            </wp:anchor>
          </w:drawing>
        </mc:Choice>
        <mc:Fallback>
          <w:pict>
            <v:rect id="文本框 134" o:spid="_x0000_s1026" o:spt="1"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&#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CgNzFj1AEAAKADAAAOAAAAAAAAAAEAIAAAAB8B&#10;AABkcnMvZTJvRG9jLnhtbFBLBQYAAAAABgAGAFkBAABlBQAAAAA=&#10;">
              <v:fill on="f" focussize="0,0"/>
              <v:stroke on="f"/>
              <v:imagedata o:title=""/>
              <o:lock v:ext="edit" aspectratio="f"/>
              <v:textbox inset="0mm,0mm,0mm,0mm" style="mso-fit-shape-to-text:t;">
                <w:txbxContent>
                  <w:p w14:paraId="158A9E87">
                    <w:pPr>
                      <w:pStyle w:val="36"/>
                    </w:pPr>
                    <w:r>
                      <w:t xml:space="preserve">— </w:t>
                    </w:r>
                    <w:r>
                      <w:fldChar w:fldCharType="begin"/>
                    </w:r>
                    <w:r>
                      <w:instrText xml:space="preserve"> PAGE  \* MERGEFORMAT </w:instrText>
                    </w:r>
                    <w:r>
                      <w:fldChar w:fldCharType="separate"/>
                    </w:r>
                    <w:r>
                      <w:t>III</w:t>
                    </w:r>
                    <w:r>
                      <w:fldChar w:fldCharType="end"/>
                    </w:r>
                    <w:r>
                      <w:t xml:space="preserve"> —</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B1059">
    <w:pPr>
      <w:tabs>
        <w:tab w:val="center" w:pos="4153"/>
        <w:tab w:val="right" w:pos="8306"/>
      </w:tabs>
    </w:pPr>
    <w:r>
      <w:rPr>
        <w:sz w:val="24"/>
      </w:rPr>
      <mc:AlternateContent>
        <mc:Choice Requires="wps">
          <w:drawing>
            <wp:anchor distT="0" distB="0" distL="0" distR="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9" name="文本框 14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6671A26C">
                          <w:pPr>
                            <w:pStyle w:val="36"/>
                          </w:pPr>
                          <w:r>
                            <w:t xml:space="preserve">— </w:t>
                          </w:r>
                          <w:r>
                            <w:fldChar w:fldCharType="begin"/>
                          </w:r>
                          <w:r>
                            <w:instrText xml:space="preserve"> PAGE  \* MERGEFORMAT </w:instrText>
                          </w:r>
                          <w:r>
                            <w:fldChar w:fldCharType="separate"/>
                          </w:r>
                          <w:r>
                            <w:t>III</w:t>
                          </w:r>
                          <w:r>
                            <w:fldChar w:fldCharType="end"/>
                          </w:r>
                          <w:r>
                            <w:t xml:space="preserve"> —</w:t>
                          </w:r>
                        </w:p>
                      </w:txbxContent>
                    </wps:txbx>
                    <wps:bodyPr vert="horz" wrap="none" lIns="0" tIns="0" rIns="0" bIns="0" anchor="t" upright="0">
                      <a:spAutoFit/>
                    </wps:bodyPr>
                  </wps:wsp>
                </a:graphicData>
              </a:graphic>
            </wp:anchor>
          </w:drawing>
        </mc:Choice>
        <mc:Fallback>
          <w:pict>
            <v:rect id="文本框 146" o:spid="_x0000_s1026" o:spt="1"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&#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Bl60jy1AEAAKADAAAOAAAAAAAAAAEAIAAAAB8B&#10;AABkcnMvZTJvRG9jLnhtbFBLBQYAAAAABgAGAFkBAABlBQAAAAA=&#10;">
              <v:fill on="f" focussize="0,0"/>
              <v:stroke on="f"/>
              <v:imagedata o:title=""/>
              <o:lock v:ext="edit" aspectratio="f"/>
              <v:textbox inset="0mm,0mm,0mm,0mm" style="mso-fit-shape-to-text:t;">
                <w:txbxContent>
                  <w:p w14:paraId="6671A26C">
                    <w:pPr>
                      <w:pStyle w:val="36"/>
                    </w:pPr>
                    <w:r>
                      <w:t xml:space="preserve">— </w:t>
                    </w:r>
                    <w:r>
                      <w:fldChar w:fldCharType="begin"/>
                    </w:r>
                    <w:r>
                      <w:instrText xml:space="preserve"> PAGE  \* MERGEFORMAT </w:instrText>
                    </w:r>
                    <w:r>
                      <w:fldChar w:fldCharType="separate"/>
                    </w:r>
                    <w:r>
                      <w:t>III</w:t>
                    </w:r>
                    <w:r>
                      <w:fldChar w:fldCharType="end"/>
                    </w:r>
                    <w:r>
                      <w:t xml:space="preserve"> —</w:t>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A0F3">
    <w:pPr>
      <w:pStyle w:val="26"/>
      <w:spacing w:line="14" w:lineRule="auto"/>
      <w:ind w:firstLine="40"/>
      <w:rPr>
        <w:sz w:val="2"/>
      </w:rPr>
    </w:pPr>
    <w:r>
      <w:rPr>
        <w:sz w:val="2"/>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00" name="文本框 157"/>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EBA0B83">
                          <w:pPr>
                            <w:pStyle w:val="36"/>
                          </w:pPr>
                          <w:r>
                            <w:fldChar w:fldCharType="begin"/>
                          </w:r>
                          <w:r>
                            <w:instrText xml:space="preserve"> PAGE  \* MERGEFORMAT </w:instrText>
                          </w:r>
                          <w:r>
                            <w:fldChar w:fldCharType="separate"/>
                          </w:r>
                          <w:r>
                            <w:t>XXVI</w:t>
                          </w:r>
                          <w:r>
                            <w:fldChar w:fldCharType="end"/>
                          </w:r>
                        </w:p>
                      </w:txbxContent>
                    </wps:txbx>
                    <wps:bodyPr vert="horz" wrap="none" lIns="0" tIns="0" rIns="0" bIns="0" anchor="t" upright="0">
                      <a:spAutoFit/>
                    </wps:bodyPr>
                  </wps:wsp>
                </a:graphicData>
              </a:graphic>
            </wp:anchor>
          </w:drawing>
        </mc:Choice>
        <mc:Fallback>
          <w:pict>
            <v:rect id="文本框 157"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bSy6ctIBAACgAwAADgAAAAAAAAABACAAAAAfAQAA&#10;ZHJzL2Uyb0RvYy54bWxQSwUGAAAAAAYABgBZAQAAYwUAAAAA&#10;">
              <v:fill on="f" focussize="0,0"/>
              <v:stroke on="f"/>
              <v:imagedata o:title=""/>
              <o:lock v:ext="edit" aspectratio="f"/>
              <v:textbox inset="0mm,0mm,0mm,0mm" style="mso-fit-shape-to-text:t;">
                <w:txbxContent>
                  <w:p w14:paraId="3EBA0B83">
                    <w:pPr>
                      <w:pStyle w:val="36"/>
                    </w:pPr>
                    <w:r>
                      <w:fldChar w:fldCharType="begin"/>
                    </w:r>
                    <w:r>
                      <w:instrText xml:space="preserve"> PAGE  \* MERGEFORMAT </w:instrText>
                    </w:r>
                    <w:r>
                      <w:fldChar w:fldCharType="separate"/>
                    </w:r>
                    <w:r>
                      <w:t>XXVI</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47FF6">
    <w:pPr>
      <w:pStyle w:val="26"/>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10597A"/>
    <w:multiLevelType w:val="singleLevel"/>
    <w:tmpl w:val="A310597A"/>
    <w:lvl w:ilvl="0" w:tentative="0">
      <w:start w:val="4"/>
      <w:numFmt w:val="decimal"/>
      <w:suff w:val="space"/>
      <w:lvlText w:val="%1."/>
      <w:lvlJc w:val="left"/>
    </w:lvl>
  </w:abstractNum>
  <w:abstractNum w:abstractNumId="1">
    <w:nsid w:val="00000000"/>
    <w:multiLevelType w:val="singleLevel"/>
    <w:tmpl w:val="00000000"/>
    <w:lvl w:ilvl="0" w:tentative="0">
      <w:start w:val="1"/>
      <w:numFmt w:val="decimal"/>
      <w:pStyle w:val="123"/>
      <w:suff w:val="space"/>
      <w:lvlText w:val="表2-%1"/>
      <w:lvlJc w:val="center"/>
      <w:pPr>
        <w:tabs>
          <w:tab w:val="left" w:pos="0"/>
        </w:tabs>
        <w:ind w:left="0" w:firstLine="0"/>
      </w:pPr>
      <w:rPr>
        <w:rFonts w:hint="default" w:ascii="Times New Roman" w:hAnsi="Times New Roman"/>
        <w:b/>
        <w:bCs/>
        <w:snapToGrid w:val="0"/>
        <w:color w:val="000000"/>
        <w:sz w:val="21"/>
        <w:szCs w:val="21"/>
      </w:rPr>
    </w:lvl>
  </w:abstractNum>
  <w:abstractNum w:abstractNumId="2">
    <w:nsid w:val="00000001"/>
    <w:multiLevelType w:val="singleLevel"/>
    <w:tmpl w:val="00000001"/>
    <w:lvl w:ilvl="0" w:tentative="0">
      <w:start w:val="1"/>
      <w:numFmt w:val="bullet"/>
      <w:pStyle w:val="29"/>
      <w:lvlText w:val=""/>
      <w:lvlJc w:val="left"/>
      <w:pPr>
        <w:tabs>
          <w:tab w:val="left" w:pos="780"/>
        </w:tabs>
        <w:ind w:left="840" w:hanging="360"/>
      </w:pPr>
      <w:rPr>
        <w:rFonts w:hint="default" w:ascii="Wingdings" w:hAnsi="Wingdings"/>
      </w:rPr>
    </w:lvl>
  </w:abstractNum>
  <w:abstractNum w:abstractNumId="3">
    <w:nsid w:val="00000002"/>
    <w:multiLevelType w:val="multilevel"/>
    <w:tmpl w:val="00000002"/>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00000003"/>
    <w:multiLevelType w:val="singleLevel"/>
    <w:tmpl w:val="00000003"/>
    <w:lvl w:ilvl="0" w:tentative="0">
      <w:start w:val="2"/>
      <w:numFmt w:val="decimal"/>
      <w:suff w:val="nothing"/>
      <w:lvlText w:val="%1、"/>
      <w:lvlJc w:val="left"/>
    </w:lvl>
  </w:abstractNum>
  <w:abstractNum w:abstractNumId="5">
    <w:nsid w:val="00000004"/>
    <w:multiLevelType w:val="singleLevel"/>
    <w:tmpl w:val="00000004"/>
    <w:lvl w:ilvl="0" w:tentative="0">
      <w:start w:val="5"/>
      <w:numFmt w:val="decimal"/>
      <w:suff w:val="nothing"/>
      <w:lvlText w:val="%1、"/>
      <w:lvlJc w:val="left"/>
    </w:lvl>
  </w:abstractNum>
  <w:abstractNum w:abstractNumId="6">
    <w:nsid w:val="00000005"/>
    <w:multiLevelType w:val="singleLevel"/>
    <w:tmpl w:val="00000005"/>
    <w:lvl w:ilvl="0" w:tentative="0">
      <w:start w:val="1"/>
      <w:numFmt w:val="bullet"/>
      <w:pStyle w:val="27"/>
      <w:lvlText w:val=""/>
      <w:lvlJc w:val="left"/>
      <w:pPr>
        <w:tabs>
          <w:tab w:val="left" w:pos="2040"/>
        </w:tabs>
        <w:ind w:left="2040" w:hanging="360"/>
      </w:pPr>
      <w:rPr>
        <w:rFonts w:hint="default" w:ascii="Wingdings" w:hAnsi="Wingdings"/>
      </w:rPr>
    </w:lvl>
  </w:abstractNum>
  <w:abstractNum w:abstractNumId="7">
    <w:nsid w:val="00000006"/>
    <w:multiLevelType w:val="singleLevel"/>
    <w:tmpl w:val="00000006"/>
    <w:lvl w:ilvl="0" w:tentative="0">
      <w:start w:val="1"/>
      <w:numFmt w:val="decimal"/>
      <w:suff w:val="nothing"/>
      <w:lvlText w:val="附图%1 "/>
      <w:lvlJc w:val="left"/>
      <w:pPr>
        <w:ind w:left="0" w:firstLine="397"/>
      </w:pPr>
      <w:rPr>
        <w:rFonts w:hint="default"/>
        <w:sz w:val="24"/>
        <w:szCs w:val="24"/>
      </w:rPr>
    </w:lvl>
  </w:abstractNum>
  <w:abstractNum w:abstractNumId="8">
    <w:nsid w:val="00000007"/>
    <w:multiLevelType w:val="singleLevel"/>
    <w:tmpl w:val="00000007"/>
    <w:lvl w:ilvl="0" w:tentative="0">
      <w:start w:val="1"/>
      <w:numFmt w:val="decimal"/>
      <w:suff w:val="space"/>
      <w:lvlText w:val="附件%1"/>
      <w:lvlJc w:val="left"/>
      <w:pPr>
        <w:tabs>
          <w:tab w:val="left" w:pos="420"/>
        </w:tabs>
      </w:pPr>
      <w:rPr>
        <w:rFonts w:hint="default" w:ascii="Times New Roman" w:hAnsi="Times New Roman" w:eastAsia="宋体" w:cs="宋体"/>
        <w:sz w:val="24"/>
        <w:szCs w:val="24"/>
      </w:rPr>
    </w:lvl>
  </w:abstractNum>
  <w:abstractNum w:abstractNumId="9">
    <w:nsid w:val="00000008"/>
    <w:multiLevelType w:val="multilevel"/>
    <w:tmpl w:val="00000008"/>
    <w:lvl w:ilvl="0" w:tentative="0">
      <w:start w:val="1"/>
      <w:numFmt w:val="decimal"/>
      <w:lvlText w:val="%1"/>
      <w:lvlJc w:val="left"/>
      <w:pPr>
        <w:ind w:left="432" w:hanging="432"/>
      </w:pPr>
      <w:rPr>
        <w:rFonts w:hint="eastAsia"/>
      </w:rPr>
    </w:lvl>
    <w:lvl w:ilvl="1" w:tentative="0">
      <w:start w:val="1"/>
      <w:numFmt w:val="none"/>
      <w:pStyle w:val="19"/>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10"/>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20"/>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21"/>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22"/>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0">
    <w:nsid w:val="00000009"/>
    <w:multiLevelType w:val="singleLevel"/>
    <w:tmpl w:val="00000009"/>
    <w:lvl w:ilvl="0" w:tentative="0">
      <w:start w:val="5"/>
      <w:numFmt w:val="decimal"/>
      <w:suff w:val="nothing"/>
      <w:lvlText w:val="（%1）"/>
      <w:lvlJc w:val="left"/>
    </w:lvl>
  </w:abstractNum>
  <w:abstractNum w:abstractNumId="11">
    <w:nsid w:val="0000000A"/>
    <w:multiLevelType w:val="multilevel"/>
    <w:tmpl w:val="0000000A"/>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0000000B"/>
    <w:multiLevelType w:val="singleLevel"/>
    <w:tmpl w:val="0000000B"/>
    <w:lvl w:ilvl="0" w:tentative="0">
      <w:start w:val="1"/>
      <w:numFmt w:val="chineseCounting"/>
      <w:pStyle w:val="18"/>
      <w:suff w:val="nothing"/>
      <w:lvlText w:val="%1、"/>
      <w:lvlJc w:val="left"/>
      <w:pPr>
        <w:tabs>
          <w:tab w:val="left" w:pos="0"/>
        </w:tabs>
        <w:ind w:left="0" w:firstLine="0"/>
      </w:pPr>
      <w:rPr>
        <w:rFonts w:hint="eastAsia" w:ascii="黑体" w:hAnsi="黑体" w:eastAsia="黑体" w:cs="黑体"/>
        <w:sz w:val="30"/>
        <w:szCs w:val="30"/>
      </w:rPr>
    </w:lvl>
  </w:abstractNum>
  <w:abstractNum w:abstractNumId="13">
    <w:nsid w:val="0000000C"/>
    <w:multiLevelType w:val="singleLevel"/>
    <w:tmpl w:val="0000000C"/>
    <w:lvl w:ilvl="0" w:tentative="0">
      <w:start w:val="1"/>
      <w:numFmt w:val="chineseCounting"/>
      <w:pStyle w:val="104"/>
      <w:suff w:val="nothing"/>
      <w:lvlText w:val="（%1）"/>
      <w:lvlJc w:val="left"/>
      <w:pPr>
        <w:ind w:left="0" w:firstLine="420"/>
      </w:pPr>
      <w:rPr>
        <w:rFonts w:hint="eastAsia"/>
      </w:rPr>
    </w:lvl>
  </w:abstractNum>
  <w:abstractNum w:abstractNumId="14">
    <w:nsid w:val="6E321348"/>
    <w:multiLevelType w:val="singleLevel"/>
    <w:tmpl w:val="6E321348"/>
    <w:lvl w:ilvl="0" w:tentative="0">
      <w:start w:val="2"/>
      <w:numFmt w:val="decimal"/>
      <w:suff w:val="nothing"/>
      <w:lvlText w:val="（%1）"/>
      <w:lvlJc w:val="left"/>
    </w:lvl>
  </w:abstractNum>
  <w:num w:numId="1">
    <w:abstractNumId w:val="12"/>
  </w:num>
  <w:num w:numId="2">
    <w:abstractNumId w:val="9"/>
  </w:num>
  <w:num w:numId="3">
    <w:abstractNumId w:val="6"/>
  </w:num>
  <w:num w:numId="4">
    <w:abstractNumId w:val="2"/>
  </w:num>
  <w:num w:numId="5">
    <w:abstractNumId w:val="13"/>
  </w:num>
  <w:num w:numId="6">
    <w:abstractNumId w:val="1"/>
  </w:num>
  <w:num w:numId="7">
    <w:abstractNumId w:val="5"/>
  </w:num>
  <w:num w:numId="8">
    <w:abstractNumId w:val="4"/>
  </w:num>
  <w:num w:numId="9">
    <w:abstractNumId w:val="10"/>
  </w:num>
  <w:num w:numId="10">
    <w:abstractNumId w:val="0"/>
  </w:num>
  <w:num w:numId="11">
    <w:abstractNumId w:val="14"/>
  </w:num>
  <w:num w:numId="12">
    <w:abstractNumId w:val="3"/>
  </w:num>
  <w:num w:numId="13">
    <w:abstractNumId w:val="11"/>
  </w:num>
  <w:num w:numId="14">
    <w:abstractNumId w:val="7"/>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71EA6"/>
    <w:rsid w:val="00847DE1"/>
    <w:rsid w:val="00AF0969"/>
    <w:rsid w:val="00D207D4"/>
    <w:rsid w:val="01080A80"/>
    <w:rsid w:val="04842AA6"/>
    <w:rsid w:val="051D6672"/>
    <w:rsid w:val="05B222AB"/>
    <w:rsid w:val="05F652DD"/>
    <w:rsid w:val="05FA70D2"/>
    <w:rsid w:val="06B222FA"/>
    <w:rsid w:val="07F876A6"/>
    <w:rsid w:val="07FD1117"/>
    <w:rsid w:val="096D0B4C"/>
    <w:rsid w:val="0AB24B33"/>
    <w:rsid w:val="0ABF4017"/>
    <w:rsid w:val="0AC142BF"/>
    <w:rsid w:val="0B2E37BD"/>
    <w:rsid w:val="0CDC3332"/>
    <w:rsid w:val="0E83091E"/>
    <w:rsid w:val="0F955B67"/>
    <w:rsid w:val="0FE268D2"/>
    <w:rsid w:val="10617AAA"/>
    <w:rsid w:val="118E7D16"/>
    <w:rsid w:val="11F72B09"/>
    <w:rsid w:val="14EE2E80"/>
    <w:rsid w:val="15574843"/>
    <w:rsid w:val="15702134"/>
    <w:rsid w:val="160F1472"/>
    <w:rsid w:val="163C4F94"/>
    <w:rsid w:val="164B51D1"/>
    <w:rsid w:val="1666516D"/>
    <w:rsid w:val="17487963"/>
    <w:rsid w:val="183C05A0"/>
    <w:rsid w:val="19322678"/>
    <w:rsid w:val="19641A35"/>
    <w:rsid w:val="19D11127"/>
    <w:rsid w:val="1C505464"/>
    <w:rsid w:val="1CA131B1"/>
    <w:rsid w:val="1CC6131B"/>
    <w:rsid w:val="1D9B4C90"/>
    <w:rsid w:val="1DA769B6"/>
    <w:rsid w:val="1ED97B71"/>
    <w:rsid w:val="20E64474"/>
    <w:rsid w:val="22671A17"/>
    <w:rsid w:val="22D7213E"/>
    <w:rsid w:val="242C50DA"/>
    <w:rsid w:val="24835341"/>
    <w:rsid w:val="248916EC"/>
    <w:rsid w:val="26376EF7"/>
    <w:rsid w:val="264C210C"/>
    <w:rsid w:val="27667DCC"/>
    <w:rsid w:val="27726A1E"/>
    <w:rsid w:val="279674DE"/>
    <w:rsid w:val="282C5A6C"/>
    <w:rsid w:val="283E2537"/>
    <w:rsid w:val="2880357F"/>
    <w:rsid w:val="28C80903"/>
    <w:rsid w:val="28D177B8"/>
    <w:rsid w:val="2916341D"/>
    <w:rsid w:val="29E33E45"/>
    <w:rsid w:val="29EC23D0"/>
    <w:rsid w:val="2A0147A7"/>
    <w:rsid w:val="2BF2650F"/>
    <w:rsid w:val="2C49559D"/>
    <w:rsid w:val="2D8860FE"/>
    <w:rsid w:val="2D8960CC"/>
    <w:rsid w:val="2DD913D3"/>
    <w:rsid w:val="2E375014"/>
    <w:rsid w:val="2E833716"/>
    <w:rsid w:val="2E975000"/>
    <w:rsid w:val="300D1453"/>
    <w:rsid w:val="300F471A"/>
    <w:rsid w:val="30113708"/>
    <w:rsid w:val="31F148A9"/>
    <w:rsid w:val="34166236"/>
    <w:rsid w:val="3597478C"/>
    <w:rsid w:val="36273D89"/>
    <w:rsid w:val="372028A9"/>
    <w:rsid w:val="374724FA"/>
    <w:rsid w:val="38066C9F"/>
    <w:rsid w:val="38F44C88"/>
    <w:rsid w:val="3AB056A8"/>
    <w:rsid w:val="3B676AB9"/>
    <w:rsid w:val="3EA07008"/>
    <w:rsid w:val="41314E40"/>
    <w:rsid w:val="45062BB7"/>
    <w:rsid w:val="451962CB"/>
    <w:rsid w:val="45F621B4"/>
    <w:rsid w:val="460658B3"/>
    <w:rsid w:val="465776FE"/>
    <w:rsid w:val="46694233"/>
    <w:rsid w:val="466B4B97"/>
    <w:rsid w:val="470C2B60"/>
    <w:rsid w:val="473229DA"/>
    <w:rsid w:val="47CE68F7"/>
    <w:rsid w:val="4876582E"/>
    <w:rsid w:val="48BB4E68"/>
    <w:rsid w:val="48BC1E9C"/>
    <w:rsid w:val="49426A1B"/>
    <w:rsid w:val="4A773146"/>
    <w:rsid w:val="4B661B8A"/>
    <w:rsid w:val="4C112F96"/>
    <w:rsid w:val="4CAA2E00"/>
    <w:rsid w:val="4CAB7478"/>
    <w:rsid w:val="4D8B4C3B"/>
    <w:rsid w:val="4DC82688"/>
    <w:rsid w:val="4F947AD3"/>
    <w:rsid w:val="516949E0"/>
    <w:rsid w:val="52291B0B"/>
    <w:rsid w:val="52687CEA"/>
    <w:rsid w:val="528F795D"/>
    <w:rsid w:val="52C5261D"/>
    <w:rsid w:val="576E512A"/>
    <w:rsid w:val="57A810F6"/>
    <w:rsid w:val="57B343A9"/>
    <w:rsid w:val="586D09FC"/>
    <w:rsid w:val="59195206"/>
    <w:rsid w:val="597136B9"/>
    <w:rsid w:val="59C93BBE"/>
    <w:rsid w:val="5A3B26B8"/>
    <w:rsid w:val="5B911195"/>
    <w:rsid w:val="5BBC4335"/>
    <w:rsid w:val="5CF6526E"/>
    <w:rsid w:val="5D7364B0"/>
    <w:rsid w:val="5EAE7678"/>
    <w:rsid w:val="5F7C16CC"/>
    <w:rsid w:val="5FF27A39"/>
    <w:rsid w:val="607C67F7"/>
    <w:rsid w:val="627A3DC5"/>
    <w:rsid w:val="62B664C6"/>
    <w:rsid w:val="62DE3B28"/>
    <w:rsid w:val="640E7EF8"/>
    <w:rsid w:val="64295B95"/>
    <w:rsid w:val="652C70D8"/>
    <w:rsid w:val="65493C57"/>
    <w:rsid w:val="65F85430"/>
    <w:rsid w:val="66230E68"/>
    <w:rsid w:val="66623B51"/>
    <w:rsid w:val="6819145F"/>
    <w:rsid w:val="684F7B83"/>
    <w:rsid w:val="68614E91"/>
    <w:rsid w:val="6870599E"/>
    <w:rsid w:val="68923B67"/>
    <w:rsid w:val="69C563A0"/>
    <w:rsid w:val="6B804EC3"/>
    <w:rsid w:val="6C06043D"/>
    <w:rsid w:val="6C786B6E"/>
    <w:rsid w:val="6CE85614"/>
    <w:rsid w:val="6D6E4BDF"/>
    <w:rsid w:val="6E641B01"/>
    <w:rsid w:val="6EAD6662"/>
    <w:rsid w:val="6EFF1BF2"/>
    <w:rsid w:val="6FCB2A1F"/>
    <w:rsid w:val="6FD66A2F"/>
    <w:rsid w:val="701D62E9"/>
    <w:rsid w:val="70464D93"/>
    <w:rsid w:val="71A752F0"/>
    <w:rsid w:val="71BC1FED"/>
    <w:rsid w:val="71C12F3C"/>
    <w:rsid w:val="71EF6E24"/>
    <w:rsid w:val="72026615"/>
    <w:rsid w:val="73FF44E9"/>
    <w:rsid w:val="75C963EC"/>
    <w:rsid w:val="77C3210C"/>
    <w:rsid w:val="7A3318CD"/>
    <w:rsid w:val="7A5D0673"/>
    <w:rsid w:val="7AB24720"/>
    <w:rsid w:val="7C565F1D"/>
    <w:rsid w:val="7CD2057E"/>
    <w:rsid w:val="7CEE6886"/>
    <w:rsid w:val="7D3D235A"/>
    <w:rsid w:val="7DE93DD1"/>
    <w:rsid w:val="7F3931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18">
    <w:name w:val="heading 1"/>
    <w:basedOn w:val="1"/>
    <w:next w:val="1"/>
    <w:qFormat/>
    <w:uiPriority w:val="0"/>
    <w:pPr>
      <w:keepNext/>
      <w:keepLines/>
      <w:numPr>
        <w:ilvl w:val="0"/>
        <w:numId w:val="1"/>
      </w:numPr>
      <w:jc w:val="center"/>
      <w:outlineLvl w:val="0"/>
    </w:pPr>
    <w:rPr>
      <w:rFonts w:eastAsia="黑体" w:cs="宋体"/>
      <w:color w:val="000000"/>
      <w:kern w:val="44"/>
      <w:sz w:val="30"/>
      <w:szCs w:val="30"/>
    </w:rPr>
  </w:style>
  <w:style w:type="paragraph" w:styleId="19">
    <w:name w:val="heading 2"/>
    <w:basedOn w:val="1"/>
    <w:next w:val="1"/>
    <w:qFormat/>
    <w:uiPriority w:val="0"/>
    <w:pPr>
      <w:keepNext/>
      <w:numPr>
        <w:ilvl w:val="1"/>
        <w:numId w:val="2"/>
      </w:numPr>
      <w:tabs>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10">
    <w:name w:val="heading 3"/>
    <w:basedOn w:val="1"/>
    <w:next w:val="1"/>
    <w:qFormat/>
    <w:uiPriority w:val="0"/>
    <w:pPr>
      <w:keepNext/>
      <w:keepLines/>
      <w:numPr>
        <w:ilvl w:val="2"/>
        <w:numId w:val="2"/>
      </w:numPr>
      <w:tabs>
        <w:tab w:val="clear" w:pos="0"/>
      </w:tabs>
      <w:ind w:firstLine="1440" w:firstLineChars="200"/>
      <w:outlineLvl w:val="2"/>
    </w:pPr>
    <w:rPr>
      <w:b/>
      <w:bCs/>
      <w:color w:val="000000"/>
    </w:rPr>
  </w:style>
  <w:style w:type="paragraph" w:styleId="20">
    <w:name w:val="heading 4"/>
    <w:basedOn w:val="1"/>
    <w:next w:val="1"/>
    <w:qFormat/>
    <w:uiPriority w:val="0"/>
    <w:pPr>
      <w:keepNext/>
      <w:keepLines/>
      <w:numPr>
        <w:ilvl w:val="3"/>
        <w:numId w:val="2"/>
      </w:numPr>
      <w:tabs>
        <w:tab w:val="clear" w:pos="0"/>
      </w:tabs>
      <w:ind w:left="0" w:firstLine="1440" w:firstLineChars="200"/>
      <w:outlineLvl w:val="3"/>
    </w:pPr>
    <w:rPr>
      <w:b/>
      <w:bCs/>
      <w:color w:val="000000"/>
      <w:szCs w:val="28"/>
    </w:rPr>
  </w:style>
  <w:style w:type="paragraph" w:styleId="21">
    <w:name w:val="heading 5"/>
    <w:next w:val="1"/>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22">
    <w:name w:val="heading 6"/>
    <w:basedOn w:val="1"/>
    <w:next w:val="1"/>
    <w:qFormat/>
    <w:uiPriority w:val="0"/>
    <w:pPr>
      <w:keepNext/>
      <w:keepLines/>
      <w:numPr>
        <w:ilvl w:val="5"/>
        <w:numId w:val="2"/>
      </w:numPr>
      <w:ind w:firstLine="1440" w:firstLineChars="200"/>
      <w:outlineLvl w:val="5"/>
    </w:pPr>
    <w:rPr>
      <w:szCs w:val="21"/>
    </w:rPr>
  </w:style>
  <w:style w:type="character" w:default="1" w:styleId="48">
    <w:name w:val="Default Paragraph Font"/>
    <w:qFormat/>
    <w:uiPriority w:val="1"/>
  </w:style>
  <w:style w:type="table" w:default="1" w:styleId="46">
    <w:name w:val="Normal Table"/>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pPr>
    <w:rPr>
      <w:rFonts w:hAnsi="Times New Roman" w:cs="宋体"/>
      <w:color w:val="000000"/>
    </w:rPr>
  </w:style>
  <w:style w:type="paragraph" w:customStyle="1" w:styleId="3">
    <w:name w:val="纯文本1"/>
    <w:basedOn w:val="1"/>
    <w:next w:val="1"/>
    <w:qFormat/>
    <w:uiPriority w:val="0"/>
    <w:pPr>
      <w:adjustRightInd w:val="0"/>
    </w:pPr>
    <w:rPr>
      <w:rFonts w:ascii="宋体" w:hAnsi="Courier New"/>
    </w:rPr>
  </w:style>
  <w:style w:type="paragraph" w:customStyle="1" w:styleId="4">
    <w:name w:val="样式35"/>
    <w:basedOn w:val="5"/>
    <w:next w:val="11"/>
    <w:qFormat/>
    <w:uiPriority w:val="0"/>
    <w:pPr>
      <w:tabs>
        <w:tab w:val="left" w:pos="0"/>
        <w:tab w:val="left" w:pos="360"/>
        <w:tab w:val="left" w:pos="540"/>
        <w:tab w:val="left" w:pos="567"/>
        <w:tab w:val="left" w:pos="4140"/>
      </w:tabs>
      <w:spacing w:line="312" w:lineRule="auto"/>
      <w:ind w:firstLine="567"/>
    </w:pPr>
  </w:style>
  <w:style w:type="paragraph" w:customStyle="1" w:styleId="5">
    <w:name w:val="样式26"/>
    <w:basedOn w:val="6"/>
    <w:qFormat/>
    <w:uiPriority w:val="0"/>
    <w:pPr>
      <w:tabs>
        <w:tab w:val="left" w:pos="0"/>
        <w:tab w:val="left" w:pos="360"/>
        <w:tab w:val="left" w:pos="540"/>
        <w:tab w:val="left" w:pos="567"/>
        <w:tab w:val="left" w:pos="4140"/>
      </w:tabs>
    </w:pPr>
  </w:style>
  <w:style w:type="paragraph" w:customStyle="1" w:styleId="6">
    <w:name w:val="样式21"/>
    <w:basedOn w:val="7"/>
    <w:qFormat/>
    <w:uiPriority w:val="0"/>
    <w:pPr>
      <w:tabs>
        <w:tab w:val="left" w:pos="0"/>
        <w:tab w:val="left" w:pos="360"/>
        <w:tab w:val="left" w:pos="567"/>
        <w:tab w:val="left" w:pos="4140"/>
      </w:tabs>
      <w:ind w:hanging="992"/>
    </w:pPr>
  </w:style>
  <w:style w:type="paragraph" w:customStyle="1" w:styleId="7">
    <w:name w:val="样式5"/>
    <w:basedOn w:val="8"/>
    <w:qFormat/>
    <w:uiPriority w:val="0"/>
    <w:pPr>
      <w:tabs>
        <w:tab w:val="left" w:pos="0"/>
        <w:tab w:val="left" w:pos="360"/>
        <w:tab w:val="left" w:pos="4140"/>
      </w:tabs>
      <w:ind w:right="-105" w:rightChars="-50"/>
      <w:jc w:val="center"/>
    </w:pPr>
    <w:rPr>
      <w:rFonts w:ascii="宋体"/>
      <w:sz w:val="21"/>
    </w:rPr>
  </w:style>
  <w:style w:type="paragraph" w:customStyle="1" w:styleId="8">
    <w:name w:val="样式12"/>
    <w:basedOn w:val="9"/>
    <w:qFormat/>
    <w:uiPriority w:val="0"/>
    <w:pPr>
      <w:keepNext/>
      <w:keepLines/>
      <w:tabs>
        <w:tab w:val="left" w:pos="0"/>
        <w:tab w:val="left" w:pos="360"/>
        <w:tab w:val="left" w:pos="4140"/>
      </w:tabs>
      <w:spacing w:beforeLines="50" w:afterLines="50"/>
      <w:ind w:left="567" w:hanging="567"/>
      <w:outlineLvl w:val="1"/>
    </w:pPr>
    <w:rPr>
      <w:rFonts w:eastAsia="MS Mincho"/>
      <w:kern w:val="0"/>
      <w:sz w:val="28"/>
      <w:szCs w:val="28"/>
    </w:rPr>
  </w:style>
  <w:style w:type="paragraph" w:customStyle="1" w:styleId="9">
    <w:name w:val="样式 标题 3标题 3 Char标题3H3h33rd level第二层条三级标题ReHead 3 WSA头..."/>
    <w:basedOn w:val="10"/>
    <w:qFormat/>
    <w:uiPriority w:val="0"/>
    <w:pPr>
      <w:ind w:left="4140" w:hanging="720"/>
    </w:pPr>
    <w:rPr>
      <w:rFonts w:eastAsia="黑体"/>
      <w:color w:val="FF0000"/>
    </w:rPr>
  </w:style>
  <w:style w:type="paragraph" w:customStyle="1" w:styleId="11">
    <w:name w:val="font6"/>
    <w:basedOn w:val="1"/>
    <w:next w:val="12"/>
    <w:qFormat/>
    <w:uiPriority w:val="0"/>
    <w:pPr>
      <w:widowControl/>
      <w:spacing w:before="280" w:after="280"/>
    </w:pPr>
    <w:rPr>
      <w:sz w:val="21"/>
    </w:rPr>
  </w:style>
  <w:style w:type="paragraph" w:styleId="12">
    <w:name w:val="toc 2"/>
    <w:basedOn w:val="1"/>
    <w:next w:val="13"/>
    <w:qFormat/>
    <w:uiPriority w:val="0"/>
    <w:pPr>
      <w:ind w:left="420" w:leftChars="200"/>
    </w:pPr>
  </w:style>
  <w:style w:type="paragraph" w:styleId="13">
    <w:name w:val="E-mail Signature"/>
    <w:basedOn w:val="1"/>
    <w:next w:val="14"/>
    <w:qFormat/>
    <w:uiPriority w:val="0"/>
    <w:pPr>
      <w:spacing w:line="460" w:lineRule="exact"/>
      <w:ind w:firstLine="200"/>
    </w:pPr>
  </w:style>
  <w:style w:type="paragraph" w:customStyle="1" w:styleId="14">
    <w:name w:val="文章"/>
    <w:basedOn w:val="15"/>
    <w:next w:val="17"/>
    <w:qFormat/>
    <w:uiPriority w:val="0"/>
    <w:pPr>
      <w:widowControl/>
      <w:ind w:firstLine="480"/>
      <w:jc w:val="center"/>
    </w:pPr>
    <w:rPr>
      <w:sz w:val="26"/>
    </w:rPr>
  </w:style>
  <w:style w:type="paragraph" w:styleId="15">
    <w:name w:val="Body Text Indent"/>
    <w:basedOn w:val="1"/>
    <w:next w:val="16"/>
    <w:qFormat/>
    <w:uiPriority w:val="0"/>
    <w:pPr>
      <w:adjustRightInd w:val="0"/>
      <w:spacing w:after="120"/>
      <w:ind w:left="420" w:leftChars="200"/>
      <w:textAlignment w:val="baseline"/>
    </w:pPr>
    <w:rPr>
      <w:sz w:val="21"/>
      <w:szCs w:val="21"/>
    </w:rPr>
  </w:style>
  <w:style w:type="paragraph" w:styleId="16">
    <w:name w:val="caption"/>
    <w:basedOn w:val="1"/>
    <w:next w:val="1"/>
    <w:link w:val="61"/>
    <w:qFormat/>
    <w:uiPriority w:val="0"/>
    <w:pPr>
      <w:tabs>
        <w:tab w:val="left" w:pos="628"/>
        <w:tab w:val="left" w:pos="993"/>
        <w:tab w:val="left" w:pos="1884"/>
      </w:tabs>
      <w:jc w:val="center"/>
    </w:pPr>
    <w:rPr>
      <w:color w:val="000000"/>
      <w:sz w:val="21"/>
      <w:szCs w:val="21"/>
    </w:rPr>
  </w:style>
  <w:style w:type="paragraph" w:styleId="17">
    <w:name w:val="List"/>
    <w:basedOn w:val="1"/>
    <w:next w:val="1"/>
    <w:qFormat/>
    <w:uiPriority w:val="0"/>
    <w:pPr>
      <w:ind w:left="200" w:hanging="200" w:hangingChars="200"/>
      <w:contextualSpacing/>
    </w:pPr>
  </w:style>
  <w:style w:type="paragraph" w:styleId="23">
    <w:name w:val="List 3"/>
    <w:basedOn w:val="1"/>
    <w:next w:val="1"/>
    <w:qFormat/>
    <w:uiPriority w:val="0"/>
    <w:pPr>
      <w:autoSpaceDE w:val="0"/>
      <w:autoSpaceDN w:val="0"/>
      <w:adjustRightInd w:val="0"/>
      <w:spacing w:line="288" w:lineRule="auto"/>
      <w:ind w:left="1260" w:hanging="420"/>
      <w:jc w:val="left"/>
      <w:textAlignment w:val="baseline"/>
    </w:pPr>
    <w:rPr>
      <w:kern w:val="0"/>
      <w:szCs w:val="20"/>
    </w:rPr>
  </w:style>
  <w:style w:type="paragraph" w:styleId="24">
    <w:name w:val="Normal Indent"/>
    <w:basedOn w:val="1"/>
    <w:qFormat/>
    <w:uiPriority w:val="0"/>
    <w:pPr>
      <w:ind w:firstLine="200" w:firstLineChars="200"/>
    </w:pPr>
    <w:rPr>
      <w:sz w:val="21"/>
    </w:rPr>
  </w:style>
  <w:style w:type="paragraph" w:styleId="25">
    <w:name w:val="annotation text"/>
    <w:basedOn w:val="1"/>
    <w:link w:val="87"/>
    <w:qFormat/>
    <w:uiPriority w:val="0"/>
    <w:pPr>
      <w:jc w:val="left"/>
    </w:pPr>
    <w:rPr>
      <w:kern w:val="0"/>
      <w:szCs w:val="20"/>
    </w:rPr>
  </w:style>
  <w:style w:type="paragraph" w:styleId="26">
    <w:name w:val="Body Text"/>
    <w:basedOn w:val="1"/>
    <w:next w:val="27"/>
    <w:qFormat/>
    <w:uiPriority w:val="0"/>
    <w:pPr>
      <w:wordWrap w:val="0"/>
      <w:ind w:firstLine="1440" w:firstLineChars="200"/>
    </w:pPr>
    <w:rPr>
      <w:color w:val="000000"/>
    </w:rPr>
  </w:style>
  <w:style w:type="paragraph" w:styleId="27">
    <w:name w:val="List Bullet 5"/>
    <w:basedOn w:val="1"/>
    <w:qFormat/>
    <w:uiPriority w:val="0"/>
    <w:pPr>
      <w:numPr>
        <w:ilvl w:val="0"/>
        <w:numId w:val="3"/>
      </w:numPr>
    </w:pPr>
  </w:style>
  <w:style w:type="paragraph" w:styleId="28">
    <w:name w:val="List 2"/>
    <w:basedOn w:val="1"/>
    <w:qFormat/>
    <w:uiPriority w:val="0"/>
    <w:rPr>
      <w:rFonts w:ascii="楷体_GB2312" w:hAnsi="宋体" w:eastAsia="楷体_GB2312"/>
      <w:color w:val="000000"/>
      <w:szCs w:val="28"/>
    </w:rPr>
  </w:style>
  <w:style w:type="paragraph" w:styleId="29">
    <w:name w:val="List Bullet 2"/>
    <w:basedOn w:val="1"/>
    <w:next w:val="30"/>
    <w:qFormat/>
    <w:uiPriority w:val="0"/>
    <w:pPr>
      <w:numPr>
        <w:ilvl w:val="0"/>
        <w:numId w:val="4"/>
      </w:numPr>
    </w:pPr>
  </w:style>
  <w:style w:type="paragraph" w:customStyle="1" w:styleId="30">
    <w:name w:val="xl70"/>
    <w:basedOn w:val="1"/>
    <w:next w:val="31"/>
    <w:qFormat/>
    <w:uiPriority w:val="0"/>
    <w:pPr>
      <w:widowControl/>
      <w:spacing w:before="280" w:after="280" w:line="240" w:lineRule="auto"/>
    </w:pPr>
    <w:rPr>
      <w:rFonts w:ascii="宋体"/>
    </w:rPr>
  </w:style>
  <w:style w:type="paragraph" w:customStyle="1" w:styleId="31">
    <w:name w:val="正文缩进1"/>
    <w:basedOn w:val="1"/>
    <w:next w:val="32"/>
    <w:qFormat/>
    <w:uiPriority w:val="0"/>
    <w:pPr>
      <w:spacing w:line="312" w:lineRule="atLeast"/>
      <w:textAlignment w:val="baseline"/>
    </w:pPr>
    <w:rPr>
      <w:kern w:val="0"/>
      <w:sz w:val="28"/>
      <w:szCs w:val="20"/>
    </w:rPr>
  </w:style>
  <w:style w:type="paragraph" w:customStyle="1" w:styleId="32">
    <w:name w:val="td1"/>
    <w:basedOn w:val="1"/>
    <w:next w:val="1"/>
    <w:qFormat/>
    <w:uiPriority w:val="0"/>
    <w:pPr>
      <w:widowControl/>
      <w:spacing w:before="280" w:after="280" w:line="300" w:lineRule="atLeast"/>
      <w:ind w:firstLine="200"/>
    </w:pPr>
    <w:rPr>
      <w:color w:val="000000"/>
      <w:sz w:val="18"/>
    </w:rPr>
  </w:style>
  <w:style w:type="paragraph" w:styleId="33">
    <w:name w:val="Plain Text"/>
    <w:basedOn w:val="1"/>
    <w:qFormat/>
    <w:uiPriority w:val="0"/>
    <w:rPr>
      <w:rFonts w:ascii="宋体" w:hAnsi="Courier New"/>
      <w:sz w:val="20"/>
      <w:szCs w:val="20"/>
    </w:rPr>
  </w:style>
  <w:style w:type="paragraph" w:styleId="34">
    <w:name w:val="Body Text Indent 2"/>
    <w:basedOn w:val="1"/>
    <w:next w:val="1"/>
    <w:qFormat/>
    <w:uiPriority w:val="0"/>
    <w:pPr>
      <w:spacing w:after="120" w:line="480" w:lineRule="auto"/>
      <w:ind w:left="420" w:leftChars="200"/>
    </w:pPr>
  </w:style>
  <w:style w:type="paragraph" w:styleId="35">
    <w:name w:val="Balloon Text"/>
    <w:basedOn w:val="1"/>
    <w:qFormat/>
    <w:uiPriority w:val="0"/>
    <w:rPr>
      <w:kern w:val="0"/>
      <w:sz w:val="18"/>
      <w:szCs w:val="20"/>
    </w:rPr>
  </w:style>
  <w:style w:type="paragraph" w:styleId="36">
    <w:name w:val="footer"/>
    <w:basedOn w:val="1"/>
    <w:qFormat/>
    <w:uiPriority w:val="0"/>
    <w:pPr>
      <w:tabs>
        <w:tab w:val="center" w:pos="4153"/>
        <w:tab w:val="right" w:pos="8306"/>
      </w:tabs>
      <w:snapToGrid w:val="0"/>
      <w:jc w:val="left"/>
    </w:pPr>
    <w:rPr>
      <w:sz w:val="18"/>
    </w:rPr>
  </w:style>
  <w:style w:type="paragraph" w:styleId="3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8">
    <w:name w:val="toc 1"/>
    <w:basedOn w:val="1"/>
    <w:next w:val="1"/>
    <w:qFormat/>
    <w:uiPriority w:val="0"/>
  </w:style>
  <w:style w:type="paragraph" w:styleId="39">
    <w:name w:val="Subtitle"/>
    <w:basedOn w:val="1"/>
    <w:next w:val="1"/>
    <w:qFormat/>
    <w:uiPriority w:val="0"/>
    <w:pPr>
      <w:ind w:firstLine="200" w:firstLineChars="200"/>
      <w:outlineLvl w:val="1"/>
    </w:pPr>
    <w:rPr>
      <w:bCs/>
      <w:kern w:val="28"/>
      <w:szCs w:val="32"/>
    </w:rPr>
  </w:style>
  <w:style w:type="paragraph" w:styleId="40">
    <w:name w:val="Body Text Indent 3"/>
    <w:basedOn w:val="1"/>
    <w:qFormat/>
    <w:uiPriority w:val="99"/>
    <w:pPr>
      <w:snapToGrid w:val="0"/>
      <w:spacing w:line="480" w:lineRule="exact"/>
      <w:ind w:firstLine="535" w:firstLineChars="191"/>
    </w:pPr>
    <w:rPr>
      <w:sz w:val="28"/>
    </w:rPr>
  </w:style>
  <w:style w:type="paragraph" w:styleId="41">
    <w:name w:val="table of figures"/>
    <w:basedOn w:val="1"/>
    <w:next w:val="1"/>
    <w:qFormat/>
    <w:uiPriority w:val="0"/>
    <w:pPr>
      <w:ind w:left="200" w:leftChars="200" w:hanging="200" w:hangingChars="200"/>
    </w:pPr>
  </w:style>
  <w:style w:type="paragraph" w:styleId="42">
    <w:name w:val="Normal (Web)"/>
    <w:basedOn w:val="1"/>
    <w:qFormat/>
    <w:uiPriority w:val="0"/>
    <w:pPr>
      <w:spacing w:before="100" w:beforeAutospacing="1" w:after="100" w:afterAutospacing="1"/>
      <w:jc w:val="left"/>
    </w:pPr>
    <w:rPr>
      <w:kern w:val="0"/>
    </w:rPr>
  </w:style>
  <w:style w:type="paragraph" w:styleId="43">
    <w:name w:val="annotation subject"/>
    <w:basedOn w:val="25"/>
    <w:next w:val="25"/>
    <w:link w:val="88"/>
    <w:qFormat/>
    <w:uiPriority w:val="0"/>
    <w:rPr>
      <w:b/>
      <w:bCs/>
      <w:kern w:val="2"/>
      <w:szCs w:val="24"/>
    </w:rPr>
  </w:style>
  <w:style w:type="paragraph" w:styleId="44">
    <w:name w:val="Body Text First Indent"/>
    <w:basedOn w:val="26"/>
    <w:next w:val="1"/>
    <w:qFormat/>
    <w:uiPriority w:val="0"/>
    <w:pPr>
      <w:spacing w:after="120"/>
      <w:ind w:firstLine="420" w:firstLineChars="100"/>
      <w:jc w:val="both"/>
    </w:pPr>
    <w:rPr>
      <w:rFonts w:ascii="Times New Roman" w:hAnsi="Times New Roman" w:eastAsia="宋体" w:cs="Times New Roman"/>
    </w:rPr>
  </w:style>
  <w:style w:type="paragraph" w:styleId="45">
    <w:name w:val="Body Text First Indent 2"/>
    <w:basedOn w:val="15"/>
    <w:next w:val="1"/>
    <w:qFormat/>
    <w:uiPriority w:val="0"/>
    <w:pPr>
      <w:widowControl/>
      <w:adjustRightInd/>
      <w:ind w:firstLine="420"/>
      <w:jc w:val="left"/>
      <w:textAlignment w:val="auto"/>
    </w:pPr>
    <w:rPr>
      <w:kern w:val="0"/>
      <w:sz w:val="28"/>
      <w:szCs w:val="20"/>
    </w:rPr>
  </w:style>
  <w:style w:type="table" w:styleId="47">
    <w:name w:val="Table Grid"/>
    <w:basedOn w:val="4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9">
    <w:name w:val="Strong"/>
    <w:basedOn w:val="48"/>
    <w:qFormat/>
    <w:uiPriority w:val="0"/>
    <w:rPr>
      <w:b/>
    </w:rPr>
  </w:style>
  <w:style w:type="character" w:styleId="50">
    <w:name w:val="Hyperlink"/>
    <w:basedOn w:val="48"/>
    <w:qFormat/>
    <w:uiPriority w:val="0"/>
    <w:rPr>
      <w:color w:val="0000FF"/>
      <w:u w:val="single"/>
    </w:rPr>
  </w:style>
  <w:style w:type="character" w:styleId="51">
    <w:name w:val="annotation reference"/>
    <w:basedOn w:val="48"/>
    <w:qFormat/>
    <w:uiPriority w:val="0"/>
    <w:rPr>
      <w:sz w:val="21"/>
      <w:szCs w:val="21"/>
    </w:rPr>
  </w:style>
  <w:style w:type="paragraph" w:customStyle="1" w:styleId="52">
    <w:name w:val="图表名称"/>
    <w:basedOn w:val="44"/>
    <w:next w:val="53"/>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customStyle="1" w:styleId="53">
    <w:name w:val="报告正文"/>
    <w:basedOn w:val="1"/>
    <w:qFormat/>
    <w:uiPriority w:val="0"/>
    <w:pPr>
      <w:ind w:firstLine="480" w:firstLineChars="200"/>
    </w:pPr>
  </w:style>
  <w:style w:type="paragraph" w:customStyle="1" w:styleId="54">
    <w:name w:val="表 内容"/>
    <w:basedOn w:val="1"/>
    <w:qFormat/>
    <w:uiPriority w:val="0"/>
    <w:pPr>
      <w:adjustRightInd w:val="0"/>
      <w:snapToGrid w:val="0"/>
      <w:spacing w:beforeLines="15"/>
      <w:jc w:val="center"/>
    </w:pPr>
    <w:rPr>
      <w:kern w:val="0"/>
      <w:sz w:val="20"/>
      <w:szCs w:val="21"/>
    </w:rPr>
  </w:style>
  <w:style w:type="paragraph" w:customStyle="1" w:styleId="55">
    <w:name w:val="6-正文"/>
    <w:basedOn w:val="1"/>
    <w:link w:val="91"/>
    <w:qFormat/>
    <w:uiPriority w:val="0"/>
    <w:rPr>
      <w:szCs w:val="28"/>
    </w:rPr>
  </w:style>
  <w:style w:type="paragraph" w:customStyle="1" w:styleId="56">
    <w:name w:val="flName"/>
    <w:basedOn w:val="1"/>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57">
    <w:name w:val="正文文字 6"/>
    <w:basedOn w:val="58"/>
    <w:next w:val="1"/>
    <w:qFormat/>
    <w:uiPriority w:val="0"/>
    <w:pPr>
      <w:widowControl w:val="0"/>
      <w:ind w:left="240"/>
      <w:jc w:val="both"/>
    </w:pPr>
    <w:rPr>
      <w:rFonts w:ascii="宋体"/>
      <w:b/>
      <w:bCs/>
      <w:sz w:val="32"/>
      <w:szCs w:val="32"/>
    </w:rPr>
  </w:style>
  <w:style w:type="paragraph" w:customStyle="1" w:styleId="58">
    <w:name w:val="图位置"/>
    <w:next w:val="59"/>
    <w:qFormat/>
    <w:uiPriority w:val="0"/>
    <w:pPr>
      <w:jc w:val="center"/>
    </w:pPr>
    <w:rPr>
      <w:rFonts w:ascii="Times New Roman" w:hAnsi="Times New Roman" w:eastAsia="宋体" w:cs="Times New Roman"/>
      <w:kern w:val="2"/>
      <w:sz w:val="24"/>
      <w:szCs w:val="21"/>
      <w:lang w:val="en-US" w:eastAsia="zh-CN" w:bidi="ar-SA"/>
    </w:rPr>
  </w:style>
  <w:style w:type="paragraph" w:customStyle="1" w:styleId="59">
    <w:name w:val="图题"/>
    <w:basedOn w:val="1"/>
    <w:next w:val="1"/>
    <w:qFormat/>
    <w:uiPriority w:val="0"/>
    <w:pPr>
      <w:jc w:val="center"/>
    </w:pPr>
    <w:rPr>
      <w:rFonts w:ascii="宋体" w:hAnsi="宋体" w:eastAsia="黑体"/>
      <w:b/>
    </w:rPr>
  </w:style>
  <w:style w:type="paragraph" w:customStyle="1" w:styleId="60">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61">
    <w:name w:val="题注 字符"/>
    <w:link w:val="16"/>
    <w:qFormat/>
    <w:uiPriority w:val="0"/>
    <w:rPr>
      <w:rFonts w:ascii="Times New Roman" w:hAnsi="Times New Roman"/>
      <w:b/>
      <w:bCs/>
      <w:color w:val="000000"/>
      <w:sz w:val="21"/>
      <w:szCs w:val="21"/>
    </w:rPr>
  </w:style>
  <w:style w:type="paragraph" w:customStyle="1" w:styleId="62">
    <w:name w:val="括号标题"/>
    <w:basedOn w:val="3"/>
    <w:next w:val="57"/>
    <w:qFormat/>
    <w:uiPriority w:val="0"/>
    <w:pPr>
      <w:autoSpaceDE w:val="0"/>
      <w:autoSpaceDN w:val="0"/>
    </w:pPr>
    <w:rPr>
      <w:rFonts w:hAnsi="宋体"/>
      <w:color w:val="000000"/>
    </w:rPr>
  </w:style>
  <w:style w:type="paragraph" w:customStyle="1" w:styleId="63">
    <w:name w:val="J-表格内容（5号+居中）"/>
    <w:basedOn w:val="1"/>
    <w:qFormat/>
    <w:uiPriority w:val="0"/>
    <w:pPr>
      <w:spacing w:line="240" w:lineRule="auto"/>
      <w:jc w:val="center"/>
    </w:pPr>
    <w:rPr>
      <w:sz w:val="21"/>
      <w:szCs w:val="21"/>
    </w:rPr>
  </w:style>
  <w:style w:type="paragraph" w:customStyle="1" w:styleId="64">
    <w:name w:val="表内字"/>
    <w:basedOn w:val="65"/>
    <w:qFormat/>
    <w:uiPriority w:val="0"/>
    <w:pPr>
      <w:autoSpaceDE w:val="0"/>
      <w:autoSpaceDN w:val="0"/>
      <w:spacing w:line="320" w:lineRule="exact"/>
    </w:pPr>
    <w:rPr>
      <w:rFonts w:hAnsi="宋体"/>
      <w:kern w:val="2"/>
      <w:sz w:val="21"/>
      <w:szCs w:val="21"/>
    </w:rPr>
  </w:style>
  <w:style w:type="paragraph" w:customStyle="1" w:styleId="65">
    <w:name w:val="表格"/>
    <w:basedOn w:val="1"/>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6">
    <w:name w:val="表内字1"/>
    <w:basedOn w:val="1"/>
    <w:qFormat/>
    <w:uiPriority w:val="0"/>
    <w:pPr>
      <w:adjustRightInd w:val="0"/>
      <w:snapToGrid w:val="0"/>
      <w:spacing w:line="300" w:lineRule="exact"/>
      <w:jc w:val="center"/>
    </w:pPr>
    <w:rPr>
      <w:rFonts w:ascii="Calibri" w:hAnsi="Calibri"/>
      <w:color w:val="000000"/>
      <w:sz w:val="22"/>
      <w:szCs w:val="21"/>
    </w:rPr>
  </w:style>
  <w:style w:type="paragraph" w:customStyle="1" w:styleId="67">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8">
    <w:name w:val="无间隔1"/>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9">
    <w:name w:val="font61"/>
    <w:basedOn w:val="48"/>
    <w:qFormat/>
    <w:uiPriority w:val="0"/>
    <w:rPr>
      <w:rFonts w:hint="default" w:ascii="Times New Roman" w:hAnsi="Times New Roman" w:cs="Times New Roman"/>
      <w:b/>
      <w:color w:val="000000"/>
      <w:sz w:val="18"/>
      <w:szCs w:val="18"/>
      <w:u w:val="none"/>
    </w:rPr>
  </w:style>
  <w:style w:type="character" w:customStyle="1" w:styleId="70">
    <w:name w:val="font81"/>
    <w:basedOn w:val="48"/>
    <w:qFormat/>
    <w:uiPriority w:val="0"/>
    <w:rPr>
      <w:rFonts w:hint="default" w:ascii="Times New Roman" w:hAnsi="Times New Roman" w:cs="Times New Roman"/>
      <w:b/>
      <w:color w:val="000000"/>
      <w:sz w:val="18"/>
      <w:szCs w:val="18"/>
      <w:u w:val="none"/>
    </w:rPr>
  </w:style>
  <w:style w:type="character" w:customStyle="1" w:styleId="71">
    <w:name w:val="font51"/>
    <w:basedOn w:val="48"/>
    <w:qFormat/>
    <w:uiPriority w:val="0"/>
    <w:rPr>
      <w:rFonts w:hint="eastAsia" w:ascii="宋体" w:hAnsi="宋体" w:eastAsia="宋体" w:cs="宋体"/>
      <w:b/>
      <w:color w:val="000000"/>
      <w:sz w:val="18"/>
      <w:szCs w:val="18"/>
      <w:u w:val="none"/>
    </w:rPr>
  </w:style>
  <w:style w:type="character" w:customStyle="1" w:styleId="72">
    <w:name w:val="font91"/>
    <w:basedOn w:val="48"/>
    <w:qFormat/>
    <w:uiPriority w:val="0"/>
    <w:rPr>
      <w:rFonts w:ascii="Calibri" w:hAnsi="Calibri" w:cs="Calibri"/>
      <w:color w:val="auto"/>
      <w:sz w:val="21"/>
      <w:szCs w:val="21"/>
      <w:u w:val="none"/>
    </w:rPr>
  </w:style>
  <w:style w:type="character" w:customStyle="1" w:styleId="73">
    <w:name w:val="font111"/>
    <w:basedOn w:val="48"/>
    <w:qFormat/>
    <w:uiPriority w:val="0"/>
    <w:rPr>
      <w:rFonts w:hint="default" w:ascii="Times New Roman" w:hAnsi="Times New Roman" w:cs="Times New Roman"/>
      <w:b/>
      <w:color w:val="000000"/>
      <w:sz w:val="18"/>
      <w:szCs w:val="18"/>
      <w:u w:val="none"/>
    </w:rPr>
  </w:style>
  <w:style w:type="character" w:customStyle="1" w:styleId="74">
    <w:name w:val="font101"/>
    <w:basedOn w:val="48"/>
    <w:qFormat/>
    <w:uiPriority w:val="0"/>
    <w:rPr>
      <w:rFonts w:hint="eastAsia" w:ascii="宋体" w:hAnsi="宋体" w:eastAsia="宋体" w:cs="宋体"/>
      <w:b/>
      <w:color w:val="000000"/>
      <w:sz w:val="18"/>
      <w:szCs w:val="18"/>
      <w:u w:val="none"/>
    </w:rPr>
  </w:style>
  <w:style w:type="paragraph" w:customStyle="1" w:styleId="75">
    <w:name w:val="附图附件"/>
    <w:basedOn w:val="1"/>
    <w:qFormat/>
    <w:uiPriority w:val="0"/>
    <w:pPr>
      <w:spacing w:line="240" w:lineRule="auto"/>
      <w:jc w:val="center"/>
      <w:outlineLvl w:val="0"/>
    </w:pPr>
  </w:style>
  <w:style w:type="paragraph" w:customStyle="1" w:styleId="76">
    <w:name w:val="J-表格标题+图片标题（5号+居中）"/>
    <w:basedOn w:val="1"/>
    <w:qFormat/>
    <w:uiPriority w:val="0"/>
    <w:pPr>
      <w:spacing w:line="240" w:lineRule="auto"/>
      <w:jc w:val="center"/>
    </w:pPr>
    <w:rPr>
      <w:b/>
      <w:sz w:val="21"/>
      <w:szCs w:val="21"/>
    </w:rPr>
  </w:style>
  <w:style w:type="paragraph" w:customStyle="1" w:styleId="77">
    <w:name w:val="报告表小标题"/>
    <w:basedOn w:val="1"/>
    <w:qFormat/>
    <w:uiPriority w:val="0"/>
    <w:pPr>
      <w:spacing w:before="100" w:beforeAutospacing="1"/>
    </w:pPr>
    <w:rPr>
      <w:b/>
    </w:rPr>
  </w:style>
  <w:style w:type="character" w:customStyle="1" w:styleId="78">
    <w:name w:val="font21"/>
    <w:basedOn w:val="48"/>
    <w:qFormat/>
    <w:uiPriority w:val="0"/>
    <w:rPr>
      <w:rFonts w:hint="eastAsia" w:ascii="宋体" w:hAnsi="宋体" w:eastAsia="宋体" w:cs="宋体"/>
      <w:b/>
      <w:bCs/>
      <w:color w:val="000000"/>
      <w:sz w:val="21"/>
      <w:szCs w:val="21"/>
      <w:u w:val="none"/>
    </w:rPr>
  </w:style>
  <w:style w:type="character" w:customStyle="1" w:styleId="79">
    <w:name w:val="font11"/>
    <w:basedOn w:val="48"/>
    <w:qFormat/>
    <w:uiPriority w:val="0"/>
    <w:rPr>
      <w:rFonts w:hint="eastAsia" w:ascii="宋体" w:hAnsi="宋体" w:eastAsia="宋体" w:cs="宋体"/>
      <w:color w:val="000000"/>
      <w:sz w:val="21"/>
      <w:szCs w:val="21"/>
      <w:u w:val="none"/>
    </w:rPr>
  </w:style>
  <w:style w:type="character" w:customStyle="1" w:styleId="80">
    <w:name w:val="font41"/>
    <w:basedOn w:val="48"/>
    <w:qFormat/>
    <w:uiPriority w:val="0"/>
    <w:rPr>
      <w:rFonts w:hint="eastAsia" w:ascii="宋体" w:hAnsi="宋体" w:eastAsia="宋体" w:cs="宋体"/>
      <w:color w:val="000000"/>
      <w:sz w:val="21"/>
      <w:szCs w:val="21"/>
      <w:u w:val="none"/>
    </w:rPr>
  </w:style>
  <w:style w:type="paragraph" w:customStyle="1" w:styleId="81">
    <w:name w:val="样式 方正仿宋_GBK 三号 行距: 固定值 28 磅"/>
    <w:basedOn w:val="1"/>
    <w:qFormat/>
    <w:uiPriority w:val="0"/>
    <w:pPr>
      <w:ind w:firstLine="200" w:firstLineChars="200"/>
      <w:jc w:val="left"/>
    </w:pPr>
    <w:rPr>
      <w:rFonts w:ascii="方正仿宋_GBK" w:hAnsi="方正仿宋_GBK" w:cs="宋体"/>
      <w:sz w:val="28"/>
      <w:szCs w:val="20"/>
    </w:rPr>
  </w:style>
  <w:style w:type="paragraph" w:styleId="82">
    <w:name w:val="List Paragraph"/>
    <w:basedOn w:val="1"/>
    <w:qFormat/>
    <w:uiPriority w:val="99"/>
    <w:pPr>
      <w:ind w:firstLine="420" w:firstLineChars="200"/>
    </w:pPr>
  </w:style>
  <w:style w:type="character" w:customStyle="1" w:styleId="83">
    <w:name w:val="fontstyle01"/>
    <w:qFormat/>
    <w:uiPriority w:val="0"/>
    <w:rPr>
      <w:rFonts w:hint="eastAsia" w:ascii="宋体" w:hAnsi="宋体" w:eastAsia="宋体"/>
      <w:color w:val="000000"/>
      <w:sz w:val="24"/>
      <w:szCs w:val="24"/>
    </w:rPr>
  </w:style>
  <w:style w:type="paragraph" w:customStyle="1" w:styleId="84">
    <w:name w:val="HJ-正文"/>
    <w:basedOn w:val="1"/>
    <w:qFormat/>
    <w:uiPriority w:val="0"/>
    <w:pPr>
      <w:ind w:firstLine="480" w:firstLineChars="200"/>
    </w:pPr>
  </w:style>
  <w:style w:type="paragraph" w:customStyle="1" w:styleId="85">
    <w:name w:val="WPSOffice手动目录 1"/>
    <w:qFormat/>
    <w:uiPriority w:val="0"/>
    <w:rPr>
      <w:rFonts w:ascii="Times New Roman" w:hAnsi="Times New Roman" w:eastAsia="宋体" w:cs="Times New Roman"/>
      <w:lang w:val="en-US" w:eastAsia="zh-CN" w:bidi="ar-SA"/>
    </w:rPr>
  </w:style>
  <w:style w:type="paragraph" w:customStyle="1" w:styleId="86">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87">
    <w:name w:val="批注文字 字符"/>
    <w:basedOn w:val="48"/>
    <w:link w:val="25"/>
    <w:qFormat/>
    <w:uiPriority w:val="0"/>
    <w:rPr>
      <w:sz w:val="24"/>
    </w:rPr>
  </w:style>
  <w:style w:type="character" w:customStyle="1" w:styleId="88">
    <w:name w:val="批注主题 字符"/>
    <w:basedOn w:val="87"/>
    <w:link w:val="43"/>
    <w:qFormat/>
    <w:uiPriority w:val="0"/>
    <w:rPr>
      <w:b/>
      <w:bCs/>
      <w:kern w:val="2"/>
      <w:sz w:val="24"/>
      <w:szCs w:val="24"/>
    </w:rPr>
  </w:style>
  <w:style w:type="character" w:customStyle="1" w:styleId="89">
    <w:name w:val="NormalCharacter"/>
    <w:qFormat/>
    <w:uiPriority w:val="0"/>
    <w:rPr>
      <w:rFonts w:ascii="Times New Roman" w:hAnsi="Times New Roman" w:eastAsia="宋体" w:cs="Times New Roman"/>
      <w:kern w:val="2"/>
      <w:sz w:val="24"/>
      <w:szCs w:val="24"/>
      <w:lang w:val="en-US" w:eastAsia="zh-CN" w:bidi="ar-SA"/>
    </w:rPr>
  </w:style>
  <w:style w:type="character" w:customStyle="1" w:styleId="90">
    <w:name w:val="font31"/>
    <w:basedOn w:val="48"/>
    <w:qFormat/>
    <w:uiPriority w:val="0"/>
    <w:rPr>
      <w:rFonts w:hint="default" w:ascii="Times New Roman" w:hAnsi="Times New Roman" w:cs="Times New Roman"/>
      <w:color w:val="000000"/>
      <w:sz w:val="21"/>
      <w:szCs w:val="21"/>
      <w:u w:val="none"/>
    </w:rPr>
  </w:style>
  <w:style w:type="character" w:customStyle="1" w:styleId="91">
    <w:name w:val="6-正文 Char"/>
    <w:link w:val="55"/>
    <w:qFormat/>
    <w:uiPriority w:val="0"/>
    <w:rPr>
      <w:szCs w:val="28"/>
    </w:rPr>
  </w:style>
  <w:style w:type="table" w:customStyle="1" w:styleId="92">
    <w:name w:val="报告书标准表格"/>
    <w:basedOn w:val="46"/>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3">
    <w:name w:val="表格内容"/>
    <w:basedOn w:val="94"/>
    <w:qFormat/>
    <w:uiPriority w:val="0"/>
    <w:rPr>
      <w:sz w:val="21"/>
      <w:szCs w:val="21"/>
    </w:rPr>
  </w:style>
  <w:style w:type="paragraph" w:customStyle="1" w:styleId="94">
    <w:name w:val="表格标题"/>
    <w:basedOn w:val="33"/>
    <w:qFormat/>
    <w:uiPriority w:val="0"/>
    <w:pPr>
      <w:jc w:val="center"/>
    </w:pPr>
    <w:rPr>
      <w:rFonts w:ascii="Times New Roman" w:hAnsi="Times New Roman"/>
      <w:b/>
    </w:rPr>
  </w:style>
  <w:style w:type="character" w:customStyle="1" w:styleId="95">
    <w:name w:val="16"/>
    <w:basedOn w:val="48"/>
    <w:qFormat/>
    <w:uiPriority w:val="0"/>
    <w:rPr>
      <w:rFonts w:hint="default" w:ascii="Times New Roman" w:hAnsi="Times New Roman" w:cs="Times New Roman"/>
      <w:color w:val="000000"/>
      <w:sz w:val="21"/>
      <w:szCs w:val="21"/>
    </w:rPr>
  </w:style>
  <w:style w:type="character" w:customStyle="1" w:styleId="96">
    <w:name w:val="17"/>
    <w:basedOn w:val="48"/>
    <w:qFormat/>
    <w:uiPriority w:val="0"/>
    <w:rPr>
      <w:rFonts w:hint="default" w:ascii="Times New Roman" w:hAnsi="Times New Roman" w:cs="Times New Roman"/>
      <w:color w:val="000000"/>
      <w:sz w:val="21"/>
      <w:szCs w:val="21"/>
      <w:vertAlign w:val="superscript"/>
    </w:rPr>
  </w:style>
  <w:style w:type="character" w:customStyle="1" w:styleId="97">
    <w:name w:val="15"/>
    <w:basedOn w:val="48"/>
    <w:qFormat/>
    <w:uiPriority w:val="0"/>
    <w:rPr>
      <w:rFonts w:hint="eastAsia" w:ascii="宋体" w:hAnsi="宋体" w:eastAsia="宋体"/>
      <w:color w:val="000000"/>
      <w:sz w:val="21"/>
      <w:szCs w:val="21"/>
    </w:rPr>
  </w:style>
  <w:style w:type="paragraph" w:customStyle="1" w:styleId="98">
    <w:name w:val="List Paragraph1"/>
    <w:basedOn w:val="1"/>
    <w:qFormat/>
    <w:uiPriority w:val="34"/>
    <w:pPr>
      <w:widowControl w:val="0"/>
      <w:ind w:firstLine="420" w:firstLineChars="200"/>
      <w:jc w:val="both"/>
    </w:pPr>
    <w:rPr>
      <w:rFonts w:ascii="Calibri" w:hAnsi="Calibri" w:eastAsia="宋体" w:cs="Times New Roman"/>
      <w:kern w:val="2"/>
      <w:sz w:val="21"/>
      <w:szCs w:val="22"/>
    </w:rPr>
  </w:style>
  <w:style w:type="paragraph" w:customStyle="1" w:styleId="99">
    <w:name w:val="图表标题"/>
    <w:basedOn w:val="1"/>
    <w:next w:val="1"/>
    <w:qFormat/>
    <w:uiPriority w:val="0"/>
    <w:pPr>
      <w:jc w:val="center"/>
    </w:pPr>
    <w:rPr>
      <w:b/>
      <w:sz w:val="21"/>
    </w:rPr>
  </w:style>
  <w:style w:type="paragraph" w:customStyle="1" w:styleId="100">
    <w:name w:val="表头"/>
    <w:basedOn w:val="101"/>
    <w:next w:val="1"/>
    <w:qFormat/>
    <w:uiPriority w:val="99"/>
    <w:pPr>
      <w:adjustRightInd w:val="0"/>
      <w:spacing w:beforeLines="50"/>
      <w:ind w:firstLine="200"/>
    </w:pPr>
    <w:rPr>
      <w:szCs w:val="28"/>
    </w:rPr>
  </w:style>
  <w:style w:type="paragraph" w:customStyle="1" w:styleId="101">
    <w:name w:val="表标题"/>
    <w:basedOn w:val="26"/>
    <w:next w:val="26"/>
    <w:qFormat/>
    <w:uiPriority w:val="0"/>
    <w:pPr>
      <w:spacing w:line="500" w:lineRule="exact"/>
      <w:ind w:firstLine="482" w:firstLineChars="200"/>
      <w:jc w:val="center"/>
    </w:pPr>
    <w:rPr>
      <w:rFonts w:ascii="仿宋_GB2312" w:eastAsia="仿宋_GB2312"/>
      <w:b/>
      <w:sz w:val="24"/>
    </w:rPr>
  </w:style>
  <w:style w:type="paragraph" w:customStyle="1" w:styleId="102">
    <w:name w:val="列表段落1"/>
    <w:basedOn w:val="1"/>
    <w:qFormat/>
    <w:uiPriority w:val="99"/>
    <w:pPr>
      <w:spacing w:line="360" w:lineRule="auto"/>
      <w:ind w:firstLine="420" w:firstLineChars="200"/>
    </w:pPr>
    <w:rPr>
      <w:sz w:val="24"/>
      <w:szCs w:val="22"/>
    </w:rPr>
  </w:style>
  <w:style w:type="paragraph" w:customStyle="1" w:styleId="103">
    <w:name w:val="表格内容1"/>
    <w:basedOn w:val="1"/>
    <w:qFormat/>
    <w:uiPriority w:val="0"/>
    <w:pPr>
      <w:adjustRightInd w:val="0"/>
      <w:snapToGrid w:val="0"/>
      <w:spacing w:before="15" w:beforeLines="15" w:after="15" w:afterLines="15" w:line="300" w:lineRule="exact"/>
      <w:jc w:val="center"/>
    </w:pPr>
    <w:rPr>
      <w:kern w:val="0"/>
    </w:rPr>
  </w:style>
  <w:style w:type="paragraph" w:customStyle="1" w:styleId="104">
    <w:name w:val="（一）"/>
    <w:basedOn w:val="1"/>
    <w:qFormat/>
    <w:uiPriority w:val="0"/>
    <w:pPr>
      <w:numPr>
        <w:ilvl w:val="0"/>
        <w:numId w:val="5"/>
      </w:numPr>
      <w:spacing w:line="400" w:lineRule="exact"/>
    </w:pPr>
    <w:rPr>
      <w:b/>
      <w:sz w:val="24"/>
    </w:rPr>
  </w:style>
  <w:style w:type="paragraph" w:customStyle="1" w:styleId="105">
    <w:name w:val="正文1"/>
    <w:basedOn w:val="1"/>
    <w:qFormat/>
    <w:uiPriority w:val="0"/>
    <w:rPr>
      <w:sz w:val="24"/>
    </w:rPr>
  </w:style>
  <w:style w:type="paragraph" w:customStyle="1" w:styleId="106">
    <w:name w:val="表格 32"/>
    <w:basedOn w:val="1"/>
    <w:qFormat/>
    <w:uiPriority w:val="0"/>
    <w:pPr>
      <w:autoSpaceDE w:val="0"/>
      <w:autoSpaceDN w:val="0"/>
      <w:adjustRightInd w:val="0"/>
      <w:spacing w:line="240" w:lineRule="atLeast"/>
      <w:jc w:val="center"/>
      <w:textAlignment w:val="baseline"/>
    </w:pPr>
    <w:rPr>
      <w:spacing w:val="0"/>
      <w:sz w:val="24"/>
      <w:szCs w:val="24"/>
    </w:rPr>
  </w:style>
  <w:style w:type="paragraph" w:customStyle="1" w:styleId="107">
    <w:name w:val="表格文字！！！！"/>
    <w:basedOn w:val="1"/>
    <w:qFormat/>
    <w:uiPriority w:val="0"/>
    <w:pPr>
      <w:jc w:val="center"/>
    </w:pPr>
    <w:rPr>
      <w:spacing w:val="0"/>
      <w:kern w:val="2"/>
      <w:sz w:val="21"/>
      <w:szCs w:val="24"/>
    </w:rPr>
  </w:style>
  <w:style w:type="paragraph" w:customStyle="1" w:styleId="108">
    <w:name w:val="陆晶 表格式"/>
    <w:basedOn w:val="1"/>
    <w:qFormat/>
    <w:uiPriority w:val="0"/>
    <w:pPr>
      <w:jc w:val="center"/>
    </w:pPr>
    <w:rPr>
      <w:spacing w:val="0"/>
      <w:kern w:val="2"/>
      <w:sz w:val="21"/>
    </w:rPr>
  </w:style>
  <w:style w:type="paragraph" w:customStyle="1" w:styleId="109">
    <w:name w:val="表格2"/>
    <w:basedOn w:val="1"/>
    <w:next w:val="1"/>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10">
    <w:name w:val="AP外表文字居中（图）"/>
    <w:basedOn w:val="111"/>
    <w:qFormat/>
    <w:uiPriority w:val="0"/>
    <w:pPr>
      <w:spacing w:line="240" w:lineRule="auto"/>
      <w:ind w:firstLine="0" w:firstLineChars="0"/>
      <w:jc w:val="center"/>
    </w:pPr>
    <w:rPr>
      <w:kern w:val="2"/>
    </w:rPr>
  </w:style>
  <w:style w:type="paragraph" w:customStyle="1" w:styleId="111">
    <w:name w:val="AP外表文字段落"/>
    <w:basedOn w:val="112"/>
    <w:qFormat/>
    <w:uiPriority w:val="0"/>
    <w:pPr>
      <w:widowControl w:val="0"/>
      <w:spacing w:line="360" w:lineRule="auto"/>
    </w:pPr>
    <w:rPr>
      <w:rFonts w:hint="eastAsia"/>
      <w:kern w:val="44"/>
      <w:sz w:val="24"/>
    </w:rPr>
  </w:style>
  <w:style w:type="paragraph" w:customStyle="1" w:styleId="112">
    <w:name w:val="BP内表文字段落"/>
    <w:next w:val="1"/>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3">
    <w:name w:val="Table Paragraph"/>
    <w:basedOn w:val="1"/>
    <w:qFormat/>
    <w:uiPriority w:val="1"/>
    <w:rPr>
      <w:rFonts w:ascii="宋体" w:hAnsi="宋体" w:cs="宋体"/>
      <w:lang w:val="zh-CN" w:bidi="zh-CN"/>
    </w:rPr>
  </w:style>
  <w:style w:type="paragraph" w:customStyle="1" w:styleId="114">
    <w:name w:val="0-正文"/>
    <w:basedOn w:val="1"/>
    <w:qFormat/>
    <w:uiPriority w:val="0"/>
    <w:pPr>
      <w:ind w:firstLine="200" w:firstLineChars="200"/>
    </w:pPr>
    <w:rPr>
      <w:spacing w:val="4"/>
      <w:szCs w:val="28"/>
      <w:lang w:val="zh-CN"/>
    </w:rPr>
  </w:style>
  <w:style w:type="paragraph" w:customStyle="1" w:styleId="115">
    <w:name w:val="0表格文字 五号 常规"/>
    <w:basedOn w:val="1"/>
    <w:qFormat/>
    <w:uiPriority w:val="0"/>
    <w:pPr>
      <w:autoSpaceDE w:val="0"/>
      <w:autoSpaceDN w:val="0"/>
      <w:jc w:val="center"/>
    </w:pPr>
    <w:rPr>
      <w:sz w:val="21"/>
      <w:szCs w:val="20"/>
    </w:rPr>
  </w:style>
  <w:style w:type="paragraph" w:customStyle="1" w:styleId="116">
    <w:name w:val="【正文】"/>
    <w:basedOn w:val="1"/>
    <w:qFormat/>
    <w:uiPriority w:val="0"/>
    <w:pPr>
      <w:ind w:firstLine="200" w:firstLineChars="200"/>
    </w:pPr>
    <w:rPr>
      <w:rFonts w:cs="宋体"/>
      <w:szCs w:val="20"/>
    </w:rPr>
  </w:style>
  <w:style w:type="paragraph" w:customStyle="1" w:styleId="117">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8">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19">
    <w:name w:val="Table Text"/>
    <w:basedOn w:val="1"/>
    <w:qFormat/>
    <w:uiPriority w:val="0"/>
    <w:rPr>
      <w:rFonts w:ascii="宋体" w:hAnsi="宋体" w:eastAsia="宋体" w:cs="宋体"/>
      <w:sz w:val="20"/>
      <w:szCs w:val="20"/>
      <w:lang w:val="en-US" w:eastAsia="en-US" w:bidi="ar-SA"/>
    </w:rPr>
  </w:style>
  <w:style w:type="table" w:customStyle="1" w:styleId="120">
    <w:name w:val="Table Normal"/>
    <w:qFormat/>
    <w:uiPriority w:val="0"/>
    <w:tblPr>
      <w:tblCellMar>
        <w:top w:w="0" w:type="dxa"/>
        <w:left w:w="0" w:type="dxa"/>
        <w:bottom w:w="0" w:type="dxa"/>
        <w:right w:w="0" w:type="dxa"/>
      </w:tblCellMar>
    </w:tblPr>
  </w:style>
  <w:style w:type="paragraph" w:customStyle="1" w:styleId="121">
    <w:name w:val="报告表"/>
    <w:basedOn w:val="1"/>
    <w:qFormat/>
    <w:uiPriority w:val="2"/>
    <w:pPr>
      <w:jc w:val="center"/>
      <w:outlineLvl w:val="0"/>
    </w:pPr>
    <w:rPr>
      <w:rFonts w:ascii="方正小标宋_GBK" w:eastAsia="方正小标宋_GBK"/>
      <w:bCs/>
      <w:sz w:val="72"/>
      <w:szCs w:val="72"/>
    </w:rPr>
  </w:style>
  <w:style w:type="character" w:customStyle="1" w:styleId="122">
    <w:name w:val="font71"/>
    <w:basedOn w:val="48"/>
    <w:qFormat/>
    <w:uiPriority w:val="0"/>
    <w:rPr>
      <w:rFonts w:hint="default" w:ascii="Times New Roman" w:hAnsi="Times New Roman" w:cs="Times New Roman"/>
      <w:color w:val="000000"/>
      <w:sz w:val="21"/>
      <w:szCs w:val="21"/>
      <w:u w:val="none"/>
      <w:vertAlign w:val="superscript"/>
    </w:rPr>
  </w:style>
  <w:style w:type="paragraph" w:customStyle="1" w:styleId="123">
    <w:name w:val="表2"/>
    <w:basedOn w:val="1"/>
    <w:next w:val="65"/>
    <w:qFormat/>
    <w:uiPriority w:val="0"/>
    <w:pPr>
      <w:numPr>
        <w:ilvl w:val="0"/>
        <w:numId w:val="6"/>
      </w:numPr>
    </w:p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4.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header" Target="header1.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3.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customXml" Target="ink/ink4.xml"/><Relationship Id="rId5" Type="http://schemas.openxmlformats.org/officeDocument/2006/relationships/footer" Target="footer1.xml"/><Relationship Id="rId49" Type="http://schemas.openxmlformats.org/officeDocument/2006/relationships/customXml" Target="ink/ink3.xml"/><Relationship Id="rId48" Type="http://schemas.openxmlformats.org/officeDocument/2006/relationships/customXml" Target="ink/ink2.xml"/><Relationship Id="rId47" Type="http://schemas.openxmlformats.org/officeDocument/2006/relationships/image" Target="media/image34.png"/><Relationship Id="rId46" Type="http://schemas.openxmlformats.org/officeDocument/2006/relationships/customXml" Target="ink/ink1.xml"/><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emf"/><Relationship Id="rId26" Type="http://schemas.openxmlformats.org/officeDocument/2006/relationships/oleObject" Target="embeddings/oleObject2.bin"/><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8.jpeg"/><Relationship Id="rId17" Type="http://schemas.openxmlformats.org/officeDocument/2006/relationships/image" Target="media/image7.jpeg"/><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image" Target="media/image6.jpeg"/><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image" Target="media/image5.jpeg"/><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image" Target="media/image4.jpeg"/><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png"/><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image" Target="media/image3.jpeg"/><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image" Target="media/image2.jpeg"/><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image" Target="media/image1.jpeg"/><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EwNDA4MDU1MDY0IiwKCSJHcm91cElkIiA6ICIxODEwMjE1NDg3IiwKCSJJbWFnZSIgOiAiaVZCT1J3MEtHZ29BQUFBTlNVaEVVZ0FBQkxNQUFBUXBDQVlBQUFBNmYwOUhBQUFBQVhOU1IwSUFyczRjNlFBQUlBQkpSRUZVZUp6czNYbDRIVlg1Qi9Edk8zZkowb1dtcFh1QmdvR1drR1hPWEFWRUVGbWxiS0tDb3V3N0tBaXVnQUt5aThnT3lpS2k0azlabFgyVElvb0NDbVJta3JTaGhRSUZDbDFwS1MzTmR1OTVmMzlrYnBpa044bE5Gd3JOOS9NOGZYcG41cHd6WjlMbTNybnZuUE1lZ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Y2Z2OGZNYityS3NTeExrOEFBQUFBU1VWT1JLNUNZSUk9IiwKCSJUaGVtZSIgOiAiIiwKCSJUeXBlIiA6ICJmbG93IiwKCSJWZXJzaW9uIiA6ICIiCn0K"/>
    </extobj>
    <extobj name="ECB019B1-382A-4266-B25C-5B523AA43C14-2">
      <extobjdata type="ECB019B1-382A-4266-B25C-5B523AA43C14" data="ewoJIkZpbGVJZCIgOiAiMzEwNDA2MTEyMjE1IiwKCSJHcm91cElkIiA6ICIxODEwMjE1NDg3IiwKCSJJbWFnZSIgOiAiaVZCT1J3MEtHZ29BQUFBTlNVaEVVZ0FBQkxjQUFBSllDQVlBQUFDUU9nUmpBQUFBQVhOU1IwSUFyczRjNlFBQUlBQkpSRUZVZUp6czNYbWNIRVhaQi9EZlV6Mnp1OWtja0VBQ0NRRURyZ1EzMmRtdUh2QkNCQytRUzFGQlFVUlJFQkVFZVZGNEJWNVB4RnNVQkFYazl1WU1OeWkzQW9KdTkrems0SW9RTVJlNVNVaDJOenRUei92SGRpKzlrejFtTndsTGt0LzM4OW5QZGxkWFZWY0h0bWU2dXVvcGd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QvdHdlSEJBQUFBQUNDL3I4Mit3RUFBQUFBQUFBQUFBQUFBQUFBQUFBQUFBQUFBQUFBQUFBQUFBQUFBQUFBQUFBQUFBQUFBQUFBQUFBQUFBQUFBQUFBQUFBQUFBQUFBQUFBQUFBQUFBQUFBQUFBQUFBQUFBQUFBQUFBQUFBQUFBQUFBQUFBQUFBQUFBQUFBQUFBQUFBQUFBQUFBQUFBQUFBQUFBQUFBQUFBQUFBQUFBQUFBQUFBQUFBQUFBQUFBQUFBQUFBQUFBQUFBQUFBQUFBQUFBQUFBQURnQXBIQTZMZm02TCtQQUFBQUFFbEZUa1N1UW1DQyIsCgkiVGhlbWUiIDogIiIsCgkiVHlwZSIgOiAiZmxvdyIsCgkiVmVyc2lvbiIgOiAiIgp9Cg=="/>
    </extobj>
    <extobj name="ECB019B1-382A-4266-B25C-5B523AA43C14-3">
      <extobjdata type="ECB019B1-382A-4266-B25C-5B523AA43C14" data="ewoJIkZpbGVJZCIgOiAiMzEwNDAyNDY4NTAxIiwKCSJHcm91cElkIiA6ICIxODEwMjE1NDg3IiwKCSJJbWFnZSIgOiAiaVZCT1J3MEtHZ29BQUFBTlNVaEVVZ0FBQkZrQUFBSlhDQVlBQUFCSVI0dDBBQUFBQVhOU1IwSUFyczRjNlFBQUlBQkpSRUZVZUp6czNYbDRIVlg1Qi9Edk8zT3pkRWxwUXd0dEtSQWgySnEydVhQT3hRMVpSQkJheXFMc29JRHN5T2FDeUNyS0RxSWl5cUlnS29zL0JNcFd3QUt5Q1lnSVp1YmUwQVlLQVFxVXR0RFMwblRKZXVmOS9aRzU2ZVEyeTAwSXBLWGZ6L1AwNGM2WmMyYk9oT1RldWUrYzh4Nk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EZlRPM1ZCQ2ZmYXNBQjJBQUFBQUVsRlRrU3VRbUNDIiwKCSJUaGVtZSIgOiAiIiwKCSJUeXBlIiA6ICJmbG93IiwKCSJWZXJzaW9uIiA6IC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235</Pages>
  <Words>10012</Words>
  <Characters>10606</Characters>
  <Paragraphs>6302</Paragraphs>
  <TotalTime>9</TotalTime>
  <ScaleCrop>false</ScaleCrop>
  <LinksUpToDate>false</LinksUpToDate>
  <CharactersWithSpaces>10692</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＇夜归郎＇</cp:lastModifiedBy>
  <dcterms:modified xsi:type="dcterms:W3CDTF">2026-05-11T08:39:12Z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F37DBFA54AF24DBB828902F34269C902_13</vt:lpwstr>
  </property>
  <property fmtid="{D5CDD505-2E9C-101B-9397-08002B2CF9AE}" pid="4" name="KSOTemplateDocerSaveRecord">
    <vt:lpwstr>eyJoZGlkIjoiZjdjMmQwNzZhNTFhMjFkZmQ0OThlNzhhYjlmZjg3YmIiLCJ1c2VySWQiOiIzNTExNzk0NTAifQ==</vt:lpwstr>
  </property>
</Properties>
</file>