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ink/ink1.xml" ContentType="application/inkml+xml"/>
  <Override PartName="/word/ink/ink2.xml" ContentType="application/inkml+xml"/>
  <Override PartName="/word/ink/ink3.xml" ContentType="application/inkml+xml"/>
  <Override PartName="/word/ink/ink4.xml" ContentType="application/inkml+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60ECEBF">
      <w:pPr>
        <w:pageBreakBefore w:val="0"/>
        <w:wordWrap w:val="0"/>
        <w:topLinePunct w:val="0"/>
        <w:bidi w:val="0"/>
        <w:adjustRightInd w:val="0"/>
        <w:snapToGrid w:val="0"/>
        <w:jc w:val="left"/>
        <w:rPr>
          <w:rFonts w:hint="default" w:ascii="Times New Roman" w:hAnsi="Times New Roman" w:cs="Times New Roman"/>
          <w:b w:val="0"/>
          <w:bCs/>
          <w:color w:val="auto"/>
          <w:sz w:val="21"/>
          <w:szCs w:val="21"/>
          <w:highlight w:val="none"/>
          <w:lang w:val="en-US" w:eastAsia="zh-CN"/>
        </w:rPr>
      </w:pPr>
    </w:p>
    <w:p w14:paraId="754697AC">
      <w:pPr>
        <w:pageBreakBefore w:val="0"/>
        <w:wordWrap w:val="0"/>
        <w:topLinePunct w:val="0"/>
        <w:bidi w:val="0"/>
        <w:adjustRightInd w:val="0"/>
        <w:spacing w:line="288" w:lineRule="auto"/>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608320" cy="7930515"/>
            <wp:effectExtent l="0" t="0" r="5080" b="6985"/>
            <wp:docPr id="1" name="图片 1"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封面"/>
                    <pic:cNvPicPr>
                      <a:picLocks noChangeAspect="1"/>
                    </pic:cNvPicPr>
                  </pic:nvPicPr>
                  <pic:blipFill>
                    <a:blip r:embed="rId10"/>
                    <a:stretch>
                      <a:fillRect/>
                    </a:stretch>
                  </pic:blipFill>
                  <pic:spPr>
                    <a:xfrm>
                      <a:off x="0" y="0"/>
                      <a:ext cx="5608320" cy="7930515"/>
                    </a:xfrm>
                    <a:prstGeom prst="rect">
                      <a:avLst/>
                    </a:prstGeom>
                  </pic:spPr>
                </pic:pic>
              </a:graphicData>
            </a:graphic>
          </wp:inline>
        </w:drawing>
      </w:r>
    </w:p>
    <w:p w14:paraId="7CBC069B">
      <w:pPr>
        <w:pageBreakBefore w:val="0"/>
        <w:wordWrap w:val="0"/>
        <w:topLinePunct w:val="0"/>
        <w:bidi w:val="0"/>
        <w:spacing w:line="240" w:lineRule="auto"/>
        <w:jc w:val="center"/>
        <w:rPr>
          <w:rFonts w:hint="default" w:ascii="Times New Roman" w:hAnsi="Times New Roman" w:cs="Times New Roman"/>
          <w:b/>
          <w:bCs/>
          <w:color w:val="auto"/>
          <w:sz w:val="36"/>
          <w:szCs w:val="44"/>
          <w:highlight w:val="none"/>
          <w:lang w:val="en-US" w:eastAsia="zh-CN"/>
        </w:rPr>
        <w:sectPr>
          <w:pgSz w:w="11906" w:h="16838"/>
          <w:pgMar w:top="1701" w:right="1531" w:bottom="1701" w:left="1531" w:header="851" w:footer="1077" w:gutter="0"/>
          <w:pgBorders>
            <w:top w:val="none" w:sz="0" w:space="0"/>
            <w:left w:val="none" w:sz="0" w:space="0"/>
            <w:bottom w:val="none" w:sz="0" w:space="0"/>
            <w:right w:val="none" w:sz="0" w:space="0"/>
          </w:pgBorders>
          <w:pgNumType w:fmt="upperRoman" w:start="1"/>
          <w:cols w:space="0" w:num="1"/>
          <w:docGrid w:linePitch="312" w:charSpace="0"/>
        </w:sectPr>
      </w:pPr>
      <w:bookmarkStart w:id="178" w:name="_GoBack"/>
      <w:r>
        <w:rPr>
          <w:sz w:val="36"/>
        </w:rPr>
        <mc:AlternateContent>
          <mc:Choice Requires="wps">
            <w:drawing>
              <wp:anchor distT="0" distB="0" distL="114300" distR="114300" simplePos="0" relativeHeight="251724800" behindDoc="0" locked="0" layoutInCell="1" allowOverlap="1">
                <wp:simplePos x="0" y="0"/>
                <wp:positionH relativeFrom="column">
                  <wp:posOffset>2408555</wp:posOffset>
                </wp:positionH>
                <wp:positionV relativeFrom="paragraph">
                  <wp:posOffset>2938780</wp:posOffset>
                </wp:positionV>
                <wp:extent cx="1833245" cy="1389380"/>
                <wp:effectExtent l="6350" t="6350" r="14605" b="13970"/>
                <wp:wrapNone/>
                <wp:docPr id="71" name="矩形 71"/>
                <wp:cNvGraphicFramePr/>
                <a:graphic xmlns:a="http://schemas.openxmlformats.org/drawingml/2006/main">
                  <a:graphicData uri="http://schemas.microsoft.com/office/word/2010/wordprocessingShape">
                    <wps:wsp>
                      <wps:cNvSpPr/>
                      <wps:spPr>
                        <a:xfrm>
                          <a:off x="0" y="0"/>
                          <a:ext cx="1833245" cy="13893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65pt;margin-top:231.4pt;height:109.4pt;width:144.35pt;z-index:251724800;v-text-anchor:middle;mso-width-relative:page;mso-height-relative:page;" fillcolor="#5B9BD5 [3204]" filled="t" stroked="t" coordsize="21600,21600" o:gfxdata="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JqtIYnaAAAACwEA&#10;AA8AAAAAAAAAAQAgAAAAIgAAAGRycy9kb3ducmV2LnhtbFBLAQIUABQAAAAIAIdO4kAvQxmtigIA&#10;ABkFAAAOAAAAAAAAAAEAIAAAACkBAABkcnMvZTJvRG9jLnhtbFBLBQYAAAAABgAGAFkBAAAlBgAA&#10;AAA=&#10;">
                <v:fill on="t" focussize="0,0"/>
                <v:stroke weight="1pt" color="#2E75B6 [2404]" miterlimit="8" joinstyle="miter"/>
                <v:imagedata o:title=""/>
                <o:lock v:ext="edit" aspectratio="f"/>
              </v:rect>
            </w:pict>
          </mc:Fallback>
        </mc:AlternateContent>
      </w:r>
      <w:bookmarkEnd w:id="178"/>
      <w:r>
        <w:rPr>
          <w:sz w:val="36"/>
        </w:rPr>
        <mc:AlternateContent>
          <mc:Choice Requires="wps">
            <w:drawing>
              <wp:anchor distT="0" distB="0" distL="114300" distR="114300" simplePos="0" relativeHeight="251723776" behindDoc="0" locked="0" layoutInCell="1" allowOverlap="1">
                <wp:simplePos x="0" y="0"/>
                <wp:positionH relativeFrom="column">
                  <wp:posOffset>3153410</wp:posOffset>
                </wp:positionH>
                <wp:positionV relativeFrom="paragraph">
                  <wp:posOffset>5453380</wp:posOffset>
                </wp:positionV>
                <wp:extent cx="1833245" cy="1389380"/>
                <wp:effectExtent l="6350" t="6350" r="14605" b="13970"/>
                <wp:wrapNone/>
                <wp:docPr id="65" name="矩形 65"/>
                <wp:cNvGraphicFramePr/>
                <a:graphic xmlns:a="http://schemas.openxmlformats.org/drawingml/2006/main">
                  <a:graphicData uri="http://schemas.microsoft.com/office/word/2010/wordprocessingShape">
                    <wps:wsp>
                      <wps:cNvSpPr/>
                      <wps:spPr>
                        <a:xfrm>
                          <a:off x="5125720" y="6572885"/>
                          <a:ext cx="1833245" cy="138938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8.3pt;margin-top:429.4pt;height:109.4pt;width:144.35pt;z-index:251723776;v-text-anchor:middle;mso-width-relative:page;mso-height-relative:page;" fillcolor="#5B9BD5 [3204]" filled="t" stroked="t" coordsize="21600,21600" o:gfxdata="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DQvTiPbAAAADAEAAA8AAAAAAAAAAQAgAAAAIgAAAGRycy9kb3ducmV2LnhtbFBLAQIUABQAAAAI&#10;AIdO4kCe6+qQlQIAACUFAAAOAAAAAAAAAAEAIAAAACoBAABkcnMvZTJvRG9jLnhtbFBLBQYAAAAA&#10;BgAGAFkBAAAxBgAAAAA=&#10;">
                <v:fill on="t" focussize="0,0"/>
                <v:stroke weight="1pt" color="#2E75B6 [2404]" miterlimit="8" joinstyle="miter"/>
                <v:imagedata o:title=""/>
                <o:lock v:ext="edit" aspectratio="f"/>
              </v:rect>
            </w:pict>
          </mc:Fallback>
        </mc:AlternateContent>
      </w:r>
      <w:r>
        <w:rPr>
          <w:rFonts w:hint="default" w:ascii="Times New Roman" w:hAnsi="Times New Roman" w:cs="Times New Roman"/>
          <w:b/>
          <w:bCs/>
          <w:color w:val="auto"/>
          <w:sz w:val="36"/>
          <w:szCs w:val="44"/>
          <w:highlight w:val="none"/>
          <w:lang w:val="en-US" w:eastAsia="zh-CN"/>
        </w:rPr>
        <w:drawing>
          <wp:inline distT="0" distB="0" distL="114300" distR="114300">
            <wp:extent cx="5614035" cy="7941945"/>
            <wp:effectExtent l="0" t="0" r="12065" b="8255"/>
            <wp:docPr id="52" name="图片 52" descr="scan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scan_02"/>
                    <pic:cNvPicPr>
                      <a:picLocks noChangeAspect="1"/>
                    </pic:cNvPicPr>
                  </pic:nvPicPr>
                  <pic:blipFill>
                    <a:blip r:embed="rId11"/>
                    <a:stretch>
                      <a:fillRect/>
                    </a:stretch>
                  </pic:blipFill>
                  <pic:spPr>
                    <a:xfrm>
                      <a:off x="0" y="0"/>
                      <a:ext cx="5614035" cy="7941945"/>
                    </a:xfrm>
                    <a:prstGeom prst="rect">
                      <a:avLst/>
                    </a:prstGeom>
                  </pic:spPr>
                </pic:pic>
              </a:graphicData>
            </a:graphic>
          </wp:inline>
        </w:drawing>
      </w:r>
    </w:p>
    <w:sdt>
      <w:sdtPr>
        <w:rPr>
          <w:rFonts w:hint="default" w:ascii="Times New Roman" w:hAnsi="Times New Roman" w:cs="Times New Roman"/>
          <w:b/>
          <w:bCs/>
          <w:color w:val="auto"/>
          <w:sz w:val="32"/>
          <w:szCs w:val="40"/>
          <w:highlight w:val="none"/>
        </w:rPr>
        <w:id w:val="147459935"/>
        <w15:color w:val="DBDBDB"/>
        <w:docPartObj>
          <w:docPartGallery w:val="Table of Contents"/>
          <w:docPartUnique/>
        </w:docPartObj>
      </w:sdtPr>
      <w:sdtEndPr>
        <w:rPr>
          <w:rFonts w:hint="default" w:ascii="Times New Roman" w:hAnsi="Times New Roman" w:cs="Times New Roman"/>
          <w:b/>
          <w:bCs/>
          <w:color w:val="auto"/>
          <w:sz w:val="24"/>
          <w:szCs w:val="24"/>
          <w:highlight w:val="none"/>
        </w:rPr>
      </w:sdtEndPr>
      <w:sdtContent>
        <w:p w14:paraId="316BEFC3">
          <w:pPr>
            <w:keepNext w:val="0"/>
            <w:keepLines w:val="0"/>
            <w:pageBreakBefore w:val="0"/>
            <w:widowControl w:val="0"/>
            <w:kinsoku/>
            <w:wordWrap w:val="0"/>
            <w:overflowPunct/>
            <w:topLinePunct w:val="0"/>
            <w:autoSpaceDE/>
            <w:autoSpaceDN/>
            <w:bidi w:val="0"/>
            <w:adjustRightInd/>
            <w:snapToGrid/>
            <w:spacing w:line="400" w:lineRule="exact"/>
            <w:jc w:val="center"/>
            <w:textAlignment w:val="auto"/>
            <w:rPr>
              <w:rFonts w:hint="default" w:ascii="Times New Roman" w:hAnsi="Times New Roman" w:cs="Times New Roman"/>
              <w:b/>
              <w:bCs/>
              <w:color w:val="auto"/>
              <w:sz w:val="32"/>
              <w:szCs w:val="40"/>
              <w:highlight w:val="none"/>
            </w:rPr>
          </w:pPr>
          <w:r>
            <w:rPr>
              <w:rFonts w:hint="default" w:ascii="Times New Roman" w:hAnsi="Times New Roman" w:cs="Times New Roman"/>
              <w:b/>
              <w:bCs/>
              <w:color w:val="auto"/>
              <w:sz w:val="32"/>
              <w:szCs w:val="40"/>
              <w:highlight w:val="none"/>
            </w:rPr>
            <w:t>目</w:t>
          </w:r>
          <w:r>
            <w:rPr>
              <w:rFonts w:hint="default" w:ascii="Times New Roman" w:hAnsi="Times New Roman" w:cs="Times New Roman"/>
              <w:b/>
              <w:bCs/>
              <w:color w:val="auto"/>
              <w:sz w:val="32"/>
              <w:szCs w:val="40"/>
              <w:highlight w:val="none"/>
              <w:lang w:val="en-US" w:eastAsia="zh-CN"/>
            </w:rPr>
            <w:t xml:space="preserve">  </w:t>
          </w:r>
          <w:r>
            <w:rPr>
              <w:rFonts w:hint="default" w:ascii="Times New Roman" w:hAnsi="Times New Roman" w:cs="Times New Roman"/>
              <w:b/>
              <w:bCs/>
              <w:color w:val="auto"/>
              <w:sz w:val="32"/>
              <w:szCs w:val="40"/>
              <w:highlight w:val="none"/>
            </w:rPr>
            <w:t>录</w:t>
          </w:r>
        </w:p>
        <w:p w14:paraId="2E9B2C99">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TOC \o "1-1" \h \u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_Toc20854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szCs w:val="30"/>
              <w:highlight w:val="none"/>
            </w:rPr>
            <w:t>一、建设项目基本情况</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_Toc20854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4B3714A">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_Toc24796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二、建设项目工程分析</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_Toc24796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- 16 -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F6D7F45">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_Toc32456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三、区域环境质量现状、环境保护目标及评价标准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_Toc32456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- 26 -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CFC7A08">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_Toc22698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四、主要环境影响和保护措施</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_Toc22698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- 32 -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29BFAAD">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_Toc17252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五、环境保护措施监督检查清单</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_Toc17252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04D65E6">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_Toc18434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六、结论</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_Toc18434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- 62 -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831424B">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_Toc10423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color w:val="auto"/>
              <w:szCs w:val="28"/>
              <w:highlight w:val="none"/>
              <w:lang w:val="en-US" w:eastAsia="zh-CN"/>
            </w:rPr>
            <w:t>附表</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_Toc10423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53CD26D">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_Toc17430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 </w:t>
          </w:r>
          <w:r>
            <w:rPr>
              <w:rFonts w:hint="default" w:ascii="Times New Roman" w:hAnsi="Times New Roman" w:eastAsia="宋体" w:cs="Times New Roman"/>
              <w:bCs/>
              <w:color w:val="auto"/>
              <w:szCs w:val="24"/>
              <w:highlight w:val="none"/>
            </w:rPr>
            <w:t>项目地理位置图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_Toc17430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28017049">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_Toc24047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附图2 </w:t>
          </w:r>
          <w:r>
            <w:rPr>
              <w:rFonts w:hint="default" w:ascii="Times New Roman" w:hAnsi="Times New Roman" w:eastAsia="宋体" w:cs="Times New Roman"/>
              <w:bCs/>
              <w:color w:val="auto"/>
              <w:szCs w:val="24"/>
              <w:highlight w:val="none"/>
            </w:rPr>
            <w:t>项目四至情况</w:t>
          </w:r>
          <w:r>
            <w:rPr>
              <w:rFonts w:hint="default" w:ascii="Times New Roman" w:hAnsi="Times New Roman" w:cs="Times New Roman"/>
              <w:bCs/>
              <w:color w:val="auto"/>
              <w:szCs w:val="24"/>
              <w:highlight w:val="none"/>
              <w:lang w:val="en-US" w:eastAsia="zh-CN"/>
            </w:rPr>
            <w:t>卫星图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_Toc24047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- 65 -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C064E7B">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_Toc7990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附图3</w:t>
          </w:r>
          <w:r>
            <w:rPr>
              <w:rFonts w:hint="default" w:ascii="Times New Roman" w:hAnsi="Times New Roman" w:cs="Times New Roman"/>
              <w:bCs/>
              <w:color w:val="auto"/>
              <w:kern w:val="0"/>
              <w:szCs w:val="24"/>
              <w:highlight w:val="none"/>
              <w:lang w:val="en-US" w:eastAsia="zh-CN" w:bidi="ar-SA"/>
            </w:rPr>
            <w:t>-1</w:t>
          </w:r>
          <w:r>
            <w:rPr>
              <w:rFonts w:hint="default" w:ascii="Times New Roman" w:hAnsi="Times New Roman" w:eastAsia="宋体" w:cs="Times New Roman"/>
              <w:bCs/>
              <w:color w:val="auto"/>
              <w:kern w:val="0"/>
              <w:szCs w:val="24"/>
              <w:highlight w:val="none"/>
              <w:lang w:val="en-US" w:eastAsia="zh-CN" w:bidi="ar-SA"/>
            </w:rPr>
            <w:t xml:space="preserve"> </w:t>
          </w:r>
          <w:r>
            <w:rPr>
              <w:rFonts w:hint="default" w:ascii="Times New Roman" w:hAnsi="Times New Roman" w:cs="Times New Roman"/>
              <w:bCs/>
              <w:color w:val="auto"/>
              <w:szCs w:val="24"/>
              <w:highlight w:val="none"/>
              <w:lang w:val="en-US" w:eastAsia="zh-CN"/>
            </w:rPr>
            <w:t>1F</w:t>
          </w:r>
          <w:r>
            <w:rPr>
              <w:rFonts w:hint="default" w:ascii="Times New Roman" w:hAnsi="Times New Roman" w:eastAsia="宋体" w:cs="Times New Roman"/>
              <w:bCs/>
              <w:color w:val="auto"/>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_Toc7990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1AF1533">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_Toc30429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附图3-2 </w:t>
          </w:r>
          <w:r>
            <w:rPr>
              <w:rFonts w:hint="default" w:ascii="Times New Roman" w:hAnsi="Times New Roman" w:cs="Times New Roman"/>
              <w:bCs/>
              <w:color w:val="auto"/>
              <w:kern w:val="0"/>
              <w:szCs w:val="24"/>
              <w:highlight w:val="none"/>
              <w:lang w:val="en-US" w:eastAsia="zh-CN" w:bidi="ar-SA"/>
            </w:rPr>
            <w:t>2F</w:t>
          </w:r>
          <w:r>
            <w:rPr>
              <w:rFonts w:hint="default" w:ascii="Times New Roman" w:hAnsi="Times New Roman" w:eastAsia="宋体" w:cs="Times New Roman"/>
              <w:bCs/>
              <w:color w:val="auto"/>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_Toc30429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2369153">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附图3-3 </w:t>
          </w:r>
          <w:r>
            <w:rPr>
              <w:rFonts w:hint="default" w:ascii="Times New Roman" w:hAnsi="Times New Roman" w:cs="Times New Roman"/>
              <w:bCs/>
              <w:color w:val="auto"/>
              <w:kern w:val="0"/>
              <w:szCs w:val="24"/>
              <w:highlight w:val="none"/>
              <w:lang w:val="en-US" w:eastAsia="zh-CN" w:bidi="ar-SA"/>
            </w:rPr>
            <w:t>3F</w:t>
          </w:r>
          <w:r>
            <w:rPr>
              <w:rFonts w:hint="default" w:ascii="Times New Roman" w:hAnsi="Times New Roman" w:eastAsia="宋体" w:cs="Times New Roman"/>
              <w:bCs/>
              <w:color w:val="auto"/>
              <w:szCs w:val="24"/>
              <w:highlight w:val="none"/>
            </w:rPr>
            <w:t>平面布置图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- 68 -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0F153B9">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_Toc8077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附图4 </w:t>
          </w:r>
          <w:r>
            <w:rPr>
              <w:rFonts w:hint="default" w:ascii="Times New Roman" w:hAnsi="Times New Roman" w:eastAsia="宋体" w:cs="Times New Roman"/>
              <w:bCs/>
              <w:color w:val="auto"/>
              <w:szCs w:val="24"/>
              <w:highlight w:val="none"/>
              <w:lang w:eastAsia="zh-CN"/>
            </w:rPr>
            <w:t>环境保护目标分布图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_Toc8077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- 69 -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92A4456">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_Toc19246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附图5 </w:t>
          </w:r>
          <w:r>
            <w:rPr>
              <w:rFonts w:hint="default" w:ascii="Times New Roman" w:hAnsi="Times New Roman" w:eastAsia="宋体" w:cs="Times New Roman"/>
              <w:bCs/>
              <w:color w:val="auto"/>
              <w:szCs w:val="24"/>
              <w:highlight w:val="none"/>
              <w:lang w:eastAsia="zh-CN"/>
            </w:rPr>
            <w:t>建设项目土地利用规划图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_Toc19246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- 70 -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CFE2646">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_Toc8427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附图6 </w:t>
          </w:r>
          <w:r>
            <w:rPr>
              <w:rFonts w:hint="default" w:ascii="Times New Roman" w:hAnsi="Times New Roman" w:eastAsia="宋体" w:cs="Times New Roman"/>
              <w:bCs/>
              <w:color w:val="auto"/>
              <w:szCs w:val="24"/>
              <w:highlight w:val="none"/>
              <w:lang w:eastAsia="zh-CN"/>
            </w:rPr>
            <w:t>水环境功能区划图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_Toc8427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- 71 -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778F184">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_Toc17224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2"/>
              <w:szCs w:val="24"/>
              <w:highlight w:val="none"/>
              <w:lang w:val="en-US" w:eastAsia="zh-CN" w:bidi="ar-SA"/>
            </w:rPr>
            <w:t xml:space="preserve">附图7 </w:t>
          </w:r>
          <w:r>
            <w:rPr>
              <w:rFonts w:hint="default" w:ascii="Times New Roman" w:hAnsi="Times New Roman" w:eastAsia="宋体" w:cs="Times New Roman"/>
              <w:bCs/>
              <w:color w:val="auto"/>
              <w:szCs w:val="24"/>
              <w:highlight w:val="none"/>
              <w:lang w:eastAsia="zh-CN"/>
            </w:rPr>
            <w:t>大气环境功能区划图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_Toc17224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- 72 -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24E189E">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_Toc8740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2"/>
              <w:szCs w:val="24"/>
              <w:highlight w:val="none"/>
              <w:lang w:val="en-US" w:eastAsia="zh-CN" w:bidi="ar-SA"/>
            </w:rPr>
            <w:t xml:space="preserve">附图8 </w:t>
          </w:r>
          <w:r>
            <w:rPr>
              <w:rFonts w:hint="default" w:ascii="Times New Roman" w:hAnsi="Times New Roman" w:eastAsia="宋体" w:cs="Times New Roman"/>
              <w:bCs/>
              <w:color w:val="auto"/>
              <w:szCs w:val="24"/>
              <w:highlight w:val="none"/>
              <w:lang w:eastAsia="zh-CN"/>
            </w:rPr>
            <w:t>生态红线分布图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_Toc8740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1778DFB">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_Toc25001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2"/>
              <w:szCs w:val="24"/>
              <w:highlight w:val="none"/>
              <w:lang w:val="en-US" w:eastAsia="zh-CN" w:bidi="ar-SA"/>
            </w:rPr>
            <w:t xml:space="preserve">附图9 </w:t>
          </w:r>
          <w:r>
            <w:rPr>
              <w:rFonts w:hint="default" w:ascii="Times New Roman" w:hAnsi="Times New Roman" w:eastAsia="宋体" w:cs="Times New Roman"/>
              <w:bCs/>
              <w:color w:val="auto"/>
              <w:szCs w:val="24"/>
              <w:highlight w:val="none"/>
              <w:lang w:eastAsia="zh-CN"/>
            </w:rPr>
            <w:t>水环境管控单元图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_Toc25001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73DDDEC3">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_Toc17667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2"/>
              <w:szCs w:val="24"/>
              <w:highlight w:val="none"/>
              <w:lang w:val="en-US" w:eastAsia="zh-CN" w:bidi="ar-SA"/>
            </w:rPr>
            <w:t xml:space="preserve">附图10 </w:t>
          </w:r>
          <w:r>
            <w:rPr>
              <w:rFonts w:hint="default" w:ascii="Times New Roman" w:hAnsi="Times New Roman" w:eastAsia="宋体" w:cs="Times New Roman"/>
              <w:bCs/>
              <w:color w:val="auto"/>
              <w:szCs w:val="24"/>
              <w:highlight w:val="none"/>
              <w:lang w:eastAsia="zh-CN"/>
            </w:rPr>
            <w:t>大气环境管控单元</w:t>
          </w:r>
          <w:r>
            <w:rPr>
              <w:rFonts w:hint="default" w:ascii="Times New Roman" w:hAnsi="Times New Roman" w:cs="Times New Roman"/>
              <w:bCs/>
              <w:color w:val="auto"/>
              <w:szCs w:val="24"/>
              <w:highlight w:val="none"/>
              <w:lang w:val="en-US" w:eastAsia="zh-CN"/>
            </w:rPr>
            <w:t>分区图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_Toc17667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- 75 -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63F0598">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_Toc21162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2"/>
              <w:szCs w:val="24"/>
              <w:highlight w:val="none"/>
              <w:lang w:val="en-US" w:eastAsia="zh-CN" w:bidi="ar-SA"/>
            </w:rPr>
            <w:t xml:space="preserve">附图11 </w:t>
          </w:r>
          <w:r>
            <w:rPr>
              <w:rFonts w:hint="default" w:ascii="Times New Roman" w:hAnsi="Times New Roman" w:eastAsia="宋体" w:cs="Times New Roman"/>
              <w:bCs/>
              <w:color w:val="auto"/>
              <w:szCs w:val="24"/>
              <w:highlight w:val="none"/>
              <w:lang w:eastAsia="zh-CN"/>
            </w:rPr>
            <w:t>生态管控单元分区图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_Toc21162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8741942">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_Toc27201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附图12 </w:t>
          </w:r>
          <w:r>
            <w:rPr>
              <w:rFonts w:hint="default" w:ascii="Times New Roman" w:hAnsi="Times New Roman" w:cs="Times New Roman"/>
              <w:bCs/>
              <w:color w:val="auto"/>
              <w:szCs w:val="24"/>
              <w:highlight w:val="none"/>
              <w:lang w:eastAsia="zh-CN"/>
            </w:rPr>
            <w:t>乐昌市声环境功能区划图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_Toc27201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6CFFD481">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_Toc27331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附图13 </w:t>
          </w:r>
          <w:r>
            <w:rPr>
              <w:rFonts w:hint="default" w:ascii="Times New Roman" w:hAnsi="Times New Roman" w:eastAsia="宋体" w:cs="Times New Roman"/>
              <w:bCs/>
              <w:color w:val="auto"/>
              <w:szCs w:val="24"/>
              <w:highlight w:val="none"/>
              <w:lang w:eastAsia="zh-CN"/>
            </w:rPr>
            <w:t>项目周边现状图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_Toc27331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- 78 -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43F15D6">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_Toc14487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附图14 </w:t>
          </w:r>
          <w:r>
            <w:rPr>
              <w:rFonts w:hint="default" w:ascii="Times New Roman" w:hAnsi="Times New Roman" w:eastAsia="宋体" w:cs="Times New Roman"/>
              <w:bCs/>
              <w:color w:val="auto"/>
              <w:szCs w:val="24"/>
              <w:highlight w:val="none"/>
              <w:lang w:val="en-US" w:eastAsia="zh-CN"/>
            </w:rPr>
            <w:t>广东省“三线一单”截图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_Toc14487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- 79 -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A91DDAF">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_Toc12672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附图15 </w:t>
          </w:r>
          <w:r>
            <w:rPr>
              <w:rFonts w:hint="default" w:ascii="Times New Roman" w:hAnsi="Times New Roman" w:eastAsia="宋体" w:cs="Times New Roman"/>
              <w:bCs/>
              <w:color w:val="auto"/>
              <w:szCs w:val="24"/>
              <w:highlight w:val="none"/>
              <w:lang w:val="en-US" w:eastAsia="zh-CN"/>
            </w:rPr>
            <w:t>项目与大气</w:t>
          </w:r>
          <w:r>
            <w:rPr>
              <w:rFonts w:hint="default" w:ascii="Times New Roman" w:hAnsi="Times New Roman" w:cs="Times New Roman"/>
              <w:bCs/>
              <w:color w:val="auto"/>
              <w:szCs w:val="24"/>
              <w:highlight w:val="none"/>
              <w:lang w:val="en-US" w:eastAsia="zh-CN"/>
            </w:rPr>
            <w:t>引用</w:t>
          </w:r>
          <w:r>
            <w:rPr>
              <w:rFonts w:hint="default" w:ascii="Times New Roman" w:hAnsi="Times New Roman" w:eastAsia="宋体" w:cs="Times New Roman"/>
              <w:bCs/>
              <w:color w:val="auto"/>
              <w:szCs w:val="24"/>
              <w:highlight w:val="none"/>
              <w:lang w:val="en-US" w:eastAsia="zh-CN"/>
            </w:rPr>
            <w:t>监测点位置图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_Toc12672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- 82 -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0EC20B9">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_Toc28233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附图16 </w:t>
          </w:r>
          <w:r>
            <w:rPr>
              <w:rFonts w:hint="default" w:ascii="Times New Roman" w:hAnsi="Times New Roman" w:eastAsia="宋体" w:cs="Times New Roman"/>
              <w:bCs/>
              <w:color w:val="auto"/>
              <w:szCs w:val="24"/>
              <w:highlight w:val="none"/>
              <w:lang w:val="en-US" w:eastAsia="zh-CN"/>
            </w:rPr>
            <w:t>乐昌产业转移工业园管网分布图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_Toc28233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1DD1648">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_Toc5458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 xml:space="preserve">附图17 </w:t>
          </w:r>
          <w:r>
            <w:rPr>
              <w:rFonts w:hint="default" w:ascii="Times New Roman" w:hAnsi="Times New Roman" w:eastAsia="宋体" w:cs="Times New Roman"/>
              <w:bCs/>
              <w:color w:val="auto"/>
              <w:szCs w:val="24"/>
              <w:highlight w:val="none"/>
              <w:lang w:val="en-US" w:eastAsia="zh-CN"/>
            </w:rPr>
            <w:t>建设项目与韶关市区武江饮用水水源保护区关系示意图</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_Toc5458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02C6A6B3">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_Toc19515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附件1</w:t>
          </w:r>
          <w:r>
            <w:rPr>
              <w:rFonts w:hint="default" w:ascii="Times New Roman" w:hAnsi="Times New Roman" w:cs="Times New Roman"/>
              <w:bCs/>
              <w:color w:val="auto"/>
              <w:szCs w:val="24"/>
              <w:highlight w:val="none"/>
              <w:lang w:val="en-US" w:eastAsia="zh-CN"/>
            </w:rPr>
            <w:t>营业执照</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_Toc19515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- 85 -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5A479C0A">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_Toc5854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附件2</w:t>
          </w:r>
          <w:r>
            <w:rPr>
              <w:rFonts w:hint="default" w:ascii="Times New Roman" w:hAnsi="Times New Roman" w:cs="Times New Roman"/>
              <w:bCs/>
              <w:color w:val="auto"/>
              <w:szCs w:val="24"/>
              <w:highlight w:val="none"/>
              <w:lang w:val="en-US" w:eastAsia="zh-CN"/>
            </w:rPr>
            <w:t>法人身份证复印件</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_Toc5854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- 86 -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29018B1C">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_Toc20109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kern w:val="0"/>
              <w:szCs w:val="24"/>
              <w:highlight w:val="none"/>
              <w:lang w:val="en-US" w:eastAsia="zh-CN" w:bidi="ar-SA"/>
            </w:rPr>
            <w:t>附件3</w:t>
          </w:r>
          <w:r>
            <w:rPr>
              <w:rFonts w:hint="default" w:ascii="Times New Roman" w:hAnsi="Times New Roman" w:cs="Times New Roman"/>
              <w:bCs/>
              <w:color w:val="auto"/>
              <w:szCs w:val="24"/>
              <w:highlight w:val="none"/>
              <w:lang w:val="en-US" w:eastAsia="zh-CN"/>
            </w:rPr>
            <w:t>不动产权证书</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_Toc20109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- 87 -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18F59C95">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_Toc28587 </w:instrText>
          </w:r>
          <w:r>
            <w:rPr>
              <w:rFonts w:hint="default" w:ascii="Times New Roman" w:hAnsi="Times New Roman" w:cs="Times New Roman"/>
              <w:color w:val="auto"/>
              <w:highlight w:val="none"/>
            </w:rPr>
            <w:fldChar w:fldCharType="separate"/>
          </w:r>
          <w:r>
            <w:rPr>
              <w:rFonts w:hint="default" w:ascii="Times New Roman" w:hAnsi="Times New Roman" w:cs="Times New Roman"/>
              <w:bCs/>
              <w:color w:val="auto"/>
              <w:kern w:val="0"/>
              <w:szCs w:val="24"/>
              <w:highlight w:val="none"/>
              <w:lang w:val="en-US" w:eastAsia="zh-CN" w:bidi="ar-SA"/>
            </w:rPr>
            <w:t>附件4租赁合同</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_Toc28587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- 89 -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290E449A">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_Toc18176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附件</w:t>
          </w:r>
          <w:r>
            <w:rPr>
              <w:rFonts w:hint="default" w:ascii="Times New Roman" w:hAnsi="Times New Roman" w:cs="Times New Roman"/>
              <w:bCs/>
              <w:color w:val="auto"/>
              <w:kern w:val="0"/>
              <w:szCs w:val="24"/>
              <w:highlight w:val="none"/>
              <w:lang w:val="en-US" w:eastAsia="zh-CN" w:bidi="ar-SA"/>
            </w:rPr>
            <w:t>5</w:t>
          </w:r>
          <w:r>
            <w:rPr>
              <w:rFonts w:hint="default" w:ascii="Times New Roman" w:hAnsi="Times New Roman" w:cs="Times New Roman"/>
              <w:bCs/>
              <w:color w:val="auto"/>
              <w:szCs w:val="24"/>
              <w:highlight w:val="none"/>
              <w:lang w:val="en-US" w:eastAsia="zh-CN"/>
            </w:rPr>
            <w:t>备案证</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_Toc18176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- 93 -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3F442168">
          <w:pPr>
            <w:pStyle w:val="24"/>
            <w:pageBreakBefore w:val="0"/>
            <w:tabs>
              <w:tab w:val="right" w:leader="dot" w:pos="8312"/>
            </w:tabs>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HYPERLINK \l _Toc5987 </w:instrText>
          </w:r>
          <w:r>
            <w:rPr>
              <w:rFonts w:hint="default" w:ascii="Times New Roman" w:hAnsi="Times New Roman" w:cs="Times New Roman"/>
              <w:color w:val="auto"/>
              <w:highlight w:val="none"/>
            </w:rPr>
            <w:fldChar w:fldCharType="separate"/>
          </w:r>
          <w:r>
            <w:rPr>
              <w:rFonts w:hint="default" w:ascii="Times New Roman" w:hAnsi="Times New Roman" w:eastAsia="宋体" w:cs="Times New Roman"/>
              <w:bCs/>
              <w:color w:val="auto"/>
              <w:kern w:val="0"/>
              <w:szCs w:val="24"/>
              <w:highlight w:val="none"/>
              <w:lang w:val="en-US" w:eastAsia="zh-CN" w:bidi="ar-SA"/>
            </w:rPr>
            <w:t>附件</w:t>
          </w:r>
          <w:r>
            <w:rPr>
              <w:rFonts w:hint="default" w:ascii="Times New Roman" w:hAnsi="Times New Roman" w:cs="Times New Roman"/>
              <w:bCs/>
              <w:color w:val="auto"/>
              <w:kern w:val="0"/>
              <w:szCs w:val="24"/>
              <w:highlight w:val="none"/>
              <w:lang w:val="en-US" w:eastAsia="zh-CN" w:bidi="ar-SA"/>
            </w:rPr>
            <w:t>6</w:t>
          </w:r>
          <w:r>
            <w:rPr>
              <w:rFonts w:hint="default" w:ascii="Times New Roman" w:hAnsi="Times New Roman" w:cs="Times New Roman"/>
              <w:bCs/>
              <w:color w:val="auto"/>
              <w:szCs w:val="24"/>
              <w:highlight w:val="none"/>
              <w:lang w:val="en-US" w:eastAsia="zh-CN"/>
            </w:rPr>
            <w:t>环境质量现状监测报告（摘录部分）</w:t>
          </w:r>
          <w:r>
            <w:rPr>
              <w:rFonts w:hint="default" w:ascii="Times New Roman" w:hAnsi="Times New Roman" w:cs="Times New Roman"/>
              <w:color w:val="auto"/>
              <w:highlight w:val="none"/>
            </w:rPr>
            <w:tab/>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PAGEREF _Toc5987 \h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- 94 -</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fldChar w:fldCharType="end"/>
          </w:r>
        </w:p>
        <w:p w14:paraId="46B8DE3F">
          <w:pPr>
            <w:rPr>
              <w:rFonts w:hint="default" w:ascii="Times New Roman" w:hAnsi="Times New Roman" w:cs="Times New Roman"/>
              <w:color w:val="auto"/>
              <w:highlight w:val="none"/>
            </w:rPr>
          </w:pPr>
          <w:r>
            <w:rPr>
              <w:rFonts w:hint="eastAsia" w:cs="Times New Roman"/>
              <w:color w:val="auto"/>
              <w:highlight w:val="none"/>
              <w:lang w:val="en-US" w:eastAsia="zh-CN"/>
            </w:rPr>
            <w:t>附件7总量回复函...............................................................................................- 104-</w:t>
          </w:r>
          <w:r>
            <w:rPr>
              <w:rFonts w:hint="default" w:ascii="Times New Roman" w:hAnsi="Times New Roman" w:cs="Times New Roman"/>
              <w:color w:val="auto"/>
              <w:highlight w:val="none"/>
            </w:rPr>
            <w:fldChar w:fldCharType="end"/>
          </w:r>
          <w:bookmarkStart w:id="0" w:name="_Toc18226"/>
          <w:bookmarkStart w:id="1" w:name="_Toc2620"/>
        </w:p>
      </w:sdtContent>
    </w:sdt>
    <w:p w14:paraId="6655CA09">
      <w:pPr>
        <w:pageBreakBefore w:val="0"/>
        <w:tabs>
          <w:tab w:val="left" w:pos="1341"/>
        </w:tabs>
        <w:wordWrap w:val="0"/>
        <w:topLinePunct w:val="0"/>
        <w:bidi w:val="0"/>
        <w:spacing w:line="240" w:lineRule="auto"/>
        <w:jc w:val="center"/>
        <w:outlineLvl w:val="0"/>
        <w:rPr>
          <w:rFonts w:hint="default" w:ascii="Times New Roman" w:hAnsi="Times New Roman" w:cs="Times New Roman"/>
          <w:b/>
          <w:bCs/>
          <w:color w:val="auto"/>
          <w:sz w:val="30"/>
          <w:szCs w:val="30"/>
          <w:highlight w:val="none"/>
        </w:rPr>
        <w:sectPr>
          <w:footerReference r:id="rId5" w:type="default"/>
          <w:pgSz w:w="11906" w:h="16838"/>
          <w:pgMar w:top="1440" w:right="1797" w:bottom="1440" w:left="1797" w:header="851" w:footer="680" w:gutter="0"/>
          <w:pgBorders>
            <w:top w:val="none" w:sz="0" w:space="0"/>
            <w:left w:val="none" w:sz="0" w:space="0"/>
            <w:bottom w:val="none" w:sz="0" w:space="0"/>
            <w:right w:val="none" w:sz="0" w:space="0"/>
          </w:pgBorders>
          <w:pgNumType w:fmt="upperRoman" w:start="1"/>
          <w:cols w:space="720" w:num="1"/>
          <w:docGrid w:type="linesAndChars" w:linePitch="312" w:charSpace="0"/>
        </w:sectPr>
      </w:pPr>
    </w:p>
    <w:p w14:paraId="22D86499">
      <w:pPr>
        <w:pageBreakBefore w:val="0"/>
        <w:tabs>
          <w:tab w:val="left" w:pos="1341"/>
        </w:tabs>
        <w:wordWrap w:val="0"/>
        <w:topLinePunct w:val="0"/>
        <w:bidi w:val="0"/>
        <w:spacing w:line="240" w:lineRule="auto"/>
        <w:jc w:val="center"/>
        <w:outlineLvl w:val="0"/>
        <w:rPr>
          <w:rFonts w:hint="default" w:ascii="Times New Roman" w:hAnsi="Times New Roman" w:cs="Times New Roman"/>
          <w:b/>
          <w:bCs/>
          <w:color w:val="auto"/>
          <w:sz w:val="30"/>
          <w:szCs w:val="30"/>
          <w:highlight w:val="none"/>
        </w:rPr>
      </w:pPr>
      <w:bookmarkStart w:id="2" w:name="_Toc20854"/>
      <w:r>
        <w:rPr>
          <w:rFonts w:hint="default" w:ascii="Times New Roman" w:hAnsi="Times New Roman" w:cs="Times New Roman"/>
          <w:b/>
          <w:bCs/>
          <w:color w:val="auto"/>
          <w:sz w:val="30"/>
          <w:szCs w:val="30"/>
          <w:highlight w:val="none"/>
        </w:rPr>
        <w:t>一、建设项目基本情况</w:t>
      </w:r>
      <w:bookmarkEnd w:id="0"/>
      <w:bookmarkEnd w:id="1"/>
      <w:bookmarkEnd w:id="2"/>
    </w:p>
    <w:tbl>
      <w:tblPr>
        <w:tblStyle w:val="3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485"/>
        <w:gridCol w:w="1808"/>
        <w:gridCol w:w="502"/>
        <w:gridCol w:w="1146"/>
        <w:gridCol w:w="966"/>
        <w:gridCol w:w="2165"/>
      </w:tblGrid>
      <w:tr w14:paraId="28915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2C783563">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建设项目名称</w:t>
            </w:r>
          </w:p>
        </w:tc>
        <w:tc>
          <w:tcPr>
            <w:tcW w:w="3861" w:type="pct"/>
            <w:gridSpan w:val="5"/>
            <w:vAlign w:val="center"/>
          </w:tcPr>
          <w:p w14:paraId="699CAE40">
            <w:pPr>
              <w:keepNext w:val="0"/>
              <w:keepLines w:val="0"/>
              <w:pageBreakBefore w:val="0"/>
              <w:kinsoku/>
              <w:wordWrap w:val="0"/>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u w:val="none"/>
              </w:rPr>
              <w:t>吉特公司年产1000万套塑料壳/注塑自动化生产线新建项目</w:t>
            </w:r>
          </w:p>
        </w:tc>
      </w:tr>
      <w:tr w14:paraId="4CB62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6F81D9E4">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项目代码</w:t>
            </w:r>
          </w:p>
        </w:tc>
        <w:tc>
          <w:tcPr>
            <w:tcW w:w="3861" w:type="pct"/>
            <w:gridSpan w:val="5"/>
            <w:vAlign w:val="center"/>
          </w:tcPr>
          <w:p w14:paraId="0D400B6B">
            <w:pPr>
              <w:pStyle w:val="60"/>
              <w:keepNext w:val="0"/>
              <w:keepLines w:val="0"/>
              <w:pageBreakBefore w:val="0"/>
              <w:kinsoku/>
              <w:wordWrap w:val="0"/>
              <w:overflowPunct/>
              <w:topLinePunct w:val="0"/>
              <w:bidi w:val="0"/>
              <w:adjustRightInd/>
              <w:snapToGrid/>
              <w:jc w:val="center"/>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2501-440281-04-01-508888</w:t>
            </w:r>
          </w:p>
        </w:tc>
      </w:tr>
      <w:tr w14:paraId="58C6E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3E95050F">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建设单位联系人</w:t>
            </w:r>
          </w:p>
        </w:tc>
        <w:tc>
          <w:tcPr>
            <w:tcW w:w="1354" w:type="pct"/>
            <w:gridSpan w:val="2"/>
            <w:vAlign w:val="center"/>
          </w:tcPr>
          <w:p w14:paraId="21C3EFD6">
            <w:pPr>
              <w:pStyle w:val="60"/>
              <w:keepNext w:val="0"/>
              <w:keepLines w:val="0"/>
              <w:pageBreakBefore w:val="0"/>
              <w:kinsoku/>
              <w:wordWrap w:val="0"/>
              <w:overflowPunct/>
              <w:topLinePunct w:val="0"/>
              <w:bidi w:val="0"/>
              <w:adjustRightInd/>
              <w:snapToGrid/>
              <w:jc w:val="center"/>
              <w:outlineLvl w:val="9"/>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吕秀华</w:t>
            </w:r>
          </w:p>
        </w:tc>
        <w:tc>
          <w:tcPr>
            <w:tcW w:w="1238" w:type="pct"/>
            <w:gridSpan w:val="2"/>
            <w:vAlign w:val="center"/>
          </w:tcPr>
          <w:p w14:paraId="6D8F7715">
            <w:pPr>
              <w:pStyle w:val="60"/>
              <w:keepNext w:val="0"/>
              <w:keepLines w:val="0"/>
              <w:pageBreakBefore w:val="0"/>
              <w:kinsoku/>
              <w:wordWrap w:val="0"/>
              <w:overflowPunct/>
              <w:topLinePunct w:val="0"/>
              <w:bidi w:val="0"/>
              <w:adjustRightInd/>
              <w:snapToGrid/>
              <w:jc w:val="center"/>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联系方式</w:t>
            </w:r>
          </w:p>
        </w:tc>
        <w:tc>
          <w:tcPr>
            <w:tcW w:w="1268" w:type="pct"/>
            <w:vAlign w:val="center"/>
          </w:tcPr>
          <w:p w14:paraId="70CB229B">
            <w:pPr>
              <w:pStyle w:val="60"/>
              <w:keepNext w:val="0"/>
              <w:keepLines w:val="0"/>
              <w:pageBreakBefore w:val="0"/>
              <w:kinsoku/>
              <w:wordWrap w:val="0"/>
              <w:overflowPunct/>
              <w:topLinePunct w:val="0"/>
              <w:bidi w:val="0"/>
              <w:adjustRightInd/>
              <w:snapToGrid/>
              <w:jc w:val="center"/>
              <w:outlineLvl w:val="9"/>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highlight w:val="none"/>
                <w:lang w:val="en-US" w:eastAsia="zh-CN"/>
              </w:rPr>
              <w:t>15819240371</w:t>
            </w:r>
          </w:p>
        </w:tc>
      </w:tr>
      <w:tr w14:paraId="7CB70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5B786B42">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建设地点</w:t>
            </w:r>
          </w:p>
        </w:tc>
        <w:tc>
          <w:tcPr>
            <w:tcW w:w="3861" w:type="pct"/>
            <w:gridSpan w:val="5"/>
            <w:vAlign w:val="center"/>
          </w:tcPr>
          <w:p w14:paraId="0D2B3250">
            <w:pPr>
              <w:keepNext w:val="0"/>
              <w:keepLines w:val="0"/>
              <w:pageBreakBefore w:val="0"/>
              <w:widowControl/>
              <w:kinsoku/>
              <w:wordWrap w:val="0"/>
              <w:overflowPunct/>
              <w:topLinePunct w:val="0"/>
              <w:bidi w:val="0"/>
              <w:adjustRightInd/>
              <w:snapToGrid/>
              <w:jc w:val="center"/>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韶关市乐昌市廊田镇乐园大道22号（3号厂房）</w:t>
            </w:r>
          </w:p>
        </w:tc>
      </w:tr>
      <w:tr w14:paraId="12D0D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138" w:type="pct"/>
            <w:gridSpan w:val="2"/>
            <w:vAlign w:val="center"/>
          </w:tcPr>
          <w:p w14:paraId="25A7C1BB">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地理坐标</w:t>
            </w:r>
          </w:p>
        </w:tc>
        <w:tc>
          <w:tcPr>
            <w:tcW w:w="3861" w:type="pct"/>
            <w:gridSpan w:val="5"/>
            <w:vAlign w:val="center"/>
          </w:tcPr>
          <w:p w14:paraId="2E3DADB8">
            <w:pPr>
              <w:pStyle w:val="60"/>
              <w:keepNext w:val="0"/>
              <w:keepLines w:val="0"/>
              <w:pageBreakBefore w:val="0"/>
              <w:kinsoku/>
              <w:wordWrap w:val="0"/>
              <w:overflowPunct/>
              <w:topLinePunct w:val="0"/>
              <w:bidi w:val="0"/>
              <w:adjustRightInd/>
              <w:snapToGrid/>
              <w:jc w:val="center"/>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E113°24′20.785″，N25°8′49.168″</w:t>
            </w:r>
          </w:p>
        </w:tc>
      </w:tr>
      <w:tr w14:paraId="09EA09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1" w:hRule="atLeast"/>
          <w:jc w:val="center"/>
        </w:trPr>
        <w:tc>
          <w:tcPr>
            <w:tcW w:w="1138" w:type="pct"/>
            <w:gridSpan w:val="2"/>
            <w:vAlign w:val="center"/>
          </w:tcPr>
          <w:p w14:paraId="6F192646">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国民经济</w:t>
            </w:r>
          </w:p>
          <w:p w14:paraId="445C5EA1">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060" w:type="pct"/>
            <w:vAlign w:val="center"/>
          </w:tcPr>
          <w:p w14:paraId="050293FF">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lang w:val="en-US"/>
              </w:rPr>
            </w:pPr>
            <w:r>
              <w:rPr>
                <w:rFonts w:hint="default" w:ascii="Times New Roman" w:hAnsi="Times New Roman" w:cs="Times New Roman"/>
                <w:color w:val="auto"/>
                <w:sz w:val="24"/>
                <w:szCs w:val="24"/>
                <w:highlight w:val="none"/>
                <w:lang w:val="en-US" w:eastAsia="zh-CN"/>
              </w:rPr>
              <w:t>C2929塑料零件及其他塑料制品制造</w:t>
            </w:r>
          </w:p>
        </w:tc>
        <w:tc>
          <w:tcPr>
            <w:tcW w:w="966" w:type="pct"/>
            <w:gridSpan w:val="2"/>
            <w:vAlign w:val="center"/>
          </w:tcPr>
          <w:p w14:paraId="3C17DE87">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08969BF6">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行业类别</w:t>
            </w:r>
          </w:p>
        </w:tc>
        <w:tc>
          <w:tcPr>
            <w:tcW w:w="1834" w:type="pct"/>
            <w:gridSpan w:val="2"/>
            <w:vAlign w:val="center"/>
          </w:tcPr>
          <w:p w14:paraId="03D2C51E">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二十六、橡胶和塑料制品业29-53 塑料制品业 292-其他（年用非溶剂型低VOCs含量涂料10吨以下的除外）</w:t>
            </w:r>
          </w:p>
        </w:tc>
      </w:tr>
      <w:tr w14:paraId="0B5E1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2" w:hRule="atLeast"/>
          <w:jc w:val="center"/>
        </w:trPr>
        <w:tc>
          <w:tcPr>
            <w:tcW w:w="1138" w:type="pct"/>
            <w:gridSpan w:val="2"/>
            <w:vAlign w:val="center"/>
          </w:tcPr>
          <w:p w14:paraId="42F4A02D">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建设性质</w:t>
            </w:r>
          </w:p>
        </w:tc>
        <w:tc>
          <w:tcPr>
            <w:tcW w:w="1060" w:type="pct"/>
            <w:vAlign w:val="center"/>
          </w:tcPr>
          <w:p w14:paraId="5C73B632">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新建（迁建）</w:t>
            </w:r>
          </w:p>
          <w:p w14:paraId="272806DD">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改建</w:t>
            </w:r>
          </w:p>
          <w:p w14:paraId="161640A7">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扩建</w:t>
            </w:r>
          </w:p>
          <w:p w14:paraId="721CD02F">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技术改造</w:t>
            </w:r>
          </w:p>
        </w:tc>
        <w:tc>
          <w:tcPr>
            <w:tcW w:w="966" w:type="pct"/>
            <w:gridSpan w:val="2"/>
            <w:vAlign w:val="center"/>
          </w:tcPr>
          <w:p w14:paraId="565A3D50">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建设项目</w:t>
            </w:r>
          </w:p>
          <w:p w14:paraId="4D1DE04B">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申报情形</w:t>
            </w:r>
          </w:p>
        </w:tc>
        <w:tc>
          <w:tcPr>
            <w:tcW w:w="1834" w:type="pct"/>
            <w:gridSpan w:val="2"/>
            <w:vAlign w:val="center"/>
          </w:tcPr>
          <w:p w14:paraId="308AD038">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首次申报项目</w:t>
            </w:r>
          </w:p>
          <w:p w14:paraId="0B80DD51">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不予批准后再次申报项目</w:t>
            </w:r>
          </w:p>
          <w:p w14:paraId="5CD62E45">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超五年重新审核项目</w:t>
            </w:r>
          </w:p>
          <w:p w14:paraId="4BBDFD41">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重大变动重新报批项目</w:t>
            </w:r>
          </w:p>
        </w:tc>
      </w:tr>
      <w:tr w14:paraId="13386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4" w:hRule="atLeast"/>
          <w:jc w:val="center"/>
        </w:trPr>
        <w:tc>
          <w:tcPr>
            <w:tcW w:w="1138" w:type="pct"/>
            <w:gridSpan w:val="2"/>
            <w:vAlign w:val="center"/>
          </w:tcPr>
          <w:p w14:paraId="59D032CA">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项目审批（核准/备案）部门（选填）</w:t>
            </w:r>
          </w:p>
        </w:tc>
        <w:tc>
          <w:tcPr>
            <w:tcW w:w="1060" w:type="pct"/>
            <w:vAlign w:val="center"/>
          </w:tcPr>
          <w:p w14:paraId="3544B2D3">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c>
          <w:tcPr>
            <w:tcW w:w="966" w:type="pct"/>
            <w:gridSpan w:val="2"/>
            <w:vAlign w:val="center"/>
          </w:tcPr>
          <w:p w14:paraId="3EFEB662">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项目审批（核准/备案）文号（选填）</w:t>
            </w:r>
          </w:p>
        </w:tc>
        <w:tc>
          <w:tcPr>
            <w:tcW w:w="1834" w:type="pct"/>
            <w:gridSpan w:val="2"/>
            <w:vAlign w:val="center"/>
          </w:tcPr>
          <w:p w14:paraId="25C2A3CA">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p>
        </w:tc>
      </w:tr>
      <w:tr w14:paraId="482E5B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138" w:type="pct"/>
            <w:gridSpan w:val="2"/>
            <w:vAlign w:val="center"/>
          </w:tcPr>
          <w:p w14:paraId="45B23EC7">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总投资（万元）</w:t>
            </w:r>
          </w:p>
        </w:tc>
        <w:tc>
          <w:tcPr>
            <w:tcW w:w="1060" w:type="pct"/>
            <w:shd w:val="clear" w:color="auto" w:fill="auto"/>
            <w:vAlign w:val="center"/>
          </w:tcPr>
          <w:p w14:paraId="5B8CA286">
            <w:pPr>
              <w:pStyle w:val="60"/>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position w:val="-10"/>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600</w:t>
            </w:r>
          </w:p>
        </w:tc>
        <w:tc>
          <w:tcPr>
            <w:tcW w:w="966" w:type="pct"/>
            <w:gridSpan w:val="2"/>
            <w:vAlign w:val="center"/>
          </w:tcPr>
          <w:p w14:paraId="4840B821">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w:t>
            </w:r>
          </w:p>
          <w:p w14:paraId="7F58128A">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（万元）</w:t>
            </w:r>
          </w:p>
        </w:tc>
        <w:tc>
          <w:tcPr>
            <w:tcW w:w="3129" w:type="dxa"/>
            <w:gridSpan w:val="2"/>
            <w:vAlign w:val="center"/>
          </w:tcPr>
          <w:p w14:paraId="5706D7A4">
            <w:pPr>
              <w:pStyle w:val="60"/>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50</w:t>
            </w:r>
          </w:p>
        </w:tc>
      </w:tr>
      <w:tr w14:paraId="133F9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1138" w:type="pct"/>
            <w:gridSpan w:val="2"/>
            <w:vAlign w:val="center"/>
          </w:tcPr>
          <w:p w14:paraId="218FE1E7">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环保投资占比（%）</w:t>
            </w:r>
          </w:p>
        </w:tc>
        <w:tc>
          <w:tcPr>
            <w:tcW w:w="1060" w:type="pct"/>
            <w:shd w:val="clear" w:color="auto" w:fill="auto"/>
            <w:vAlign w:val="center"/>
          </w:tcPr>
          <w:p w14:paraId="6CC01DA7">
            <w:pPr>
              <w:pStyle w:val="60"/>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position w:val="-10"/>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8.3</w:t>
            </w:r>
          </w:p>
        </w:tc>
        <w:tc>
          <w:tcPr>
            <w:tcW w:w="966" w:type="pct"/>
            <w:gridSpan w:val="2"/>
            <w:vAlign w:val="center"/>
          </w:tcPr>
          <w:p w14:paraId="151B9CEE">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施工工期</w:t>
            </w:r>
          </w:p>
        </w:tc>
        <w:tc>
          <w:tcPr>
            <w:tcW w:w="3129" w:type="dxa"/>
            <w:gridSpan w:val="2"/>
            <w:vAlign w:val="center"/>
          </w:tcPr>
          <w:p w14:paraId="282C4E33">
            <w:pPr>
              <w:pStyle w:val="60"/>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w:t>
            </w:r>
          </w:p>
        </w:tc>
      </w:tr>
      <w:tr w14:paraId="0E7DB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1138" w:type="pct"/>
            <w:gridSpan w:val="2"/>
            <w:vAlign w:val="center"/>
          </w:tcPr>
          <w:p w14:paraId="19B12A4C">
            <w:pPr>
              <w:pStyle w:val="60"/>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1060" w:type="pct"/>
            <w:vAlign w:val="center"/>
          </w:tcPr>
          <w:p w14:paraId="12469CD5">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sym w:font="Wingdings" w:char="00FE"/>
            </w:r>
            <w:r>
              <w:rPr>
                <w:rFonts w:hint="default" w:ascii="Times New Roman" w:hAnsi="Times New Roman" w:cs="Times New Roman"/>
                <w:color w:val="auto"/>
                <w:highlight w:val="none"/>
              </w:rPr>
              <w:t>否</w:t>
            </w:r>
          </w:p>
          <w:p w14:paraId="55D6877D">
            <w:pPr>
              <w:keepNext w:val="0"/>
              <w:keepLines w:val="0"/>
              <w:pageBreakBefore w:val="0"/>
              <w:kinsoku/>
              <w:wordWrap w:val="0"/>
              <w:overflowPunct/>
              <w:topLinePunct w:val="0"/>
              <w:bidi w:val="0"/>
              <w:adjustRightInd/>
              <w:snapToGrid/>
              <w:spacing w:line="240" w:lineRule="auto"/>
              <w:jc w:val="left"/>
              <w:outlineLvl w:val="9"/>
              <w:rPr>
                <w:rFonts w:hint="default" w:ascii="Times New Roman" w:hAnsi="Times New Roman" w:cs="Times New Roman"/>
                <w:color w:val="auto"/>
                <w:highlight w:val="none"/>
                <w:u w:val="single"/>
              </w:rPr>
            </w:pPr>
            <w:r>
              <w:rPr>
                <w:rFonts w:hint="default" w:ascii="Times New Roman" w:hAnsi="Times New Roman" w:cs="Times New Roman"/>
                <w:color w:val="auto"/>
                <w:highlight w:val="none"/>
              </w:rPr>
              <w:sym w:font="Wingdings" w:char="00A8"/>
            </w:r>
            <w:r>
              <w:rPr>
                <w:rFonts w:hint="default" w:ascii="Times New Roman" w:hAnsi="Times New Roman" w:cs="Times New Roman"/>
                <w:color w:val="auto"/>
                <w:highlight w:val="none"/>
              </w:rPr>
              <w:t>是：</w:t>
            </w:r>
          </w:p>
        </w:tc>
        <w:tc>
          <w:tcPr>
            <w:tcW w:w="966" w:type="pct"/>
            <w:gridSpan w:val="2"/>
            <w:vAlign w:val="center"/>
          </w:tcPr>
          <w:p w14:paraId="392B0726">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用地（用海）面积（m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rPr>
              <w:t>）</w:t>
            </w:r>
          </w:p>
        </w:tc>
        <w:tc>
          <w:tcPr>
            <w:tcW w:w="3129" w:type="dxa"/>
            <w:gridSpan w:val="2"/>
            <w:vAlign w:val="center"/>
          </w:tcPr>
          <w:p w14:paraId="25FB8E88">
            <w:pPr>
              <w:pStyle w:val="60"/>
              <w:keepNext w:val="0"/>
              <w:keepLines w:val="0"/>
              <w:pageBreakBefore w:val="0"/>
              <w:kinsoku/>
              <w:wordWrap w:val="0"/>
              <w:overflowPunct/>
              <w:topLinePunct w:val="0"/>
              <w:bidi w:val="0"/>
              <w:adjustRightInd/>
              <w:snapToGrid/>
              <w:outlineLvl w:val="9"/>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highlight w:val="none"/>
                <w:lang w:val="en-US" w:eastAsia="zh-CN"/>
              </w:rPr>
              <w:t>1395.30</w:t>
            </w:r>
          </w:p>
        </w:tc>
      </w:tr>
      <w:tr w14:paraId="2CB76D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38" w:type="pct"/>
            <w:gridSpan w:val="2"/>
            <w:vAlign w:val="center"/>
          </w:tcPr>
          <w:p w14:paraId="7E011B34">
            <w:pPr>
              <w:pStyle w:val="60"/>
              <w:pageBreakBefore w:val="0"/>
              <w:wordWrap w:val="0"/>
              <w:topLinePunct w:val="0"/>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专项评价设置情况</w:t>
            </w:r>
          </w:p>
        </w:tc>
        <w:tc>
          <w:tcPr>
            <w:tcW w:w="3861" w:type="pct"/>
            <w:gridSpan w:val="5"/>
            <w:vAlign w:val="center"/>
          </w:tcPr>
          <w:p w14:paraId="41DD130C">
            <w:pPr>
              <w:pStyle w:val="60"/>
              <w:keepNext w:val="0"/>
              <w:keepLines w:val="0"/>
              <w:pageBreakBefore w:val="0"/>
              <w:kinsoku/>
              <w:wordWrap w:val="0"/>
              <w:overflowPunct/>
              <w:topLinePunct w:val="0"/>
              <w:bidi w:val="0"/>
              <w:adjustRightInd/>
              <w:snapToGrid/>
              <w:outlineLvl w:val="9"/>
              <w:rPr>
                <w:rFonts w:hint="default" w:ascii="Times New Roman" w:hAnsi="Times New Roman" w:cs="Times New Roman"/>
                <w:color w:val="auto"/>
                <w:sz w:val="24"/>
                <w:szCs w:val="22"/>
                <w:highlight w:val="none"/>
                <w:lang w:val="en-US"/>
              </w:rPr>
            </w:pPr>
            <w:r>
              <w:rPr>
                <w:rFonts w:hint="default" w:ascii="Times New Roman" w:hAnsi="Times New Roman" w:cs="Times New Roman"/>
                <w:color w:val="auto"/>
                <w:sz w:val="24"/>
                <w:szCs w:val="24"/>
                <w:highlight w:val="none"/>
                <w:lang w:val="en-US" w:eastAsia="zh-CN"/>
              </w:rPr>
              <w:t>无</w:t>
            </w:r>
          </w:p>
        </w:tc>
      </w:tr>
      <w:tr w14:paraId="441C8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7" w:hRule="atLeast"/>
          <w:jc w:val="center"/>
        </w:trPr>
        <w:tc>
          <w:tcPr>
            <w:tcW w:w="1138" w:type="pct"/>
            <w:gridSpan w:val="2"/>
            <w:vAlign w:val="center"/>
          </w:tcPr>
          <w:p w14:paraId="4BA6EF35">
            <w:pPr>
              <w:pStyle w:val="60"/>
              <w:pageBreakBefore w:val="0"/>
              <w:wordWrap w:val="0"/>
              <w:topLinePunct w:val="0"/>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规划情况</w:t>
            </w:r>
          </w:p>
        </w:tc>
        <w:tc>
          <w:tcPr>
            <w:tcW w:w="6587" w:type="dxa"/>
            <w:gridSpan w:val="5"/>
            <w:vAlign w:val="center"/>
          </w:tcPr>
          <w:p w14:paraId="1B15DE95">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ind w:left="0" w:leftChars="0" w:right="0" w:rightChars="0"/>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kern w:val="2"/>
                <w:sz w:val="24"/>
                <w:szCs w:val="24"/>
                <w:highlight w:val="none"/>
              </w:rPr>
              <w:t>《乐昌产业转移工业园</w:t>
            </w:r>
            <w:r>
              <w:rPr>
                <w:rFonts w:hint="default" w:ascii="Times New Roman" w:hAnsi="Times New Roman" w:cs="Times New Roman"/>
                <w:color w:val="auto"/>
                <w:spacing w:val="-1"/>
                <w:kern w:val="2"/>
                <w:sz w:val="24"/>
                <w:szCs w:val="24"/>
                <w:highlight w:val="none"/>
                <w:lang w:val="en-US" w:eastAsia="zh-CN"/>
              </w:rPr>
              <w:t>城东片区控制性详细规划修编</w:t>
            </w:r>
            <w:r>
              <w:rPr>
                <w:rFonts w:hint="default" w:ascii="Times New Roman" w:hAnsi="Times New Roman" w:cs="Times New Roman"/>
                <w:color w:val="auto"/>
                <w:spacing w:val="-1"/>
                <w:kern w:val="2"/>
                <w:sz w:val="24"/>
                <w:szCs w:val="24"/>
                <w:highlight w:val="none"/>
              </w:rPr>
              <w:t>》</w:t>
            </w:r>
          </w:p>
        </w:tc>
      </w:tr>
      <w:tr w14:paraId="6E373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138" w:type="pct"/>
            <w:gridSpan w:val="2"/>
            <w:vAlign w:val="center"/>
          </w:tcPr>
          <w:p w14:paraId="4D677DA6">
            <w:pPr>
              <w:pStyle w:val="60"/>
              <w:pageBreakBefore w:val="0"/>
              <w:wordWrap w:val="0"/>
              <w:topLinePunct w:val="0"/>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规划环境影响评价情况</w:t>
            </w:r>
          </w:p>
        </w:tc>
        <w:tc>
          <w:tcPr>
            <w:tcW w:w="6587" w:type="dxa"/>
            <w:gridSpan w:val="5"/>
            <w:vAlign w:val="center"/>
          </w:tcPr>
          <w:p w14:paraId="33C1C5B8">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360" w:lineRule="auto"/>
              <w:ind w:left="0" w:leftChars="0" w:right="0" w:rightChars="0"/>
              <w:jc w:val="left"/>
              <w:outlineLvl w:val="9"/>
              <w:rPr>
                <w:rFonts w:hint="default" w:ascii="Times New Roman" w:hAnsi="Times New Roman" w:cs="Times New Roman"/>
                <w:color w:val="auto"/>
                <w:sz w:val="24"/>
                <w:szCs w:val="22"/>
                <w:highlight w:val="none"/>
              </w:rPr>
            </w:pPr>
            <w:r>
              <w:rPr>
                <w:rFonts w:hint="default" w:ascii="Times New Roman" w:hAnsi="Times New Roman" w:cs="Times New Roman"/>
                <w:color w:val="auto"/>
                <w:spacing w:val="-1"/>
                <w:kern w:val="2"/>
                <w:sz w:val="24"/>
                <w:szCs w:val="24"/>
                <w:highlight w:val="none"/>
              </w:rPr>
              <w:t>《</w:t>
            </w:r>
            <w:r>
              <w:rPr>
                <w:rFonts w:hint="eastAsia" w:ascii="Times New Roman" w:hAnsi="Times New Roman" w:cs="Times New Roman"/>
                <w:color w:val="auto"/>
                <w:spacing w:val="-1"/>
                <w:kern w:val="2"/>
                <w:sz w:val="24"/>
                <w:szCs w:val="24"/>
                <w:highlight w:val="none"/>
                <w:lang w:val="en-US" w:eastAsia="zh-CN"/>
              </w:rPr>
              <w:t>韶关乐昌经济开发区规划环境影响报告书</w:t>
            </w:r>
            <w:r>
              <w:rPr>
                <w:rFonts w:hint="default" w:ascii="Times New Roman" w:hAnsi="Times New Roman" w:cs="Times New Roman"/>
                <w:color w:val="auto"/>
                <w:spacing w:val="-1"/>
                <w:kern w:val="2"/>
                <w:sz w:val="24"/>
                <w:szCs w:val="24"/>
                <w:highlight w:val="none"/>
              </w:rPr>
              <w:t>》，</w:t>
            </w:r>
            <w:r>
              <w:rPr>
                <w:rFonts w:hint="default" w:ascii="Times New Roman" w:hAnsi="Times New Roman" w:cs="Times New Roman"/>
                <w:color w:val="auto"/>
                <w:spacing w:val="-1"/>
                <w:kern w:val="2"/>
                <w:sz w:val="24"/>
                <w:szCs w:val="24"/>
                <w:highlight w:val="none"/>
                <w:lang w:eastAsia="zh-CN"/>
              </w:rPr>
              <w:t>审查单位：</w:t>
            </w:r>
            <w:r>
              <w:rPr>
                <w:rFonts w:hint="default" w:ascii="Times New Roman" w:hAnsi="Times New Roman" w:cs="Times New Roman"/>
                <w:color w:val="auto"/>
                <w:spacing w:val="-1"/>
                <w:kern w:val="2"/>
                <w:sz w:val="24"/>
                <w:szCs w:val="24"/>
                <w:highlight w:val="none"/>
              </w:rPr>
              <w:t>广东省</w:t>
            </w:r>
            <w:r>
              <w:rPr>
                <w:rFonts w:hint="eastAsia" w:ascii="Times New Roman" w:hAnsi="Times New Roman" w:cs="Times New Roman"/>
                <w:color w:val="auto"/>
                <w:spacing w:val="-1"/>
                <w:kern w:val="2"/>
                <w:sz w:val="24"/>
                <w:szCs w:val="24"/>
                <w:highlight w:val="none"/>
                <w:lang w:val="en-US" w:eastAsia="zh-CN"/>
              </w:rPr>
              <w:t>生态环境厅</w:t>
            </w:r>
            <w:r>
              <w:rPr>
                <w:rFonts w:hint="default" w:ascii="Times New Roman" w:hAnsi="Times New Roman" w:cs="Times New Roman"/>
                <w:color w:val="auto"/>
                <w:spacing w:val="-1"/>
                <w:kern w:val="2"/>
                <w:sz w:val="24"/>
                <w:szCs w:val="24"/>
                <w:highlight w:val="none"/>
              </w:rPr>
              <w:t>，广东省</w:t>
            </w:r>
            <w:r>
              <w:rPr>
                <w:rFonts w:hint="eastAsia" w:ascii="Times New Roman" w:hAnsi="Times New Roman" w:cs="Times New Roman"/>
                <w:color w:val="auto"/>
                <w:spacing w:val="-1"/>
                <w:kern w:val="2"/>
                <w:sz w:val="24"/>
                <w:szCs w:val="24"/>
                <w:highlight w:val="none"/>
                <w:lang w:val="en-US" w:eastAsia="zh-CN"/>
              </w:rPr>
              <w:t>生态环境厅</w:t>
            </w:r>
            <w:r>
              <w:rPr>
                <w:rFonts w:hint="default" w:ascii="Times New Roman" w:hAnsi="Times New Roman" w:cs="Times New Roman"/>
                <w:color w:val="auto"/>
                <w:spacing w:val="-1"/>
                <w:kern w:val="2"/>
                <w:sz w:val="24"/>
                <w:szCs w:val="24"/>
                <w:highlight w:val="none"/>
              </w:rPr>
              <w:t>关于印发《</w:t>
            </w:r>
            <w:r>
              <w:rPr>
                <w:rFonts w:hint="eastAsia" w:ascii="Times New Roman" w:hAnsi="Times New Roman" w:cs="Times New Roman"/>
                <w:color w:val="auto"/>
                <w:spacing w:val="-1"/>
                <w:kern w:val="2"/>
                <w:sz w:val="24"/>
                <w:szCs w:val="24"/>
                <w:highlight w:val="none"/>
                <w:lang w:val="en-US" w:eastAsia="zh-CN"/>
              </w:rPr>
              <w:t>韶关乐昌经济开发区规划环境影响报告书审查意见</w:t>
            </w:r>
            <w:r>
              <w:rPr>
                <w:rFonts w:hint="default" w:ascii="Times New Roman" w:hAnsi="Times New Roman" w:cs="Times New Roman"/>
                <w:color w:val="auto"/>
                <w:spacing w:val="-1"/>
                <w:kern w:val="2"/>
                <w:sz w:val="24"/>
                <w:szCs w:val="24"/>
                <w:highlight w:val="none"/>
              </w:rPr>
              <w:t>》的函（粤环函</w:t>
            </w:r>
            <w:r>
              <w:rPr>
                <w:rFonts w:hint="default" w:ascii="Times New Roman" w:hAnsi="Times New Roman" w:cs="Times New Roman"/>
                <w:color w:val="auto"/>
                <w:spacing w:val="-1"/>
                <w:kern w:val="2"/>
                <w:sz w:val="24"/>
                <w:szCs w:val="24"/>
                <w:highlight w:val="none"/>
                <w:lang w:eastAsia="zh-CN"/>
              </w:rPr>
              <w:t>〔</w:t>
            </w:r>
            <w:r>
              <w:rPr>
                <w:rFonts w:hint="default" w:ascii="Times New Roman" w:hAnsi="Times New Roman" w:cs="Times New Roman"/>
                <w:color w:val="auto"/>
                <w:spacing w:val="-1"/>
                <w:kern w:val="2"/>
                <w:sz w:val="24"/>
                <w:szCs w:val="24"/>
                <w:highlight w:val="none"/>
              </w:rPr>
              <w:t>20</w:t>
            </w:r>
            <w:r>
              <w:rPr>
                <w:rFonts w:hint="eastAsia" w:ascii="Times New Roman" w:hAnsi="Times New Roman" w:cs="Times New Roman"/>
                <w:color w:val="auto"/>
                <w:spacing w:val="-1"/>
                <w:kern w:val="2"/>
                <w:sz w:val="24"/>
                <w:szCs w:val="24"/>
                <w:highlight w:val="none"/>
                <w:lang w:val="en-US" w:eastAsia="zh-CN"/>
              </w:rPr>
              <w:t>26</w:t>
            </w:r>
            <w:r>
              <w:rPr>
                <w:rFonts w:hint="default" w:ascii="Times New Roman" w:hAnsi="Times New Roman" w:cs="Times New Roman"/>
                <w:color w:val="auto"/>
                <w:spacing w:val="-1"/>
                <w:kern w:val="2"/>
                <w:sz w:val="24"/>
                <w:szCs w:val="24"/>
                <w:highlight w:val="none"/>
                <w:lang w:eastAsia="zh-CN"/>
              </w:rPr>
              <w:t>〕</w:t>
            </w:r>
            <w:r>
              <w:rPr>
                <w:rFonts w:hint="eastAsia" w:ascii="Times New Roman" w:hAnsi="Times New Roman" w:cs="Times New Roman"/>
                <w:color w:val="auto"/>
                <w:spacing w:val="-1"/>
                <w:kern w:val="2"/>
                <w:sz w:val="24"/>
                <w:szCs w:val="24"/>
                <w:highlight w:val="none"/>
                <w:lang w:val="en-US" w:eastAsia="zh-CN"/>
              </w:rPr>
              <w:t>80</w:t>
            </w:r>
            <w:r>
              <w:rPr>
                <w:rFonts w:hint="default" w:ascii="Times New Roman" w:hAnsi="Times New Roman" w:cs="Times New Roman"/>
                <w:color w:val="auto"/>
                <w:spacing w:val="-1"/>
                <w:kern w:val="2"/>
                <w:sz w:val="24"/>
                <w:szCs w:val="24"/>
                <w:highlight w:val="none"/>
              </w:rPr>
              <w:t>号）</w:t>
            </w:r>
          </w:p>
        </w:tc>
      </w:tr>
      <w:tr w14:paraId="4404B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63" w:hRule="atLeast"/>
          <w:jc w:val="center"/>
        </w:trPr>
        <w:tc>
          <w:tcPr>
            <w:tcW w:w="1138" w:type="pct"/>
            <w:gridSpan w:val="2"/>
            <w:vAlign w:val="center"/>
          </w:tcPr>
          <w:p w14:paraId="44011EBD">
            <w:pPr>
              <w:pStyle w:val="60"/>
              <w:pageBreakBefore w:val="0"/>
              <w:wordWrap w:val="0"/>
              <w:topLinePunct w:val="0"/>
              <w:bidi w:val="0"/>
              <w:rPr>
                <w:rFonts w:hint="default" w:ascii="Times New Roman" w:hAnsi="Times New Roman" w:cs="Times New Roman"/>
                <w:color w:val="auto"/>
                <w:sz w:val="24"/>
                <w:szCs w:val="22"/>
                <w:highlight w:val="none"/>
              </w:rPr>
            </w:pPr>
            <w:r>
              <w:rPr>
                <w:rFonts w:hint="default" w:ascii="Times New Roman" w:hAnsi="Times New Roman" w:cs="Times New Roman"/>
                <w:color w:val="auto"/>
                <w:sz w:val="24"/>
                <w:szCs w:val="22"/>
                <w:highlight w:val="none"/>
              </w:rPr>
              <w:t>规划及规划环境影响评价符合性分析</w:t>
            </w:r>
          </w:p>
        </w:tc>
        <w:tc>
          <w:tcPr>
            <w:tcW w:w="6587" w:type="dxa"/>
            <w:gridSpan w:val="5"/>
            <w:vAlign w:val="center"/>
          </w:tcPr>
          <w:p w14:paraId="7EEBF563">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cs="Times New Roman"/>
                <w:color w:val="auto"/>
                <w:spacing w:val="-1"/>
                <w:sz w:val="24"/>
                <w:szCs w:val="24"/>
                <w:highlight w:val="none"/>
                <w:lang w:eastAsia="zh-CN"/>
              </w:rPr>
            </w:pPr>
            <w:bookmarkStart w:id="3" w:name="_Toc24148"/>
            <w:bookmarkStart w:id="4" w:name="_Toc9596"/>
            <w:r>
              <w:rPr>
                <w:rFonts w:hint="default" w:ascii="Times New Roman" w:hAnsi="Times New Roman" w:eastAsia="宋体" w:cs="Times New Roman"/>
                <w:color w:val="auto"/>
                <w:spacing w:val="-1"/>
                <w:sz w:val="24"/>
                <w:szCs w:val="24"/>
                <w:highlight w:val="none"/>
              </w:rPr>
              <w:t>根据</w:t>
            </w:r>
            <w:r>
              <w:rPr>
                <w:rFonts w:hint="default" w:ascii="Times New Roman" w:hAnsi="Times New Roman" w:cs="Times New Roman"/>
                <w:color w:val="auto"/>
                <w:spacing w:val="-1"/>
                <w:kern w:val="2"/>
                <w:sz w:val="24"/>
                <w:szCs w:val="24"/>
                <w:highlight w:val="none"/>
              </w:rPr>
              <w:t>《</w:t>
            </w:r>
            <w:r>
              <w:rPr>
                <w:rFonts w:hint="eastAsia" w:ascii="Times New Roman" w:hAnsi="Times New Roman" w:cs="Times New Roman"/>
                <w:color w:val="auto"/>
                <w:spacing w:val="-1"/>
                <w:kern w:val="2"/>
                <w:sz w:val="24"/>
                <w:szCs w:val="24"/>
                <w:highlight w:val="none"/>
                <w:lang w:val="en-US" w:eastAsia="zh-CN"/>
              </w:rPr>
              <w:t>韶关乐昌经济开发区规划环境影响报告书</w:t>
            </w:r>
            <w:r>
              <w:rPr>
                <w:rFonts w:hint="default" w:ascii="Times New Roman" w:hAnsi="Times New Roman" w:cs="Times New Roman"/>
                <w:color w:val="auto"/>
                <w:spacing w:val="-1"/>
                <w:kern w:val="2"/>
                <w:sz w:val="24"/>
                <w:szCs w:val="24"/>
                <w:highlight w:val="none"/>
              </w:rPr>
              <w:t>》</w:t>
            </w:r>
            <w:r>
              <w:rPr>
                <w:rFonts w:hint="default" w:ascii="Times New Roman" w:hAnsi="Times New Roman" w:eastAsia="宋体" w:cs="Times New Roman"/>
                <w:color w:val="auto"/>
                <w:spacing w:val="-1"/>
                <w:sz w:val="24"/>
                <w:szCs w:val="24"/>
                <w:highlight w:val="none"/>
              </w:rPr>
              <w:t>及其审查意见</w:t>
            </w:r>
            <w:r>
              <w:rPr>
                <w:rFonts w:hint="eastAsia" w:ascii="Times New Roman" w:hAnsi="Times New Roman" w:cs="Times New Roman"/>
                <w:color w:val="auto"/>
                <w:spacing w:val="-1"/>
                <w:sz w:val="24"/>
                <w:szCs w:val="24"/>
                <w:highlight w:val="none"/>
                <w:lang w:eastAsia="zh-CN"/>
              </w:rPr>
              <w:t>：</w:t>
            </w:r>
          </w:p>
          <w:p w14:paraId="716486E2">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eastAsia="宋体"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一</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原广东乐昌经济开发区与原乐昌产业转移工业园及周边新增用地进行整合优化，形成韶关乐昌经济开发区（以下简称园区），并调整园区边界。调整后的园区面积为 691.1483 公顷，分为城东片区（520.2648 公顷）、城南片区（170.8835 公顷）两个片区，主导产业为金属制品业、橡胶和塑料制品业以及计算机、通信和其他电子设备制造业，兼顾发展食品加工产业</w:t>
            </w:r>
            <w:r>
              <w:rPr>
                <w:rFonts w:hint="eastAsia" w:ascii="Times New Roman" w:hAnsi="Times New Roman" w:cs="Times New Roman"/>
                <w:color w:val="auto"/>
                <w:spacing w:val="-1"/>
                <w:sz w:val="24"/>
                <w:szCs w:val="24"/>
                <w:highlight w:val="none"/>
                <w:lang w:eastAsia="zh-CN"/>
              </w:rPr>
              <w:t>；</w:t>
            </w:r>
          </w:p>
          <w:p w14:paraId="26ED0D92">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eastAsia="宋体"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二</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开发建设应符合国家开发区管理有关政策以及我省国土空间总体规划、工业园区高质量发展等要求，严格执行生态环境分区管控相关要求，禁止建设不符合生态环境分区管控要求和规划环评生态环境准入清单的项目</w:t>
            </w:r>
            <w:r>
              <w:rPr>
                <w:rFonts w:hint="eastAsia" w:ascii="Times New Roman" w:hAnsi="Times New Roman" w:cs="Times New Roman"/>
                <w:color w:val="auto"/>
                <w:spacing w:val="-1"/>
                <w:sz w:val="24"/>
                <w:szCs w:val="24"/>
                <w:highlight w:val="none"/>
                <w:lang w:eastAsia="zh-CN"/>
              </w:rPr>
              <w:t>；</w:t>
            </w:r>
          </w:p>
          <w:p w14:paraId="2EE7C75C">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eastAsia="宋体"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三</w:t>
            </w:r>
            <w:r>
              <w:rPr>
                <w:rFonts w:hint="eastAsia" w:ascii="Times New Roman" w:hAnsi="Times New Roman" w:cs="Times New Roman"/>
                <w:color w:val="auto"/>
                <w:spacing w:val="-1"/>
                <w:sz w:val="24"/>
                <w:szCs w:val="24"/>
                <w:highlight w:val="none"/>
                <w:lang w:eastAsia="zh-CN"/>
              </w:rPr>
              <w:t>）</w:t>
            </w:r>
            <w:r>
              <w:rPr>
                <w:rFonts w:hint="default" w:ascii="Times New Roman" w:hAnsi="Times New Roman" w:eastAsia="宋体" w:cs="Times New Roman"/>
                <w:color w:val="auto"/>
                <w:spacing w:val="-1"/>
                <w:sz w:val="24"/>
                <w:szCs w:val="24"/>
                <w:highlight w:val="none"/>
              </w:rPr>
              <w:t>邻近居民点、学校的工业用地优先建设无污染或轻污染的企业和项目，加强园区企业管理，并采取设置绿化隔离带等措施，防止对周边居民和学校造成不良环境影响</w:t>
            </w:r>
            <w:r>
              <w:rPr>
                <w:rFonts w:hint="eastAsia" w:ascii="Times New Roman" w:hAnsi="Times New Roman" w:cs="Times New Roman"/>
                <w:color w:val="auto"/>
                <w:spacing w:val="-1"/>
                <w:sz w:val="24"/>
                <w:szCs w:val="24"/>
                <w:highlight w:val="none"/>
                <w:lang w:eastAsia="zh-CN"/>
              </w:rPr>
              <w:t>；</w:t>
            </w:r>
          </w:p>
          <w:p w14:paraId="021E9D29">
            <w:pPr>
              <w:keepNext w:val="0"/>
              <w:keepLines w:val="0"/>
              <w:pageBreakBefore w:val="0"/>
              <w:widowControl/>
              <w:numPr>
                <w:ilvl w:val="0"/>
                <w:numId w:val="0"/>
              </w:numPr>
              <w:suppressLineNumbers w:val="0"/>
              <w:tabs>
                <w:tab w:val="left" w:pos="0"/>
              </w:tabs>
              <w:kinsoku/>
              <w:wordWrap w:val="0"/>
              <w:overflowPunct/>
              <w:topLinePunct w:val="0"/>
              <w:bidi w:val="0"/>
              <w:adjustRightInd/>
              <w:snapToGrid/>
              <w:spacing w:before="0" w:beforeAutospacing="0" w:after="0" w:afterAutospacing="0" w:line="360" w:lineRule="auto"/>
              <w:ind w:left="0" w:right="0" w:firstLine="476" w:firstLineChars="200"/>
              <w:jc w:val="left"/>
              <w:outlineLvl w:val="9"/>
              <w:rPr>
                <w:rFonts w:hint="eastAsia" w:ascii="Times New Roman" w:hAnsi="Times New Roman" w:cs="Times New Roman"/>
                <w:color w:val="auto"/>
                <w:spacing w:val="-1"/>
                <w:sz w:val="24"/>
                <w:szCs w:val="24"/>
                <w:highlight w:val="none"/>
                <w:lang w:eastAsia="zh-CN"/>
              </w:rPr>
            </w:pPr>
            <w:r>
              <w:rPr>
                <w:rFonts w:hint="eastAsia" w:ascii="Times New Roman" w:hAnsi="Times New Roman" w:cs="Times New Roman"/>
                <w:color w:val="auto"/>
                <w:spacing w:val="-1"/>
                <w:sz w:val="24"/>
                <w:szCs w:val="24"/>
                <w:highlight w:val="none"/>
                <w:lang w:eastAsia="zh-CN"/>
              </w:rPr>
              <w:t>（</w:t>
            </w:r>
            <w:r>
              <w:rPr>
                <w:rFonts w:hint="eastAsia" w:ascii="Times New Roman" w:hAnsi="Times New Roman" w:cs="Times New Roman"/>
                <w:color w:val="auto"/>
                <w:spacing w:val="-1"/>
                <w:sz w:val="24"/>
                <w:szCs w:val="24"/>
                <w:highlight w:val="none"/>
                <w:lang w:val="en-US" w:eastAsia="zh-CN"/>
              </w:rPr>
              <w:t>四</w:t>
            </w:r>
            <w:r>
              <w:rPr>
                <w:rFonts w:hint="eastAsia" w:ascii="Times New Roman" w:hAnsi="Times New Roman" w:cs="Times New Roman"/>
                <w:color w:val="auto"/>
                <w:spacing w:val="-1"/>
                <w:sz w:val="24"/>
                <w:szCs w:val="24"/>
                <w:highlight w:val="none"/>
                <w:lang w:eastAsia="zh-CN"/>
              </w:rPr>
              <w:t>）入园企业应优先使用天然气、电能等清洁能源，提升能源资源利用效率；应按规定淘汰落后、低效废气处理措施，强化废气收集、处理，确保大气污染物达标排放；按照《关于加强重点行业涉新污染物建设项目环境影响评价工作的意见》（环环评〔2025〕28 号）要求，加强重点行业涉新污染物建设项目生态环境管理，不得建设以禁止生产、加工使用的新污染物作为原辅料或产品的项目。</w:t>
            </w:r>
          </w:p>
          <w:p w14:paraId="5ECFD0FB">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360" w:lineRule="auto"/>
              <w:ind w:left="0" w:right="0" w:firstLine="476" w:firstLineChars="200"/>
              <w:jc w:val="right"/>
              <w:outlineLvl w:val="9"/>
              <w:rPr>
                <w:rFonts w:hint="default" w:ascii="Times New Roman" w:hAnsi="Times New Roman" w:eastAsia="宋体" w:cs="Times New Roman"/>
                <w:color w:val="auto"/>
                <w:spacing w:val="-1"/>
                <w:kern w:val="2"/>
                <w:sz w:val="24"/>
                <w:szCs w:val="24"/>
                <w:highlight w:val="none"/>
                <w:lang w:val="en-US" w:eastAsia="zh-CN"/>
              </w:rPr>
            </w:pPr>
            <w:r>
              <w:rPr>
                <w:rFonts w:hint="default" w:ascii="Times New Roman" w:hAnsi="Times New Roman" w:cs="Times New Roman"/>
                <w:color w:val="auto"/>
                <w:spacing w:val="-1"/>
                <w:kern w:val="2"/>
                <w:sz w:val="24"/>
                <w:szCs w:val="24"/>
                <w:highlight w:val="none"/>
              </w:rPr>
              <w:t>本项目</w:t>
            </w:r>
            <w:r>
              <w:rPr>
                <w:rFonts w:hint="eastAsia" w:ascii="Times New Roman" w:hAnsi="Times New Roman" w:cs="Times New Roman"/>
                <w:color w:val="auto"/>
                <w:spacing w:val="-1"/>
                <w:kern w:val="2"/>
                <w:sz w:val="24"/>
                <w:szCs w:val="24"/>
                <w:highlight w:val="none"/>
                <w:lang w:val="en-US" w:eastAsia="zh-CN"/>
              </w:rPr>
              <w:t>属于C2929塑料零件及其他塑料制品制造，不属于建设以禁止生产、加工使用的新污染物作为原辅料或产品的项目，符合</w:t>
            </w:r>
            <w:r>
              <w:rPr>
                <w:rFonts w:hint="default" w:ascii="Times New Roman" w:hAnsi="Times New Roman" w:eastAsia="宋体" w:cs="Times New Roman"/>
                <w:color w:val="auto"/>
                <w:spacing w:val="-1"/>
                <w:kern w:val="2"/>
                <w:sz w:val="24"/>
                <w:szCs w:val="24"/>
                <w:highlight w:val="none"/>
              </w:rPr>
              <w:t>生态环境分区管控要求和规划环评生态环境准入清单</w:t>
            </w:r>
            <w:r>
              <w:rPr>
                <w:rFonts w:hint="eastAsia" w:cs="Times New Roman"/>
                <w:color w:val="auto"/>
                <w:spacing w:val="-1"/>
                <w:kern w:val="2"/>
                <w:sz w:val="24"/>
                <w:szCs w:val="24"/>
                <w:highlight w:val="none"/>
                <w:lang w:val="en-US" w:eastAsia="zh-CN"/>
              </w:rPr>
              <w:t>准入要求；建设项目厂界外500m范围内无自然保护区、风景名胜区、文化区，大气环境保护目标等敏感点</w:t>
            </w:r>
            <w:r>
              <w:rPr>
                <w:rFonts w:hint="default" w:ascii="Times New Roman" w:hAnsi="Times New Roman" w:cs="Times New Roman"/>
                <w:color w:val="auto"/>
                <w:spacing w:val="-1"/>
                <w:kern w:val="2"/>
                <w:sz w:val="24"/>
                <w:szCs w:val="24"/>
                <w:highlight w:val="none"/>
              </w:rPr>
              <w:t>。</w:t>
            </w:r>
            <w:r>
              <w:rPr>
                <w:rFonts w:hint="eastAsia" w:ascii="Times New Roman" w:hAnsi="Times New Roman" w:cs="Times New Roman"/>
                <w:color w:val="auto"/>
                <w:spacing w:val="-1"/>
                <w:kern w:val="2"/>
                <w:sz w:val="24"/>
                <w:szCs w:val="24"/>
                <w:highlight w:val="none"/>
                <w:lang w:val="en-US" w:eastAsia="zh-CN"/>
              </w:rPr>
              <w:t>项目能源和资源消耗主要为电能，项目生产废气处理措施不属于淘汰、落后类，各大气污染物经</w:t>
            </w:r>
            <w:r>
              <w:rPr>
                <w:rFonts w:hint="eastAsia" w:ascii="Times New Roman" w:hAnsi="Times New Roman" w:cs="Times New Roman"/>
                <w:color w:val="auto"/>
                <w:spacing w:val="-1"/>
                <w:kern w:val="2"/>
                <w:sz w:val="24"/>
                <w:szCs w:val="24"/>
                <w:highlight w:val="none"/>
                <w:lang w:eastAsia="zh-CN"/>
              </w:rPr>
              <w:t>收集、处理</w:t>
            </w:r>
            <w:r>
              <w:rPr>
                <w:rFonts w:hint="eastAsia" w:cs="Times New Roman"/>
                <w:color w:val="auto"/>
                <w:spacing w:val="-1"/>
                <w:kern w:val="2"/>
                <w:sz w:val="24"/>
                <w:szCs w:val="24"/>
                <w:highlight w:val="none"/>
                <w:lang w:val="en-US" w:eastAsia="zh-CN"/>
              </w:rPr>
              <w:t>后均能</w:t>
            </w:r>
            <w:r>
              <w:rPr>
                <w:rFonts w:hint="eastAsia" w:ascii="Times New Roman" w:hAnsi="Times New Roman" w:cs="Times New Roman"/>
                <w:color w:val="auto"/>
                <w:spacing w:val="-1"/>
                <w:kern w:val="2"/>
                <w:sz w:val="24"/>
                <w:szCs w:val="24"/>
                <w:highlight w:val="none"/>
                <w:lang w:eastAsia="zh-CN"/>
              </w:rPr>
              <w:t>达标排放</w:t>
            </w:r>
            <w:r>
              <w:rPr>
                <w:rFonts w:hint="eastAsia" w:cs="Times New Roman"/>
                <w:color w:val="auto"/>
                <w:spacing w:val="-1"/>
                <w:kern w:val="2"/>
                <w:sz w:val="24"/>
                <w:szCs w:val="24"/>
                <w:highlight w:val="none"/>
                <w:lang w:eastAsia="zh-CN"/>
              </w:rPr>
              <w:t>。</w:t>
            </w:r>
          </w:p>
          <w:p w14:paraId="4DE3864E">
            <w:pPr>
              <w:pStyle w:val="127"/>
              <w:keepNext w:val="0"/>
              <w:keepLines w:val="0"/>
              <w:pageBreakBefore w:val="0"/>
              <w:suppressLineNumbers w:val="0"/>
              <w:kinsoku/>
              <w:wordWrap w:val="0"/>
              <w:overflowPunct/>
              <w:topLinePunct w:val="0"/>
              <w:autoSpaceDE/>
              <w:autoSpaceDN/>
              <w:bidi w:val="0"/>
              <w:adjustRightInd/>
              <w:snapToGrid/>
              <w:spacing w:before="0" w:beforeAutospacing="0" w:after="0" w:afterAutospacing="0" w:line="276" w:lineRule="auto"/>
              <w:ind w:left="0" w:right="0"/>
              <w:rPr>
                <w:rFonts w:hint="default" w:ascii="Times New Roman" w:hAnsi="Times New Roman" w:eastAsia="宋体" w:cs="Times New Roman"/>
                <w:color w:val="auto"/>
                <w:kern w:val="2"/>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与</w:t>
            </w:r>
            <w:r>
              <w:rPr>
                <w:rFonts w:hint="default" w:ascii="Times New Roman" w:hAnsi="Times New Roman" w:cs="Times New Roman"/>
                <w:b/>
                <w:bCs/>
                <w:color w:val="auto"/>
                <w:sz w:val="21"/>
                <w:szCs w:val="21"/>
                <w:highlight w:val="none"/>
              </w:rPr>
              <w:t>城东片区总体生态环境准入清单</w:t>
            </w:r>
            <w:r>
              <w:rPr>
                <w:rFonts w:hint="default" w:ascii="Times New Roman" w:hAnsi="Times New Roman" w:cs="Times New Roman"/>
                <w:b/>
                <w:bCs/>
                <w:color w:val="auto"/>
                <w:sz w:val="21"/>
                <w:szCs w:val="21"/>
                <w:highlight w:val="none"/>
                <w:lang w:val="en-US" w:eastAsia="zh-CN"/>
              </w:rPr>
              <w:t>相符性分析</w:t>
            </w:r>
          </w:p>
          <w:tbl>
            <w:tblPr>
              <w:tblStyle w:val="38"/>
              <w:tblW w:w="0" w:type="auto"/>
              <w:tblInd w:w="-35"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431"/>
              <w:gridCol w:w="452"/>
              <w:gridCol w:w="2235"/>
              <w:gridCol w:w="2613"/>
              <w:gridCol w:w="640"/>
            </w:tblGrid>
            <w:tr w14:paraId="2C347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6BB24B13">
                  <w:pPr>
                    <w:keepNext w:val="0"/>
                    <w:keepLines w:val="0"/>
                    <w:widowControl/>
                    <w:suppressLineNumbers w:val="0"/>
                    <w:spacing w:line="240" w:lineRule="auto"/>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40A09D02">
                  <w:pPr>
                    <w:keepNext w:val="0"/>
                    <w:keepLines w:val="0"/>
                    <w:widowControl/>
                    <w:suppressLineNumbers w:val="0"/>
                    <w:spacing w:line="240" w:lineRule="auto"/>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管控要求</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18B33653">
                  <w:pPr>
                    <w:keepNext w:val="0"/>
                    <w:keepLines w:val="0"/>
                    <w:widowControl/>
                    <w:suppressLineNumbers w:val="0"/>
                    <w:spacing w:line="240" w:lineRule="auto"/>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总体准入要求</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6D0E0290">
                  <w:pPr>
                    <w:keepNext w:val="0"/>
                    <w:keepLines w:val="0"/>
                    <w:widowControl/>
                    <w:suppressLineNumbers w:val="0"/>
                    <w:spacing w:line="240" w:lineRule="auto"/>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项目情况</w:t>
                  </w:r>
                </w:p>
              </w:tc>
              <w:tc>
                <w:tcPr>
                  <w:tcW w:w="0" w:type="auto"/>
                  <w:tcBorders>
                    <w:top w:val="single" w:color="000000" w:sz="8" w:space="0"/>
                    <w:left w:val="single" w:color="000000" w:sz="8" w:space="0"/>
                    <w:bottom w:val="single" w:color="000000" w:sz="8" w:space="0"/>
                    <w:right w:val="single" w:color="000000" w:sz="8" w:space="0"/>
                  </w:tcBorders>
                  <w:shd w:val="clear" w:color="auto" w:fill="auto"/>
                  <w:vAlign w:val="center"/>
                </w:tcPr>
                <w:p w14:paraId="56B2594A">
                  <w:pPr>
                    <w:keepNext w:val="0"/>
                    <w:keepLines w:val="0"/>
                    <w:widowControl/>
                    <w:suppressLineNumbers w:val="0"/>
                    <w:spacing w:line="240" w:lineRule="auto"/>
                    <w:jc w:val="center"/>
                    <w:textAlignment w:val="top"/>
                    <w:rPr>
                      <w:rFonts w:hint="default" w:ascii="Times New Roman" w:hAnsi="Times New Roman" w:eastAsia="宋体" w:cs="Times New Roman"/>
                      <w:b/>
                      <w:bCs/>
                      <w:i w:val="0"/>
                      <w:iCs w:val="0"/>
                      <w:color w:val="auto"/>
                      <w:sz w:val="21"/>
                      <w:szCs w:val="21"/>
                      <w:highlight w:val="none"/>
                      <w:u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相符性</w:t>
                  </w:r>
                </w:p>
              </w:tc>
            </w:tr>
            <w:tr w14:paraId="4E20115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278FE7AF">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6368FC0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空间布局约束</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761C4E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引入产业应符合现行有效的《产业结构调整指导目录》、《市场准入负面清单》、《广东省国家重点生态功能区产业准入负面清单(试行）》等相关产业政策要求。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F219F08">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本项目所属行业类别为</w:t>
                  </w:r>
                  <w:r>
                    <w:rPr>
                      <w:rFonts w:hint="eastAsia" w:ascii="Times New Roman" w:hAnsi="Times New Roman" w:eastAsia="宋体" w:cs="Times New Roman"/>
                      <w:i w:val="0"/>
                      <w:iCs w:val="0"/>
                      <w:color w:val="auto"/>
                      <w:sz w:val="21"/>
                      <w:szCs w:val="21"/>
                      <w:highlight w:val="none"/>
                      <w:u w:val="none"/>
                      <w:lang w:eastAsia="zh-CN"/>
                    </w:rPr>
                    <w:t>C2929塑料零件及其他塑料制品制造，</w:t>
                  </w:r>
                  <w:r>
                    <w:rPr>
                      <w:rFonts w:hint="default" w:ascii="Times New Roman" w:hAnsi="Times New Roman" w:eastAsia="宋体" w:cs="Times New Roman"/>
                      <w:i w:val="0"/>
                      <w:iCs w:val="0"/>
                      <w:color w:val="auto"/>
                      <w:sz w:val="21"/>
                      <w:szCs w:val="21"/>
                      <w:highlight w:val="none"/>
                      <w:u w:val="none"/>
                    </w:rPr>
                    <w:t>根据《产业结构调整指导目录（2024年本）》（国家发展和改革委员会令 第7号），本项目不属于指导目录中的鼓励类、限制类和淘汰类产业，符合国家有关法律、法规和政策规定，属于允许类。</w:t>
                  </w:r>
                </w:p>
                <w:p w14:paraId="36E9BD54">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根据《国家发展改革委商务部关于印发&lt;市场准入负面清单（202</w:t>
                  </w:r>
                  <w:r>
                    <w:rPr>
                      <w:rFonts w:hint="default" w:ascii="Times New Roman" w:hAnsi="Times New Roman" w:eastAsia="宋体" w:cs="Times New Roman"/>
                      <w:i w:val="0"/>
                      <w:iCs w:val="0"/>
                      <w:color w:val="auto"/>
                      <w:sz w:val="21"/>
                      <w:szCs w:val="21"/>
                      <w:highlight w:val="none"/>
                      <w:u w:val="none"/>
                      <w:lang w:val="en-US" w:eastAsia="zh-CN"/>
                    </w:rPr>
                    <w:t>5</w:t>
                  </w:r>
                  <w:r>
                    <w:rPr>
                      <w:rFonts w:hint="default" w:ascii="Times New Roman" w:hAnsi="Times New Roman" w:eastAsia="宋体" w:cs="Times New Roman"/>
                      <w:i w:val="0"/>
                      <w:iCs w:val="0"/>
                      <w:color w:val="auto"/>
                      <w:sz w:val="21"/>
                      <w:szCs w:val="21"/>
                      <w:highlight w:val="none"/>
                      <w:u w:val="none"/>
                    </w:rPr>
                    <w:t>年版）&gt;的通知》（发改体改规〔2022〕397号）</w:t>
                  </w:r>
                  <w:r>
                    <w:rPr>
                      <w:rFonts w:hint="default"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《广东省国家重点生态功能区产业准入负面清单（试行）》（粤发改规划</w:t>
                  </w:r>
                  <w:r>
                    <w:rPr>
                      <w:rFonts w:hint="default" w:ascii="Times New Roman" w:hAnsi="Times New Roman" w:eastAsia="宋体" w:cs="Times New Roman"/>
                      <w:i w:val="0"/>
                      <w:iCs w:val="0"/>
                      <w:color w:val="auto"/>
                      <w:sz w:val="21"/>
                      <w:szCs w:val="21"/>
                      <w:highlight w:val="none"/>
                      <w:u w:val="none"/>
                      <w:lang w:eastAsia="zh-CN"/>
                    </w:rPr>
                    <w:t>〔2017〕331号</w:t>
                  </w:r>
                  <w:r>
                    <w:rPr>
                      <w:rFonts w:hint="default" w:ascii="Times New Roman" w:hAnsi="Times New Roman" w:eastAsia="宋体" w:cs="Times New Roman"/>
                      <w:i w:val="0"/>
                      <w:iCs w:val="0"/>
                      <w:color w:val="auto"/>
                      <w:sz w:val="21"/>
                      <w:szCs w:val="21"/>
                      <w:highlight w:val="none"/>
                      <w:u w:val="none"/>
                    </w:rPr>
                    <w:t>），</w:t>
                  </w:r>
                  <w:r>
                    <w:rPr>
                      <w:rFonts w:hint="default" w:ascii="Times New Roman" w:hAnsi="Times New Roman" w:eastAsia="宋体" w:cs="Times New Roman"/>
                      <w:i w:val="0"/>
                      <w:iCs w:val="0"/>
                      <w:color w:val="auto"/>
                      <w:sz w:val="21"/>
                      <w:szCs w:val="21"/>
                      <w:highlight w:val="none"/>
                      <w:u w:val="none"/>
                      <w:lang w:eastAsia="zh-CN"/>
                    </w:rPr>
                    <w:t>项目</w:t>
                  </w:r>
                  <w:r>
                    <w:rPr>
                      <w:rFonts w:hint="default" w:ascii="Times New Roman" w:hAnsi="Times New Roman" w:eastAsia="宋体" w:cs="Times New Roman"/>
                      <w:i w:val="0"/>
                      <w:iCs w:val="0"/>
                      <w:color w:val="auto"/>
                      <w:sz w:val="21"/>
                      <w:szCs w:val="21"/>
                      <w:highlight w:val="none"/>
                      <w:u w:val="none"/>
                    </w:rPr>
                    <w:t>不属于</w:t>
                  </w:r>
                  <w:r>
                    <w:rPr>
                      <w:rFonts w:hint="default" w:ascii="Times New Roman" w:hAnsi="Times New Roman" w:eastAsia="宋体" w:cs="Times New Roman"/>
                      <w:i w:val="0"/>
                      <w:iCs w:val="0"/>
                      <w:color w:val="auto"/>
                      <w:sz w:val="21"/>
                      <w:szCs w:val="21"/>
                      <w:highlight w:val="none"/>
                      <w:u w:val="none"/>
                      <w:lang w:val="en-US" w:eastAsia="zh-CN"/>
                    </w:rPr>
                    <w:t>负面清单所列行业，也不属于许可准入事项</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65EBE8B">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24039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6CE04C0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2</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5BB5925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0E112A3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严格控制高污染高能耗项目建设。新、改、扩建项目要达到国内清洁生产先进水平。</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4DE48D4">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本项目不属于高污染高能耗项目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123C6F2">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EAAB9C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5E7AFB9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3</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1A63276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18AD7AC7">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禁止销售、燃用高污染燃料；禁止新建、扩建燃用高污染燃料的设施；禁止建设生产和使用高VOCs含量的溶剂型涂料、油墨、胶粘剂等项目。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7B3C861">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rPr>
                    <w:t>本项目所属行业类别为</w:t>
                  </w:r>
                  <w:r>
                    <w:rPr>
                      <w:rFonts w:hint="eastAsia" w:ascii="Times New Roman" w:hAnsi="Times New Roman" w:eastAsia="宋体" w:cs="Times New Roman"/>
                      <w:i w:val="0"/>
                      <w:iCs w:val="0"/>
                      <w:color w:val="auto"/>
                      <w:sz w:val="21"/>
                      <w:szCs w:val="21"/>
                      <w:highlight w:val="none"/>
                      <w:u w:val="none"/>
                      <w:lang w:eastAsia="zh-CN"/>
                    </w:rPr>
                    <w:t>C2929塑料零件及其他塑料制品制造</w:t>
                  </w:r>
                  <w:r>
                    <w:rPr>
                      <w:rFonts w:hint="eastAsia" w:ascii="Times New Roman" w:hAnsi="Times New Roman" w:eastAsia="宋体" w:cs="Times New Roman"/>
                      <w:i w:val="0"/>
                      <w:iCs w:val="0"/>
                      <w:color w:val="auto"/>
                      <w:sz w:val="21"/>
                      <w:szCs w:val="21"/>
                      <w:highlight w:val="none"/>
                      <w:u w:val="none"/>
                      <w:lang w:val="en-US" w:eastAsia="zh-CN"/>
                    </w:rPr>
                    <w:t>，主要从事塑料外壳件的生产，不涉及</w:t>
                  </w:r>
                  <w:r>
                    <w:rPr>
                      <w:rFonts w:hint="default" w:ascii="Times New Roman" w:hAnsi="Times New Roman" w:eastAsia="宋体" w:cs="Times New Roman"/>
                      <w:i w:val="0"/>
                      <w:iCs w:val="0"/>
                      <w:color w:val="auto"/>
                      <w:kern w:val="0"/>
                      <w:sz w:val="21"/>
                      <w:szCs w:val="21"/>
                      <w:highlight w:val="none"/>
                      <w:u w:val="none"/>
                      <w:lang w:val="en-US" w:eastAsia="zh-CN" w:bidi="ar"/>
                    </w:rPr>
                    <w:t>销售、燃用高污染燃料</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新建、扩建燃用高污染燃料的设施</w:t>
                  </w:r>
                  <w:r>
                    <w:rPr>
                      <w:rFonts w:hint="eastAsia" w:ascii="Times New Roman" w:hAnsi="Times New Roman" w:eastAsia="宋体" w:cs="Times New Roman"/>
                      <w:i w:val="0"/>
                      <w:iCs w:val="0"/>
                      <w:color w:val="auto"/>
                      <w:kern w:val="0"/>
                      <w:sz w:val="21"/>
                      <w:szCs w:val="21"/>
                      <w:highlight w:val="none"/>
                      <w:u w:val="none"/>
                      <w:lang w:val="en-US" w:eastAsia="zh-CN" w:bidi="ar"/>
                    </w:rPr>
                    <w:t>。</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DAC6EA9">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3C381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0438C02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4</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00A76A0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67F3E752">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禁止新建、扩建专业电镀、鞣革、印染、化学制浆等水污染物排放量大或排放一类污染物、持久性有机污染物的项目。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70F9328">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rPr>
                    <w:t>本项目所属行业类别为</w:t>
                  </w:r>
                  <w:r>
                    <w:rPr>
                      <w:rFonts w:hint="eastAsia" w:ascii="Times New Roman" w:hAnsi="Times New Roman" w:eastAsia="宋体" w:cs="Times New Roman"/>
                      <w:i w:val="0"/>
                      <w:iCs w:val="0"/>
                      <w:color w:val="auto"/>
                      <w:sz w:val="21"/>
                      <w:szCs w:val="21"/>
                      <w:highlight w:val="none"/>
                      <w:u w:val="none"/>
                      <w:lang w:eastAsia="zh-CN"/>
                    </w:rPr>
                    <w:t>C2929塑料零件及其他塑料制品制造</w:t>
                  </w:r>
                  <w:r>
                    <w:rPr>
                      <w:rFonts w:hint="eastAsia" w:ascii="Times New Roman" w:hAnsi="Times New Roman" w:eastAsia="宋体" w:cs="Times New Roman"/>
                      <w:i w:val="0"/>
                      <w:iCs w:val="0"/>
                      <w:color w:val="auto"/>
                      <w:sz w:val="21"/>
                      <w:szCs w:val="21"/>
                      <w:highlight w:val="none"/>
                      <w:u w:val="none"/>
                      <w:lang w:val="en-US" w:eastAsia="zh-CN"/>
                    </w:rPr>
                    <w:t>，主要从事塑料外壳件的生产，不属于</w:t>
                  </w:r>
                  <w:r>
                    <w:rPr>
                      <w:rFonts w:hint="default" w:ascii="Times New Roman" w:hAnsi="Times New Roman" w:eastAsia="宋体" w:cs="Times New Roman"/>
                      <w:i w:val="0"/>
                      <w:iCs w:val="0"/>
                      <w:color w:val="auto"/>
                      <w:kern w:val="0"/>
                      <w:sz w:val="21"/>
                      <w:szCs w:val="21"/>
                      <w:highlight w:val="none"/>
                      <w:u w:val="none"/>
                      <w:lang w:val="en-US" w:eastAsia="zh-CN" w:bidi="ar"/>
                    </w:rPr>
                    <w:t>新建、扩建专业电镀、鞣革、印染、化学制浆等水污染物排放量大或排放一类污染物、持久性有机污染物的项目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4187E11">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10AAA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70A327BB">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5</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16CEA6B4">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1883588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中部规划居住用地、行政办公用地、教育用地等敏感区域临近的区域优先引进无污染的生产性服务业，布置废气排放量小、工业噪声影响小及没有恶臭气体产生的产业。学校周围直线延伸二百米范围内禁止设立易燃易爆、剧毒、放射性、腐蚀性等危险物品的生产、经营、储存、使用场所或者设施。临近南岸村、饮用水源准保护区等敏感用地优先引进无污染的生产性服务业，布置废气排放量小、工业噪声影响小及没有恶臭气体产生的产业。相关项目环评阶段应充分论证、优化项目布局以及按照相关要求确定大气环境防护距离。</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ADD9045">
                  <w:pPr>
                    <w:spacing w:line="240" w:lineRule="auto"/>
                    <w:jc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sz w:val="21"/>
                      <w:szCs w:val="21"/>
                      <w:highlight w:val="none"/>
                      <w:u w:val="none"/>
                      <w:lang w:val="en-US" w:eastAsia="zh-CN"/>
                    </w:rPr>
                    <w:t>本</w:t>
                  </w:r>
                  <w:r>
                    <w:rPr>
                      <w:rFonts w:hint="default" w:ascii="Times New Roman" w:hAnsi="Times New Roman" w:eastAsia="宋体" w:cs="Times New Roman"/>
                      <w:i w:val="0"/>
                      <w:iCs w:val="0"/>
                      <w:color w:val="auto"/>
                      <w:sz w:val="21"/>
                      <w:szCs w:val="21"/>
                      <w:highlight w:val="none"/>
                      <w:u w:val="none"/>
                      <w:lang w:val="en-US" w:eastAsia="zh-CN"/>
                    </w:rPr>
                    <w:t>项目厂界外500m范围内无自然保护区、风景名胜区、文化区，大气环境保护目标等敏感点</w:t>
                  </w:r>
                  <w:r>
                    <w:rPr>
                      <w:rFonts w:hint="eastAsia" w:ascii="Times New Roman" w:hAnsi="Times New Roman" w:eastAsia="宋体" w:cs="Times New Roman"/>
                      <w:i w:val="0"/>
                      <w:iCs w:val="0"/>
                      <w:color w:val="auto"/>
                      <w:sz w:val="21"/>
                      <w:szCs w:val="21"/>
                      <w:highlight w:val="none"/>
                      <w:u w:val="none"/>
                      <w:lang w:val="en-US" w:eastAsia="zh-CN"/>
                    </w:rPr>
                    <w:t>，无大气环境防护距离要求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C5C4934">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38BDF8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2CC2EC9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6</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3285D09E">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1E5A681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与饮用水源准保护区重叠区域划定为优先保护单元，不进行工业开发利用，禁止新建、扩建对水体污染严重的建设项目，改建项目不得增加排污量。</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3CFCD05">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本项目建设范围不涉及饮用水源准保护区红线范围，不属于水体污染严重的建设项目</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76E3CDCA">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3ACE6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20967D7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7</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69C83668">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4F9DAA6E">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在永久基本农田以及居民区、学校、医疗和养老机构等单位周边，避免新建涉重金属、多环芳烃类等持久性有机污染物企业。永久基本农田集中区域内，禁止建设工业固体废物、危险废物集中贮存、利用、处置的设施、场所。</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5A96DA5">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w:t>
                  </w:r>
                  <w:r>
                    <w:rPr>
                      <w:rFonts w:hint="default" w:ascii="Times New Roman" w:hAnsi="Times New Roman" w:eastAsia="宋体" w:cs="Times New Roman"/>
                      <w:i w:val="0"/>
                      <w:iCs w:val="0"/>
                      <w:color w:val="auto"/>
                      <w:sz w:val="21"/>
                      <w:szCs w:val="21"/>
                      <w:highlight w:val="none"/>
                      <w:u w:val="none"/>
                      <w:lang w:val="en-US" w:eastAsia="zh-CN"/>
                    </w:rPr>
                    <w:t>项目厂界外500m范围内无自然保护区、风景名胜区、文化区，大气环境保护目标等敏感点</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6B3FE85">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0016664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0772F31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8</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04608AB8">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污染物排放管控</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BA43D53">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在可核查、可监管的基础上，新建项目原则上实施氮氧化物(NOx)和挥发性有机物(VOCs)等量替代。</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092B625">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default" w:ascii="Times New Roman" w:hAnsi="Times New Roman" w:eastAsia="宋体" w:cs="Times New Roman"/>
                      <w:i w:val="0"/>
                      <w:iCs w:val="0"/>
                      <w:color w:val="auto"/>
                      <w:sz w:val="21"/>
                      <w:szCs w:val="21"/>
                      <w:highlight w:val="none"/>
                      <w:u w:val="none"/>
                    </w:rPr>
                    <w:t>本项目建成后VOCs总排放量为0.</w:t>
                  </w:r>
                  <w:r>
                    <w:rPr>
                      <w:rFonts w:hint="eastAsia" w:ascii="Times New Roman" w:hAnsi="Times New Roman" w:eastAsia="宋体" w:cs="Times New Roman"/>
                      <w:i w:val="0"/>
                      <w:iCs w:val="0"/>
                      <w:color w:val="auto"/>
                      <w:sz w:val="21"/>
                      <w:szCs w:val="21"/>
                      <w:highlight w:val="none"/>
                      <w:u w:val="none"/>
                      <w:lang w:val="en-US" w:eastAsia="zh-CN"/>
                    </w:rPr>
                    <w:t>6186</w:t>
                  </w:r>
                  <w:r>
                    <w:rPr>
                      <w:rFonts w:hint="default" w:ascii="Times New Roman" w:hAnsi="Times New Roman" w:eastAsia="宋体" w:cs="Times New Roman"/>
                      <w:i w:val="0"/>
                      <w:iCs w:val="0"/>
                      <w:color w:val="auto"/>
                      <w:sz w:val="21"/>
                      <w:szCs w:val="21"/>
                      <w:highlight w:val="none"/>
                      <w:u w:val="none"/>
                    </w:rPr>
                    <w:t>/a（其中VOCs有组织排放量：</w:t>
                  </w:r>
                  <w:r>
                    <w:rPr>
                      <w:rFonts w:hint="eastAsia" w:ascii="Times New Roman" w:hAnsi="Times New Roman" w:eastAsia="宋体" w:cs="Times New Roman"/>
                      <w:i w:val="0"/>
                      <w:iCs w:val="0"/>
                      <w:color w:val="auto"/>
                      <w:sz w:val="21"/>
                      <w:szCs w:val="21"/>
                      <w:highlight w:val="none"/>
                      <w:u w:val="none"/>
                      <w:lang w:val="en-US" w:eastAsia="zh-CN"/>
                    </w:rPr>
                    <w:t>0.275</w:t>
                  </w:r>
                  <w:r>
                    <w:rPr>
                      <w:rFonts w:hint="default" w:ascii="Times New Roman" w:hAnsi="Times New Roman" w:eastAsia="宋体" w:cs="Times New Roman"/>
                      <w:i w:val="0"/>
                      <w:iCs w:val="0"/>
                      <w:color w:val="auto"/>
                      <w:sz w:val="21"/>
                      <w:szCs w:val="21"/>
                      <w:highlight w:val="none"/>
                      <w:u w:val="none"/>
                    </w:rPr>
                    <w:t>t/a，VOCs无组织排放量：</w:t>
                  </w:r>
                  <w:r>
                    <w:rPr>
                      <w:rFonts w:hint="eastAsia" w:ascii="Times New Roman" w:hAnsi="Times New Roman" w:eastAsia="宋体" w:cs="Times New Roman"/>
                      <w:i w:val="0"/>
                      <w:iCs w:val="0"/>
                      <w:color w:val="auto"/>
                      <w:sz w:val="21"/>
                      <w:szCs w:val="21"/>
                      <w:highlight w:val="none"/>
                      <w:u w:val="none"/>
                      <w:lang w:val="en-US" w:eastAsia="zh-CN"/>
                    </w:rPr>
                    <w:t>0.3436t</w:t>
                  </w:r>
                  <w:r>
                    <w:rPr>
                      <w:rFonts w:hint="default" w:ascii="Times New Roman" w:hAnsi="Times New Roman" w:eastAsia="宋体" w:cs="Times New Roman"/>
                      <w:i w:val="0"/>
                      <w:iCs w:val="0"/>
                      <w:color w:val="auto"/>
                      <w:sz w:val="21"/>
                      <w:szCs w:val="21"/>
                      <w:highlight w:val="none"/>
                      <w:u w:val="none"/>
                    </w:rPr>
                    <w:t>/a）</w:t>
                  </w:r>
                  <w:r>
                    <w:rPr>
                      <w:rFonts w:hint="eastAsia" w:ascii="Times New Roman" w:hAnsi="Times New Roman" w:eastAsia="宋体" w:cs="Times New Roman"/>
                      <w:i w:val="0"/>
                      <w:iCs w:val="0"/>
                      <w:color w:val="auto"/>
                      <w:sz w:val="21"/>
                      <w:szCs w:val="21"/>
                      <w:highlight w:val="none"/>
                      <w:u w:val="none"/>
                      <w:lang w:val="en-US" w:eastAsia="zh-CN"/>
                    </w:rPr>
                    <w:t>，总量指标均实施</w:t>
                  </w:r>
                  <w:r>
                    <w:rPr>
                      <w:rFonts w:hint="default" w:ascii="Times New Roman" w:hAnsi="Times New Roman" w:eastAsia="宋体" w:cs="Times New Roman"/>
                      <w:i w:val="0"/>
                      <w:iCs w:val="0"/>
                      <w:color w:val="auto"/>
                      <w:kern w:val="0"/>
                      <w:sz w:val="21"/>
                      <w:szCs w:val="21"/>
                      <w:highlight w:val="none"/>
                      <w:u w:val="none"/>
                      <w:lang w:val="en-US" w:eastAsia="zh-CN" w:bidi="ar"/>
                    </w:rPr>
                    <w:t>等量替代</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0B51293">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7536C3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31DF6BF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9</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0B974C87">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3AF18B3B">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根据《广东省生态环境厅关于在重点区域执行污染物特别排放限值的公告》(粤环发(2023)1号)要求，执行相应特别排放限值要求。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A1A3D1C">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0817B5C">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6E4BAE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0B6E3CC7">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371FB52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714069FF">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开发区内各企业污废水原则上应接入园区污水处理厂进行集中处理、达标排放。各企业生产废水需经预处理达到广东省《水污染物排放限值》(DB4426-2001)第二时段三级标准、所属行业排放标准(间接排放)，以及污水处理厂接管标准后，方可与规划区生活污水通过污水管线一并进入园区污水处理厂处理。</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2C86CC9">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本项目</w:t>
                  </w:r>
                  <w:r>
                    <w:rPr>
                      <w:rFonts w:hint="default" w:ascii="Times New Roman" w:hAnsi="Times New Roman" w:eastAsia="宋体" w:cs="Times New Roman"/>
                      <w:i w:val="0"/>
                      <w:iCs w:val="0"/>
                      <w:color w:val="auto"/>
                      <w:sz w:val="21"/>
                      <w:szCs w:val="21"/>
                      <w:highlight w:val="none"/>
                      <w:u w:val="none"/>
                    </w:rPr>
                    <w:t>生活污水采取“三级化粪池”预处理后，经DW001排放口排入园区污水处理厂进一步处理</w:t>
                  </w:r>
                  <w:r>
                    <w:rPr>
                      <w:rFonts w:hint="eastAsia" w:ascii="Times New Roman" w:hAnsi="Times New Roman" w:eastAsia="宋体" w:cs="Times New Roman"/>
                      <w:i w:val="0"/>
                      <w:iCs w:val="0"/>
                      <w:color w:val="auto"/>
                      <w:sz w:val="21"/>
                      <w:szCs w:val="21"/>
                      <w:highlight w:val="none"/>
                      <w:u w:val="none"/>
                      <w:lang w:eastAsia="zh-CN"/>
                    </w:rPr>
                    <w:t>。</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D6D2AD1">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DBAA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EC435EF">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11</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4E24B7DF">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53F6D9E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新建燃气锅炉废气执行《锅炉大气污染物排放标准》(DB44/765-2019)表3大气污染物特别排放限值:现有单台出力1蒸吨/小时(0.7兆瓦)以上，65蒸吨/小时及以下燃气锅炉执行《锅炉大气污染物排放标准》(DB44/765-2019)表3大气污染物特别排放限值</w:t>
                  </w:r>
                  <w:r>
                    <w:rPr>
                      <w:rFonts w:hint="eastAsia" w:ascii="Times New Roman" w:hAnsi="Times New Roman" w:eastAsia="宋体" w:cs="Times New Roman"/>
                      <w:i w:val="0"/>
                      <w:iCs w:val="0"/>
                      <w:color w:val="auto"/>
                      <w:kern w:val="0"/>
                      <w:sz w:val="21"/>
                      <w:szCs w:val="21"/>
                      <w:highlight w:val="none"/>
                      <w:u w:val="none"/>
                      <w:lang w:val="en-US" w:eastAsia="zh-CN" w:bidi="ar"/>
                    </w:rPr>
                    <w:t>；</w:t>
                  </w:r>
                  <w:r>
                    <w:rPr>
                      <w:rFonts w:hint="default" w:ascii="Times New Roman" w:hAnsi="Times New Roman" w:eastAsia="宋体" w:cs="Times New Roman"/>
                      <w:i w:val="0"/>
                      <w:iCs w:val="0"/>
                      <w:color w:val="auto"/>
                      <w:kern w:val="0"/>
                      <w:sz w:val="21"/>
                      <w:szCs w:val="21"/>
                      <w:highlight w:val="none"/>
                      <w:u w:val="none"/>
                      <w:lang w:val="en-US" w:eastAsia="zh-CN" w:bidi="ar"/>
                    </w:rPr>
                    <w:t>其它行业工艺废气有行业标准的执行行业标准，无行业标准的排放执行广东省地方标准《大气污染物排放限值》DB44/27-2001)第二时段二级标准。</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099175F">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新建燃气锅炉，注塑工序产生的非甲烷总烃有组织排放执行《合成树脂工业污染物排放标准》（GB31572-2015，含2024年修改单）表5大气污染物特别排放限值，非甲烷总烃无组织排放在厂界处执行《合成树脂工业污染物排放标准》（GB31572-2015，含2024年修改单）表 9 企业边界浓度限值；非甲烷总烃在厂区内执行广东省《固定污染源挥发性有机物综合排放标准》（DB44/2367-2022）表3厂区内VOCs无组织排放限值要求。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8E2885B">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556550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F9DB1C8">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12</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7A70848C">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66F1C572">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产生固体废物(含危险废物)的企业须配套建设符合规范且满足需求的贮存场所，固体废物(含危险废物)贮存、转移过程中应配套防扬散、防流失、防渗漏及其它防止污染环境的措施。</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52EA1A7B">
                  <w:pPr>
                    <w:spacing w:line="240" w:lineRule="auto"/>
                    <w:jc w:val="center"/>
                    <w:rPr>
                      <w:rFonts w:hint="eastAsia" w:ascii="Times New Roman" w:hAnsi="Times New Roman" w:eastAsia="宋体" w:cs="Times New Roman"/>
                      <w:i w:val="0"/>
                      <w:iCs w:val="0"/>
                      <w:color w:val="auto"/>
                      <w:sz w:val="21"/>
                      <w:szCs w:val="21"/>
                      <w:highlight w:val="none"/>
                      <w:u w:val="none"/>
                      <w:lang w:eastAsia="zh-CN"/>
                    </w:rPr>
                  </w:pPr>
                  <w:r>
                    <w:rPr>
                      <w:rFonts w:hint="eastAsia" w:ascii="Times New Roman" w:hAnsi="Times New Roman" w:eastAsia="宋体" w:cs="Times New Roman"/>
                      <w:i w:val="0"/>
                      <w:iCs w:val="0"/>
                      <w:color w:val="auto"/>
                      <w:sz w:val="21"/>
                      <w:szCs w:val="21"/>
                      <w:highlight w:val="none"/>
                      <w:u w:val="none"/>
                      <w:lang w:val="en-US" w:eastAsia="zh-CN"/>
                    </w:rPr>
                    <w:t>本项目已</w:t>
                  </w:r>
                  <w:r>
                    <w:rPr>
                      <w:rFonts w:hint="default" w:ascii="Times New Roman" w:hAnsi="Times New Roman" w:eastAsia="宋体" w:cs="Times New Roman"/>
                      <w:i w:val="0"/>
                      <w:iCs w:val="0"/>
                      <w:color w:val="auto"/>
                      <w:sz w:val="21"/>
                      <w:szCs w:val="21"/>
                      <w:highlight w:val="none"/>
                      <w:u w:val="none"/>
                    </w:rPr>
                    <w:t>配套建设符合规范且满足需求的贮存场所，固体废物(含危险废物)贮存、转移过程中</w:t>
                  </w:r>
                  <w:r>
                    <w:rPr>
                      <w:rFonts w:hint="eastAsia" w:ascii="Times New Roman" w:hAnsi="Times New Roman" w:eastAsia="宋体" w:cs="Times New Roman"/>
                      <w:i w:val="0"/>
                      <w:iCs w:val="0"/>
                      <w:color w:val="auto"/>
                      <w:sz w:val="21"/>
                      <w:szCs w:val="21"/>
                      <w:highlight w:val="none"/>
                      <w:u w:val="none"/>
                      <w:lang w:val="en-US" w:eastAsia="zh-CN"/>
                    </w:rPr>
                    <w:t>已</w:t>
                  </w:r>
                  <w:r>
                    <w:rPr>
                      <w:rFonts w:hint="default" w:ascii="Times New Roman" w:hAnsi="Times New Roman" w:eastAsia="宋体" w:cs="Times New Roman"/>
                      <w:i w:val="0"/>
                      <w:iCs w:val="0"/>
                      <w:color w:val="auto"/>
                      <w:sz w:val="21"/>
                      <w:szCs w:val="21"/>
                      <w:highlight w:val="none"/>
                      <w:u w:val="none"/>
                    </w:rPr>
                    <w:t>配套防扬散、防流失、防渗漏及其它防止污染环境的措施</w:t>
                  </w:r>
                  <w:r>
                    <w:rPr>
                      <w:rFonts w:hint="eastAsia" w:ascii="Times New Roman" w:hAnsi="Times New Roman" w:eastAsia="宋体" w:cs="Times New Roman"/>
                      <w:i w:val="0"/>
                      <w:iCs w:val="0"/>
                      <w:color w:val="auto"/>
                      <w:sz w:val="21"/>
                      <w:szCs w:val="21"/>
                      <w:highlight w:val="none"/>
                      <w:u w:val="none"/>
                      <w:lang w:eastAsia="zh-CN"/>
                    </w:rPr>
                    <w:t>。</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2CCCDB9">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5B3E2C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76F0A85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13</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67F4E537">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040BD54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重点重金属按照韶关市生态环境分区管控要求执行。</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1B56FC7">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75ADB10">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48C0C6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1325AE7">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14</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52BD18BF">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环境风险管控</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71BEA981">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生产、使用、储存危险化学品或其他存在环境风险的入区项目应配套有效的风险防范措施，并根据国家及广东省环境应急预案管理的要求编制环境风险应急预案，防止因渗漏污染地下水、土壤，以及因事故废水直排污染地表水体。</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F0366DC">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sz w:val="21"/>
                      <w:szCs w:val="21"/>
                      <w:highlight w:val="none"/>
                      <w:u w:val="none"/>
                      <w:lang w:val="en-US" w:eastAsia="zh-CN"/>
                    </w:rPr>
                    <w:t>本项目</w:t>
                  </w:r>
                  <w:r>
                    <w:rPr>
                      <w:rFonts w:hint="default" w:ascii="Times New Roman" w:hAnsi="Times New Roman" w:eastAsia="宋体" w:cs="Times New Roman"/>
                      <w:i w:val="0"/>
                      <w:iCs w:val="0"/>
                      <w:color w:val="auto"/>
                      <w:sz w:val="21"/>
                      <w:szCs w:val="21"/>
                      <w:highlight w:val="none"/>
                      <w:u w:val="none"/>
                    </w:rPr>
                    <w:t>严格执行应急管理、消防等相关规范，从总图布置和建筑安全方面进行风险防范，预留疏散通道或安置场所</w:t>
                  </w:r>
                  <w:r>
                    <w:rPr>
                      <w:rFonts w:hint="eastAsia"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从优化改进生产工艺、减少储存量、改善储存条件等方面降低风险程度</w:t>
                  </w:r>
                  <w:r>
                    <w:rPr>
                      <w:rFonts w:hint="eastAsia"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加强日常管理，降低管理失误而出现的风险事故，提高员工规范性操作水平，减少误操作引发的风险事故</w:t>
                  </w:r>
                  <w:r>
                    <w:rPr>
                      <w:rFonts w:hint="eastAsia" w:ascii="Times New Roman" w:hAnsi="Times New Roman" w:eastAsia="宋体" w:cs="Times New Roman"/>
                      <w:i w:val="0"/>
                      <w:iCs w:val="0"/>
                      <w:color w:val="auto"/>
                      <w:sz w:val="21"/>
                      <w:szCs w:val="21"/>
                      <w:highlight w:val="none"/>
                      <w:u w:val="none"/>
                      <w:lang w:eastAsia="zh-CN"/>
                    </w:rPr>
                    <w:t>；</w:t>
                  </w:r>
                  <w:r>
                    <w:rPr>
                      <w:rFonts w:hint="default" w:ascii="Times New Roman" w:hAnsi="Times New Roman" w:eastAsia="宋体" w:cs="Times New Roman"/>
                      <w:i w:val="0"/>
                      <w:iCs w:val="0"/>
                      <w:color w:val="auto"/>
                      <w:sz w:val="21"/>
                      <w:szCs w:val="21"/>
                      <w:highlight w:val="none"/>
                      <w:u w:val="none"/>
                    </w:rPr>
                    <w:t>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7473A4A">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6963F6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4C54701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15</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3948033F">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57D73AB9">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涉及生产废水排放企业需配套有效措施，防止事故废水直排污染地表水体，防止因渗漏污染地下水。</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C0DEA9F">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本项目无生产废水排放</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E250286">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286015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457F3420">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16</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2F48B0D2">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6E58B39E">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应符合《韶关市人民政府关于印发韶关市“三线一单"生态环境分区管控方案的通知》(韶府(2021)10号)、《韶关市生态环境分区管控动态更新成果》及后续生态环境分区管控动态更新要求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628E1DBB">
                  <w:pPr>
                    <w:spacing w:line="240" w:lineRule="auto"/>
                    <w:jc w:val="center"/>
                    <w:rPr>
                      <w:rFonts w:hint="default" w:ascii="Times New Roman" w:hAnsi="Times New Roman" w:eastAsia="宋体" w:cs="Times New Roman"/>
                      <w:i w:val="0"/>
                      <w:iCs w:val="0"/>
                      <w:color w:val="auto"/>
                      <w:sz w:val="21"/>
                      <w:szCs w:val="21"/>
                      <w:highlight w:val="none"/>
                      <w:u w:val="none"/>
                      <w:lang w:val="en-US"/>
                    </w:rPr>
                  </w:pPr>
                  <w:r>
                    <w:rPr>
                      <w:rFonts w:hint="eastAsia" w:ascii="Times New Roman" w:hAnsi="Times New Roman" w:eastAsia="宋体" w:cs="Times New Roman"/>
                      <w:i w:val="0"/>
                      <w:iCs w:val="0"/>
                      <w:color w:val="auto"/>
                      <w:kern w:val="0"/>
                      <w:sz w:val="21"/>
                      <w:szCs w:val="21"/>
                      <w:highlight w:val="none"/>
                      <w:u w:val="none"/>
                      <w:lang w:val="en-US" w:eastAsia="zh-CN" w:bidi="ar"/>
                    </w:rPr>
                    <w:t>本项目</w:t>
                  </w:r>
                  <w:r>
                    <w:rPr>
                      <w:rFonts w:hint="default" w:ascii="Times New Roman" w:hAnsi="Times New Roman" w:eastAsia="宋体" w:cs="Times New Roman"/>
                      <w:i w:val="0"/>
                      <w:iCs w:val="0"/>
                      <w:color w:val="auto"/>
                      <w:kern w:val="0"/>
                      <w:sz w:val="21"/>
                      <w:szCs w:val="21"/>
                      <w:highlight w:val="none"/>
                      <w:u w:val="none"/>
                      <w:lang w:val="en-US" w:eastAsia="zh-CN" w:bidi="ar"/>
                    </w:rPr>
                    <w:t>符合《韶关市人民政府关于印发韶关市“三线一单"生态环境分区管控方案的通知》(韶府(2021)10号)、《韶关市生态环境分区管控动态更新成果》及后续生态环境分区管控动态更新要求</w:t>
                  </w:r>
                  <w:r>
                    <w:rPr>
                      <w:rFonts w:hint="eastAsia" w:ascii="Times New Roman" w:hAnsi="Times New Roman" w:eastAsia="宋体" w:cs="Times New Roman"/>
                      <w:i w:val="0"/>
                      <w:iCs w:val="0"/>
                      <w:color w:val="auto"/>
                      <w:kern w:val="0"/>
                      <w:sz w:val="21"/>
                      <w:szCs w:val="21"/>
                      <w:highlight w:val="none"/>
                      <w:u w:val="none"/>
                      <w:lang w:val="en-US" w:eastAsia="zh-CN" w:bidi="ar"/>
                    </w:rPr>
                    <w:t>，详见下文分析内容。</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0DBA9D3">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3C077D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ABEF5D4">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17</w:t>
                  </w:r>
                </w:p>
              </w:tc>
              <w:tc>
                <w:tcPr>
                  <w:tcW w:w="0" w:type="auto"/>
                  <w:vMerge w:val="restart"/>
                  <w:tcBorders>
                    <w:top w:val="nil"/>
                    <w:left w:val="single" w:color="000000" w:sz="8" w:space="0"/>
                    <w:bottom w:val="single" w:color="000000" w:sz="8" w:space="0"/>
                    <w:right w:val="single" w:color="000000" w:sz="8" w:space="0"/>
                  </w:tcBorders>
                  <w:shd w:val="clear" w:color="auto" w:fill="auto"/>
                  <w:vAlign w:val="center"/>
                </w:tcPr>
                <w:p w14:paraId="4B4553F1">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资源开发利用管理</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8725A76">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禁止使用高污染燃料，建议使用电能、天然气等清洁能源。</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2135C7F">
                  <w:pPr>
                    <w:spacing w:line="240" w:lineRule="auto"/>
                    <w:jc w:val="center"/>
                    <w:rPr>
                      <w:rFonts w:hint="default" w:ascii="Times New Roman" w:hAnsi="Times New Roman" w:eastAsia="宋体" w:cs="Times New Roman"/>
                      <w:i w:val="0"/>
                      <w:iCs w:val="0"/>
                      <w:color w:val="auto"/>
                      <w:sz w:val="21"/>
                      <w:szCs w:val="21"/>
                      <w:highlight w:val="none"/>
                      <w:u w:val="none"/>
                      <w:lang w:val="en-US" w:eastAsia="zh-CN"/>
                    </w:rPr>
                  </w:pPr>
                  <w:r>
                    <w:rPr>
                      <w:rFonts w:hint="eastAsia" w:ascii="Times New Roman" w:hAnsi="Times New Roman" w:eastAsia="宋体" w:cs="Times New Roman"/>
                      <w:i w:val="0"/>
                      <w:iCs w:val="0"/>
                      <w:color w:val="auto"/>
                      <w:sz w:val="21"/>
                      <w:szCs w:val="21"/>
                      <w:highlight w:val="none"/>
                      <w:u w:val="none"/>
                      <w:lang w:val="en-US" w:eastAsia="zh-CN"/>
                    </w:rPr>
                    <w:t>本项目不涉及使用高污染燃料，主要使用电能。</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46298145">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5484BA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1449983F">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18</w:t>
                  </w:r>
                </w:p>
              </w:tc>
              <w:tc>
                <w:tcPr>
                  <w:tcW w:w="0" w:type="auto"/>
                  <w:vMerge w:val="continue"/>
                  <w:tcBorders>
                    <w:top w:val="nil"/>
                    <w:left w:val="single" w:color="000000" w:sz="8" w:space="0"/>
                    <w:bottom w:val="single" w:color="000000" w:sz="8" w:space="0"/>
                    <w:right w:val="single" w:color="000000" w:sz="8" w:space="0"/>
                  </w:tcBorders>
                  <w:shd w:val="clear" w:color="auto" w:fill="auto"/>
                  <w:vAlign w:val="center"/>
                </w:tcPr>
                <w:p w14:paraId="2D0BB35B">
                  <w:pPr>
                    <w:spacing w:line="240" w:lineRule="auto"/>
                    <w:jc w:val="center"/>
                    <w:rPr>
                      <w:rFonts w:hint="default" w:ascii="Times New Roman" w:hAnsi="Times New Roman" w:eastAsia="宋体" w:cs="Times New Roman"/>
                      <w:i w:val="0"/>
                      <w:iCs w:val="0"/>
                      <w:color w:val="auto"/>
                      <w:sz w:val="21"/>
                      <w:szCs w:val="21"/>
                      <w:highlight w:val="none"/>
                      <w:u w:val="none"/>
                    </w:rPr>
                  </w:pPr>
                </w:p>
              </w:tc>
              <w:tc>
                <w:tcPr>
                  <w:tcW w:w="0" w:type="auto"/>
                  <w:tcBorders>
                    <w:top w:val="nil"/>
                    <w:left w:val="single" w:color="000000" w:sz="8" w:space="0"/>
                    <w:bottom w:val="single" w:color="000000" w:sz="8" w:space="0"/>
                    <w:right w:val="single" w:color="000000" w:sz="8" w:space="0"/>
                  </w:tcBorders>
                  <w:shd w:val="clear" w:color="auto" w:fill="auto"/>
                  <w:vAlign w:val="center"/>
                </w:tcPr>
                <w:p w14:paraId="018B8EDE">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贯彻落实“节水优先”方针，实行最严格水资源管理制度。</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3151D164">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本项目将</w:t>
                  </w:r>
                  <w:r>
                    <w:rPr>
                      <w:rFonts w:hint="default" w:ascii="Times New Roman" w:hAnsi="Times New Roman" w:eastAsia="宋体" w:cs="Times New Roman"/>
                      <w:i w:val="0"/>
                      <w:iCs w:val="0"/>
                      <w:color w:val="auto"/>
                      <w:kern w:val="0"/>
                      <w:sz w:val="21"/>
                      <w:szCs w:val="21"/>
                      <w:highlight w:val="none"/>
                      <w:u w:val="none"/>
                      <w:lang w:val="en-US" w:eastAsia="zh-CN" w:bidi="ar"/>
                    </w:rPr>
                    <w:t>贯彻落实“节水优先”方针，实行最严格水资源管理制度。</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1EDD70F7">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tr w14:paraId="68BBEF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7" w:hRule="atLeast"/>
              </w:trPr>
              <w:tc>
                <w:tcPr>
                  <w:tcW w:w="0" w:type="auto"/>
                  <w:tcBorders>
                    <w:top w:val="nil"/>
                    <w:left w:val="single" w:color="000000" w:sz="8" w:space="0"/>
                    <w:bottom w:val="single" w:color="000000" w:sz="8" w:space="0"/>
                    <w:right w:val="single" w:color="000000" w:sz="8" w:space="0"/>
                  </w:tcBorders>
                  <w:shd w:val="clear" w:color="auto" w:fill="auto"/>
                  <w:vAlign w:val="center"/>
                </w:tcPr>
                <w:p w14:paraId="6FAE5005">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19</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4A9EE4A">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其他</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2D5BC861">
                  <w:pPr>
                    <w:keepNext w:val="0"/>
                    <w:keepLines w:val="0"/>
                    <w:widowControl/>
                    <w:suppressLineNumbers w:val="0"/>
                    <w:spacing w:line="240" w:lineRule="auto"/>
                    <w:jc w:val="center"/>
                    <w:textAlignment w:val="top"/>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kern w:val="0"/>
                      <w:sz w:val="21"/>
                      <w:szCs w:val="21"/>
                      <w:highlight w:val="none"/>
                      <w:u w:val="none"/>
                      <w:lang w:val="en-US" w:eastAsia="zh-CN" w:bidi="ar"/>
                    </w:rPr>
                    <w:t>符合《韶关市人民政府关于印发韶关市“三线一单”生态环境分区管控方案的通知》(韶府(2021)10号)《韶关市生态环境分区管控动态更新成果》及后续生态环境分区管控动态更新要求。</w:t>
                  </w:r>
                </w:p>
              </w:tc>
              <w:tc>
                <w:tcPr>
                  <w:tcW w:w="0" w:type="auto"/>
                  <w:tcBorders>
                    <w:top w:val="nil"/>
                    <w:left w:val="single" w:color="000000" w:sz="8" w:space="0"/>
                    <w:bottom w:val="single" w:color="000000" w:sz="8" w:space="0"/>
                    <w:right w:val="single" w:color="000000" w:sz="8" w:space="0"/>
                  </w:tcBorders>
                  <w:shd w:val="clear" w:color="auto" w:fill="auto"/>
                  <w:vAlign w:val="center"/>
                </w:tcPr>
                <w:p w14:paraId="050330DA">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eastAsia" w:ascii="Times New Roman" w:hAnsi="Times New Roman" w:eastAsia="宋体" w:cs="Times New Roman"/>
                      <w:i w:val="0"/>
                      <w:iCs w:val="0"/>
                      <w:color w:val="auto"/>
                      <w:kern w:val="0"/>
                      <w:sz w:val="21"/>
                      <w:szCs w:val="21"/>
                      <w:highlight w:val="none"/>
                      <w:u w:val="none"/>
                      <w:lang w:val="en-US" w:eastAsia="zh-CN" w:bidi="ar"/>
                    </w:rPr>
                    <w:t>本项目</w:t>
                  </w:r>
                  <w:r>
                    <w:rPr>
                      <w:rFonts w:hint="default" w:ascii="Times New Roman" w:hAnsi="Times New Roman" w:eastAsia="宋体" w:cs="Times New Roman"/>
                      <w:i w:val="0"/>
                      <w:iCs w:val="0"/>
                      <w:color w:val="auto"/>
                      <w:kern w:val="0"/>
                      <w:sz w:val="21"/>
                      <w:szCs w:val="21"/>
                      <w:highlight w:val="none"/>
                      <w:u w:val="none"/>
                      <w:lang w:val="en-US" w:eastAsia="zh-CN" w:bidi="ar"/>
                    </w:rPr>
                    <w:t>符合《韶关市人民政府关于印发韶关市“三线一单"生态环境分区管控方案的通知》(韶府(2021)10号)、《韶关市生态环境分区管控动态更新成果》及后续生态环境分区管控动态更新要求</w:t>
                  </w:r>
                  <w:r>
                    <w:rPr>
                      <w:rFonts w:hint="eastAsia" w:ascii="Times New Roman" w:hAnsi="Times New Roman" w:eastAsia="宋体" w:cs="Times New Roman"/>
                      <w:i w:val="0"/>
                      <w:iCs w:val="0"/>
                      <w:color w:val="auto"/>
                      <w:kern w:val="0"/>
                      <w:sz w:val="21"/>
                      <w:szCs w:val="21"/>
                      <w:highlight w:val="none"/>
                      <w:u w:val="none"/>
                      <w:lang w:val="en-US" w:eastAsia="zh-CN" w:bidi="ar"/>
                    </w:rPr>
                    <w:t>，详见下文分析内容。</w:t>
                  </w:r>
                </w:p>
              </w:tc>
              <w:tc>
                <w:tcPr>
                  <w:tcW w:w="0" w:type="auto"/>
                  <w:tcBorders>
                    <w:top w:val="nil"/>
                    <w:left w:val="single" w:color="000000" w:sz="8" w:space="0"/>
                    <w:bottom w:val="single" w:color="000000" w:sz="8" w:space="0"/>
                    <w:right w:val="single" w:color="000000" w:sz="8" w:space="0"/>
                  </w:tcBorders>
                  <w:shd w:val="clear" w:color="auto" w:fill="auto"/>
                  <w:noWrap/>
                  <w:vAlign w:val="center"/>
                </w:tcPr>
                <w:p w14:paraId="674C5359">
                  <w:pPr>
                    <w:spacing w:line="240" w:lineRule="auto"/>
                    <w:jc w:val="center"/>
                    <w:rPr>
                      <w:rFonts w:hint="default" w:ascii="Times New Roman" w:hAnsi="Times New Roman" w:eastAsia="宋体" w:cs="Times New Roman"/>
                      <w:i w:val="0"/>
                      <w:iCs w:val="0"/>
                      <w:color w:val="auto"/>
                      <w:sz w:val="21"/>
                      <w:szCs w:val="21"/>
                      <w:highlight w:val="none"/>
                      <w:u w:val="none"/>
                    </w:rPr>
                  </w:pPr>
                  <w:r>
                    <w:rPr>
                      <w:rFonts w:hint="default" w:ascii="Times New Roman" w:hAnsi="Times New Roman" w:eastAsia="宋体" w:cs="Times New Roman"/>
                      <w:i w:val="0"/>
                      <w:iCs w:val="0"/>
                      <w:color w:val="auto"/>
                      <w:sz w:val="21"/>
                      <w:szCs w:val="21"/>
                      <w:highlight w:val="none"/>
                      <w:u w:val="none"/>
                      <w:lang w:val="en-US" w:eastAsia="zh-CN"/>
                    </w:rPr>
                    <w:t>符合</w:t>
                  </w:r>
                </w:p>
              </w:tc>
            </w:tr>
            <w:bookmarkEnd w:id="3"/>
            <w:bookmarkEnd w:id="4"/>
          </w:tbl>
          <w:p w14:paraId="6CDA628B">
            <w:pPr>
              <w:pStyle w:val="60"/>
              <w:keepNext w:val="0"/>
              <w:keepLines w:val="0"/>
              <w:pageBreakBefore w:val="0"/>
              <w:widowControl/>
              <w:suppressLineNumbers w:val="0"/>
              <w:kinsoku/>
              <w:wordWrap w:val="0"/>
              <w:overflowPunct/>
              <w:topLinePunct w:val="0"/>
              <w:bidi w:val="0"/>
              <w:adjustRightInd/>
              <w:snapToGrid/>
              <w:spacing w:before="0" w:beforeAutospacing="0" w:after="0" w:afterAutospacing="0" w:line="360" w:lineRule="auto"/>
              <w:ind w:left="0" w:leftChars="0" w:right="0" w:rightChars="0"/>
              <w:jc w:val="left"/>
              <w:outlineLvl w:val="9"/>
              <w:rPr>
                <w:rFonts w:hint="default" w:ascii="Times New Roman" w:hAnsi="Times New Roman" w:cs="Times New Roman"/>
                <w:color w:val="auto"/>
                <w:sz w:val="24"/>
                <w:szCs w:val="22"/>
                <w:highlight w:val="none"/>
              </w:rPr>
            </w:pPr>
          </w:p>
        </w:tc>
      </w:tr>
      <w:tr w14:paraId="3A93C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33" w:hRule="atLeast"/>
          <w:jc w:val="center"/>
        </w:trPr>
        <w:tc>
          <w:tcPr>
            <w:tcW w:w="267" w:type="pct"/>
            <w:vAlign w:val="center"/>
          </w:tcPr>
          <w:p w14:paraId="5AB3BB2C">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5" w:name="_Toc28749"/>
            <w:bookmarkStart w:id="6" w:name="_Toc27052"/>
            <w:bookmarkStart w:id="7" w:name="_Toc2999"/>
            <w:bookmarkStart w:id="8" w:name="_Toc11884"/>
            <w:bookmarkStart w:id="9" w:name="_Toc22642"/>
            <w:r>
              <w:rPr>
                <w:rFonts w:hint="default" w:ascii="Times New Roman" w:hAnsi="Times New Roman" w:cs="Times New Roman"/>
                <w:color w:val="auto"/>
                <w:highlight w:val="none"/>
              </w:rPr>
              <w:t>其他符合性分析</w:t>
            </w:r>
            <w:bookmarkEnd w:id="5"/>
            <w:bookmarkEnd w:id="6"/>
            <w:bookmarkEnd w:id="7"/>
            <w:bookmarkEnd w:id="8"/>
            <w:bookmarkEnd w:id="9"/>
          </w:p>
        </w:tc>
        <w:tc>
          <w:tcPr>
            <w:tcW w:w="4732" w:type="pct"/>
            <w:gridSpan w:val="6"/>
            <w:vAlign w:val="center"/>
          </w:tcPr>
          <w:p w14:paraId="7748D570">
            <w:pPr>
              <w:pStyle w:val="7"/>
              <w:keepNext/>
              <w:keepLines/>
              <w:pageBreakBefore w:val="0"/>
              <w:wordWrap w:val="0"/>
              <w:topLinePunct w:val="0"/>
              <w:bidi w:val="0"/>
              <w:ind w:left="-2" w:firstLineChars="200"/>
              <w:outlineLvl w:val="2"/>
              <w:rPr>
                <w:rFonts w:hint="default" w:ascii="Times New Roman" w:hAnsi="Times New Roman" w:eastAsia="宋体" w:cs="Times New Roman"/>
                <w:b/>
                <w:bCs/>
                <w:color w:val="auto"/>
                <w:sz w:val="24"/>
                <w:highlight w:val="none"/>
                <w:lang w:eastAsia="zh-CN"/>
              </w:rPr>
            </w:pPr>
            <w:r>
              <w:rPr>
                <w:rFonts w:hint="default" w:ascii="Times New Roman" w:hAnsi="Times New Roman" w:cs="Times New Roman"/>
                <w:b/>
                <w:bCs/>
                <w:color w:val="auto"/>
                <w:sz w:val="24"/>
                <w:highlight w:val="none"/>
              </w:rPr>
              <w:t>一、产业政策相符性分析</w:t>
            </w:r>
          </w:p>
          <w:p w14:paraId="7CEA3524">
            <w:pPr>
              <w:pStyle w:val="7"/>
              <w:keepNext/>
              <w:keepLines/>
              <w:pageBreakBefore w:val="0"/>
              <w:wordWrap w:val="0"/>
              <w:topLinePunct w:val="0"/>
              <w:bidi w:val="0"/>
              <w:ind w:firstLineChars="200"/>
              <w:outlineLvl w:val="2"/>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本项目所属行业类别为</w:t>
            </w:r>
            <w:r>
              <w:rPr>
                <w:rFonts w:hint="default" w:ascii="Times New Roman" w:hAnsi="Times New Roman" w:cs="Times New Roman"/>
                <w:color w:val="auto"/>
                <w:sz w:val="24"/>
                <w:highlight w:val="none"/>
                <w:lang w:eastAsia="zh-CN"/>
              </w:rPr>
              <w:t>C2929塑料零件及其他塑料制品制造</w:t>
            </w:r>
            <w:r>
              <w:rPr>
                <w:rFonts w:hint="default" w:ascii="Times New Roman" w:hAnsi="Times New Roman" w:cs="Times New Roman"/>
                <w:color w:val="auto"/>
                <w:sz w:val="24"/>
                <w:highlight w:val="none"/>
              </w:rPr>
              <w:t>，根据《产业结构调整指导目录（2024年本）》（国家发展和改革委员会令第7号），本项目不属于指导目录中的鼓励类、限制类和淘汰类产业，符合国家有关法律、法规和政策规定，属于允许类。</w:t>
            </w:r>
          </w:p>
          <w:p w14:paraId="3BFC4F3E">
            <w:pPr>
              <w:pStyle w:val="7"/>
              <w:pageBreakBefore w:val="0"/>
              <w:wordWrap w:val="0"/>
              <w:topLinePunct w:val="0"/>
              <w:bidi w:val="0"/>
              <w:ind w:firstLineChars="200"/>
              <w:rPr>
                <w:rFonts w:hint="default" w:ascii="Times New Roman" w:hAnsi="Times New Roman" w:cs="Times New Roman"/>
                <w:color w:val="auto"/>
                <w:sz w:val="24"/>
                <w:highlight w:val="none"/>
              </w:rPr>
            </w:pPr>
            <w:r>
              <w:rPr>
                <w:rFonts w:hint="default" w:ascii="Times New Roman" w:hAnsi="Times New Roman" w:cs="Times New Roman"/>
                <w:color w:val="auto"/>
                <w:kern w:val="0"/>
                <w:sz w:val="24"/>
                <w:highlight w:val="none"/>
                <w:lang w:bidi="ar"/>
              </w:rPr>
              <w:t>根据《市场准入负面清单（202</w:t>
            </w:r>
            <w:r>
              <w:rPr>
                <w:rFonts w:hint="default" w:ascii="Times New Roman" w:hAnsi="Times New Roman" w:cs="Times New Roman"/>
                <w:color w:val="auto"/>
                <w:kern w:val="0"/>
                <w:sz w:val="24"/>
                <w:highlight w:val="none"/>
                <w:lang w:val="en-US" w:eastAsia="zh-CN" w:bidi="ar"/>
              </w:rPr>
              <w:t>5</w:t>
            </w:r>
            <w:r>
              <w:rPr>
                <w:rFonts w:hint="default" w:ascii="Times New Roman" w:hAnsi="Times New Roman" w:cs="Times New Roman"/>
                <w:color w:val="auto"/>
                <w:kern w:val="0"/>
                <w:sz w:val="24"/>
                <w:highlight w:val="none"/>
                <w:lang w:bidi="ar"/>
              </w:rPr>
              <w:t>年版）》（发改体改规〔202</w:t>
            </w:r>
            <w:r>
              <w:rPr>
                <w:rFonts w:hint="default" w:ascii="Times New Roman" w:hAnsi="Times New Roman" w:cs="Times New Roman"/>
                <w:color w:val="auto"/>
                <w:kern w:val="0"/>
                <w:sz w:val="24"/>
                <w:highlight w:val="none"/>
                <w:lang w:val="en-US" w:eastAsia="zh-CN" w:bidi="ar"/>
              </w:rPr>
              <w:t>5</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val="en-US" w:eastAsia="zh-CN" w:bidi="ar"/>
              </w:rPr>
              <w:t>466</w:t>
            </w:r>
            <w:r>
              <w:rPr>
                <w:rFonts w:hint="default" w:ascii="Times New Roman" w:hAnsi="Times New Roman" w:cs="Times New Roman"/>
                <w:color w:val="auto"/>
                <w:kern w:val="0"/>
                <w:sz w:val="24"/>
                <w:highlight w:val="none"/>
                <w:lang w:bidi="ar"/>
              </w:rPr>
              <w:t>号）</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bidi="ar"/>
              </w:rPr>
              <w:t>《广东省国家重点生态功能区产业准入负面清单（试行）》（粤发改规划</w:t>
            </w:r>
            <w:r>
              <w:rPr>
                <w:rFonts w:hint="default" w:ascii="Times New Roman" w:hAnsi="Times New Roman" w:cs="Times New Roman"/>
                <w:color w:val="auto"/>
                <w:kern w:val="0"/>
                <w:sz w:val="24"/>
                <w:highlight w:val="none"/>
                <w:lang w:eastAsia="zh-CN" w:bidi="ar"/>
              </w:rPr>
              <w:t>〔2017〕331号</w:t>
            </w:r>
            <w:r>
              <w:rPr>
                <w:rFonts w:hint="default" w:ascii="Times New Roman" w:hAnsi="Times New Roman" w:cs="Times New Roman"/>
                <w:color w:val="auto"/>
                <w:kern w:val="0"/>
                <w:sz w:val="24"/>
                <w:highlight w:val="none"/>
                <w:lang w:bidi="ar"/>
              </w:rPr>
              <w:t>），</w:t>
            </w:r>
            <w:r>
              <w:rPr>
                <w:rFonts w:hint="default" w:ascii="Times New Roman" w:hAnsi="Times New Roman" w:cs="Times New Roman"/>
                <w:color w:val="auto"/>
                <w:kern w:val="0"/>
                <w:sz w:val="24"/>
                <w:highlight w:val="none"/>
                <w:lang w:eastAsia="zh-CN" w:bidi="ar"/>
              </w:rPr>
              <w:t>项目</w:t>
            </w:r>
            <w:r>
              <w:rPr>
                <w:rFonts w:hint="default" w:ascii="Times New Roman" w:hAnsi="Times New Roman" w:cs="Times New Roman"/>
                <w:color w:val="auto"/>
                <w:kern w:val="0"/>
                <w:sz w:val="24"/>
                <w:highlight w:val="none"/>
                <w:lang w:bidi="ar"/>
              </w:rPr>
              <w:t>不属于</w:t>
            </w:r>
            <w:r>
              <w:rPr>
                <w:rFonts w:hint="default" w:ascii="Times New Roman" w:hAnsi="Times New Roman" w:cs="Times New Roman"/>
                <w:color w:val="auto"/>
                <w:sz w:val="24"/>
                <w:highlight w:val="none"/>
                <w:lang w:val="en-US" w:eastAsia="zh-CN"/>
              </w:rPr>
              <w:t>负面清单所列行业，也不属于许可准入事项</w:t>
            </w:r>
            <w:r>
              <w:rPr>
                <w:rFonts w:hint="default" w:ascii="Times New Roman" w:hAnsi="Times New Roman" w:cs="Times New Roman"/>
                <w:color w:val="auto"/>
                <w:kern w:val="0"/>
                <w:sz w:val="24"/>
                <w:highlight w:val="none"/>
                <w:lang w:bidi="ar"/>
              </w:rPr>
              <w:t>。因此，本项目可依法进行建设和投产。</w:t>
            </w:r>
          </w:p>
          <w:p w14:paraId="7EFB671D">
            <w:pPr>
              <w:pStyle w:val="7"/>
              <w:pageBreakBefore w:val="0"/>
              <w:wordWrap w:val="0"/>
              <w:topLinePunct w:val="0"/>
              <w:bidi w:val="0"/>
              <w:adjustRightInd w:val="0"/>
              <w:snapToGrid w:val="0"/>
              <w:ind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二、与环境功能区划相符性分析</w:t>
            </w:r>
          </w:p>
          <w:p w14:paraId="0D330B02">
            <w:pPr>
              <w:pStyle w:val="7"/>
              <w:keepNext w:val="0"/>
              <w:keepLines w:val="0"/>
              <w:pageBreakBefore w:val="0"/>
              <w:widowControl w:val="0"/>
              <w:kinsoku/>
              <w:wordWrap w:val="0"/>
              <w:overflowPunct/>
              <w:topLinePunct w:val="0"/>
              <w:autoSpaceDE/>
              <w:autoSpaceDN/>
              <w:bidi w:val="0"/>
              <w:adjustRightInd/>
              <w:snapToGrid/>
              <w:ind w:firstLineChars="200"/>
              <w:textAlignment w:val="auto"/>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（1）根据《广东省人民政府关于印发</w:t>
            </w:r>
            <w:r>
              <w:rPr>
                <w:rFonts w:hint="default" w:ascii="Times New Roman" w:hAnsi="Times New Roman" w:cs="Times New Roman"/>
                <w:color w:val="auto"/>
                <w:kern w:val="0"/>
                <w:sz w:val="24"/>
                <w:highlight w:val="none"/>
                <w:lang w:val="en-US" w:eastAsia="zh-CN"/>
              </w:rPr>
              <w:t>&lt;</w:t>
            </w:r>
            <w:r>
              <w:rPr>
                <w:rFonts w:hint="default" w:ascii="Times New Roman" w:hAnsi="Times New Roman" w:cs="Times New Roman"/>
                <w:color w:val="auto"/>
                <w:kern w:val="0"/>
                <w:sz w:val="24"/>
                <w:highlight w:val="none"/>
              </w:rPr>
              <w:t>部分市乡镇集中式饮用水源保护区划分方案</w:t>
            </w:r>
            <w:r>
              <w:rPr>
                <w:rFonts w:hint="default" w:ascii="Times New Roman" w:hAnsi="Times New Roman" w:cs="Times New Roman"/>
                <w:color w:val="auto"/>
                <w:kern w:val="0"/>
                <w:sz w:val="24"/>
                <w:highlight w:val="none"/>
                <w:lang w:val="en-US" w:eastAsia="zh-CN"/>
              </w:rPr>
              <w:t>&gt;</w:t>
            </w:r>
            <w:r>
              <w:rPr>
                <w:rFonts w:hint="default" w:ascii="Times New Roman" w:hAnsi="Times New Roman" w:cs="Times New Roman"/>
                <w:color w:val="auto"/>
                <w:kern w:val="0"/>
                <w:sz w:val="24"/>
                <w:highlight w:val="none"/>
              </w:rPr>
              <w:t>的通知》（粤府函〔2015〕17号）及《广东省人民政府关于调整韶关市部分饮用水水源保护区的批复》（粤府函〔2018〕427号），项目所在地不属于韶关市一、二级水源保护区，符合</w:t>
            </w:r>
            <w:r>
              <w:rPr>
                <w:rFonts w:hint="default" w:ascii="Times New Roman" w:hAnsi="Times New Roman" w:cs="Times New Roman"/>
                <w:color w:val="auto"/>
                <w:sz w:val="24"/>
                <w:highlight w:val="none"/>
              </w:rPr>
              <w:t>水污染防治条例</w:t>
            </w:r>
            <w:r>
              <w:rPr>
                <w:rFonts w:hint="default" w:ascii="Times New Roman" w:hAnsi="Times New Roman" w:cs="Times New Roman"/>
                <w:color w:val="auto"/>
                <w:kern w:val="0"/>
                <w:sz w:val="24"/>
                <w:highlight w:val="none"/>
              </w:rPr>
              <w:t>的有关要求。</w:t>
            </w:r>
          </w:p>
          <w:p w14:paraId="7BF1B246">
            <w:pPr>
              <w:pStyle w:val="7"/>
              <w:keepNext w:val="0"/>
              <w:keepLines w:val="0"/>
              <w:pageBreakBefore w:val="0"/>
              <w:widowControl w:val="0"/>
              <w:kinsoku/>
              <w:wordWrap w:val="0"/>
              <w:overflowPunct/>
              <w:topLinePunct w:val="0"/>
              <w:autoSpaceDE/>
              <w:autoSpaceDN/>
              <w:bidi w:val="0"/>
              <w:adjustRightInd/>
              <w:snapToGrid/>
              <w:ind w:firstLineChars="200"/>
              <w:textAlignment w:val="auto"/>
              <w:rPr>
                <w:rFonts w:hint="default" w:ascii="Times New Roman" w:hAnsi="Times New Roman" w:eastAsia="宋体" w:cs="Times New Roman"/>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同时根据《广东省水利厅关于印发&lt;韶关市部分饮用水水源保护区调整方案&gt;的通知》（粤环函〔2024〕146号）可知，本项目选址未处于各级饮用水水源保护区范围内，本项目与最近饮用水水源保护区：韶关市区武江饮用水水源地准保护区距离约为5067m，项目与韶关市区武江饮用水水源地准保护区位置关系图详见附图17。</w:t>
            </w:r>
          </w:p>
          <w:p w14:paraId="531FCD1C">
            <w:pPr>
              <w:pStyle w:val="7"/>
              <w:pageBreakBefore w:val="0"/>
              <w:widowControl/>
              <w:wordWrap w:val="0"/>
              <w:topLinePunct w:val="0"/>
              <w:bidi w:val="0"/>
              <w:ind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（2）根据《乐昌市人民政府办公室关于印发</w:t>
            </w:r>
            <w:r>
              <w:rPr>
                <w:rFonts w:hint="default" w:ascii="Times New Roman" w:hAnsi="Times New Roman" w:cs="Times New Roman"/>
                <w:color w:val="auto"/>
                <w:kern w:val="0"/>
                <w:sz w:val="24"/>
                <w:highlight w:val="none"/>
                <w:lang w:val="en-US" w:eastAsia="zh-CN"/>
              </w:rPr>
              <w:t>&lt;</w:t>
            </w:r>
            <w:r>
              <w:rPr>
                <w:rFonts w:hint="default" w:ascii="Times New Roman" w:hAnsi="Times New Roman" w:cs="Times New Roman"/>
                <w:color w:val="auto"/>
                <w:kern w:val="0"/>
                <w:sz w:val="24"/>
                <w:highlight w:val="none"/>
              </w:rPr>
              <w:t>乐昌市生态环境保护“十四五”规划</w:t>
            </w:r>
            <w:r>
              <w:rPr>
                <w:rFonts w:hint="default" w:ascii="Times New Roman" w:hAnsi="Times New Roman" w:cs="Times New Roman"/>
                <w:color w:val="auto"/>
                <w:kern w:val="0"/>
                <w:sz w:val="24"/>
                <w:highlight w:val="none"/>
                <w:lang w:val="en-US" w:eastAsia="zh-CN"/>
              </w:rPr>
              <w:t>&gt;</w:t>
            </w:r>
            <w:r>
              <w:rPr>
                <w:rFonts w:hint="default" w:ascii="Times New Roman" w:hAnsi="Times New Roman" w:cs="Times New Roman"/>
                <w:color w:val="auto"/>
                <w:kern w:val="0"/>
                <w:sz w:val="24"/>
                <w:highlight w:val="none"/>
              </w:rPr>
              <w:t>的通知》（乐府办〔2022〕16号）中《乐昌市“十四五”生态环境保护规划大气环境功能区划图》，项目所在区域为环境空气质量二类功能区（详见附图</w:t>
            </w:r>
            <w:r>
              <w:rPr>
                <w:rFonts w:hint="default" w:ascii="Times New Roman" w:hAnsi="Times New Roman" w:cs="Times New Roman"/>
                <w:color w:val="auto"/>
                <w:kern w:val="0"/>
                <w:sz w:val="24"/>
                <w:highlight w:val="none"/>
                <w:lang w:val="en-US" w:eastAsia="zh-CN"/>
              </w:rPr>
              <w:t>7</w:t>
            </w:r>
            <w:r>
              <w:rPr>
                <w:rFonts w:hint="default" w:ascii="Times New Roman" w:hAnsi="Times New Roman" w:cs="Times New Roman"/>
                <w:color w:val="auto"/>
                <w:kern w:val="0"/>
                <w:sz w:val="24"/>
                <w:highlight w:val="none"/>
              </w:rPr>
              <w:t>），</w:t>
            </w:r>
            <w:r>
              <w:rPr>
                <w:rFonts w:hint="default" w:ascii="Times New Roman" w:hAnsi="Times New Roman" w:cs="Times New Roman"/>
                <w:color w:val="auto"/>
                <w:kern w:val="0"/>
                <w:sz w:val="24"/>
                <w:highlight w:val="none"/>
                <w:lang w:bidi="ar"/>
              </w:rPr>
              <w:t>不属于环境空气质量一类功能区中的自然保护区风景名胜区和</w:t>
            </w:r>
            <w:r>
              <w:rPr>
                <w:rFonts w:hint="default" w:ascii="Times New Roman" w:hAnsi="Times New Roman" w:cs="Times New Roman"/>
                <w:color w:val="auto"/>
                <w:kern w:val="0"/>
                <w:sz w:val="24"/>
                <w:highlight w:val="none"/>
                <w:lang w:eastAsia="zh-CN" w:bidi="ar"/>
              </w:rPr>
              <w:t>其他需要</w:t>
            </w:r>
            <w:r>
              <w:rPr>
                <w:rFonts w:hint="default" w:ascii="Times New Roman" w:hAnsi="Times New Roman" w:cs="Times New Roman"/>
                <w:color w:val="auto"/>
                <w:kern w:val="0"/>
                <w:sz w:val="24"/>
                <w:highlight w:val="none"/>
                <w:lang w:bidi="ar"/>
              </w:rPr>
              <w:t>特殊保护的区域</w:t>
            </w:r>
            <w:r>
              <w:rPr>
                <w:rFonts w:hint="default" w:ascii="Times New Roman" w:hAnsi="Times New Roman" w:cs="Times New Roman"/>
                <w:color w:val="auto"/>
                <w:kern w:val="0"/>
                <w:sz w:val="24"/>
                <w:highlight w:val="none"/>
              </w:rPr>
              <w:t>。</w:t>
            </w:r>
          </w:p>
          <w:p w14:paraId="60A9670C">
            <w:pPr>
              <w:pStyle w:val="7"/>
              <w:pageBreakBefore w:val="0"/>
              <w:wordWrap w:val="0"/>
              <w:topLinePunct w:val="0"/>
              <w:bidi w:val="0"/>
              <w:adjustRightInd w:val="0"/>
              <w:snapToGrid w:val="0"/>
              <w:ind w:firstLineChars="200"/>
              <w:jc w:val="left"/>
              <w:rPr>
                <w:rFonts w:hint="default" w:ascii="Times New Roman" w:hAnsi="Times New Roman" w:cs="Times New Roman"/>
                <w:color w:val="auto"/>
                <w:kern w:val="0"/>
                <w:sz w:val="24"/>
                <w:highlight w:val="none"/>
              </w:rPr>
            </w:pPr>
            <w:r>
              <w:rPr>
                <w:rFonts w:hint="default" w:ascii="Times New Roman" w:hAnsi="Times New Roman" w:cs="Times New Roman"/>
                <w:color w:val="auto"/>
                <w:kern w:val="0"/>
                <w:sz w:val="24"/>
                <w:highlight w:val="none"/>
              </w:rPr>
              <w:t>（3）根据《乐昌产业转移工业园控制性详细规划-城东地块论证报告调整后》及不动产权证</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详见</w:t>
            </w:r>
            <w:r>
              <w:rPr>
                <w:rFonts w:hint="default" w:ascii="Times New Roman" w:hAnsi="Times New Roman" w:cs="Times New Roman"/>
                <w:color w:val="auto"/>
                <w:kern w:val="0"/>
                <w:sz w:val="24"/>
                <w:highlight w:val="none"/>
                <w:lang w:eastAsia="zh-CN"/>
              </w:rPr>
              <w:t>附图</w:t>
            </w:r>
            <w:r>
              <w:rPr>
                <w:rFonts w:hint="default" w:ascii="Times New Roman" w:hAnsi="Times New Roman" w:cs="Times New Roman"/>
                <w:color w:val="auto"/>
                <w:kern w:val="0"/>
                <w:sz w:val="24"/>
                <w:highlight w:val="none"/>
                <w:lang w:val="en-US" w:eastAsia="zh-CN"/>
              </w:rPr>
              <w:t>5及附件3</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，项目所在地位为工业用地</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项目所在区域为声环境3类区，不属于声环境1类区</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详见</w:t>
            </w:r>
            <w:r>
              <w:rPr>
                <w:rFonts w:hint="default" w:ascii="Times New Roman" w:hAnsi="Times New Roman" w:cs="Times New Roman"/>
                <w:color w:val="auto"/>
                <w:kern w:val="0"/>
                <w:sz w:val="24"/>
                <w:highlight w:val="none"/>
                <w:lang w:eastAsia="zh-CN"/>
              </w:rPr>
              <w:t>附图</w:t>
            </w:r>
            <w:r>
              <w:rPr>
                <w:rFonts w:hint="default" w:ascii="Times New Roman" w:hAnsi="Times New Roman" w:cs="Times New Roman"/>
                <w:color w:val="auto"/>
                <w:kern w:val="0"/>
                <w:sz w:val="24"/>
                <w:highlight w:val="none"/>
                <w:lang w:val="en-US" w:eastAsia="zh-CN"/>
              </w:rPr>
              <w:t>12</w:t>
            </w:r>
            <w:r>
              <w:rPr>
                <w:rFonts w:hint="default" w:ascii="Times New Roman" w:hAnsi="Times New Roman" w:cs="Times New Roman"/>
                <w:color w:val="auto"/>
                <w:kern w:val="0"/>
                <w:sz w:val="24"/>
                <w:highlight w:val="none"/>
                <w:lang w:eastAsia="zh-CN"/>
              </w:rPr>
              <w:t>）</w:t>
            </w:r>
            <w:r>
              <w:rPr>
                <w:rFonts w:hint="default" w:ascii="Times New Roman" w:hAnsi="Times New Roman" w:cs="Times New Roman"/>
                <w:color w:val="auto"/>
                <w:kern w:val="0"/>
                <w:sz w:val="24"/>
                <w:highlight w:val="none"/>
              </w:rPr>
              <w:t>。</w:t>
            </w:r>
          </w:p>
          <w:p w14:paraId="0415E655">
            <w:pPr>
              <w:pStyle w:val="7"/>
              <w:pageBreakBefore w:val="0"/>
              <w:wordWrap w:val="0"/>
              <w:topLinePunct w:val="0"/>
              <w:bidi w:val="0"/>
              <w:adjustRightInd w:val="0"/>
              <w:snapToGrid w:val="0"/>
              <w:ind w:firstLineChars="200"/>
              <w:jc w:val="left"/>
              <w:rPr>
                <w:rFonts w:hint="default" w:ascii="Times New Roman" w:hAnsi="Times New Roman" w:cs="Times New Roman"/>
                <w:b/>
                <w:bCs/>
                <w:color w:val="auto"/>
                <w:kern w:val="0"/>
                <w:sz w:val="24"/>
                <w:highlight w:val="none"/>
              </w:rPr>
            </w:pPr>
            <w:r>
              <w:rPr>
                <w:rFonts w:hint="default" w:ascii="Times New Roman" w:hAnsi="Times New Roman" w:cs="Times New Roman"/>
                <w:b/>
                <w:bCs/>
                <w:color w:val="auto"/>
                <w:kern w:val="0"/>
                <w:sz w:val="24"/>
                <w:highlight w:val="none"/>
              </w:rPr>
              <w:t>三、与城市规划相符性分析</w:t>
            </w:r>
          </w:p>
          <w:p w14:paraId="7F20B64F">
            <w:pPr>
              <w:pStyle w:val="7"/>
              <w:pageBreakBefore w:val="0"/>
              <w:wordWrap w:val="0"/>
              <w:topLinePunct w:val="0"/>
              <w:bidi w:val="0"/>
              <w:adjustRightInd w:val="0"/>
              <w:snapToGrid w:val="0"/>
              <w:ind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rPr>
              <w:t>项目位于</w:t>
            </w:r>
            <w:r>
              <w:rPr>
                <w:rFonts w:hint="default" w:ascii="Times New Roman" w:hAnsi="Times New Roman" w:cs="Times New Roman"/>
                <w:color w:val="auto"/>
                <w:kern w:val="0"/>
                <w:sz w:val="24"/>
                <w:highlight w:val="none"/>
                <w:lang w:val="en-US" w:eastAsia="zh-CN"/>
              </w:rPr>
              <w:t>韶关市乐昌市廊田镇乐园大道22号（3号厂房）</w:t>
            </w:r>
            <w:r>
              <w:rPr>
                <w:rFonts w:hint="default" w:ascii="Times New Roman" w:hAnsi="Times New Roman" w:cs="Times New Roman"/>
                <w:color w:val="auto"/>
                <w:kern w:val="0"/>
                <w:sz w:val="24"/>
                <w:highlight w:val="none"/>
              </w:rPr>
              <w:t>，根据《乐昌产业转移工业园控制性详细规划-城东地块论证报告调整后》，项目所在地为工业用地，项目所在地没有占用基本农业用地和林地，符合韶关市城市建设和环境功能区规划的要求，且具有水、电等供应保障，交通便利等条件。项目周围没有风景名胜区、生态脆弱带等。故项目选址是合理的。</w:t>
            </w:r>
            <w:bookmarkStart w:id="10" w:name="_Toc459880767"/>
          </w:p>
          <w:bookmarkEnd w:id="10"/>
          <w:p w14:paraId="5CC06D83">
            <w:pPr>
              <w:pStyle w:val="7"/>
              <w:keepNext/>
              <w:keepLines/>
              <w:pageBreakBefore w:val="0"/>
              <w:wordWrap w:val="0"/>
              <w:topLinePunct w:val="0"/>
              <w:bidi w:val="0"/>
              <w:ind w:left="-2" w:firstLineChars="200"/>
              <w:outlineLvl w:val="2"/>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四、与《</w:t>
            </w:r>
            <w:r>
              <w:rPr>
                <w:rFonts w:hint="default" w:ascii="Times New Roman" w:hAnsi="Times New Roman" w:cs="Times New Roman"/>
                <w:b/>
                <w:bCs/>
                <w:color w:val="auto"/>
                <w:sz w:val="24"/>
                <w:szCs w:val="24"/>
                <w:highlight w:val="none"/>
              </w:rPr>
              <w:t>工业和信息化部发布&lt;限期淘汰产生严重污染环境的工业固体废物的落后生产工艺设备名录&gt;公告》（中华人民共和国工业和信息化部公告2021年第25号）相符性分析</w:t>
            </w:r>
          </w:p>
          <w:p w14:paraId="2DA7EE90">
            <w:pPr>
              <w:pStyle w:val="7"/>
              <w:pageBreakBefore w:val="0"/>
              <w:wordWrap w:val="0"/>
              <w:topLinePunct w:val="0"/>
              <w:bidi w:val="0"/>
              <w:ind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本项目所用生产工艺及设备不属于《限期淘汰产生严重污染环境的工业固体废物的落后生产工艺设备名录》中限期淘汰的落后生产工艺设备，故与《工业和信息化部发布&lt;限期淘汰产生严重污染环境的工业固体废物的落后生产工艺设备名录&gt;公告》（中华人民共和国工业和信息化部公告2021年第25号）相符。</w:t>
            </w:r>
          </w:p>
          <w:p w14:paraId="0B694275">
            <w:pPr>
              <w:pStyle w:val="7"/>
              <w:keepNext/>
              <w:keepLines/>
              <w:pageBreakBefore w:val="0"/>
              <w:wordWrap w:val="0"/>
              <w:topLinePunct w:val="0"/>
              <w:bidi w:val="0"/>
              <w:ind w:left="-2" w:firstLineChars="200"/>
              <w:outlineLvl w:val="2"/>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五、“三线一单”相符性分析</w:t>
            </w:r>
          </w:p>
          <w:p w14:paraId="54957A3F">
            <w:pPr>
              <w:pStyle w:val="7"/>
              <w:pageBreakBefore w:val="0"/>
              <w:wordWrap w:val="0"/>
              <w:topLinePunct w:val="0"/>
              <w:bidi w:val="0"/>
              <w:ind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1、《关于印发广东省“三线一单”生态环境分区管控方案的通知》（粤府〔2020〕71号）</w:t>
            </w:r>
          </w:p>
          <w:p w14:paraId="22B2DCA0">
            <w:pPr>
              <w:pStyle w:val="7"/>
              <w:keepNext w:val="0"/>
              <w:keepLines w:val="0"/>
              <w:pageBreakBefore w:val="0"/>
              <w:widowControl w:val="0"/>
              <w:kinsoku/>
              <w:wordWrap w:val="0"/>
              <w:overflowPunct/>
              <w:topLinePunct w:val="0"/>
              <w:autoSpaceDE/>
              <w:autoSpaceDN/>
              <w:bidi w:val="0"/>
              <w:adjustRightInd/>
              <w:snapToGrid/>
              <w:spacing w:line="240" w:lineRule="auto"/>
              <w:ind w:firstLine="480"/>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“三线一单”相符性分析一览表</w:t>
            </w:r>
          </w:p>
          <w:tbl>
            <w:tblPr>
              <w:tblStyle w:val="39"/>
              <w:tblW w:w="4998"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80"/>
              <w:gridCol w:w="5868"/>
              <w:gridCol w:w="795"/>
            </w:tblGrid>
            <w:tr w14:paraId="223AC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357605AD">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三线一单</w:t>
                  </w:r>
                </w:p>
              </w:tc>
              <w:tc>
                <w:tcPr>
                  <w:tcW w:w="3740" w:type="pct"/>
                  <w:vAlign w:val="center"/>
                </w:tcPr>
                <w:p w14:paraId="14356D7F">
                  <w:pPr>
                    <w:pStyle w:val="7"/>
                    <w:pageBreakBefore w:val="0"/>
                    <w:wordWrap w:val="0"/>
                    <w:topLinePunct w:val="0"/>
                    <w:bidi w:val="0"/>
                    <w:spacing w:line="240" w:lineRule="auto"/>
                    <w:ind w:firstLine="48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相符性</w:t>
                  </w:r>
                </w:p>
              </w:tc>
              <w:tc>
                <w:tcPr>
                  <w:tcW w:w="507" w:type="pct"/>
                  <w:vAlign w:val="center"/>
                </w:tcPr>
                <w:p w14:paraId="55A055C2">
                  <w:pPr>
                    <w:pStyle w:val="7"/>
                    <w:pageBreakBefore w:val="0"/>
                    <w:wordWrap w:val="0"/>
                    <w:topLinePunct w:val="0"/>
                    <w:bidi w:val="0"/>
                    <w:spacing w:line="240" w:lineRule="auto"/>
                    <w:ind w:firstLine="0" w:firstLineChars="0"/>
                    <w:jc w:val="center"/>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eastAsia="zh-CN"/>
                    </w:rPr>
                    <w:t>相符性</w:t>
                  </w:r>
                </w:p>
              </w:tc>
            </w:tr>
            <w:tr w14:paraId="76296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0" w:hRule="atLeast"/>
              </w:trPr>
              <w:tc>
                <w:tcPr>
                  <w:tcW w:w="752" w:type="pct"/>
                  <w:vAlign w:val="center"/>
                </w:tcPr>
                <w:p w14:paraId="029C8A9A">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w:t>
                  </w:r>
                </w:p>
              </w:tc>
              <w:tc>
                <w:tcPr>
                  <w:tcW w:w="3740" w:type="pct"/>
                  <w:vAlign w:val="center"/>
                </w:tcPr>
                <w:p w14:paraId="076EB4F9">
                  <w:pPr>
                    <w:pStyle w:val="7"/>
                    <w:pageBreakBefore w:val="0"/>
                    <w:wordWrap w:val="0"/>
                    <w:topLinePunct w:val="0"/>
                    <w:bidi w:val="0"/>
                    <w:spacing w:line="240" w:lineRule="auto"/>
                    <w:ind w:firstLine="480"/>
                    <w:jc w:val="left"/>
                    <w:rPr>
                      <w:rFonts w:hint="default" w:ascii="Times New Roman" w:hAnsi="Times New Roman" w:cs="Times New Roman"/>
                      <w:color w:val="auto"/>
                      <w:highlight w:val="none"/>
                    </w:rPr>
                  </w:pPr>
                  <w:r>
                    <w:rPr>
                      <w:rFonts w:hint="default" w:ascii="Times New Roman" w:hAnsi="Times New Roman" w:cs="Times New Roman"/>
                      <w:color w:val="auto"/>
                      <w:kern w:val="2"/>
                      <w:highlight w:val="none"/>
                    </w:rPr>
                    <w:t>项目用地用途为工业厂房，不在</w:t>
                  </w:r>
                  <w:r>
                    <w:rPr>
                      <w:rFonts w:hint="default" w:ascii="Times New Roman" w:hAnsi="Times New Roman" w:cs="Times New Roman"/>
                      <w:color w:val="auto"/>
                      <w:kern w:val="2"/>
                      <w:highlight w:val="none"/>
                      <w:lang w:val="zh-CN"/>
                    </w:rPr>
                    <w:t>生态保护红线和生态环境空间管控区内，</w:t>
                  </w:r>
                  <w:r>
                    <w:rPr>
                      <w:rFonts w:hint="default" w:ascii="Times New Roman" w:hAnsi="Times New Roman" w:cs="Times New Roman"/>
                      <w:color w:val="auto"/>
                      <w:kern w:val="2"/>
                      <w:highlight w:val="none"/>
                    </w:rPr>
                    <w:t>符合生态保护红线要求</w:t>
                  </w:r>
                  <w:r>
                    <w:rPr>
                      <w:rFonts w:hint="default" w:ascii="Times New Roman" w:hAnsi="Times New Roman" w:cs="Times New Roman"/>
                      <w:color w:val="auto"/>
                      <w:highlight w:val="none"/>
                    </w:rPr>
                    <w:t>。</w:t>
                  </w:r>
                </w:p>
              </w:tc>
              <w:tc>
                <w:tcPr>
                  <w:tcW w:w="507" w:type="pct"/>
                  <w:vAlign w:val="center"/>
                </w:tcPr>
                <w:p w14:paraId="0A193251">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469E08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90" w:hRule="atLeast"/>
              </w:trPr>
              <w:tc>
                <w:tcPr>
                  <w:tcW w:w="752" w:type="pct"/>
                  <w:vAlign w:val="center"/>
                </w:tcPr>
                <w:p w14:paraId="5E4449B9">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资源利用上线</w:t>
                  </w:r>
                </w:p>
              </w:tc>
              <w:tc>
                <w:tcPr>
                  <w:tcW w:w="3740" w:type="pct"/>
                  <w:vAlign w:val="center"/>
                </w:tcPr>
                <w:p w14:paraId="56C7FE56">
                  <w:pPr>
                    <w:pStyle w:val="7"/>
                    <w:pageBreakBefore w:val="0"/>
                    <w:wordWrap w:val="0"/>
                    <w:topLinePunct w:val="0"/>
                    <w:bidi w:val="0"/>
                    <w:spacing w:line="240" w:lineRule="auto"/>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占用基本农田等，土地资源消耗符合要求；生产所用资源主要为水、电，由市政自来水管网供水，由市政电网供电，不会突破当地的资源利用上线。生产及辅助设备均使用电能源，资源消耗量相对较少，不属于“三高”行业建设项目。</w:t>
                  </w:r>
                </w:p>
              </w:tc>
              <w:tc>
                <w:tcPr>
                  <w:tcW w:w="507" w:type="pct"/>
                  <w:vAlign w:val="center"/>
                </w:tcPr>
                <w:p w14:paraId="1FBEE286">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739D7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10" w:hRule="atLeast"/>
              </w:trPr>
              <w:tc>
                <w:tcPr>
                  <w:tcW w:w="752" w:type="pct"/>
                  <w:vAlign w:val="center"/>
                </w:tcPr>
                <w:p w14:paraId="7AA0F327">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环境质量底线</w:t>
                  </w:r>
                </w:p>
              </w:tc>
              <w:tc>
                <w:tcPr>
                  <w:tcW w:w="3740" w:type="pct"/>
                  <w:vAlign w:val="center"/>
                </w:tcPr>
                <w:p w14:paraId="4283CA13">
                  <w:pPr>
                    <w:pStyle w:val="7"/>
                    <w:pageBreakBefore w:val="0"/>
                    <w:wordWrap w:val="0"/>
                    <w:topLinePunct w:val="0"/>
                    <w:autoSpaceDE w:val="0"/>
                    <w:autoSpaceDN w:val="0"/>
                    <w:bidi w:val="0"/>
                    <w:adjustRightInd w:val="0"/>
                    <w:spacing w:line="240" w:lineRule="auto"/>
                    <w:ind w:firstLine="420" w:firstLineChars="200"/>
                    <w:jc w:val="left"/>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根据《202</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年韶关市生态环境状况公报》，可知项目所在地地表水环境质量现状良好。生活污水经预处理后引入园区污水处理厂处理，不直接排入水体。在严格落实各项污染防治措施的前提下，本项目的建设对周边环境影响较小，建成后不会突破当地环境质量底线，符合环境质量底线要求。</w:t>
                  </w:r>
                </w:p>
              </w:tc>
              <w:tc>
                <w:tcPr>
                  <w:tcW w:w="507" w:type="pct"/>
                  <w:vAlign w:val="center"/>
                </w:tcPr>
                <w:p w14:paraId="471C1263">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09B0A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01" w:hRule="atLeast"/>
              </w:trPr>
              <w:tc>
                <w:tcPr>
                  <w:tcW w:w="752" w:type="pct"/>
                  <w:vAlign w:val="center"/>
                </w:tcPr>
                <w:p w14:paraId="2E3921A8">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生态环境准入清单</w:t>
                  </w:r>
                </w:p>
              </w:tc>
              <w:tc>
                <w:tcPr>
                  <w:tcW w:w="3740" w:type="pct"/>
                  <w:vAlign w:val="center"/>
                </w:tcPr>
                <w:p w14:paraId="0D738D1B">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主要污染物为废水、废气、噪声和固体废物，分别经处理后均能实现达标排放，固体废物经有效的分类收集、处置，对周围环境影响较小，故本项目可与周围环境相容，本项目不属于《市场准入负面清单（202</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年版）》禁止准入类项目。</w:t>
                  </w:r>
                </w:p>
              </w:tc>
              <w:tc>
                <w:tcPr>
                  <w:tcW w:w="507" w:type="pct"/>
                  <w:vAlign w:val="center"/>
                </w:tcPr>
                <w:p w14:paraId="2A2D306F">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74BA3994">
            <w:pPr>
              <w:pStyle w:val="7"/>
              <w:keepNext w:val="0"/>
              <w:keepLines w:val="0"/>
              <w:pageBreakBefore w:val="0"/>
              <w:widowControl w:val="0"/>
              <w:kinsoku/>
              <w:wordWrap w:val="0"/>
              <w:overflowPunct/>
              <w:topLinePunct w:val="0"/>
              <w:autoSpaceDE/>
              <w:autoSpaceDN/>
              <w:bidi w:val="0"/>
              <w:adjustRightInd/>
              <w:snapToGrid/>
              <w:spacing w:line="360" w:lineRule="auto"/>
              <w:ind w:firstLine="480"/>
              <w:jc w:val="center"/>
              <w:textAlignment w:val="auto"/>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环境管控单元要求一览表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672"/>
              <w:gridCol w:w="3634"/>
              <w:gridCol w:w="3011"/>
              <w:gridCol w:w="526"/>
            </w:tblGrid>
            <w:tr w14:paraId="5D7047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Align w:val="center"/>
                </w:tcPr>
                <w:p w14:paraId="4B4647F1">
                  <w:pPr>
                    <w:pStyle w:val="7"/>
                    <w:pageBreakBefore w:val="0"/>
                    <w:widowControl/>
                    <w:wordWrap w:val="0"/>
                    <w:topLinePunct w:val="0"/>
                    <w:bidi w:val="0"/>
                    <w:spacing w:line="240" w:lineRule="auto"/>
                    <w:ind w:firstLine="0" w:firstLineChars="0"/>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单元</w:t>
                  </w:r>
                </w:p>
              </w:tc>
              <w:tc>
                <w:tcPr>
                  <w:tcW w:w="2316" w:type="pct"/>
                  <w:vAlign w:val="center"/>
                </w:tcPr>
                <w:p w14:paraId="1A9A3AAF">
                  <w:pPr>
                    <w:pStyle w:val="7"/>
                    <w:pageBreakBefore w:val="0"/>
                    <w:widowControl/>
                    <w:wordWrap w:val="0"/>
                    <w:topLinePunct w:val="0"/>
                    <w:bidi w:val="0"/>
                    <w:spacing w:line="240" w:lineRule="auto"/>
                    <w:ind w:left="0" w:leftChars="0" w:firstLine="0" w:firstLineChars="0"/>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保护和管控分区或相关要求（节选）</w:t>
                  </w:r>
                </w:p>
              </w:tc>
              <w:tc>
                <w:tcPr>
                  <w:tcW w:w="1919" w:type="pct"/>
                  <w:vAlign w:val="center"/>
                </w:tcPr>
                <w:p w14:paraId="3357C8B7">
                  <w:pPr>
                    <w:pStyle w:val="7"/>
                    <w:pageBreakBefore w:val="0"/>
                    <w:widowControl/>
                    <w:wordWrap w:val="0"/>
                    <w:topLinePunct w:val="0"/>
                    <w:bidi w:val="0"/>
                    <w:spacing w:line="240" w:lineRule="auto"/>
                    <w:ind w:firstLine="0" w:firstLineChars="0"/>
                    <w:jc w:val="center"/>
                    <w:textAlignment w:val="center"/>
                    <w:rPr>
                      <w:rFonts w:hint="default" w:ascii="Times New Roman" w:hAnsi="Times New Roman" w:cs="Times New Roman"/>
                      <w:b/>
                      <w:bCs/>
                      <w:color w:val="auto"/>
                      <w:position w:val="-10"/>
                      <w:sz w:val="21"/>
                      <w:szCs w:val="21"/>
                      <w:highlight w:val="none"/>
                    </w:rPr>
                  </w:pPr>
                  <w:r>
                    <w:rPr>
                      <w:rFonts w:hint="default" w:ascii="Times New Roman" w:hAnsi="Times New Roman" w:cs="Times New Roman"/>
                      <w:b/>
                      <w:bCs/>
                      <w:color w:val="auto"/>
                      <w:position w:val="-10"/>
                      <w:sz w:val="21"/>
                      <w:szCs w:val="21"/>
                      <w:highlight w:val="none"/>
                    </w:rPr>
                    <w:t>项目情况</w:t>
                  </w:r>
                </w:p>
              </w:tc>
              <w:tc>
                <w:tcPr>
                  <w:tcW w:w="335" w:type="pct"/>
                  <w:vAlign w:val="center"/>
                </w:tcPr>
                <w:p w14:paraId="4A7AD610">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相符性</w:t>
                  </w:r>
                </w:p>
              </w:tc>
            </w:tr>
            <w:tr w14:paraId="53F51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Merge w:val="restart"/>
                  <w:vAlign w:val="center"/>
                </w:tcPr>
                <w:p w14:paraId="1CE2204C">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优先保护单元</w:t>
                  </w:r>
                </w:p>
              </w:tc>
              <w:tc>
                <w:tcPr>
                  <w:tcW w:w="2316" w:type="pct"/>
                  <w:vAlign w:val="center"/>
                </w:tcPr>
                <w:p w14:paraId="32636FFF">
                  <w:pPr>
                    <w:pStyle w:val="7"/>
                    <w:pageBreakBefore w:val="0"/>
                    <w:wordWrap w:val="0"/>
                    <w:topLinePunct w:val="0"/>
                    <w:bidi w:val="0"/>
                    <w:spacing w:line="240" w:lineRule="auto"/>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生态优先保护区：生态保护红线、一般生态空间</w:t>
                  </w:r>
                </w:p>
              </w:tc>
              <w:tc>
                <w:tcPr>
                  <w:tcW w:w="1919" w:type="pct"/>
                  <w:vAlign w:val="center"/>
                </w:tcPr>
                <w:p w14:paraId="28FC8C94">
                  <w:pPr>
                    <w:pStyle w:val="7"/>
                    <w:pageBreakBefore w:val="0"/>
                    <w:wordWrap w:val="0"/>
                    <w:topLinePunct w:val="0"/>
                    <w:bidi w:val="0"/>
                    <w:spacing w:line="240" w:lineRule="auto"/>
                    <w:ind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项目不在生态保护红线内，详见附图</w:t>
                  </w:r>
                  <w:r>
                    <w:rPr>
                      <w:rFonts w:hint="default" w:ascii="Times New Roman" w:hAnsi="Times New Roman" w:cs="Times New Roman"/>
                      <w:color w:val="auto"/>
                      <w:highlight w:val="none"/>
                      <w:lang w:val="en-US" w:eastAsia="zh-CN"/>
                    </w:rPr>
                    <w:t>8</w:t>
                  </w:r>
                </w:p>
              </w:tc>
              <w:tc>
                <w:tcPr>
                  <w:tcW w:w="335" w:type="pct"/>
                  <w:vAlign w:val="center"/>
                </w:tcPr>
                <w:p w14:paraId="0ED45CB3">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E91E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Merge w:val="continue"/>
                  <w:vAlign w:val="center"/>
                </w:tcPr>
                <w:p w14:paraId="72CC6B85">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p>
              </w:tc>
              <w:tc>
                <w:tcPr>
                  <w:tcW w:w="2316" w:type="pct"/>
                  <w:vAlign w:val="center"/>
                </w:tcPr>
                <w:p w14:paraId="7924387C">
                  <w:pPr>
                    <w:pStyle w:val="7"/>
                    <w:pageBreakBefore w:val="0"/>
                    <w:wordWrap w:val="0"/>
                    <w:topLinePunct w:val="0"/>
                    <w:bidi w:val="0"/>
                    <w:spacing w:line="240" w:lineRule="auto"/>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水环境优先保护区：饮用水水源一级保护区、二级保护区、准保护区</w:t>
                  </w:r>
                </w:p>
              </w:tc>
              <w:tc>
                <w:tcPr>
                  <w:tcW w:w="1919" w:type="pct"/>
                  <w:vAlign w:val="center"/>
                </w:tcPr>
                <w:p w14:paraId="05353FE7">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项目不在饮用水水源保护区内，不属于水环境优先保护区</w:t>
                  </w:r>
                </w:p>
              </w:tc>
              <w:tc>
                <w:tcPr>
                  <w:tcW w:w="335" w:type="pct"/>
                  <w:vAlign w:val="center"/>
                </w:tcPr>
                <w:p w14:paraId="653B09D2">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62DE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Merge w:val="continue"/>
                  <w:vAlign w:val="center"/>
                </w:tcPr>
                <w:p w14:paraId="5C3EB8E9">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p>
              </w:tc>
              <w:tc>
                <w:tcPr>
                  <w:tcW w:w="2316" w:type="pct"/>
                  <w:vAlign w:val="center"/>
                </w:tcPr>
                <w:p w14:paraId="7FBF9C5D">
                  <w:pPr>
                    <w:pStyle w:val="7"/>
                    <w:pageBreakBefore w:val="0"/>
                    <w:wordWrap w:val="0"/>
                    <w:topLinePunct w:val="0"/>
                    <w:bidi w:val="0"/>
                    <w:spacing w:line="240" w:lineRule="auto"/>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大气环境优先保护区（环境空气质量一类功能区）</w:t>
                  </w:r>
                </w:p>
              </w:tc>
              <w:tc>
                <w:tcPr>
                  <w:tcW w:w="1919" w:type="pct"/>
                  <w:vAlign w:val="center"/>
                </w:tcPr>
                <w:p w14:paraId="5923B3C7">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项目属于空气质量二类功能区，不属于大气环境优先保护区</w:t>
                  </w:r>
                </w:p>
              </w:tc>
              <w:tc>
                <w:tcPr>
                  <w:tcW w:w="335" w:type="pct"/>
                  <w:vAlign w:val="center"/>
                </w:tcPr>
                <w:p w14:paraId="7EB21B1F">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6E35F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Merge w:val="restart"/>
                  <w:vAlign w:val="center"/>
                </w:tcPr>
                <w:p w14:paraId="355ABD57">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重点管控单元</w:t>
                  </w:r>
                </w:p>
              </w:tc>
              <w:tc>
                <w:tcPr>
                  <w:tcW w:w="2316" w:type="pct"/>
                  <w:vAlign w:val="center"/>
                </w:tcPr>
                <w:p w14:paraId="53470A3A">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省级以上工业园区重点管控单元。依法开展园区规划环评，严格落实规划环评管理要求，开展环境质量跟踪监测，发布环境管理状况公告，制定并实施园区突发环境事件应急预案，定期开展环境安全隐患排查，提升风险防控及应急处置能力。周边1公里范围内涉及生态保护红线、自然保护地、饮用水水源地等生态环境敏感区域的园区，应优化产业布局，控制开发强度，优先引进无污染或轻污染的产业和项目，防止侵占生态空间。纳污水体水质超标的园区，应实施污水深度处理，新建、改建、扩建项目应实行重点污染物排放等量或减量替代。造纸、电镀、印染、鞣革等专业园区或基地应不断提升工艺水平，提高水回用率，逐步削减污染物排放总量；石化园区加快绿色智能升级改造，强化环保投入和管理，构建高效、清洁、低碳、循环的绿色制造体系。</w:t>
                  </w:r>
                </w:p>
              </w:tc>
              <w:tc>
                <w:tcPr>
                  <w:tcW w:w="1919" w:type="pct"/>
                  <w:vAlign w:val="center"/>
                </w:tcPr>
                <w:p w14:paraId="569D2DC4">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rPr>
                    <w:t>项目位于乐昌经济开发区重点管控单元（管控编码ZH44028120003），属于园区重点管控单元，项目主要</w:t>
                  </w:r>
                  <w:r>
                    <w:rPr>
                      <w:rFonts w:hint="default" w:ascii="Times New Roman" w:hAnsi="Times New Roman" w:cs="Times New Roman"/>
                      <w:color w:val="auto"/>
                      <w:sz w:val="21"/>
                      <w:szCs w:val="21"/>
                      <w:highlight w:val="none"/>
                      <w:lang w:eastAsia="zh-CN"/>
                    </w:rPr>
                    <w:t>是</w:t>
                  </w:r>
                  <w:r>
                    <w:rPr>
                      <w:rFonts w:hint="default" w:ascii="Times New Roman" w:hAnsi="Times New Roman" w:cs="Times New Roman"/>
                      <w:color w:val="auto"/>
                      <w:highlight w:val="none"/>
                      <w:lang w:val="en-US" w:eastAsia="zh-CN"/>
                    </w:rPr>
                    <w:t>塑料外壳件的生产</w:t>
                  </w:r>
                  <w:r>
                    <w:rPr>
                      <w:rFonts w:hint="default" w:ascii="Times New Roman" w:hAnsi="Times New Roman" w:cs="Times New Roman"/>
                      <w:color w:val="auto"/>
                      <w:sz w:val="21"/>
                      <w:szCs w:val="21"/>
                      <w:highlight w:val="none"/>
                    </w:rPr>
                    <w:t>，生产过程中产生</w:t>
                  </w:r>
                  <w:r>
                    <w:rPr>
                      <w:rFonts w:hint="default" w:ascii="Times New Roman" w:hAnsi="Times New Roman" w:cs="Times New Roman"/>
                      <w:color w:val="auto"/>
                      <w:sz w:val="21"/>
                      <w:szCs w:val="21"/>
                      <w:highlight w:val="none"/>
                      <w:lang w:eastAsia="zh-CN"/>
                    </w:rPr>
                    <w:t>有机废气</w:t>
                  </w:r>
                  <w:r>
                    <w:rPr>
                      <w:rFonts w:hint="default" w:ascii="Times New Roman" w:hAnsi="Times New Roman" w:cs="Times New Roman"/>
                      <w:color w:val="auto"/>
                      <w:sz w:val="21"/>
                      <w:szCs w:val="21"/>
                      <w:highlight w:val="none"/>
                      <w:lang w:val="en-US" w:eastAsia="zh-CN"/>
                    </w:rPr>
                    <w:t>机废气</w:t>
                  </w:r>
                  <w:r>
                    <w:rPr>
                      <w:rFonts w:hint="default" w:ascii="Times New Roman" w:hAnsi="Times New Roman" w:cs="Times New Roman"/>
                      <w:color w:val="auto"/>
                      <w:sz w:val="21"/>
                      <w:szCs w:val="21"/>
                      <w:highlight w:val="none"/>
                    </w:rPr>
                    <w:t>需分配大气污染物总量</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颗粒物无需分配大气污染物总</w:t>
                  </w:r>
                  <w:r>
                    <w:rPr>
                      <w:rFonts w:hint="default" w:ascii="Times New Roman" w:hAnsi="Times New Roman" w:cs="Times New Roman"/>
                      <w:color w:val="auto"/>
                      <w:sz w:val="21"/>
                      <w:szCs w:val="21"/>
                      <w:highlight w:val="none"/>
                    </w:rPr>
                    <w:t>量；生活污水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间接冷却废水排入</w:t>
                  </w:r>
                  <w:r>
                    <w:rPr>
                      <w:rFonts w:hint="default" w:ascii="Times New Roman" w:hAnsi="Times New Roman" w:cs="Times New Roman"/>
                      <w:color w:val="auto"/>
                      <w:sz w:val="21"/>
                      <w:szCs w:val="21"/>
                      <w:highlight w:val="none"/>
                    </w:rPr>
                    <w:t>园区污水处理厂处理，无需分配水污染物总量</w:t>
                  </w:r>
                </w:p>
              </w:tc>
              <w:tc>
                <w:tcPr>
                  <w:tcW w:w="335" w:type="pct"/>
                  <w:vAlign w:val="center"/>
                </w:tcPr>
                <w:p w14:paraId="7DDE7233">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2F761E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Merge w:val="continue"/>
                  <w:vAlign w:val="center"/>
                </w:tcPr>
                <w:p w14:paraId="5823FE55">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p>
              </w:tc>
              <w:tc>
                <w:tcPr>
                  <w:tcW w:w="2316" w:type="pct"/>
                  <w:vAlign w:val="center"/>
                </w:tcPr>
                <w:p w14:paraId="553B0F17">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水环境质量超标类重点管控单元。严格控制耗水量大、污染物排放强度高的行业发展，新建、改建、扩建项目实施重点水污染物减量替代。以城镇生活污染为主的单元，加快推进城镇生活污水有效收集处理，重点完善污水处理设施配套管网建设，加快实施雨污分流改造，推动提升污水处理设施进水水量和浓度，充分发挥污水处理设施治污效能。</w:t>
                  </w:r>
                </w:p>
              </w:tc>
              <w:tc>
                <w:tcPr>
                  <w:tcW w:w="1919" w:type="pct"/>
                  <w:vAlign w:val="center"/>
                </w:tcPr>
                <w:p w14:paraId="1E320B1E">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项目不属于耗水量大和污染物排放强度高的行业，</w:t>
                  </w:r>
                  <w:r>
                    <w:rPr>
                      <w:rFonts w:hint="default" w:ascii="Times New Roman" w:hAnsi="Times New Roman" w:cs="Times New Roman"/>
                      <w:color w:val="auto"/>
                      <w:sz w:val="21"/>
                      <w:szCs w:val="21"/>
                      <w:highlight w:val="none"/>
                    </w:rPr>
                    <w:t>生活污水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间接冷却废水排入</w:t>
                  </w:r>
                  <w:r>
                    <w:rPr>
                      <w:rFonts w:hint="default" w:ascii="Times New Roman" w:hAnsi="Times New Roman" w:cs="Times New Roman"/>
                      <w:color w:val="auto"/>
                      <w:sz w:val="21"/>
                      <w:szCs w:val="21"/>
                      <w:highlight w:val="none"/>
                    </w:rPr>
                    <w:t>园区污水处理厂处理</w:t>
                  </w:r>
                  <w:r>
                    <w:rPr>
                      <w:rFonts w:hint="default" w:ascii="Times New Roman" w:hAnsi="Times New Roman" w:cs="Times New Roman"/>
                      <w:color w:val="auto"/>
                      <w:highlight w:val="none"/>
                    </w:rPr>
                    <w:t>，不直接</w:t>
                  </w:r>
                  <w:r>
                    <w:rPr>
                      <w:rFonts w:hint="default" w:ascii="Times New Roman" w:hAnsi="Times New Roman" w:cs="Times New Roman"/>
                      <w:color w:val="auto"/>
                      <w:highlight w:val="none"/>
                      <w:lang w:val="en-US" w:eastAsia="zh-CN"/>
                    </w:rPr>
                    <w:t>排</w:t>
                  </w:r>
                  <w:r>
                    <w:rPr>
                      <w:rFonts w:hint="default" w:ascii="Times New Roman" w:hAnsi="Times New Roman" w:cs="Times New Roman"/>
                      <w:color w:val="auto"/>
                      <w:highlight w:val="none"/>
                    </w:rPr>
                    <w:t>入水体，对水环境影响不大</w:t>
                  </w:r>
                </w:p>
              </w:tc>
              <w:tc>
                <w:tcPr>
                  <w:tcW w:w="335" w:type="pct"/>
                  <w:vAlign w:val="center"/>
                </w:tcPr>
                <w:p w14:paraId="5622AC58">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72316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Merge w:val="continue"/>
                  <w:vAlign w:val="center"/>
                </w:tcPr>
                <w:p w14:paraId="01CD2DA3">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p>
              </w:tc>
              <w:tc>
                <w:tcPr>
                  <w:tcW w:w="2316" w:type="pct"/>
                  <w:vAlign w:val="center"/>
                </w:tcPr>
                <w:p w14:paraId="55564AD8">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受体敏感类重点管控单元。严格限制新建钢铁、燃煤燃油火电、石化、储油库等项目，产生和排放有毒有害大气污染物项目，以及使用溶剂型油墨、涂料、清洗剂、胶黏剂等高挥发性有机物原辅材料的项目；鼓励现有该类项目逐步搬迁退出</w:t>
                  </w:r>
                </w:p>
              </w:tc>
              <w:tc>
                <w:tcPr>
                  <w:tcW w:w="1919" w:type="pct"/>
                  <w:vAlign w:val="center"/>
                </w:tcPr>
                <w:p w14:paraId="7BC66EF2">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项目不属于产排有毒有害大气污染物的项目</w:t>
                  </w:r>
                </w:p>
              </w:tc>
              <w:tc>
                <w:tcPr>
                  <w:tcW w:w="335" w:type="pct"/>
                  <w:vAlign w:val="center"/>
                </w:tcPr>
                <w:p w14:paraId="506150AE">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14:paraId="2D093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429" w:type="pct"/>
                  <w:vAlign w:val="center"/>
                </w:tcPr>
                <w:p w14:paraId="69F55D36">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一般管控单元</w:t>
                  </w:r>
                </w:p>
              </w:tc>
              <w:tc>
                <w:tcPr>
                  <w:tcW w:w="2316" w:type="pct"/>
                  <w:vAlign w:val="center"/>
                </w:tcPr>
                <w:p w14:paraId="0B53450D">
                  <w:pPr>
                    <w:pStyle w:val="7"/>
                    <w:pageBreakBefore w:val="0"/>
                    <w:wordWrap w:val="0"/>
                    <w:topLinePunct w:val="0"/>
                    <w:bidi w:val="0"/>
                    <w:spacing w:line="240" w:lineRule="auto"/>
                    <w:ind w:firstLine="48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执行区域生态环境保护的基本要求。根据资源环境承载能力，引导产业科学布局，合理控制开发强度，维护生态环境功能稳定</w:t>
                  </w:r>
                </w:p>
              </w:tc>
              <w:tc>
                <w:tcPr>
                  <w:tcW w:w="1919" w:type="pct"/>
                  <w:vAlign w:val="center"/>
                </w:tcPr>
                <w:p w14:paraId="506E208B">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项目执行区域生态环境保护的基本要求</w:t>
                  </w:r>
                </w:p>
              </w:tc>
              <w:tc>
                <w:tcPr>
                  <w:tcW w:w="335" w:type="pct"/>
                  <w:vAlign w:val="center"/>
                </w:tcPr>
                <w:p w14:paraId="3EFA58D8">
                  <w:pPr>
                    <w:pStyle w:val="7"/>
                    <w:pageBreakBefore w:val="0"/>
                    <w:wordWrap w:val="0"/>
                    <w:topLinePunct w:val="0"/>
                    <w:bidi w:val="0"/>
                    <w:spacing w:line="240" w:lineRule="auto"/>
                    <w:ind w:firstLine="0" w:firstLineChars="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14:paraId="6A26D5E9">
            <w:pPr>
              <w:pStyle w:val="7"/>
              <w:pageBreakBefore w:val="0"/>
              <w:wordWrap w:val="0"/>
              <w:topLinePunct w:val="0"/>
              <w:bidi w:val="0"/>
              <w:spacing w:line="348" w:lineRule="auto"/>
              <w:ind w:right="86" w:rightChars="36"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综上所述，项目符合《广东省人民政府关于印发广东省“三线一单”生态环境分区管控方案的通知（粤府〔2020〕71号）》的相关要求。</w:t>
            </w:r>
          </w:p>
          <w:p w14:paraId="51794363">
            <w:pPr>
              <w:pStyle w:val="7"/>
              <w:pageBreakBefore w:val="0"/>
              <w:wordWrap w:val="0"/>
              <w:topLinePunct w:val="0"/>
              <w:bidi w:val="0"/>
              <w:spacing w:line="348" w:lineRule="auto"/>
              <w:ind w:right="86" w:rightChars="36" w:firstLineChars="200"/>
              <w:jc w:val="left"/>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②项目与韶关市人民政府关于印发《韶关市“三线一单”生态环境分区管控方案的通知》的通知（韶府〔2021〕10号）</w:t>
            </w:r>
            <w:r>
              <w:rPr>
                <w:rFonts w:hint="default" w:ascii="Times New Roman" w:hAnsi="Times New Roman" w:cs="Times New Roman"/>
                <w:b/>
                <w:bCs/>
                <w:color w:val="auto"/>
                <w:sz w:val="24"/>
                <w:szCs w:val="24"/>
                <w:highlight w:val="none"/>
                <w:lang w:val="en-US" w:eastAsia="zh-CN"/>
              </w:rPr>
              <w:t>及《韶关市生态环境分区管控动态更新成果》（2024年8月5日公布）</w:t>
            </w:r>
            <w:r>
              <w:rPr>
                <w:rFonts w:hint="default" w:ascii="Times New Roman" w:hAnsi="Times New Roman" w:cs="Times New Roman"/>
                <w:b/>
                <w:bCs/>
                <w:color w:val="auto"/>
                <w:sz w:val="24"/>
                <w:szCs w:val="24"/>
                <w:highlight w:val="none"/>
              </w:rPr>
              <w:t>的相符性分析</w:t>
            </w:r>
          </w:p>
          <w:p w14:paraId="6BB5CE16">
            <w:pPr>
              <w:pStyle w:val="7"/>
              <w:keepNext w:val="0"/>
              <w:keepLines w:val="0"/>
              <w:pageBreakBefore w:val="0"/>
              <w:widowControl w:val="0"/>
              <w:kinsoku/>
              <w:wordWrap w:val="0"/>
              <w:overflowPunct/>
              <w:topLinePunct w:val="0"/>
              <w:autoSpaceDE/>
              <w:autoSpaceDN/>
              <w:bidi w:val="0"/>
              <w:adjustRightInd/>
              <w:snapToGrid/>
              <w:spacing w:line="360" w:lineRule="auto"/>
              <w:ind w:right="86" w:rightChars="36" w:firstLine="420"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表1-</w:t>
            </w:r>
            <w:r>
              <w:rPr>
                <w:rFonts w:hint="default" w:ascii="Times New Roman" w:hAnsi="Times New Roman" w:cs="Times New Roman"/>
                <w:b/>
                <w:bCs/>
                <w:color w:val="auto"/>
                <w:sz w:val="21"/>
                <w:szCs w:val="21"/>
                <w:highlight w:val="none"/>
                <w:lang w:val="en-US" w:eastAsia="zh-CN"/>
              </w:rPr>
              <w:t>3政策</w:t>
            </w:r>
            <w:r>
              <w:rPr>
                <w:rFonts w:hint="default" w:ascii="Times New Roman" w:hAnsi="Times New Roman" w:cs="Times New Roman"/>
                <w:b/>
                <w:bCs/>
                <w:color w:val="auto"/>
                <w:sz w:val="21"/>
                <w:szCs w:val="21"/>
                <w:highlight w:val="none"/>
              </w:rPr>
              <w:t>相符性分析一览表</w:t>
            </w:r>
          </w:p>
          <w:tbl>
            <w:tblPr>
              <w:tblStyle w:val="39"/>
              <w:tblW w:w="4998" w:type="pct"/>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25"/>
              <w:gridCol w:w="889"/>
              <w:gridCol w:w="3780"/>
              <w:gridCol w:w="2439"/>
              <w:gridCol w:w="410"/>
            </w:tblGrid>
            <w:tr w14:paraId="08E15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774" w:type="pct"/>
                  <w:gridSpan w:val="2"/>
                  <w:tcBorders>
                    <w:tl2br w:val="nil"/>
                    <w:tr2bl w:val="nil"/>
                  </w:tcBorders>
                  <w:vAlign w:val="center"/>
                </w:tcPr>
                <w:p w14:paraId="0384E888">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内容</w:t>
                  </w:r>
                </w:p>
              </w:tc>
              <w:tc>
                <w:tcPr>
                  <w:tcW w:w="2409" w:type="pct"/>
                  <w:tcBorders>
                    <w:tl2br w:val="nil"/>
                    <w:tr2bl w:val="nil"/>
                  </w:tcBorders>
                  <w:vAlign w:val="center"/>
                </w:tcPr>
                <w:p w14:paraId="6B21B583">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要求</w:t>
                  </w:r>
                </w:p>
              </w:tc>
              <w:tc>
                <w:tcPr>
                  <w:tcW w:w="1554" w:type="pct"/>
                  <w:tcBorders>
                    <w:tl2br w:val="nil"/>
                    <w:tr2bl w:val="nil"/>
                  </w:tcBorders>
                  <w:vAlign w:val="center"/>
                </w:tcPr>
                <w:p w14:paraId="75C8856A">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相符性分析</w:t>
                  </w:r>
                </w:p>
              </w:tc>
              <w:tc>
                <w:tcPr>
                  <w:tcW w:w="261" w:type="pct"/>
                  <w:tcBorders>
                    <w:tl2br w:val="nil"/>
                    <w:tr2bl w:val="nil"/>
                  </w:tcBorders>
                  <w:vAlign w:val="center"/>
                </w:tcPr>
                <w:p w14:paraId="11FBBE81">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结论</w:t>
                  </w:r>
                </w:p>
              </w:tc>
            </w:tr>
            <w:tr w14:paraId="15F76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restart"/>
                  <w:tcBorders>
                    <w:tl2br w:val="nil"/>
                    <w:tr2bl w:val="nil"/>
                  </w:tcBorders>
                  <w:vAlign w:val="center"/>
                </w:tcPr>
                <w:p w14:paraId="1B32FDD1">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全市总体管控</w:t>
                  </w:r>
                </w:p>
              </w:tc>
              <w:tc>
                <w:tcPr>
                  <w:tcW w:w="567" w:type="pct"/>
                  <w:tcBorders>
                    <w:tl2br w:val="nil"/>
                    <w:tr2bl w:val="nil"/>
                  </w:tcBorders>
                  <w:vAlign w:val="center"/>
                </w:tcPr>
                <w:p w14:paraId="532B525A">
                  <w:pPr>
                    <w:pStyle w:val="7"/>
                    <w:pageBreakBefore w:val="0"/>
                    <w:widowControl/>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kern w:val="0"/>
                      <w:sz w:val="21"/>
                      <w:szCs w:val="21"/>
                      <w:highlight w:val="none"/>
                      <w:lang w:bidi="ar"/>
                    </w:rPr>
                    <w:t>区域布局管控</w:t>
                  </w:r>
                </w:p>
              </w:tc>
              <w:tc>
                <w:tcPr>
                  <w:tcW w:w="2409" w:type="pct"/>
                  <w:tcBorders>
                    <w:tl2br w:val="nil"/>
                    <w:tr2bl w:val="nil"/>
                  </w:tcBorders>
                  <w:vAlign w:val="center"/>
                </w:tcPr>
                <w:p w14:paraId="7D4CB938">
                  <w:pPr>
                    <w:pStyle w:val="7"/>
                    <w:pageBreakBefore w:val="0"/>
                    <w:wordWrap w:val="0"/>
                    <w:topLinePunct w:val="0"/>
                    <w:bidi w:val="0"/>
                    <w:spacing w:line="240" w:lineRule="auto"/>
                    <w:ind w:firstLine="48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生态保护红线及一般生态空间。全市陆域生态保护红线面积5827.58平方千米，占全市陆域国土面积的31.65%；一般生态空间面积4951.43平方千米。</w:t>
                  </w:r>
                </w:p>
                <w:p w14:paraId="56A7EB1A">
                  <w:pPr>
                    <w:pStyle w:val="7"/>
                    <w:pageBreakBefore w:val="0"/>
                    <w:wordWrap w:val="0"/>
                    <w:topLinePunct w:val="0"/>
                    <w:bidi w:val="0"/>
                    <w:spacing w:line="240" w:lineRule="auto"/>
                    <w:ind w:firstLine="480"/>
                    <w:jc w:val="left"/>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保护红线内自然保护地核心保护区外，禁止开发性、生产性建设活动，在符合法律法规的前提下，仅允许对生态功能不造成破坏的有限人为活动；生态保护红线内自然保护区、风景名胜区、饮用水水源保护区等区域，依照法律法规执行。上述允许的有限人为活动之外，确需占用生态保护红线的国家重大项目，按照有关规定办理用地审批。</w:t>
                  </w:r>
                </w:p>
                <w:p w14:paraId="34AD9966">
                  <w:pPr>
                    <w:pStyle w:val="7"/>
                    <w:pageBreakBefore w:val="0"/>
                    <w:wordWrap w:val="0"/>
                    <w:topLinePunct w:val="0"/>
                    <w:bidi w:val="0"/>
                    <w:spacing w:line="240" w:lineRule="auto"/>
                    <w:ind w:firstLine="480"/>
                    <w:jc w:val="left"/>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严格控制涉重金属和高污染高能耗项目建设。新建、扩建石化、化工、焦化、有色金属冶炼、平板玻璃项目应布设在依法合规设立并经规划环评的产业园区。严格控制水污染严重地区和水源保护敏感区域高耗水、高污染行业发展。新丰县东南部（丰城街道、梅坑镇、黄礤镇、马头镇）严控水污染项目建设，新建、改建、扩建涉水建设项目实行主要污染物和特征污染物排放减量替代。环境空气质量一类功能区实施严格保护，禁止新建、扩建排放大气污染物的工业项目（国家和省规定不纳入环评管理的项目除外）。逐步扩大高污染燃料禁燃区范围。</w:t>
                  </w:r>
                </w:p>
              </w:tc>
              <w:tc>
                <w:tcPr>
                  <w:tcW w:w="1554" w:type="pct"/>
                  <w:tcBorders>
                    <w:tl2br w:val="nil"/>
                    <w:tr2bl w:val="nil"/>
                  </w:tcBorders>
                  <w:vAlign w:val="center"/>
                </w:tcPr>
                <w:p w14:paraId="1831ADD6">
                  <w:pPr>
                    <w:pStyle w:val="7"/>
                    <w:pageBreakBefore w:val="0"/>
                    <w:wordWrap w:val="0"/>
                    <w:topLinePunct w:val="0"/>
                    <w:bidi w:val="0"/>
                    <w:spacing w:line="240" w:lineRule="auto"/>
                    <w:ind w:firstLine="480"/>
                    <w:jc w:val="both"/>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本项目为项目主要</w:t>
                  </w:r>
                  <w:r>
                    <w:rPr>
                      <w:rFonts w:hint="default" w:ascii="Times New Roman" w:hAnsi="Times New Roman" w:cs="Times New Roman"/>
                      <w:color w:val="auto"/>
                      <w:sz w:val="21"/>
                      <w:szCs w:val="21"/>
                      <w:highlight w:val="none"/>
                      <w:lang w:eastAsia="zh-CN"/>
                    </w:rPr>
                    <w:t>是</w:t>
                  </w:r>
                  <w:r>
                    <w:rPr>
                      <w:rFonts w:hint="default" w:ascii="Times New Roman" w:hAnsi="Times New Roman" w:cs="Times New Roman"/>
                      <w:color w:val="auto"/>
                      <w:sz w:val="21"/>
                      <w:szCs w:val="21"/>
                      <w:highlight w:val="none"/>
                      <w:lang w:val="en-US" w:eastAsia="zh-CN"/>
                    </w:rPr>
                    <w:t>塑料外壳件的生产</w:t>
                  </w:r>
                  <w:r>
                    <w:rPr>
                      <w:rFonts w:hint="default" w:ascii="Times New Roman" w:hAnsi="Times New Roman" w:cs="Times New Roman"/>
                      <w:color w:val="auto"/>
                      <w:sz w:val="21"/>
                      <w:szCs w:val="21"/>
                      <w:highlight w:val="none"/>
                    </w:rPr>
                    <w:t>，不涉重金属，不属于高污染高耗能行业，项目位于乐昌产业转移工业园，</w:t>
                  </w:r>
                  <w:r>
                    <w:rPr>
                      <w:rFonts w:hint="default" w:ascii="Times New Roman" w:hAnsi="Times New Roman" w:cs="Times New Roman"/>
                      <w:color w:val="auto"/>
                      <w:sz w:val="21"/>
                      <w:szCs w:val="21"/>
                      <w:highlight w:val="none"/>
                      <w:lang w:val="en-US" w:eastAsia="zh-CN"/>
                    </w:rPr>
                    <w:t>不占用</w:t>
                  </w:r>
                  <w:r>
                    <w:rPr>
                      <w:rFonts w:hint="default" w:ascii="Times New Roman" w:hAnsi="Times New Roman" w:cs="Times New Roman"/>
                      <w:color w:val="auto"/>
                      <w:szCs w:val="21"/>
                      <w:highlight w:val="none"/>
                    </w:rPr>
                    <w:t>生态保护红线</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与最近</w:t>
                  </w:r>
                  <w:r>
                    <w:rPr>
                      <w:rFonts w:hint="default" w:ascii="Times New Roman" w:hAnsi="Times New Roman" w:cs="Times New Roman"/>
                      <w:color w:val="auto"/>
                      <w:highlight w:val="none"/>
                      <w:lang w:val="en-US" w:eastAsia="zh-CN"/>
                    </w:rPr>
                    <w:t>饮</w:t>
                  </w:r>
                  <w:r>
                    <w:rPr>
                      <w:rFonts w:hint="default" w:ascii="Times New Roman" w:hAnsi="Times New Roman" w:cs="Times New Roman"/>
                      <w:color w:val="auto"/>
                      <w:szCs w:val="21"/>
                      <w:highlight w:val="none"/>
                      <w:lang w:val="en-US" w:eastAsia="zh-CN"/>
                    </w:rPr>
                    <w:t>用水水源保护区：韶关市区武江饮用水水源地准保护区距离约为5067m，</w:t>
                  </w:r>
                  <w:r>
                    <w:rPr>
                      <w:rFonts w:hint="default" w:ascii="Times New Roman" w:hAnsi="Times New Roman" w:cs="Times New Roman"/>
                      <w:color w:val="auto"/>
                      <w:sz w:val="21"/>
                      <w:szCs w:val="21"/>
                      <w:highlight w:val="none"/>
                    </w:rPr>
                    <w:t>园区已开展规划环境评价，项目符合园区准入条件。项目所在地属于环境功能二类区、水环境质量达标区</w:t>
                  </w:r>
                  <w:r>
                    <w:rPr>
                      <w:rFonts w:hint="default" w:ascii="Times New Roman" w:hAnsi="Times New Roman" w:cs="Times New Roman"/>
                      <w:color w:val="auto"/>
                      <w:sz w:val="21"/>
                      <w:szCs w:val="21"/>
                      <w:highlight w:val="none"/>
                      <w:lang w:eastAsia="zh-CN"/>
                    </w:rPr>
                    <w:t>。</w:t>
                  </w:r>
                </w:p>
              </w:tc>
              <w:tc>
                <w:tcPr>
                  <w:tcW w:w="261" w:type="pct"/>
                  <w:tcBorders>
                    <w:tl2br w:val="nil"/>
                    <w:tr2bl w:val="nil"/>
                  </w:tcBorders>
                  <w:vAlign w:val="center"/>
                </w:tcPr>
                <w:p w14:paraId="48171506">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42C66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continue"/>
                  <w:tcBorders>
                    <w:tl2br w:val="nil"/>
                    <w:tr2bl w:val="nil"/>
                  </w:tcBorders>
                  <w:vAlign w:val="center"/>
                </w:tcPr>
                <w:p w14:paraId="37B246A2">
                  <w:pPr>
                    <w:pStyle w:val="7"/>
                    <w:pageBreakBefore w:val="0"/>
                    <w:wordWrap w:val="0"/>
                    <w:topLinePunct w:val="0"/>
                    <w:bidi w:val="0"/>
                    <w:spacing w:line="240" w:lineRule="auto"/>
                    <w:ind w:firstLine="480"/>
                    <w:jc w:val="center"/>
                    <w:rPr>
                      <w:rFonts w:hint="default" w:ascii="Times New Roman" w:hAnsi="Times New Roman" w:cs="Times New Roman"/>
                      <w:b/>
                      <w:bCs/>
                      <w:color w:val="auto"/>
                      <w:sz w:val="21"/>
                      <w:szCs w:val="21"/>
                      <w:highlight w:val="none"/>
                    </w:rPr>
                  </w:pPr>
                </w:p>
              </w:tc>
              <w:tc>
                <w:tcPr>
                  <w:tcW w:w="567" w:type="pct"/>
                  <w:tcBorders>
                    <w:tl2br w:val="nil"/>
                    <w:tr2bl w:val="nil"/>
                  </w:tcBorders>
                  <w:vAlign w:val="center"/>
                </w:tcPr>
                <w:p w14:paraId="3A7F3418">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409" w:type="pct"/>
                  <w:tcBorders>
                    <w:tl2br w:val="nil"/>
                    <w:tr2bl w:val="nil"/>
                  </w:tcBorders>
                  <w:vAlign w:val="center"/>
                </w:tcPr>
                <w:p w14:paraId="0B231ABC">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积极落实国家、省制定的碳达峰碳中和目标任务，制定并落实碳达峰与碳减排工作计划、行动方案，综合运用相关政策工具和手段措施，持续推动实施。进一步优化调整能源结构，发展以光伏全产业链为龙头的风光氢等多元化可再生清洁能源产业，提高可再生能源发电装机占比，推动电力源网荷储一体化和多能互补。实行能源消费强度与消费总量“双控”制度。抓好电力、建材、冶炼等重点耗能行业的节能降耗工作，推动单位GDP能源消耗、单位GDP二氧化碳排放持续下降。鼓励使用天然气及可再生能源，县级及以上城市建成区，禁止新建每小时35蒸吨以下燃煤锅炉。原则上不再新建小水电以及除国家和省规划外的风电项目，对不符合生态环境要求的小水电进行清理整改。严格落实东江、北江流域等重要控制断面生态流量保障目标。加强城市节水，提高水资源的利用效率和效益。严格矿产资源开发准入管理，从严控制矿产资源开发总量和综合利用标准。加强矿产资源规划管理，提高矿产资源开发利用效率，推动矿产资源开发合理布局和节约集约利用。推进大宝山、凡口矿等矿山企业转型升级，打造国家级绿色矿山。全市矿山企业在2025年前全部达到绿色矿山标准。</w:t>
                  </w:r>
                </w:p>
              </w:tc>
              <w:tc>
                <w:tcPr>
                  <w:tcW w:w="1554" w:type="pct"/>
                  <w:tcBorders>
                    <w:tl2br w:val="nil"/>
                    <w:tr2bl w:val="nil"/>
                  </w:tcBorders>
                  <w:vAlign w:val="center"/>
                </w:tcPr>
                <w:p w14:paraId="65079D79">
                  <w:pPr>
                    <w:pStyle w:val="7"/>
                    <w:pageBreakBefore w:val="0"/>
                    <w:wordWrap w:val="0"/>
                    <w:topLinePunct w:val="0"/>
                    <w:bidi w:val="0"/>
                    <w:spacing w:line="240" w:lineRule="auto"/>
                    <w:ind w:firstLine="48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w:t>
                  </w:r>
                  <w:r>
                    <w:rPr>
                      <w:rFonts w:hint="default" w:ascii="Times New Roman" w:hAnsi="Times New Roman" w:cs="Times New Roman"/>
                      <w:color w:val="auto"/>
                      <w:sz w:val="21"/>
                      <w:szCs w:val="21"/>
                      <w:highlight w:val="none"/>
                      <w:lang w:eastAsia="zh-CN"/>
                    </w:rPr>
                    <w:t>是</w:t>
                  </w:r>
                  <w:r>
                    <w:rPr>
                      <w:rFonts w:hint="default" w:ascii="Times New Roman" w:hAnsi="Times New Roman" w:cs="Times New Roman"/>
                      <w:color w:val="auto"/>
                      <w:sz w:val="21"/>
                      <w:szCs w:val="21"/>
                      <w:highlight w:val="none"/>
                      <w:lang w:val="en-US" w:eastAsia="zh-CN"/>
                    </w:rPr>
                    <w:t>塑料外壳件的生产</w:t>
                  </w:r>
                  <w:r>
                    <w:rPr>
                      <w:rFonts w:hint="default" w:ascii="Times New Roman" w:hAnsi="Times New Roman" w:cs="Times New Roman"/>
                      <w:color w:val="auto"/>
                      <w:sz w:val="21"/>
                      <w:szCs w:val="21"/>
                      <w:highlight w:val="none"/>
                    </w:rPr>
                    <w:t>，不属于电力、建材、冶炼等重点耗能行业，不涉及水电、风电、矿产资源开发。项目能源使用</w:t>
                  </w:r>
                  <w:r>
                    <w:rPr>
                      <w:rFonts w:hint="default" w:ascii="Times New Roman" w:hAnsi="Times New Roman" w:cs="Times New Roman"/>
                      <w:color w:val="auto"/>
                      <w:sz w:val="21"/>
                      <w:szCs w:val="21"/>
                      <w:highlight w:val="none"/>
                      <w:lang w:val="en-US" w:eastAsia="zh-CN"/>
                    </w:rPr>
                    <w:t>电源</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电源</w:t>
                  </w:r>
                  <w:r>
                    <w:rPr>
                      <w:rFonts w:hint="default" w:ascii="Times New Roman" w:hAnsi="Times New Roman" w:cs="Times New Roman"/>
                      <w:color w:val="auto"/>
                      <w:sz w:val="21"/>
                      <w:szCs w:val="21"/>
                      <w:highlight w:val="none"/>
                    </w:rPr>
                    <w:t>属于清洁能源。</w:t>
                  </w:r>
                </w:p>
              </w:tc>
              <w:tc>
                <w:tcPr>
                  <w:tcW w:w="261" w:type="pct"/>
                  <w:tcBorders>
                    <w:tl2br w:val="nil"/>
                    <w:tr2bl w:val="nil"/>
                  </w:tcBorders>
                  <w:vAlign w:val="center"/>
                </w:tcPr>
                <w:p w14:paraId="267ECD6A">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17CC2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continue"/>
                  <w:tcBorders>
                    <w:tl2br w:val="nil"/>
                    <w:tr2bl w:val="nil"/>
                  </w:tcBorders>
                  <w:vAlign w:val="center"/>
                </w:tcPr>
                <w:p w14:paraId="2E378C2C">
                  <w:pPr>
                    <w:pStyle w:val="7"/>
                    <w:pageBreakBefore w:val="0"/>
                    <w:wordWrap w:val="0"/>
                    <w:topLinePunct w:val="0"/>
                    <w:bidi w:val="0"/>
                    <w:spacing w:line="240" w:lineRule="auto"/>
                    <w:ind w:firstLine="480"/>
                    <w:jc w:val="center"/>
                    <w:rPr>
                      <w:rFonts w:hint="default" w:ascii="Times New Roman" w:hAnsi="Times New Roman" w:cs="Times New Roman"/>
                      <w:b/>
                      <w:bCs/>
                      <w:color w:val="auto"/>
                      <w:sz w:val="21"/>
                      <w:szCs w:val="21"/>
                      <w:highlight w:val="none"/>
                    </w:rPr>
                  </w:pPr>
                </w:p>
              </w:tc>
              <w:tc>
                <w:tcPr>
                  <w:tcW w:w="567" w:type="pct"/>
                  <w:tcBorders>
                    <w:tl2br w:val="nil"/>
                    <w:tr2bl w:val="nil"/>
                  </w:tcBorders>
                  <w:vAlign w:val="center"/>
                </w:tcPr>
                <w:p w14:paraId="0A480670">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污染物排放管控</w:t>
                  </w:r>
                </w:p>
              </w:tc>
              <w:tc>
                <w:tcPr>
                  <w:tcW w:w="2409" w:type="pct"/>
                  <w:tcBorders>
                    <w:tl2br w:val="nil"/>
                    <w:tr2bl w:val="nil"/>
                  </w:tcBorders>
                  <w:vAlign w:val="center"/>
                </w:tcPr>
                <w:p w14:paraId="465F52F9">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深入实施重点污染物总量控制。“十四五”期间重点污染物排放总量在现有基础上持续减少。优化总量分配和调控机制，重点污染物排放总量指标优先向重点建设项目、重点工业园区、战略性产业集群倾斜。新建“两高”项目应配套区域主要污染物削减方案，采取有效的主要污染物区域削减措施，腾出足够的环境容量。新建项目原则上实施氮氧化物（NOx）和挥发性有机物（VOCs）等量替代，推动钢铁行业执行大气污染物超低排放标准。新建、改建、扩建造纸、焦化、有色金属、印染、农副食品加工、原料药制造、制革、农药、电镀等行业建设项目实行主要水体污染物排放等量替代。实施低挥发性有机物（VOCs）含量产品源头替代工程。全面加强无组织排放控制，深入实施精细化治理。推进溶剂使用及挥发性有机液体储运销环节的减排，全过程实施反应活性物质、有毒有害物质、恶臭物质的协同控制。对VOCs重点企业实施分级和清单化管控，将全面使用低VOCs含量原辅材料的企业纳入正面清单和政府绿色采购清单。</w:t>
                  </w:r>
                </w:p>
                <w:p w14:paraId="18DA8318">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北江流域实行重金属污染物排放总量控制。新建、改建、扩建的项目严格实行重金属等特征污染物排放减量替代。加强“三矿两厂”等日常监督，在重点防控区域内新建、改建、扩建增加重金属污染物排放总量的建设项目应通过实施区域削减，实现增产减污。凡口铅锌矿及其周边区域（仁化县董塘镇）、大宝山矿及其周边区域（曲江区沙溪镇、翁源县铁龙镇）严格执行部分重金属水污染物特别排放限值的相关规定。</w:t>
                  </w:r>
                </w:p>
                <w:p w14:paraId="6E0381E4">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饮用水水源保护区全面加强水源涵养，强化源头控制，禁止新建排污口，严格防范水源污染风险，切实保障饮用水安全，一级保护区内禁止新建、改建、扩建与供水设施和保护水源无关的建设项目：二级保护区内禁止新建、改建、扩建排放污染物的建设项目。饮用水水源准保护区内禁止新建、扩建对水体污染严重的建设项目。</w:t>
                  </w:r>
                </w:p>
                <w:p w14:paraId="72E5A3A6">
                  <w:pPr>
                    <w:pStyle w:val="7"/>
                    <w:pageBreakBefore w:val="0"/>
                    <w:wordWrap w:val="0"/>
                    <w:topLinePunct w:val="0"/>
                    <w:bidi w:val="0"/>
                    <w:spacing w:line="240" w:lineRule="auto"/>
                    <w:ind w:firstLine="480"/>
                    <w:jc w:val="left"/>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完善污水处理厂配套管网建设，切实提高运行负荷。强化城中村、老旧城区和城乡结合部污水截流、收集。现有合流制排水系统应加快实施雨污分流改造，加快镇级生活污水处理设施及配套管网建设，因地制宜建设农村生活污水处理设施。加强农业面源污染治理，实施种植业“肥药双控”；严格禁养区管理，加强养殖污染防治，加强畜禽养殖废弃物资源化利用。</w:t>
                  </w:r>
                </w:p>
              </w:tc>
              <w:tc>
                <w:tcPr>
                  <w:tcW w:w="1554" w:type="pct"/>
                  <w:tcBorders>
                    <w:tl2br w:val="nil"/>
                    <w:tr2bl w:val="nil"/>
                  </w:tcBorders>
                  <w:vAlign w:val="center"/>
                </w:tcPr>
                <w:p w14:paraId="07969C34">
                  <w:pPr>
                    <w:pStyle w:val="7"/>
                    <w:pageBreakBefore w:val="0"/>
                    <w:wordWrap w:val="0"/>
                    <w:topLinePunct w:val="0"/>
                    <w:bidi w:val="0"/>
                    <w:spacing w:line="240" w:lineRule="auto"/>
                    <w:ind w:firstLine="48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w:t>
                  </w:r>
                  <w:r>
                    <w:rPr>
                      <w:rFonts w:hint="default" w:ascii="Times New Roman" w:hAnsi="Times New Roman" w:cs="Times New Roman"/>
                      <w:color w:val="auto"/>
                      <w:sz w:val="21"/>
                      <w:szCs w:val="21"/>
                      <w:highlight w:val="none"/>
                      <w:lang w:eastAsia="zh-CN"/>
                    </w:rPr>
                    <w:t>是</w:t>
                  </w:r>
                  <w:r>
                    <w:rPr>
                      <w:rFonts w:hint="default" w:ascii="Times New Roman" w:hAnsi="Times New Roman" w:cs="Times New Roman"/>
                      <w:color w:val="auto"/>
                      <w:sz w:val="21"/>
                      <w:szCs w:val="21"/>
                      <w:highlight w:val="none"/>
                      <w:lang w:val="en-US" w:eastAsia="zh-CN"/>
                    </w:rPr>
                    <w:t>塑料外壳件的生产</w:t>
                  </w:r>
                  <w:r>
                    <w:rPr>
                      <w:rFonts w:hint="default" w:ascii="Times New Roman" w:hAnsi="Times New Roman" w:cs="Times New Roman"/>
                      <w:color w:val="auto"/>
                      <w:sz w:val="21"/>
                      <w:szCs w:val="21"/>
                      <w:highlight w:val="none"/>
                    </w:rPr>
                    <w:t>，不属于造纸、焦化、有色金属、印染、农副食品加工、原料药制造、制革、农药、电镀等行业，不属于“两高”项目。</w:t>
                  </w:r>
                  <w:r>
                    <w:rPr>
                      <w:rFonts w:hint="default" w:ascii="Times New Roman" w:hAnsi="Times New Roman" w:cs="Times New Roman"/>
                      <w:color w:val="auto"/>
                      <w:sz w:val="21"/>
                      <w:szCs w:val="21"/>
                      <w:highlight w:val="none"/>
                      <w:lang w:val="en-US" w:eastAsia="zh-CN"/>
                    </w:rPr>
                    <w:t>项目产生的废气为颗粒物、有机废气</w:t>
                  </w:r>
                  <w:r>
                    <w:rPr>
                      <w:rFonts w:hint="default" w:ascii="Times New Roman" w:hAnsi="Times New Roman" w:cs="Times New Roman"/>
                      <w:color w:val="auto"/>
                      <w:sz w:val="21"/>
                      <w:szCs w:val="21"/>
                      <w:highlight w:val="none"/>
                    </w:rPr>
                    <w:t>。项目所在地不涉及饮用水水源保护区，生活污水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间接冷却废水排入</w:t>
                  </w:r>
                  <w:r>
                    <w:rPr>
                      <w:rFonts w:hint="default" w:ascii="Times New Roman" w:hAnsi="Times New Roman" w:cs="Times New Roman"/>
                      <w:color w:val="auto"/>
                      <w:sz w:val="21"/>
                      <w:szCs w:val="21"/>
                      <w:highlight w:val="none"/>
                    </w:rPr>
                    <w:t>园区污水处理厂处理，园区污水处理厂执行《城镇污水处理厂污染物排放标准》</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GB18918-2002</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中一级</w:t>
                  </w:r>
                  <w:r>
                    <w:rPr>
                      <w:rFonts w:hint="default" w:ascii="Times New Roman" w:hAnsi="Times New Roman" w:cs="Times New Roman"/>
                      <w:color w:val="auto"/>
                      <w:sz w:val="21"/>
                      <w:szCs w:val="21"/>
                      <w:highlight w:val="none"/>
                      <w:lang w:val="en-US" w:eastAsia="zh-CN"/>
                    </w:rPr>
                    <w:t>A</w:t>
                  </w:r>
                  <w:r>
                    <w:rPr>
                      <w:rFonts w:hint="default" w:ascii="Times New Roman" w:hAnsi="Times New Roman" w:cs="Times New Roman"/>
                      <w:color w:val="auto"/>
                      <w:sz w:val="21"/>
                      <w:szCs w:val="21"/>
                      <w:highlight w:val="none"/>
                    </w:rPr>
                    <w:t>标准和广东省《水污染物排放限值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（DB44/26-2001）中的第二时段一级排放标准中严者。</w:t>
                  </w:r>
                </w:p>
              </w:tc>
              <w:tc>
                <w:tcPr>
                  <w:tcW w:w="261" w:type="pct"/>
                  <w:tcBorders>
                    <w:tl2br w:val="nil"/>
                    <w:tr2bl w:val="nil"/>
                  </w:tcBorders>
                  <w:vAlign w:val="center"/>
                </w:tcPr>
                <w:p w14:paraId="6EC560A3">
                  <w:pPr>
                    <w:pStyle w:val="7"/>
                    <w:pageBreakBefore w:val="0"/>
                    <w:wordWrap w:val="0"/>
                    <w:topLinePunct w:val="0"/>
                    <w:bidi w:val="0"/>
                    <w:spacing w:line="240" w:lineRule="auto"/>
                    <w:ind w:firstLine="0" w:firstLineChars="0"/>
                    <w:jc w:val="center"/>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符合</w:t>
                  </w:r>
                </w:p>
              </w:tc>
            </w:tr>
            <w:tr w14:paraId="223C2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continue"/>
                  <w:tcBorders>
                    <w:tl2br w:val="nil"/>
                    <w:tr2bl w:val="nil"/>
                  </w:tcBorders>
                  <w:vAlign w:val="center"/>
                </w:tcPr>
                <w:p w14:paraId="04BE018F">
                  <w:pPr>
                    <w:pStyle w:val="7"/>
                    <w:pageBreakBefore w:val="0"/>
                    <w:wordWrap w:val="0"/>
                    <w:topLinePunct w:val="0"/>
                    <w:bidi w:val="0"/>
                    <w:spacing w:line="240" w:lineRule="auto"/>
                    <w:ind w:firstLine="480"/>
                    <w:jc w:val="center"/>
                    <w:rPr>
                      <w:rFonts w:hint="default" w:ascii="Times New Roman" w:hAnsi="Times New Roman" w:cs="Times New Roman"/>
                      <w:color w:val="auto"/>
                      <w:sz w:val="21"/>
                      <w:szCs w:val="21"/>
                      <w:highlight w:val="none"/>
                    </w:rPr>
                  </w:pPr>
                </w:p>
              </w:tc>
              <w:tc>
                <w:tcPr>
                  <w:tcW w:w="567" w:type="pct"/>
                  <w:tcBorders>
                    <w:tl2br w:val="nil"/>
                    <w:tr2bl w:val="nil"/>
                  </w:tcBorders>
                  <w:vAlign w:val="center"/>
                </w:tcPr>
                <w:p w14:paraId="7CB64E64">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环境风险管控</w:t>
                  </w:r>
                </w:p>
              </w:tc>
              <w:tc>
                <w:tcPr>
                  <w:tcW w:w="2409" w:type="pct"/>
                  <w:tcBorders>
                    <w:tl2br w:val="nil"/>
                    <w:tr2bl w:val="nil"/>
                  </w:tcBorders>
                  <w:vAlign w:val="center"/>
                </w:tcPr>
                <w:p w14:paraId="4ED6318C">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加强北江、东江干流沿岸以及饮用水水源地环境风险防控。严格控制沿岸石油加工、化学原料和化学制品制造、有色金属冶炼、纺织印染等项目环境风险。强化地表水、地下水和土壤污染风险协同防控，建立完善突发环境事件应急管理体系，全面排查“千吨万人”饮用水水源地周边环境问题并及时开展专项整治，保障饮用水水源地安全。重点加强环境风险分级分类管控，建立全市环境风险源在线监控预警系统，强化化工企业、涉重金属行业、工业园区和尾矿库等重点环境风险源的环境风险防控。构建企业、园区和区域三级环境风险防控联动体系，增强园区风险防控能力。园区管理机构应定期开展环境风险评估，编制完善综合环境应急预案并备案，整合应急资源，储备环境应急物资及装备，定期组织开展应急演练，全面提升园区突发环境事件应急处理能力。持续推进土壤环境风险管控工作。实行农用地分类分级安全利用，有效提升农用地土地资源开发利用率，依法划定特定农作物禁止种植区域，严格按照耕地土壤环境质量类别划分成果对耕地实施安全利用，防范农产品重金属含量超标风险。加强建设用地准入管理，规范受污染建设用地地块再开发。加强尾矿库的环境风险排查与防范。加强金属矿采选、金属冶炼企业的重金属污染风险防控。强化选矿废水治理设施的升级改造，选矿废水原则上回用不外排。全力避免因各类安全事故（事件）引发的次生环境风险事故（事件）。</w:t>
                  </w:r>
                </w:p>
              </w:tc>
              <w:tc>
                <w:tcPr>
                  <w:tcW w:w="1554" w:type="pct"/>
                  <w:tcBorders>
                    <w:tl2br w:val="nil"/>
                    <w:tr2bl w:val="nil"/>
                  </w:tcBorders>
                  <w:vAlign w:val="center"/>
                </w:tcPr>
                <w:p w14:paraId="1C3CC079">
                  <w:pPr>
                    <w:pStyle w:val="7"/>
                    <w:pageBreakBefore w:val="0"/>
                    <w:wordWrap w:val="0"/>
                    <w:topLinePunct w:val="0"/>
                    <w:bidi w:val="0"/>
                    <w:spacing w:line="240" w:lineRule="auto"/>
                    <w:ind w:firstLine="48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不涉及石油加工、化学原料和化学制品制造、有色金属冶炼、纺织印染行业，不涉及饮用水水源地，本项目制定有效的事故风险防范和应急措施，为防范污染事故发生，并避免发生事故对周围环境造成污染，确保环境安全。项目符合环境风险防控要求。</w:t>
                  </w:r>
                </w:p>
              </w:tc>
              <w:tc>
                <w:tcPr>
                  <w:tcW w:w="261" w:type="pct"/>
                  <w:tcBorders>
                    <w:tl2br w:val="nil"/>
                    <w:tr2bl w:val="nil"/>
                  </w:tcBorders>
                  <w:vAlign w:val="center"/>
                </w:tcPr>
                <w:p w14:paraId="1AFBD649">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E7AE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restart"/>
                  <w:tcBorders>
                    <w:tl2br w:val="nil"/>
                    <w:tr2bl w:val="nil"/>
                  </w:tcBorders>
                  <w:vAlign w:val="center"/>
                </w:tcPr>
                <w:p w14:paraId="59A51669">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生态环境准入清单</w:t>
                  </w:r>
                </w:p>
              </w:tc>
              <w:tc>
                <w:tcPr>
                  <w:tcW w:w="567" w:type="pct"/>
                  <w:tcBorders>
                    <w:tl2br w:val="nil"/>
                    <w:tr2bl w:val="nil"/>
                  </w:tcBorders>
                  <w:vAlign w:val="center"/>
                </w:tcPr>
                <w:p w14:paraId="69DF879C">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区域布局管控</w:t>
                  </w:r>
                </w:p>
              </w:tc>
              <w:tc>
                <w:tcPr>
                  <w:tcW w:w="2409" w:type="pct"/>
                  <w:tcBorders>
                    <w:tl2br w:val="nil"/>
                    <w:tr2bl w:val="nil"/>
                  </w:tcBorders>
                  <w:vAlign w:val="center"/>
                </w:tcPr>
                <w:p w14:paraId="0E53E6D3">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1-1.【产业/鼓励引导类】重点发展现代轻工产业（消费电子等）、先进装备制造业等产业，优先引进无污染物或轻污染项目。</w:t>
                  </w:r>
                </w:p>
                <w:p w14:paraId="45BA6549">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1-2.【产业/禁止类】园区禁止引入专业电镀、化学制浆、鞣革等水污染物排放量大或排放一类污染物、持久性有机污染物的项目。</w:t>
                  </w:r>
                </w:p>
                <w:p w14:paraId="7F2D0B01">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1-3.【产业/限制类】严格限制不符合园区发展定位的项目入驻。</w:t>
                  </w:r>
                </w:p>
                <w:p w14:paraId="06FC584F">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1-4.【产业/综合类】居民区、学校等环境敏感点邻近地块优先布局废气排放量小、工业噪声影响小的产业。</w:t>
                  </w:r>
                </w:p>
              </w:tc>
              <w:tc>
                <w:tcPr>
                  <w:tcW w:w="1554" w:type="pct"/>
                  <w:tcBorders>
                    <w:tl2br w:val="nil"/>
                    <w:tr2bl w:val="nil"/>
                  </w:tcBorders>
                  <w:vAlign w:val="center"/>
                </w:tcPr>
                <w:p w14:paraId="13AB8A33">
                  <w:pPr>
                    <w:pStyle w:val="7"/>
                    <w:pageBreakBefore w:val="0"/>
                    <w:wordWrap w:val="0"/>
                    <w:topLinePunct w:val="0"/>
                    <w:bidi w:val="0"/>
                    <w:spacing w:line="240" w:lineRule="auto"/>
                    <w:ind w:firstLine="48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本项目主要</w:t>
                  </w:r>
                  <w:r>
                    <w:rPr>
                      <w:rFonts w:hint="default" w:ascii="Times New Roman" w:hAnsi="Times New Roman" w:cs="Times New Roman"/>
                      <w:color w:val="auto"/>
                      <w:sz w:val="21"/>
                      <w:szCs w:val="21"/>
                      <w:highlight w:val="none"/>
                      <w:lang w:eastAsia="zh-CN"/>
                    </w:rPr>
                    <w:t>是</w:t>
                  </w:r>
                  <w:r>
                    <w:rPr>
                      <w:rFonts w:hint="default" w:ascii="Times New Roman" w:hAnsi="Times New Roman" w:cs="Times New Roman"/>
                      <w:color w:val="auto"/>
                      <w:highlight w:val="none"/>
                      <w:lang w:val="en-US" w:eastAsia="zh-CN"/>
                    </w:rPr>
                    <w:t>塑料外壳件的生产</w:t>
                  </w:r>
                  <w:r>
                    <w:rPr>
                      <w:rFonts w:hint="default" w:ascii="Times New Roman" w:hAnsi="Times New Roman" w:cs="Times New Roman"/>
                      <w:color w:val="auto"/>
                      <w:sz w:val="21"/>
                      <w:szCs w:val="21"/>
                      <w:highlight w:val="none"/>
                    </w:rPr>
                    <w:t>，不属于专业电镀、化学制浆、鞣革等水污染物排放量大或排放一类污染物、持久性有机污染物的项目；项目符合园区发展定位；周边无居民区、学校等敏感点。</w:t>
                  </w:r>
                </w:p>
              </w:tc>
              <w:tc>
                <w:tcPr>
                  <w:tcW w:w="261" w:type="pct"/>
                  <w:tcBorders>
                    <w:tl2br w:val="nil"/>
                    <w:tr2bl w:val="nil"/>
                  </w:tcBorders>
                  <w:vAlign w:val="center"/>
                </w:tcPr>
                <w:p w14:paraId="047F73F4">
                  <w:pPr>
                    <w:pStyle w:val="7"/>
                    <w:pageBreakBefore w:val="0"/>
                    <w:wordWrap w:val="0"/>
                    <w:topLinePunct w:val="0"/>
                    <w:bidi w:val="0"/>
                    <w:spacing w:line="240" w:lineRule="auto"/>
                    <w:ind w:right="86" w:rightChars="36"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5D705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continue"/>
                  <w:tcBorders>
                    <w:tl2br w:val="nil"/>
                    <w:tr2bl w:val="nil"/>
                  </w:tcBorders>
                  <w:vAlign w:val="center"/>
                </w:tcPr>
                <w:p w14:paraId="25167873">
                  <w:pPr>
                    <w:pStyle w:val="7"/>
                    <w:pageBreakBefore w:val="0"/>
                    <w:wordWrap w:val="0"/>
                    <w:topLinePunct w:val="0"/>
                    <w:bidi w:val="0"/>
                    <w:spacing w:line="240" w:lineRule="auto"/>
                    <w:ind w:firstLine="480"/>
                    <w:jc w:val="center"/>
                    <w:rPr>
                      <w:rFonts w:hint="default" w:ascii="Times New Roman" w:hAnsi="Times New Roman" w:cs="Times New Roman"/>
                      <w:color w:val="auto"/>
                      <w:sz w:val="21"/>
                      <w:szCs w:val="21"/>
                      <w:highlight w:val="none"/>
                    </w:rPr>
                  </w:pPr>
                </w:p>
              </w:tc>
              <w:tc>
                <w:tcPr>
                  <w:tcW w:w="567" w:type="pct"/>
                  <w:tcBorders>
                    <w:tl2br w:val="nil"/>
                    <w:tr2bl w:val="nil"/>
                  </w:tcBorders>
                  <w:vAlign w:val="center"/>
                </w:tcPr>
                <w:p w14:paraId="61876A98">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能源资源利用</w:t>
                  </w:r>
                </w:p>
              </w:tc>
              <w:tc>
                <w:tcPr>
                  <w:tcW w:w="2409" w:type="pct"/>
                  <w:tcBorders>
                    <w:tl2br w:val="nil"/>
                    <w:tr2bl w:val="nil"/>
                  </w:tcBorders>
                  <w:vAlign w:val="center"/>
                </w:tcPr>
                <w:p w14:paraId="177F6A96">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2-1.【能源/鼓励引导类】园区内能源结构应以电能、燃气等清洁能源为主。</w:t>
                  </w:r>
                </w:p>
                <w:p w14:paraId="4F214F4B">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2-2.【水资源/综合类】提高园区水资源利用效率，加快中水回用系统建设。</w:t>
                  </w:r>
                </w:p>
                <w:p w14:paraId="5B998CD3">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2-3.【其他/综合类】有行业清洁生产标准的新引进项目清洁生产水平须达到本行业国内先进水平。</w:t>
                  </w:r>
                </w:p>
              </w:tc>
              <w:tc>
                <w:tcPr>
                  <w:tcW w:w="1554" w:type="pct"/>
                  <w:tcBorders>
                    <w:tl2br w:val="nil"/>
                    <w:tr2bl w:val="nil"/>
                  </w:tcBorders>
                  <w:vAlign w:val="center"/>
                </w:tcPr>
                <w:p w14:paraId="70701E5A">
                  <w:pPr>
                    <w:pStyle w:val="7"/>
                    <w:pageBreakBefore w:val="0"/>
                    <w:wordWrap w:val="0"/>
                    <w:topLinePunct w:val="0"/>
                    <w:bidi w:val="0"/>
                    <w:spacing w:line="240" w:lineRule="auto"/>
                    <w:ind w:firstLine="48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eastAsia="zh-CN"/>
                    </w:rPr>
                    <w:t>是</w:t>
                  </w:r>
                  <w:r>
                    <w:rPr>
                      <w:rFonts w:hint="default" w:ascii="Times New Roman" w:hAnsi="Times New Roman" w:cs="Times New Roman"/>
                      <w:color w:val="auto"/>
                      <w:highlight w:val="none"/>
                      <w:lang w:val="en-US" w:eastAsia="zh-CN"/>
                    </w:rPr>
                    <w:t>塑料外壳件的生产</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项目产生的有机废气经</w:t>
                  </w:r>
                  <w:r>
                    <w:rPr>
                      <w:rFonts w:hint="eastAsia" w:ascii="Times New Roman" w:hAnsi="Times New Roman" w:cs="Times New Roman"/>
                      <w:color w:val="auto"/>
                      <w:sz w:val="21"/>
                      <w:szCs w:val="21"/>
                      <w:highlight w:val="none"/>
                      <w:lang w:val="en-US" w:eastAsia="zh-CN"/>
                    </w:rPr>
                    <w:t>密闭车间整体换风</w:t>
                  </w:r>
                  <w:r>
                    <w:rPr>
                      <w:rFonts w:hint="default" w:ascii="Times New Roman" w:hAnsi="Times New Roman" w:cs="Times New Roman"/>
                      <w:color w:val="auto"/>
                      <w:sz w:val="21"/>
                      <w:szCs w:val="21"/>
                      <w:highlight w:val="none"/>
                      <w:lang w:val="en-US" w:eastAsia="zh-CN"/>
                    </w:rPr>
                    <w:t>收集后进入二级活性炭处理达标后排放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项目生活污水</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间接冷却废水排入</w:t>
                  </w:r>
                  <w:r>
                    <w:rPr>
                      <w:rFonts w:hint="default" w:ascii="Times New Roman" w:hAnsi="Times New Roman" w:cs="Times New Roman"/>
                      <w:color w:val="auto"/>
                      <w:sz w:val="21"/>
                      <w:szCs w:val="21"/>
                      <w:highlight w:val="none"/>
                    </w:rPr>
                    <w:t>园区污水处理厂处理。</w:t>
                  </w:r>
                </w:p>
              </w:tc>
              <w:tc>
                <w:tcPr>
                  <w:tcW w:w="261" w:type="pct"/>
                  <w:tcBorders>
                    <w:tl2br w:val="nil"/>
                    <w:tr2bl w:val="nil"/>
                  </w:tcBorders>
                  <w:vAlign w:val="center"/>
                </w:tcPr>
                <w:p w14:paraId="3459D71B">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448D6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continue"/>
                  <w:tcBorders>
                    <w:tl2br w:val="nil"/>
                    <w:tr2bl w:val="nil"/>
                  </w:tcBorders>
                  <w:vAlign w:val="center"/>
                </w:tcPr>
                <w:p w14:paraId="55343384">
                  <w:pPr>
                    <w:pStyle w:val="7"/>
                    <w:pageBreakBefore w:val="0"/>
                    <w:wordWrap w:val="0"/>
                    <w:topLinePunct w:val="0"/>
                    <w:bidi w:val="0"/>
                    <w:spacing w:line="240" w:lineRule="auto"/>
                    <w:ind w:firstLine="480"/>
                    <w:jc w:val="center"/>
                    <w:rPr>
                      <w:rFonts w:hint="default" w:ascii="Times New Roman" w:hAnsi="Times New Roman" w:cs="Times New Roman"/>
                      <w:color w:val="auto"/>
                      <w:sz w:val="21"/>
                      <w:szCs w:val="21"/>
                      <w:highlight w:val="none"/>
                    </w:rPr>
                  </w:pPr>
                </w:p>
              </w:tc>
              <w:tc>
                <w:tcPr>
                  <w:tcW w:w="567" w:type="pct"/>
                  <w:tcBorders>
                    <w:tl2br w:val="nil"/>
                    <w:tr2bl w:val="nil"/>
                  </w:tcBorders>
                  <w:vAlign w:val="center"/>
                </w:tcPr>
                <w:p w14:paraId="5DA6A166">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污染物排放管控</w:t>
                  </w:r>
                </w:p>
              </w:tc>
              <w:tc>
                <w:tcPr>
                  <w:tcW w:w="2409" w:type="pct"/>
                  <w:tcBorders>
                    <w:tl2br w:val="nil"/>
                    <w:tr2bl w:val="nil"/>
                  </w:tcBorders>
                  <w:vAlign w:val="center"/>
                </w:tcPr>
                <w:p w14:paraId="67A84CB1">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3-1.【水、大气/限制类】园区各项污染物排放总量不得突破园区规划环评核定的污染物排放总量管控要求。</w:t>
                  </w:r>
                </w:p>
                <w:p w14:paraId="25857F0D">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3-2.【水/限制类】实行重点重金属污染物（铅、砷、汞、镉、铬）等量替代。严格控制涉重金属及有毒有害污染物排放的项目建设，新建、改建、扩建涉重金属重点行业的项目应明确重金属污染物总量来源。</w:t>
                  </w:r>
                </w:p>
                <w:p w14:paraId="2F8DAB9C">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3-3.【大气/限制类】新建项目原则上实施氮氧化物、挥发性有机物排放量等量替代。</w:t>
                  </w:r>
                </w:p>
                <w:p w14:paraId="6F3F0437">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3-4.【其它/鼓励引导类】支持危险废物专业收集转运和利用处置单位建设区域性收集网点和贮存设施。</w:t>
                  </w:r>
                </w:p>
              </w:tc>
              <w:tc>
                <w:tcPr>
                  <w:tcW w:w="1554" w:type="pct"/>
                  <w:tcBorders>
                    <w:tl2br w:val="nil"/>
                    <w:tr2bl w:val="nil"/>
                  </w:tcBorders>
                  <w:vAlign w:val="center"/>
                </w:tcPr>
                <w:p w14:paraId="567F01C8">
                  <w:pPr>
                    <w:pStyle w:val="7"/>
                    <w:pageBreakBefore w:val="0"/>
                    <w:wordWrap w:val="0"/>
                    <w:topLinePunct w:val="0"/>
                    <w:bidi w:val="0"/>
                    <w:spacing w:line="240" w:lineRule="auto"/>
                    <w:ind w:firstLine="48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w:t>
                  </w:r>
                  <w:r>
                    <w:rPr>
                      <w:rFonts w:hint="default" w:ascii="Times New Roman" w:hAnsi="Times New Roman" w:cs="Times New Roman"/>
                      <w:color w:val="auto"/>
                      <w:sz w:val="21"/>
                      <w:szCs w:val="21"/>
                      <w:highlight w:val="none"/>
                      <w:lang w:val="en-US" w:eastAsia="zh-CN"/>
                    </w:rPr>
                    <w:t>产生的有机废气执行</w:t>
                  </w:r>
                  <w:r>
                    <w:rPr>
                      <w:rFonts w:hint="default" w:ascii="Times New Roman" w:hAnsi="Times New Roman" w:cs="Times New Roman"/>
                      <w:color w:val="auto"/>
                      <w:highlight w:val="none"/>
                      <w:lang w:val="en-US" w:eastAsia="zh-CN"/>
                    </w:rPr>
                    <w:t>《合成树脂工业污染物排放标准》（GB31572-2015，含2024年修改单）</w:t>
                  </w:r>
                  <w:r>
                    <w:rPr>
                      <w:rFonts w:hint="default" w:ascii="Times New Roman" w:hAnsi="Times New Roman" w:cs="Times New Roman"/>
                      <w:color w:val="auto"/>
                      <w:highlight w:val="none"/>
                    </w:rPr>
                    <w:t>表5大气污染物特别排放限</w:t>
                  </w:r>
                  <w:r>
                    <w:rPr>
                      <w:rFonts w:hint="default" w:ascii="Times New Roman" w:hAnsi="Times New Roman" w:cs="Times New Roman"/>
                      <w:color w:val="auto"/>
                      <w:highlight w:val="none"/>
                      <w:lang w:val="en-US" w:eastAsia="zh-CN"/>
                    </w:rPr>
                    <w:t>值</w:t>
                  </w:r>
                  <w:r>
                    <w:rPr>
                      <w:rFonts w:hint="default" w:ascii="Times New Roman" w:hAnsi="Times New Roman" w:cs="Times New Roman"/>
                      <w:color w:val="auto"/>
                      <w:sz w:val="21"/>
                      <w:szCs w:val="21"/>
                      <w:highlight w:val="none"/>
                      <w:vertAlign w:val="baseline"/>
                      <w:lang w:val="en-US" w:eastAsia="zh-CN"/>
                    </w:rPr>
                    <w:t>，大气污染物均未</w:t>
                  </w:r>
                  <w:r>
                    <w:rPr>
                      <w:rFonts w:hint="default" w:ascii="Times New Roman" w:hAnsi="Times New Roman" w:cs="Times New Roman"/>
                      <w:color w:val="auto"/>
                      <w:sz w:val="21"/>
                      <w:szCs w:val="21"/>
                      <w:highlight w:val="none"/>
                    </w:rPr>
                    <w:t>突破园区规划环评核定的污染物排放总量，</w:t>
                  </w:r>
                  <w:r>
                    <w:rPr>
                      <w:rFonts w:hint="default" w:ascii="Times New Roman" w:hAnsi="Times New Roman" w:cs="Times New Roman"/>
                      <w:color w:val="auto"/>
                      <w:sz w:val="21"/>
                      <w:szCs w:val="21"/>
                      <w:highlight w:val="none"/>
                      <w:lang w:eastAsia="zh-CN"/>
                    </w:rPr>
                    <w:t>有机废气</w:t>
                  </w:r>
                  <w:r>
                    <w:rPr>
                      <w:rFonts w:hint="default" w:ascii="Times New Roman" w:hAnsi="Times New Roman" w:cs="Times New Roman"/>
                      <w:color w:val="auto"/>
                      <w:sz w:val="21"/>
                      <w:szCs w:val="21"/>
                      <w:highlight w:val="none"/>
                    </w:rPr>
                    <w:t>需向韶关市生态环境局乐昌分局申请分配实行等量代替，项目不涉及重金属污染物，危险废物贮存在厂区危险废物暂存间，统一收集后交有资质的单位处理。</w:t>
                  </w:r>
                </w:p>
              </w:tc>
              <w:tc>
                <w:tcPr>
                  <w:tcW w:w="261" w:type="pct"/>
                  <w:tcBorders>
                    <w:tl2br w:val="nil"/>
                    <w:tr2bl w:val="nil"/>
                  </w:tcBorders>
                  <w:vAlign w:val="center"/>
                </w:tcPr>
                <w:p w14:paraId="6A0F4099">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r w14:paraId="07C63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207" w:type="pct"/>
                  <w:vMerge w:val="continue"/>
                  <w:tcBorders>
                    <w:tl2br w:val="nil"/>
                    <w:tr2bl w:val="nil"/>
                  </w:tcBorders>
                  <w:vAlign w:val="center"/>
                </w:tcPr>
                <w:p w14:paraId="436DA376">
                  <w:pPr>
                    <w:pStyle w:val="7"/>
                    <w:pageBreakBefore w:val="0"/>
                    <w:wordWrap w:val="0"/>
                    <w:topLinePunct w:val="0"/>
                    <w:bidi w:val="0"/>
                    <w:spacing w:line="240" w:lineRule="auto"/>
                    <w:ind w:right="86" w:rightChars="36" w:firstLine="480"/>
                    <w:jc w:val="center"/>
                    <w:rPr>
                      <w:rFonts w:hint="default" w:ascii="Times New Roman" w:hAnsi="Times New Roman" w:cs="Times New Roman"/>
                      <w:color w:val="auto"/>
                      <w:sz w:val="21"/>
                      <w:szCs w:val="21"/>
                      <w:highlight w:val="none"/>
                    </w:rPr>
                  </w:pPr>
                </w:p>
              </w:tc>
              <w:tc>
                <w:tcPr>
                  <w:tcW w:w="567" w:type="pct"/>
                  <w:tcBorders>
                    <w:tl2br w:val="nil"/>
                    <w:tr2bl w:val="nil"/>
                  </w:tcBorders>
                  <w:vAlign w:val="center"/>
                </w:tcPr>
                <w:p w14:paraId="20146AC4">
                  <w:pPr>
                    <w:pStyle w:val="7"/>
                    <w:pageBreakBefore w:val="0"/>
                    <w:wordWrap w:val="0"/>
                    <w:topLinePunct w:val="0"/>
                    <w:bidi w:val="0"/>
                    <w:spacing w:line="240" w:lineRule="auto"/>
                    <w:ind w:right="86" w:rightChars="36" w:firstLine="0" w:firstLineChars="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环境风险防控</w:t>
                  </w:r>
                </w:p>
              </w:tc>
              <w:tc>
                <w:tcPr>
                  <w:tcW w:w="2409" w:type="pct"/>
                  <w:tcBorders>
                    <w:tl2br w:val="nil"/>
                    <w:tr2bl w:val="nil"/>
                  </w:tcBorders>
                  <w:vAlign w:val="center"/>
                </w:tcPr>
                <w:p w14:paraId="6C1EF420">
                  <w:pPr>
                    <w:pStyle w:val="7"/>
                    <w:pageBreakBefore w:val="0"/>
                    <w:wordWrap w:val="0"/>
                    <w:topLinePunct w:val="0"/>
                    <w:bidi w:val="0"/>
                    <w:spacing w:line="240" w:lineRule="auto"/>
                    <w:ind w:firstLine="48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-1.【风险/综合类】园区内生产、使用、储存危险化学品的项目应设置足够容积的事故应急池，园区应制定环境风险事故防范和应急预案，建立健全企业、园区和市政三级事故应急体系，落实有效的事故风险防范和应急措施，有效防范污染事故发生，并避免发生事故对周围环境造成污染，确保环境安全。园区污</w:t>
                  </w:r>
                  <w:r>
                    <w:rPr>
                      <w:rFonts w:hint="default" w:ascii="Times New Roman" w:hAnsi="Times New Roman" w:cs="Times New Roman"/>
                      <w:color w:val="auto"/>
                      <w:sz w:val="21"/>
                      <w:szCs w:val="21"/>
                      <w:highlight w:val="none"/>
                      <w:lang w:eastAsia="zh-CN"/>
                    </w:rPr>
                    <w:t>水</w:t>
                  </w:r>
                  <w:r>
                    <w:rPr>
                      <w:rFonts w:hint="default" w:ascii="Times New Roman" w:hAnsi="Times New Roman" w:cs="Times New Roman"/>
                      <w:color w:val="auto"/>
                      <w:sz w:val="21"/>
                      <w:szCs w:val="21"/>
                      <w:highlight w:val="none"/>
                    </w:rPr>
                    <w:t>处理厂设置足够容积的事故应急池，纳污水体设置水质监控断面，发现问题，及时采取限制废水排放等措施。</w:t>
                  </w:r>
                </w:p>
              </w:tc>
              <w:tc>
                <w:tcPr>
                  <w:tcW w:w="1554" w:type="pct"/>
                  <w:tcBorders>
                    <w:tl2br w:val="nil"/>
                    <w:tr2bl w:val="nil"/>
                  </w:tcBorders>
                  <w:vAlign w:val="center"/>
                </w:tcPr>
                <w:p w14:paraId="152D5345">
                  <w:pPr>
                    <w:pStyle w:val="7"/>
                    <w:pageBreakBefore w:val="0"/>
                    <w:wordWrap w:val="0"/>
                    <w:topLinePunct w:val="0"/>
                    <w:bidi w:val="0"/>
                    <w:spacing w:line="240" w:lineRule="auto"/>
                    <w:ind w:firstLine="48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项目位于广东乐昌经济开发区内，广东乐昌经济开发区已完善相关环保手续，并制定了事故风险防范和应急措施，能够满足项目环境风险防控的要求。</w:t>
                  </w:r>
                </w:p>
              </w:tc>
              <w:tc>
                <w:tcPr>
                  <w:tcW w:w="261" w:type="pct"/>
                  <w:tcBorders>
                    <w:tl2br w:val="nil"/>
                    <w:tr2bl w:val="nil"/>
                  </w:tcBorders>
                  <w:vAlign w:val="center"/>
                </w:tcPr>
                <w:p w14:paraId="4CD90501">
                  <w:pPr>
                    <w:pStyle w:val="7"/>
                    <w:pageBreakBefore w:val="0"/>
                    <w:wordWrap w:val="0"/>
                    <w:topLinePunct w:val="0"/>
                    <w:bidi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符合</w:t>
                  </w:r>
                </w:p>
              </w:tc>
            </w:tr>
          </w:tbl>
          <w:p w14:paraId="0777CEAC">
            <w:pPr>
              <w:pStyle w:val="7"/>
              <w:pageBreakBefore w:val="0"/>
              <w:wordWrap w:val="0"/>
              <w:topLinePunct w:val="0"/>
              <w:bidi w:val="0"/>
              <w:ind w:firstLineChars="200"/>
              <w:jc w:val="left"/>
              <w:rPr>
                <w:rFonts w:hint="default" w:ascii="Times New Roman" w:hAnsi="Times New Roman" w:cs="Times New Roman"/>
                <w:b w:val="0"/>
                <w:bCs w:val="0"/>
                <w:color w:val="auto"/>
                <w:highlight w:val="none"/>
              </w:rPr>
            </w:pPr>
            <w:r>
              <w:rPr>
                <w:rFonts w:hint="default" w:ascii="Times New Roman" w:hAnsi="Times New Roman" w:cs="Times New Roman"/>
                <w:b w:val="0"/>
                <w:bCs w:val="0"/>
                <w:color w:val="auto"/>
                <w:sz w:val="24"/>
                <w:highlight w:val="none"/>
              </w:rPr>
              <w:t>综上，项目符合韶关市人民政府关于印发《韶关市“三线一单”生态环境分区管控方案的通知》的通知（韶府〔2021〕10号）的相关要求。</w:t>
            </w:r>
          </w:p>
          <w:p w14:paraId="3307D2DA">
            <w:pPr>
              <w:pStyle w:val="7"/>
              <w:keepNext/>
              <w:keepLines/>
              <w:pageBreakBefore w:val="0"/>
              <w:wordWrap w:val="0"/>
              <w:topLinePunct w:val="0"/>
              <w:bidi w:val="0"/>
              <w:ind w:left="-2" w:firstLineChars="200"/>
              <w:outlineLvl w:val="2"/>
              <w:rPr>
                <w:rFonts w:hint="default" w:ascii="Times New Roman" w:hAnsi="Times New Roman" w:cs="Times New Roman"/>
                <w:color w:val="auto"/>
                <w:sz w:val="24"/>
                <w:szCs w:val="24"/>
                <w:highlight w:val="none"/>
              </w:rPr>
            </w:pPr>
            <w:r>
              <w:rPr>
                <w:rFonts w:hint="default" w:ascii="Times New Roman" w:hAnsi="Times New Roman" w:cs="Times New Roman"/>
                <w:b/>
                <w:bCs/>
                <w:color w:val="auto"/>
                <w:sz w:val="24"/>
                <w:szCs w:val="24"/>
                <w:highlight w:val="none"/>
              </w:rPr>
              <w:t>六、相关规划相符性分析</w:t>
            </w:r>
          </w:p>
          <w:p w14:paraId="7AEE30B4">
            <w:pPr>
              <w:pStyle w:val="7"/>
              <w:keepNext/>
              <w:keepLines/>
              <w:pageBreakBefore w:val="0"/>
              <w:wordWrap w:val="0"/>
              <w:topLinePunct w:val="0"/>
              <w:bidi w:val="0"/>
              <w:ind w:firstLineChars="200"/>
              <w:outlineLvl w:val="3"/>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1、《关于印发&lt;广东省生态环境保护“十四五”规划&gt;的通知》（粤环〔2021〕10号）</w:t>
            </w:r>
          </w:p>
          <w:p w14:paraId="09E05539">
            <w:pPr>
              <w:pStyle w:val="44"/>
              <w:keepNext w:val="0"/>
              <w:keepLines w:val="0"/>
              <w:pageBreakBefore w:val="0"/>
              <w:suppressLineNumbers w:val="0"/>
              <w:wordWrap w:val="0"/>
              <w:topLinePunct w:val="0"/>
              <w:bidi w:val="0"/>
              <w:spacing w:before="0" w:beforeAutospacing="0" w:after="0" w:afterAutospacing="0"/>
              <w:ind w:left="0" w:right="0"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《广东省生态环境厅关于印发&lt;广东省生态环境保护“十四五”规划&gt;的通知》（粤环</w:t>
            </w:r>
            <w:r>
              <w:rPr>
                <w:rFonts w:hint="default" w:ascii="Times New Roman" w:hAnsi="Times New Roman" w:cs="Times New Roman"/>
                <w:color w:val="auto"/>
                <w:highlight w:val="none"/>
                <w:lang w:eastAsia="zh-CN"/>
              </w:rPr>
              <w:t>〔2021〕10号</w:t>
            </w:r>
            <w:r>
              <w:rPr>
                <w:rFonts w:hint="default" w:ascii="Times New Roman" w:hAnsi="Times New Roman" w:cs="Times New Roman"/>
                <w:color w:val="auto"/>
                <w:highlight w:val="none"/>
              </w:rPr>
              <w:t>）提出，“大力推进挥发性有机物（VOCs）源头控制和重点行业深度治理。开展原油、成品油、有机化学品等涉VOCs物料储罐排查，深化重点行业VOCs排放基数调查，系统掌握工业源VOCs产生、处理、排放及分布情况，分类建立台账，实施VOCs精细化管理。在石化、化工、包装印刷、工业涂装等重点行业建立完善源头、过程和末端的VOCs全过程控制体系。大力推进低VOCs含量原辅材料源头替代，严格落实国家和地方产品VOCs含量限值质量标准，禁止建设生产和使用高VOCs含量的溶剂型涂料、油墨、胶粘剂等项目。严格实施VOCs排放企业分级管控，全面推进涉VOCs排放企业深度治理。开展中小型企业废气收集和治理设施建设、运行情况的评估，强化对企业涉VOCs生产车间/工序废气的收集管理，推动企业开展治理设施升级改造。推进工业园区、企业集群因地制宜统筹规划建设一批集中喷涂中心（共性工厂）、活性炭集中再生中心，实现VOCs集中高效处理。开展无组织排放源排查，加强VOCs物料全方位、全链条、全环节密闭管理，深入推进泄漏检测与修复（LDAR）工作。”</w:t>
            </w:r>
          </w:p>
          <w:p w14:paraId="24A59032">
            <w:pPr>
              <w:pStyle w:val="2"/>
              <w:pageBreakBefore w:val="0"/>
              <w:wordWrap w:val="0"/>
              <w:topLinePunct w:val="0"/>
              <w:bidi w:val="0"/>
              <w:ind w:firstLine="48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本项目为塑料外壳件</w:t>
            </w:r>
            <w:r>
              <w:rPr>
                <w:rFonts w:hint="default" w:ascii="Times New Roman" w:hAnsi="Times New Roman" w:cs="Times New Roman"/>
                <w:color w:val="auto"/>
                <w:sz w:val="24"/>
                <w:szCs w:val="24"/>
                <w:highlight w:val="none"/>
              </w:rPr>
              <w:t>产生</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VOCs原料为塑料颗粒，属于低VOCs含量原辅材料</w:t>
            </w:r>
            <w:r>
              <w:rPr>
                <w:rFonts w:hint="default" w:ascii="Times New Roman" w:hAnsi="Times New Roman" w:eastAsia="宋体" w:cs="Times New Roman"/>
                <w:color w:val="auto"/>
                <w:sz w:val="24"/>
                <w:szCs w:val="24"/>
                <w:highlight w:val="none"/>
              </w:rPr>
              <w:t>。项</w:t>
            </w:r>
            <w:r>
              <w:rPr>
                <w:rFonts w:hint="default" w:ascii="Times New Roman" w:hAnsi="Times New Roman" w:cs="Times New Roman"/>
                <w:color w:val="auto"/>
                <w:sz w:val="24"/>
                <w:szCs w:val="24"/>
                <w:highlight w:val="none"/>
              </w:rPr>
              <w:t>据下文工程分析，有机废气非甲烷总烃产生量较少，配套采用“二级活性炭吸附装置”对其进行处理，处理后废气经排气筒排放，排放高度为</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w:t>
            </w:r>
          </w:p>
          <w:p w14:paraId="7A42F1BD">
            <w:pPr>
              <w:pStyle w:val="7"/>
              <w:keepNext w:val="0"/>
              <w:keepLines w:val="0"/>
              <w:pageBreakBefore w:val="0"/>
              <w:widowControl w:val="0"/>
              <w:kinsoku/>
              <w:wordWrap w:val="0"/>
              <w:overflowPunct/>
              <w:topLinePunct w:val="0"/>
              <w:autoSpaceDE w:val="0"/>
              <w:autoSpaceDN w:val="0"/>
              <w:bidi w:val="0"/>
              <w:adjustRightInd/>
              <w:snapToGrid/>
              <w:spacing w:line="360" w:lineRule="auto"/>
              <w:ind w:firstLineChars="200"/>
              <w:jc w:val="both"/>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有机废气非甲烷总烃有组织排放达到《合成树脂工业污染物排放标准》（GB31572-2015）</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含2024年修改单</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表5大气污染物特别排放限值，非甲烷总烃在厂区内达到广东省《固定污染源挥发性有机物综合排放标准》（DB44/2367-2022）表3厂区内VOCs无组织排放限值；臭气浓度排放达到《恶臭污染物排放标准》（GB14554-93）表2恶臭污染物排放标准及表1新扩改建二级厂界标准值。</w:t>
            </w:r>
          </w:p>
          <w:p w14:paraId="738E8B7B">
            <w:pPr>
              <w:pStyle w:val="7"/>
              <w:keepNext w:val="0"/>
              <w:keepLines w:val="0"/>
              <w:pageBreakBefore w:val="0"/>
              <w:widowControl w:val="0"/>
              <w:kinsoku/>
              <w:wordWrap w:val="0"/>
              <w:overflowPunct/>
              <w:topLinePunct w:val="0"/>
              <w:autoSpaceDE w:val="0"/>
              <w:autoSpaceDN w:val="0"/>
              <w:bidi w:val="0"/>
              <w:adjustRightInd/>
              <w:snapToGrid/>
              <w:spacing w:line="360" w:lineRule="auto"/>
              <w:ind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本评价要求建设单位建立台账记录相关信息，定期开展无组织排放源排查。因此，项目符合《广东省生态环境保护“十四五”规划》的要求本项目</w:t>
            </w:r>
            <w:r>
              <w:rPr>
                <w:rFonts w:hint="default" w:ascii="Times New Roman" w:hAnsi="Times New Roman" w:eastAsia="宋体" w:cs="Times New Roman"/>
                <w:color w:val="auto"/>
                <w:sz w:val="24"/>
                <w:szCs w:val="24"/>
                <w:highlight w:val="none"/>
                <w:lang w:eastAsia="zh-CN"/>
              </w:rPr>
              <w:t>使用清洁能源</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电能</w:t>
            </w:r>
            <w:r>
              <w:rPr>
                <w:rFonts w:hint="default" w:ascii="Times New Roman" w:hAnsi="Times New Roman" w:eastAsia="宋体" w:cs="Times New Roman"/>
                <w:color w:val="auto"/>
                <w:sz w:val="24"/>
                <w:szCs w:val="24"/>
                <w:highlight w:val="none"/>
              </w:rPr>
              <w:t>。因此，本项目符合《广东省生态环境保护“十四五”规划》（粤环﹝2021﹞10号）中的相关规定。</w:t>
            </w:r>
          </w:p>
          <w:p w14:paraId="11EF9700">
            <w:pPr>
              <w:pStyle w:val="7"/>
              <w:pageBreakBefore w:val="0"/>
              <w:wordWrap w:val="0"/>
              <w:topLinePunct w:val="0"/>
              <w:bidi w:val="0"/>
              <w:ind w:firstLine="480"/>
              <w:rPr>
                <w:rFonts w:hint="default" w:ascii="Times New Roman" w:hAnsi="Times New Roman" w:cs="Times New Roman"/>
                <w:b/>
                <w:bCs/>
                <w:color w:val="auto"/>
                <w:sz w:val="24"/>
                <w:szCs w:val="24"/>
                <w:highlight w:val="none"/>
              </w:rPr>
            </w:pPr>
            <w:r>
              <w:rPr>
                <w:rFonts w:hint="default" w:ascii="Times New Roman" w:hAnsi="Times New Roman" w:cs="Times New Roman"/>
                <w:b/>
                <w:bCs/>
                <w:color w:val="auto"/>
                <w:sz w:val="24"/>
                <w:szCs w:val="24"/>
                <w:highlight w:val="none"/>
              </w:rPr>
              <w:t>2、《韶关市人民政府办公室关于印发&lt;韶关市生态环境保护“十四五”规划&gt;的通知》（韶府办〔2022〕1号）</w:t>
            </w:r>
          </w:p>
          <w:p w14:paraId="254BA2AF">
            <w:pPr>
              <w:pStyle w:val="7"/>
              <w:pageBreakBefore w:val="0"/>
              <w:widowControl/>
              <w:wordWrap w:val="0"/>
              <w:topLinePunct w:val="0"/>
              <w:bidi w:val="0"/>
              <w:ind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文件要求：深化工业源污染治理。以挥发性有机物、工业炉窑和锅炉综合治理为重点，深化工业源污染防治，健全分级管控体系，提升重点行业企业深度治理水平。深化工业炉窑和锅炉排放治理。加大工业锅炉整治力度，禁止新建35蒸吨/小时以下燃煤锅炉；推进陶瓷等行业实施深度治理，持续开展生物质成型燃料锅炉整治，推动实施燃气锅炉低氮燃烧改造。严格实施工业炉窑分级管控，全面推动B级以下工业炉窑的清洁低碳化改造、废气治理设施升级改造、全过程无组织排放管控。</w:t>
            </w:r>
          </w:p>
          <w:p w14:paraId="76BF2B69">
            <w:pPr>
              <w:pStyle w:val="2"/>
              <w:pageBreakBefore w:val="0"/>
              <w:wordWrap w:val="0"/>
              <w:topLinePunct w:val="0"/>
              <w:bidi w:val="0"/>
              <w:ind w:firstLine="48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项目不涉及锅炉，</w:t>
            </w:r>
            <w:r>
              <w:rPr>
                <w:rFonts w:hint="default" w:ascii="Times New Roman" w:hAnsi="Times New Roman" w:cs="Times New Roman"/>
                <w:color w:val="auto"/>
                <w:sz w:val="24"/>
                <w:szCs w:val="24"/>
                <w:highlight w:val="none"/>
                <w:lang w:eastAsia="zh-CN"/>
              </w:rPr>
              <w:t>设备均采用电能清洁能源。</w:t>
            </w:r>
            <w:r>
              <w:rPr>
                <w:rFonts w:hint="default" w:ascii="Times New Roman" w:hAnsi="Times New Roman" w:cs="Times New Roman"/>
                <w:color w:val="auto"/>
                <w:sz w:val="24"/>
                <w:szCs w:val="24"/>
                <w:highlight w:val="none"/>
                <w:lang w:val="en-US" w:eastAsia="zh-CN"/>
              </w:rPr>
              <w:t>有</w:t>
            </w:r>
            <w:r>
              <w:rPr>
                <w:rFonts w:hint="default" w:ascii="Times New Roman" w:hAnsi="Times New Roman" w:cs="Times New Roman"/>
                <w:color w:val="auto"/>
                <w:sz w:val="24"/>
                <w:szCs w:val="24"/>
                <w:highlight w:val="none"/>
              </w:rPr>
              <w:t>机废气非甲烷总烃采用“二级活性炭吸附装置”对其进行处理，处理后废气经排气筒排放，排放高度为</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w:t>
            </w:r>
          </w:p>
          <w:p w14:paraId="14518286">
            <w:pPr>
              <w:pStyle w:val="7"/>
              <w:pageBreakBefore w:val="0"/>
              <w:wordWrap w:val="0"/>
              <w:topLinePunct w:val="0"/>
              <w:bidi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项目产生的工业固体废物均得到妥善处置。故本项目与韶关市人民政府办公室《关于印发&lt;韶关市生态环境保护“十四五”规划&gt;的通知》（韶府办〔2022〕1号）相符。</w:t>
            </w:r>
          </w:p>
          <w:p w14:paraId="2AED3523">
            <w:pPr>
              <w:pStyle w:val="7"/>
              <w:pageBreakBefore w:val="0"/>
              <w:wordWrap w:val="0"/>
              <w:topLinePunct w:val="0"/>
              <w:bidi w:val="0"/>
              <w:ind w:firstLine="48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rPr>
              <w:t>3、《乐昌市人民政府办公室关于印发&lt;乐昌市生态环境保护“十四五”规划的通知》（乐府办〔2022〕16号）</w:t>
            </w:r>
          </w:p>
          <w:p w14:paraId="7B511526">
            <w:pPr>
              <w:pStyle w:val="7"/>
              <w:pageBreakBefore w:val="0"/>
              <w:wordWrap w:val="0"/>
              <w:topLinePunct w:val="0"/>
              <w:bidi w:val="0"/>
              <w:ind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深化重点污染源治理，推进污染物减排。在水泥、化工、火电等行业全面执行大气污染物特别排放限值。逐步推进水泥行业实施超低排放改造，力争到2025年全市水泥</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熟料</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制造企业的水泥窑及窑尾余热利用系统烟气NOx排放浓度不高于100mg/m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。持续开展生物质成型燃料锅炉整治，推动实施燃气锅炉低氮燃烧改造。严格实施工业炉窑分级管控，全面推动B级以下企业工业炉窑的燃料清洁低碳化替代、废气治理设施升级改造、全过程无组织排放管控。</w:t>
            </w:r>
          </w:p>
          <w:p w14:paraId="1D8A3D80">
            <w:pPr>
              <w:pStyle w:val="2"/>
              <w:pageBreakBefore w:val="0"/>
              <w:wordWrap w:val="0"/>
              <w:topLinePunct w:val="0"/>
              <w:bidi w:val="0"/>
              <w:ind w:firstLine="480"/>
              <w:jc w:val="left"/>
              <w:rPr>
                <w:rFonts w:hint="default" w:ascii="Times New Roman" w:hAnsi="Times New Roman" w:cs="Times New Roman"/>
                <w:color w:val="auto"/>
                <w:sz w:val="24"/>
                <w:szCs w:val="28"/>
                <w:highlight w:val="none"/>
              </w:rPr>
            </w:pPr>
            <w:r>
              <w:rPr>
                <w:rFonts w:hint="default" w:ascii="Times New Roman" w:hAnsi="Times New Roman" w:cs="Times New Roman"/>
                <w:color w:val="auto"/>
                <w:sz w:val="24"/>
                <w:szCs w:val="24"/>
                <w:highlight w:val="none"/>
              </w:rPr>
              <w:t>项目不涉及锅炉，</w:t>
            </w:r>
            <w:r>
              <w:rPr>
                <w:rFonts w:hint="default" w:ascii="Times New Roman" w:hAnsi="Times New Roman" w:cs="Times New Roman"/>
                <w:color w:val="auto"/>
                <w:sz w:val="24"/>
                <w:szCs w:val="24"/>
                <w:highlight w:val="none"/>
                <w:lang w:eastAsia="zh-CN"/>
              </w:rPr>
              <w:t>设备均采用电能清洁能源。</w:t>
            </w:r>
            <w:r>
              <w:rPr>
                <w:rFonts w:hint="default" w:ascii="Times New Roman" w:hAnsi="Times New Roman" w:cs="Times New Roman"/>
                <w:color w:val="auto"/>
                <w:sz w:val="24"/>
                <w:szCs w:val="24"/>
                <w:highlight w:val="none"/>
                <w:lang w:val="en-US" w:eastAsia="zh-CN"/>
              </w:rPr>
              <w:t>有</w:t>
            </w:r>
            <w:r>
              <w:rPr>
                <w:rFonts w:hint="default" w:ascii="Times New Roman" w:hAnsi="Times New Roman" w:cs="Times New Roman"/>
                <w:color w:val="auto"/>
                <w:sz w:val="24"/>
                <w:szCs w:val="24"/>
                <w:highlight w:val="none"/>
              </w:rPr>
              <w:t>机废气非甲烷总烃采用“二级活性炭吸附装置”对其进行处理，处理后废气经排气筒排放，排放高度为</w:t>
            </w:r>
            <w:r>
              <w:rPr>
                <w:rFonts w:hint="default" w:ascii="Times New Roman" w:hAnsi="Times New Roman" w:cs="Times New Roman"/>
                <w:color w:val="auto"/>
                <w:sz w:val="24"/>
                <w:szCs w:val="24"/>
                <w:highlight w:val="none"/>
                <w:lang w:val="en-US" w:eastAsia="zh-CN"/>
              </w:rPr>
              <w:t>30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8"/>
                <w:highlight w:val="none"/>
                <w:lang w:val="en-US" w:eastAsia="zh-CN"/>
              </w:rPr>
              <w:t>，</w:t>
            </w:r>
            <w:r>
              <w:rPr>
                <w:rFonts w:hint="default" w:ascii="Times New Roman" w:hAnsi="Times New Roman" w:cs="Times New Roman"/>
                <w:color w:val="auto"/>
                <w:sz w:val="24"/>
                <w:szCs w:val="28"/>
                <w:highlight w:val="none"/>
              </w:rPr>
              <w:t>故本项目与乐昌市人民政府办公室《关于印发&lt;乐昌市生态环境保护“十四五”规划的通知》（乐府办〔2022〕16号）相符。</w:t>
            </w:r>
          </w:p>
          <w:p w14:paraId="6ECB337C">
            <w:pPr>
              <w:keepNext w:val="0"/>
              <w:keepLines w:val="0"/>
              <w:pageBreakBefore w:val="0"/>
              <w:suppressLineNumbers w:val="0"/>
              <w:wordWrap w:val="0"/>
              <w:topLinePunct w:val="0"/>
              <w:bidi w:val="0"/>
              <w:spacing w:before="0" w:beforeAutospacing="0" w:after="0" w:afterAutospacing="0"/>
              <w:ind w:left="0" w:right="0" w:firstLine="48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、与广东省《固定污染源挥发性有机物综合排放标准》（DB44/2367-2022）的相符性分析</w:t>
            </w:r>
          </w:p>
          <w:p w14:paraId="7A7CF4D0">
            <w:pPr>
              <w:pStyle w:val="5"/>
              <w:pageBreakBefore w:val="0"/>
              <w:numPr>
                <w:ilvl w:val="2"/>
                <w:numId w:val="0"/>
              </w:numPr>
              <w:suppressLineNumbers w:val="0"/>
              <w:wordWrap w:val="0"/>
              <w:topLinePunct w:val="0"/>
              <w:bidi w:val="0"/>
              <w:spacing w:before="0" w:beforeAutospacing="0" w:after="0" w:afterAutospacing="0"/>
              <w:ind w:left="0" w:right="0" w:firstLine="480" w:firstLineChars="200"/>
              <w:rPr>
                <w:rFonts w:hint="default" w:ascii="Times New Roman" w:hAnsi="Times New Roman" w:eastAsia="宋体" w:cs="Times New Roman"/>
                <w:b w:val="0"/>
                <w:bCs w:val="0"/>
                <w:color w:val="auto"/>
                <w:highlight w:val="none"/>
                <w:lang w:eastAsia="zh-CN"/>
              </w:rPr>
            </w:pPr>
            <w:r>
              <w:rPr>
                <w:rFonts w:hint="default" w:ascii="Times New Roman" w:hAnsi="Times New Roman" w:cs="Times New Roman"/>
                <w:b w:val="0"/>
                <w:bCs w:val="0"/>
                <w:color w:val="auto"/>
                <w:highlight w:val="none"/>
              </w:rPr>
              <w:t>本项目与广东省《固定污染源挥发性有机物综合排放标准》（DB44/2367-2022）的相符性分析见表1-</w:t>
            </w:r>
            <w:r>
              <w:rPr>
                <w:rFonts w:hint="default" w:ascii="Times New Roman" w:hAnsi="Times New Roman" w:cs="Times New Roman"/>
                <w:b w:val="0"/>
                <w:bCs w:val="0"/>
                <w:color w:val="auto"/>
                <w:highlight w:val="none"/>
                <w:lang w:val="en-US" w:eastAsia="zh-CN"/>
              </w:rPr>
              <w:t>4</w:t>
            </w:r>
          </w:p>
          <w:p w14:paraId="69C7EC64">
            <w:pPr>
              <w:keepNext w:val="0"/>
              <w:keepLines w:val="0"/>
              <w:pageBreakBefore w:val="0"/>
              <w:suppressLineNumbers w:val="0"/>
              <w:wordWrap w:val="0"/>
              <w:topLinePunct w:val="0"/>
              <w:bidi w:val="0"/>
              <w:spacing w:before="0" w:beforeAutospacing="0" w:after="0" w:afterAutospacing="0"/>
              <w:ind w:left="0" w:right="0" w:firstLine="0" w:firstLineChars="0"/>
              <w:jc w:val="center"/>
              <w:rPr>
                <w:rFonts w:hint="default" w:ascii="Times New Roman" w:hAnsi="Times New Roman" w:cs="Times New Roman"/>
                <w:color w:val="auto"/>
                <w:highlight w:val="none"/>
              </w:rPr>
            </w:pPr>
            <w:r>
              <w:rPr>
                <w:rFonts w:hint="default" w:ascii="Times New Roman" w:hAnsi="Times New Roman" w:cs="Times New Roman"/>
                <w:b/>
                <w:bCs/>
                <w:color w:val="auto"/>
                <w:sz w:val="21"/>
                <w:szCs w:val="21"/>
                <w:highlight w:val="none"/>
              </w:rPr>
              <w:t>表1-</w:t>
            </w:r>
            <w:r>
              <w:rPr>
                <w:rFonts w:hint="default" w:ascii="Times New Roman" w:hAnsi="Times New Roman" w:cs="Times New Roman"/>
                <w:b/>
                <w:bCs/>
                <w:color w:val="auto"/>
                <w:sz w:val="21"/>
                <w:szCs w:val="21"/>
                <w:highlight w:val="none"/>
                <w:lang w:val="en-US" w:eastAsia="zh-CN"/>
              </w:rPr>
              <w:t>4</w:t>
            </w:r>
            <w:r>
              <w:rPr>
                <w:rFonts w:hint="default" w:ascii="Times New Roman" w:hAnsi="Times New Roman" w:cs="Times New Roman"/>
                <w:b/>
                <w:bCs/>
                <w:color w:val="auto"/>
                <w:sz w:val="21"/>
                <w:szCs w:val="21"/>
                <w:highlight w:val="none"/>
              </w:rPr>
              <w:t>与《固定污染源挥发性有机物综合排放标准》的相符性分析一览表</w:t>
            </w: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0"/>
              <w:gridCol w:w="5176"/>
              <w:gridCol w:w="1790"/>
            </w:tblGrid>
            <w:tr w14:paraId="3501C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Align w:val="center"/>
                </w:tcPr>
                <w:p w14:paraId="28618BBE">
                  <w:pPr>
                    <w:pStyle w:val="60"/>
                    <w:pageBreakBefore w:val="0"/>
                    <w:wordWrap w:val="0"/>
                    <w:topLinePunct w:val="0"/>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源项</w:t>
                  </w:r>
                </w:p>
              </w:tc>
              <w:tc>
                <w:tcPr>
                  <w:tcW w:w="3297" w:type="pct"/>
                  <w:vAlign w:val="center"/>
                </w:tcPr>
                <w:p w14:paraId="34DCD930">
                  <w:pPr>
                    <w:pStyle w:val="60"/>
                    <w:pageBreakBefore w:val="0"/>
                    <w:wordWrap w:val="0"/>
                    <w:topLinePunct w:val="0"/>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控制要求</w:t>
                  </w:r>
                </w:p>
              </w:tc>
              <w:tc>
                <w:tcPr>
                  <w:tcW w:w="1140" w:type="pct"/>
                  <w:vAlign w:val="center"/>
                </w:tcPr>
                <w:p w14:paraId="64ACC142">
                  <w:pPr>
                    <w:pStyle w:val="60"/>
                    <w:pageBreakBefore w:val="0"/>
                    <w:wordWrap w:val="0"/>
                    <w:topLinePunct w:val="0"/>
                    <w:bidi w:val="0"/>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本项目情况</w:t>
                  </w:r>
                </w:p>
              </w:tc>
            </w:tr>
            <w:tr w14:paraId="2A2A3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Align w:val="center"/>
                </w:tcPr>
                <w:p w14:paraId="5EC4C78F">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VOCs物料储存</w:t>
                  </w:r>
                </w:p>
              </w:tc>
              <w:tc>
                <w:tcPr>
                  <w:tcW w:w="3297" w:type="pct"/>
                  <w:vAlign w:val="center"/>
                </w:tcPr>
                <w:p w14:paraId="3D917B68">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物料应储存于密闭的容器、储罐、储库、料仓中；盛装VOCs物料的容器应存放于室内，或者存放于设置有雨棚、遮阳和防渗设施的专用场地。盛装VOCs物料的容器或包装袋在非取用状态时应加盖、封口，保持密闭；VOCs物料储罐应当密封良好；VOCs物料储库、料仓应满足3.7条对密闭空间的要求</w:t>
                  </w:r>
                </w:p>
              </w:tc>
              <w:tc>
                <w:tcPr>
                  <w:tcW w:w="1140" w:type="pct"/>
                  <w:vAlign w:val="center"/>
                </w:tcPr>
                <w:p w14:paraId="5E7311F4">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塑料粒常温常压下无挥发性，用编织袋包装加密封包装袋储存，符合要求。</w:t>
                  </w:r>
                </w:p>
              </w:tc>
            </w:tr>
            <w:tr w14:paraId="2AC70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restart"/>
                  <w:vAlign w:val="center"/>
                </w:tcPr>
                <w:p w14:paraId="36967B5F">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VOCs物料转移和输送</w:t>
                  </w:r>
                </w:p>
              </w:tc>
              <w:tc>
                <w:tcPr>
                  <w:tcW w:w="3297" w:type="pct"/>
                  <w:vAlign w:val="center"/>
                </w:tcPr>
                <w:p w14:paraId="1B329444">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液态VOCs物料应采用管道密闭输送。采用非管道输送方式转移液态VOCs物料时，应采用密闭容器、罐车。</w:t>
                  </w:r>
                </w:p>
              </w:tc>
              <w:tc>
                <w:tcPr>
                  <w:tcW w:w="1140" w:type="pct"/>
                  <w:vAlign w:val="center"/>
                </w:tcPr>
                <w:p w14:paraId="72E3E0DD">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项目不使用液体VOCs物料</w:t>
                  </w:r>
                </w:p>
              </w:tc>
            </w:tr>
            <w:tr w14:paraId="07BA4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continue"/>
                  <w:vAlign w:val="center"/>
                </w:tcPr>
                <w:p w14:paraId="0287647F">
                  <w:pPr>
                    <w:pStyle w:val="60"/>
                    <w:pageBreakBefore w:val="0"/>
                    <w:wordWrap w:val="0"/>
                    <w:topLinePunct w:val="0"/>
                    <w:bidi w:val="0"/>
                    <w:jc w:val="center"/>
                    <w:rPr>
                      <w:rFonts w:hint="default" w:ascii="Times New Roman" w:hAnsi="Times New Roman" w:cs="Times New Roman"/>
                      <w:color w:val="auto"/>
                      <w:sz w:val="21"/>
                      <w:szCs w:val="21"/>
                      <w:highlight w:val="none"/>
                    </w:rPr>
                  </w:pPr>
                </w:p>
              </w:tc>
              <w:tc>
                <w:tcPr>
                  <w:tcW w:w="3297" w:type="pct"/>
                  <w:vAlign w:val="center"/>
                </w:tcPr>
                <w:p w14:paraId="39D9AB14">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粉状、粒状VOCs物料应采用气力输送设备、管状带式输送机、螺旋输送机等密闭输送方式，或者采用密闭的包装袋、容器或罐车进行物料转移。</w:t>
                  </w:r>
                </w:p>
              </w:tc>
              <w:tc>
                <w:tcPr>
                  <w:tcW w:w="1140" w:type="pct"/>
                  <w:vAlign w:val="center"/>
                </w:tcPr>
                <w:p w14:paraId="46F7A8E3">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粒状VOCs物料采用包装袋密封，符合要求。</w:t>
                  </w:r>
                </w:p>
              </w:tc>
            </w:tr>
            <w:tr w14:paraId="464BC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restart"/>
                  <w:vAlign w:val="center"/>
                </w:tcPr>
                <w:p w14:paraId="44BFCF8A">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工艺过程VOCs无组织排放</w:t>
                  </w:r>
                </w:p>
              </w:tc>
              <w:tc>
                <w:tcPr>
                  <w:tcW w:w="3297" w:type="pct"/>
                  <w:vAlign w:val="center"/>
                </w:tcPr>
                <w:p w14:paraId="5CE482BD">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涉VOCs物料的化工生产过程：无法密闭投加的，应在密闭空间内操作，或进行局部气体收集，废气应排至VOCs废气收集处理系统。</w:t>
                  </w:r>
                </w:p>
              </w:tc>
              <w:tc>
                <w:tcPr>
                  <w:tcW w:w="1140" w:type="pct"/>
                  <w:vMerge w:val="restart"/>
                  <w:vAlign w:val="center"/>
                </w:tcPr>
                <w:p w14:paraId="61B98399">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本项目有机废气经</w:t>
                  </w:r>
                  <w:r>
                    <w:rPr>
                      <w:rFonts w:hint="default" w:ascii="Times New Roman" w:hAnsi="Times New Roman" w:cs="Times New Roman"/>
                      <w:color w:val="auto"/>
                      <w:sz w:val="21"/>
                      <w:szCs w:val="21"/>
                      <w:highlight w:val="none"/>
                      <w:lang w:val="en-US" w:eastAsia="zh-CN"/>
                    </w:rPr>
                    <w:t>密闭车间整体换风收集</w:t>
                  </w:r>
                  <w:r>
                    <w:rPr>
                      <w:rFonts w:hint="default" w:ascii="Times New Roman" w:hAnsi="Times New Roman" w:cs="Times New Roman"/>
                      <w:color w:val="auto"/>
                      <w:highlight w:val="none"/>
                      <w:lang w:val="en-US" w:eastAsia="zh-CN"/>
                    </w:rPr>
                    <w:t>后</w:t>
                  </w:r>
                  <w:r>
                    <w:rPr>
                      <w:rFonts w:hint="default" w:ascii="Times New Roman" w:hAnsi="Times New Roman" w:cs="Times New Roman"/>
                      <w:color w:val="auto"/>
                      <w:sz w:val="21"/>
                      <w:szCs w:val="21"/>
                      <w:highlight w:val="none"/>
                    </w:rPr>
                    <w:t>，采用“二级活性炭吸附装置”处理，符合要求。</w:t>
                  </w:r>
                </w:p>
              </w:tc>
            </w:tr>
            <w:tr w14:paraId="6C326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continue"/>
                  <w:vAlign w:val="center"/>
                </w:tcPr>
                <w:p w14:paraId="6D77A355">
                  <w:pPr>
                    <w:pStyle w:val="60"/>
                    <w:pageBreakBefore w:val="0"/>
                    <w:wordWrap w:val="0"/>
                    <w:topLinePunct w:val="0"/>
                    <w:bidi w:val="0"/>
                    <w:jc w:val="center"/>
                    <w:rPr>
                      <w:rFonts w:hint="default" w:ascii="Times New Roman" w:hAnsi="Times New Roman" w:cs="Times New Roman"/>
                      <w:color w:val="auto"/>
                      <w:sz w:val="21"/>
                      <w:szCs w:val="21"/>
                      <w:highlight w:val="none"/>
                    </w:rPr>
                  </w:pPr>
                </w:p>
              </w:tc>
              <w:tc>
                <w:tcPr>
                  <w:tcW w:w="3297" w:type="pct"/>
                  <w:vAlign w:val="center"/>
                </w:tcPr>
                <w:p w14:paraId="27BC3359">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含VOCs产品的使用过程：</w:t>
                  </w:r>
                </w:p>
                <w:p w14:paraId="492AE8F6">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1、调配、涂装、印刷、粘结、印染、干燥、清洗等过程中使用VOCs含量大于等于10%的产品，其使用过程应采用密闭设备或在密闭空间内操作，或采取局部气体收集措施；废气应排至VOCs废气收集处理系统。</w:t>
                  </w:r>
                </w:p>
                <w:p w14:paraId="3D80519C">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有机聚合物产品用于制品生产的过程，在混合/混炼、塑炼/塑化/熔化、加工成型（挤出、注射、压制、压延、发泡、纺丝等）等作业中应采用密闭设备或在密闭空间内操作，废气应排至VOCs废气收集处理系统；无法密闭的，应当采取局部气体收集措施，废气应排至VOCs废气收集处理系统。</w:t>
                  </w:r>
                </w:p>
              </w:tc>
              <w:tc>
                <w:tcPr>
                  <w:tcW w:w="1140" w:type="pct"/>
                  <w:vMerge w:val="continue"/>
                  <w:vAlign w:val="center"/>
                </w:tcPr>
                <w:p w14:paraId="185FE85B">
                  <w:pPr>
                    <w:pStyle w:val="60"/>
                    <w:pageBreakBefore w:val="0"/>
                    <w:wordWrap w:val="0"/>
                    <w:topLinePunct w:val="0"/>
                    <w:bidi w:val="0"/>
                    <w:jc w:val="center"/>
                    <w:rPr>
                      <w:rFonts w:hint="default" w:ascii="Times New Roman" w:hAnsi="Times New Roman" w:cs="Times New Roman"/>
                      <w:color w:val="auto"/>
                      <w:sz w:val="21"/>
                      <w:szCs w:val="21"/>
                      <w:highlight w:val="none"/>
                    </w:rPr>
                  </w:pPr>
                </w:p>
              </w:tc>
            </w:tr>
            <w:tr w14:paraId="33DA8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continue"/>
                  <w:vAlign w:val="center"/>
                </w:tcPr>
                <w:p w14:paraId="21517D62">
                  <w:pPr>
                    <w:pStyle w:val="60"/>
                    <w:pageBreakBefore w:val="0"/>
                    <w:wordWrap w:val="0"/>
                    <w:topLinePunct w:val="0"/>
                    <w:bidi w:val="0"/>
                    <w:jc w:val="center"/>
                    <w:rPr>
                      <w:rFonts w:hint="default" w:ascii="Times New Roman" w:hAnsi="Times New Roman" w:cs="Times New Roman"/>
                      <w:color w:val="auto"/>
                      <w:sz w:val="21"/>
                      <w:szCs w:val="21"/>
                      <w:highlight w:val="none"/>
                    </w:rPr>
                  </w:pPr>
                </w:p>
              </w:tc>
              <w:tc>
                <w:tcPr>
                  <w:tcW w:w="3297" w:type="pct"/>
                  <w:vAlign w:val="center"/>
                </w:tcPr>
                <w:p w14:paraId="3565460A">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其他要求：</w:t>
                  </w:r>
                </w:p>
                <w:p w14:paraId="08D1DFC1">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企业应建立台账，记录含VOCs原辅材料和含VOCs产品的名称、使用量、回收量、废气量、去向以及VOCs含量等信息。台账保存期限不少于3年。通风生产设备、操作工位、车间厂房等应在符合安全生产、职业卫生相关规定的前提下，根据行业作业规程与标准、工业建筑及洁净厂房通风设计规范等的要求，采用合理的通风量。载有VOCs物料的设备及其管道在开停工（车）、检维修和清洗时，应当在退料阶段将残存物料退净，并用密闭容器盛装，退料过程废气应当排至VOCs废气收集处理系统；清洗及吹扫过程排气应当排至VOCs废气收集处理系统。工艺过程产生的含VOCs废料（渣、液）应按要求进行储存、转移和输送。盛装过VOCs物料的废包装容器应加盖密闭。</w:t>
                  </w:r>
                </w:p>
              </w:tc>
              <w:tc>
                <w:tcPr>
                  <w:tcW w:w="1140" w:type="pct"/>
                  <w:vAlign w:val="center"/>
                </w:tcPr>
                <w:p w14:paraId="4D9F2965">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建立台账记录原料出入库情况；危险废物设置危废暂存间储存，</w:t>
                  </w:r>
                  <w:r>
                    <w:rPr>
                      <w:rFonts w:hint="default" w:ascii="Times New Roman" w:hAnsi="Times New Roman" w:cs="Times New Roman"/>
                      <w:color w:val="auto"/>
                      <w:sz w:val="21"/>
                      <w:szCs w:val="21"/>
                      <w:highlight w:val="none"/>
                      <w:lang w:val="zh-CN"/>
                    </w:rPr>
                    <w:t>委托具有危险废物处理资质的单位处理</w:t>
                  </w:r>
                  <w:r>
                    <w:rPr>
                      <w:rFonts w:hint="default" w:ascii="Times New Roman" w:hAnsi="Times New Roman" w:cs="Times New Roman"/>
                      <w:color w:val="auto"/>
                      <w:sz w:val="21"/>
                      <w:szCs w:val="21"/>
                      <w:highlight w:val="none"/>
                    </w:rPr>
                    <w:t>，符合要求。</w:t>
                  </w:r>
                </w:p>
              </w:tc>
            </w:tr>
            <w:tr w14:paraId="36B94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6" w:hRule="atLeast"/>
              </w:trPr>
              <w:tc>
                <w:tcPr>
                  <w:tcW w:w="561" w:type="pct"/>
                  <w:vAlign w:val="center"/>
                </w:tcPr>
                <w:p w14:paraId="71AC982C">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VOCs无组织废气收集处理系统</w:t>
                  </w:r>
                </w:p>
              </w:tc>
              <w:tc>
                <w:tcPr>
                  <w:tcW w:w="3297" w:type="pct"/>
                  <w:vAlign w:val="center"/>
                </w:tcPr>
                <w:p w14:paraId="3A0E20B5">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废气收集系统要求：</w:t>
                  </w:r>
                </w:p>
                <w:p w14:paraId="5A937E37">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1、企业应当考虑生产工艺、操作方式、废气性质、处理方法等因素，对VOCs废气进行分类收集。</w:t>
                  </w:r>
                </w:p>
                <w:p w14:paraId="3369CD7F">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2、废气收集系统排风罩（集气罩）的设置应当符合GB/T 16758的规定。采用外部排风罩的，应当按GB/T16758、 WS/T757—2016 规定的方法测量控制风速，测量点应当选取在距排风罩开口面最远处的VOCs无组织排放位置，控制风速不应当低于0.3m/s （行业相关规范有具体规定的，按相关规定执行）。</w:t>
                  </w:r>
                </w:p>
                <w:p w14:paraId="3B5D8029">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废气收集系统的输送管道应当密闭。废气收集系统应当在负压下运行，若处于正压状态，应当对输送管道组件的密封点进行泄漏检测，泄漏检测值不应当超过500μmol/mol，亦不应当有感官可察觉排放。泄漏检测频次、修复与记录的要求按5.5规定执行。</w:t>
                  </w:r>
                </w:p>
              </w:tc>
              <w:tc>
                <w:tcPr>
                  <w:tcW w:w="1140" w:type="pct"/>
                  <w:vAlign w:val="center"/>
                </w:tcPr>
                <w:p w14:paraId="22D4F515">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本项目有机废气经</w:t>
                  </w:r>
                  <w:r>
                    <w:rPr>
                      <w:rFonts w:hint="default" w:ascii="Times New Roman" w:hAnsi="Times New Roman" w:cs="Times New Roman"/>
                      <w:color w:val="auto"/>
                      <w:sz w:val="21"/>
                      <w:szCs w:val="21"/>
                      <w:highlight w:val="none"/>
                      <w:lang w:val="en-US" w:eastAsia="zh-CN"/>
                    </w:rPr>
                    <w:t>密闭车间整体换风收集</w:t>
                  </w:r>
                  <w:r>
                    <w:rPr>
                      <w:rFonts w:hint="default" w:ascii="Times New Roman" w:hAnsi="Times New Roman" w:cs="Times New Roman"/>
                      <w:color w:val="auto"/>
                      <w:sz w:val="21"/>
                      <w:szCs w:val="21"/>
                      <w:highlight w:val="none"/>
                    </w:rPr>
                    <w:t>，符合要求；</w:t>
                  </w:r>
                </w:p>
                <w:p w14:paraId="05132A13">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rPr>
                  </w:pPr>
                </w:p>
              </w:tc>
            </w:tr>
            <w:tr w14:paraId="691A8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Align w:val="center"/>
                </w:tcPr>
                <w:p w14:paraId="721BA1D3">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企业厂区内及周边污染监控要求</w:t>
                  </w:r>
                </w:p>
              </w:tc>
              <w:tc>
                <w:tcPr>
                  <w:tcW w:w="3297" w:type="pct"/>
                  <w:vAlign w:val="center"/>
                </w:tcPr>
                <w:p w14:paraId="45FD6D64">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1、企业厂区内无组织排放监控点浓度应当执行表3规定的限值。</w:t>
                  </w:r>
                </w:p>
                <w:p w14:paraId="4F9818EE">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2、企业边界无组织排放监控点浓度应当执行表4规定的限值。</w:t>
                  </w:r>
                </w:p>
              </w:tc>
              <w:tc>
                <w:tcPr>
                  <w:tcW w:w="1140" w:type="pct"/>
                  <w:vAlign w:val="center"/>
                </w:tcPr>
                <w:p w14:paraId="70D0A4B8">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4E0829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restart"/>
                  <w:vAlign w:val="center"/>
                </w:tcPr>
                <w:p w14:paraId="27EF70F5">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污染物监测要求</w:t>
                  </w:r>
                </w:p>
              </w:tc>
              <w:tc>
                <w:tcPr>
                  <w:tcW w:w="3297" w:type="pct"/>
                  <w:vAlign w:val="center"/>
                </w:tcPr>
                <w:p w14:paraId="645792BE">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一般要求：</w:t>
                  </w:r>
                </w:p>
                <w:p w14:paraId="6DF86054">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1、对企业排放的废气采样，应当根据监测污染物的种类，在规定的污染物排放监控位置进行。有废气处理设施的，应当在处理设施后监控。</w:t>
                  </w:r>
                </w:p>
                <w:p w14:paraId="1BE15A77">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2、对于竣工环境保护验收的监测，采样期间的工况原则上不应当低于设计工况的75%。对于监督性监测，不受工况和生产负荷限制。</w:t>
                  </w:r>
                </w:p>
              </w:tc>
              <w:tc>
                <w:tcPr>
                  <w:tcW w:w="1140" w:type="pct"/>
                  <w:vMerge w:val="restart"/>
                  <w:vAlign w:val="center"/>
                </w:tcPr>
                <w:p w14:paraId="53F8DD14">
                  <w:pPr>
                    <w:pStyle w:val="60"/>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本评价要求企业按监测要求开展自行监测</w:t>
                  </w:r>
                </w:p>
              </w:tc>
            </w:tr>
            <w:tr w14:paraId="1212B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continue"/>
                  <w:vAlign w:val="center"/>
                </w:tcPr>
                <w:p w14:paraId="44FB97B0">
                  <w:pPr>
                    <w:pStyle w:val="60"/>
                    <w:pageBreakBefore w:val="0"/>
                    <w:wordWrap w:val="0"/>
                    <w:topLinePunct w:val="0"/>
                    <w:bidi w:val="0"/>
                    <w:jc w:val="center"/>
                    <w:rPr>
                      <w:rFonts w:hint="default" w:ascii="Times New Roman" w:hAnsi="Times New Roman" w:cs="Times New Roman"/>
                      <w:color w:val="auto"/>
                      <w:sz w:val="21"/>
                      <w:szCs w:val="21"/>
                      <w:highlight w:val="none"/>
                    </w:rPr>
                  </w:pPr>
                </w:p>
              </w:tc>
              <w:tc>
                <w:tcPr>
                  <w:tcW w:w="3297" w:type="pct"/>
                  <w:vAlign w:val="center"/>
                </w:tcPr>
                <w:p w14:paraId="15667E27">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有组织排放监测要求：</w:t>
                  </w:r>
                </w:p>
                <w:p w14:paraId="1E6681FC">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1、企业 应当按照环境监测管理规定和技术规范的要求，设计、建设、维护永久性采样口、采样测试平台，按照排污口规范化要求设置排污口标志。</w:t>
                  </w:r>
                </w:p>
                <w:p w14:paraId="32F54C13">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2、排气筒中大气污染物的监测采样按GB/T16157、HJ 732、HJ/T373、 HJ/T397和国家有关规定执行。</w:t>
                  </w:r>
                </w:p>
              </w:tc>
              <w:tc>
                <w:tcPr>
                  <w:tcW w:w="1140" w:type="pct"/>
                  <w:vMerge w:val="continue"/>
                  <w:vAlign w:val="center"/>
                </w:tcPr>
                <w:p w14:paraId="72872C4F">
                  <w:pPr>
                    <w:pStyle w:val="60"/>
                    <w:pageBreakBefore w:val="0"/>
                    <w:wordWrap w:val="0"/>
                    <w:topLinePunct w:val="0"/>
                    <w:bidi w:val="0"/>
                    <w:jc w:val="center"/>
                    <w:rPr>
                      <w:rFonts w:hint="default" w:ascii="Times New Roman" w:hAnsi="Times New Roman" w:cs="Times New Roman"/>
                      <w:color w:val="auto"/>
                      <w:sz w:val="21"/>
                      <w:szCs w:val="21"/>
                      <w:highlight w:val="none"/>
                    </w:rPr>
                  </w:pPr>
                </w:p>
              </w:tc>
            </w:tr>
            <w:tr w14:paraId="70814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1" w:type="pct"/>
                  <w:vMerge w:val="continue"/>
                  <w:vAlign w:val="center"/>
                </w:tcPr>
                <w:p w14:paraId="7170C411">
                  <w:pPr>
                    <w:pStyle w:val="60"/>
                    <w:pageBreakBefore w:val="0"/>
                    <w:wordWrap w:val="0"/>
                    <w:topLinePunct w:val="0"/>
                    <w:bidi w:val="0"/>
                    <w:jc w:val="center"/>
                    <w:rPr>
                      <w:rFonts w:hint="default" w:ascii="Times New Roman" w:hAnsi="Times New Roman" w:cs="Times New Roman"/>
                      <w:color w:val="auto"/>
                      <w:sz w:val="21"/>
                      <w:szCs w:val="21"/>
                      <w:highlight w:val="none"/>
                    </w:rPr>
                  </w:pPr>
                </w:p>
              </w:tc>
              <w:tc>
                <w:tcPr>
                  <w:tcW w:w="3297" w:type="pct"/>
                  <w:vAlign w:val="center"/>
                </w:tcPr>
                <w:p w14:paraId="0B43435E">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无组织排放监测要求：</w:t>
                  </w:r>
                </w:p>
                <w:p w14:paraId="7B925A78">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1、对于挥发性有机液体储罐、挥发性有机液体装载设施以及废气收集处理系统的VOCs排放，监测采样和测定方法按GB/T16157、HJ/T397、HJ732 和HJ38的规定执行。对于储罐呼吸排气等排放强度周期性波动的污染源，污染物排放监测时段应当涵盖其排放强度大的时段。</w:t>
                  </w:r>
                </w:p>
                <w:p w14:paraId="4D836569">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2、对于设备与管线组件泄漏、敞开液面逸散的VOCs排放，监测采样和测定方法按HJ733的规定执行，采用氢火焰离子化检测仪（ 以甲烷或者丙烷为校准气体）。对于循环冷却水中总有机碳(TOC) ，测定方法按HJ501的规定执行。</w:t>
                  </w:r>
                </w:p>
                <w:p w14:paraId="754ADB8C">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对厂区内VOCs无组织排放进行监测时，在厂房门窗或者通风口、其他开口（孔）等排放口外1m，距离地面1.5m以上位置处进行监测。若厂房不完整（如有顶无围墙），则在操作工位下风向1m，距离地面1.5m以上位置处进行监测。</w:t>
                  </w:r>
                </w:p>
                <w:p w14:paraId="159CED36">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厂区内NMHC任何1小时平均浓度的监测采用HJ604规定的方法，以连续1小时采样获取平均值，或者在1小时内以等时间间隔采集3～4个样品计平均值。厂区内NMHC任意一次浓度值的监测，按便携式监测仪器相关规定执行。</w:t>
                  </w:r>
                </w:p>
                <w:p w14:paraId="2D92E291">
                  <w:pPr>
                    <w:pStyle w:val="60"/>
                    <w:pageBreakBefore w:val="0"/>
                    <w:wordWrap w:val="0"/>
                    <w:topLinePunct w:val="0"/>
                    <w:bidi w:val="0"/>
                    <w:jc w:val="left"/>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5、企业边界挥发性有机物监测按HJ/T55、194的规定执行。</w:t>
                  </w:r>
                </w:p>
              </w:tc>
              <w:tc>
                <w:tcPr>
                  <w:tcW w:w="1140" w:type="pct"/>
                  <w:vMerge w:val="continue"/>
                  <w:vAlign w:val="center"/>
                </w:tcPr>
                <w:p w14:paraId="1725552C">
                  <w:pPr>
                    <w:pStyle w:val="60"/>
                    <w:pageBreakBefore w:val="0"/>
                    <w:wordWrap w:val="0"/>
                    <w:topLinePunct w:val="0"/>
                    <w:bidi w:val="0"/>
                    <w:jc w:val="center"/>
                    <w:rPr>
                      <w:rFonts w:hint="default" w:ascii="Times New Roman" w:hAnsi="Times New Roman" w:cs="Times New Roman"/>
                      <w:color w:val="auto"/>
                      <w:sz w:val="21"/>
                      <w:szCs w:val="21"/>
                      <w:highlight w:val="none"/>
                    </w:rPr>
                  </w:pPr>
                </w:p>
              </w:tc>
            </w:tr>
          </w:tbl>
          <w:p w14:paraId="6043DF5B">
            <w:pPr>
              <w:pStyle w:val="7"/>
              <w:pageBreakBefore w:val="0"/>
              <w:wordWrap w:val="0"/>
              <w:topLinePunct w:val="0"/>
              <w:bidi w:val="0"/>
              <w:ind w:firstLine="480"/>
              <w:rPr>
                <w:rFonts w:hint="default" w:ascii="Times New Roman" w:hAnsi="Times New Roman" w:cs="Times New Roman"/>
                <w:color w:val="auto"/>
                <w:sz w:val="24"/>
                <w:szCs w:val="28"/>
                <w:highlight w:val="none"/>
              </w:rPr>
            </w:pPr>
          </w:p>
        </w:tc>
      </w:tr>
    </w:tbl>
    <w:p w14:paraId="75964BB9">
      <w:pPr>
        <w:pStyle w:val="3"/>
        <w:pageBreakBefore w:val="0"/>
        <w:numPr>
          <w:ilvl w:val="0"/>
          <w:numId w:val="0"/>
        </w:numPr>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br w:type="page"/>
      </w:r>
      <w:bookmarkStart w:id="11" w:name="_Toc24796"/>
      <w:bookmarkStart w:id="12" w:name="_Toc13460"/>
      <w:bookmarkStart w:id="13" w:name="_Toc25936"/>
      <w:r>
        <w:rPr>
          <w:rFonts w:hint="default" w:ascii="Times New Roman" w:hAnsi="Times New Roman" w:cs="Times New Roman"/>
          <w:color w:val="auto"/>
          <w:highlight w:val="none"/>
        </w:rPr>
        <w:t>二、建设项目工程分析</w:t>
      </w:r>
      <w:bookmarkEnd w:id="11"/>
      <w:bookmarkEnd w:id="12"/>
      <w:bookmarkEnd w:id="13"/>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73"/>
      </w:tblGrid>
      <w:tr w14:paraId="41BCF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0727F5CE">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14" w:name="_Toc28930"/>
            <w:bookmarkStart w:id="15" w:name="_Toc23802"/>
            <w:bookmarkStart w:id="16" w:name="_Toc1786"/>
            <w:bookmarkStart w:id="17" w:name="_Toc28166"/>
            <w:bookmarkStart w:id="18" w:name="_Toc12660"/>
            <w:r>
              <w:rPr>
                <w:rFonts w:hint="default" w:ascii="Times New Roman" w:hAnsi="Times New Roman" w:cs="Times New Roman"/>
                <w:color w:val="auto"/>
                <w:highlight w:val="none"/>
              </w:rPr>
              <w:t>建设内容</w:t>
            </w:r>
            <w:bookmarkEnd w:id="14"/>
            <w:bookmarkEnd w:id="15"/>
            <w:bookmarkEnd w:id="16"/>
            <w:bookmarkEnd w:id="17"/>
            <w:bookmarkEnd w:id="18"/>
          </w:p>
        </w:tc>
        <w:tc>
          <w:tcPr>
            <w:tcW w:w="4733" w:type="pct"/>
          </w:tcPr>
          <w:p w14:paraId="064DEDE5">
            <w:pPr>
              <w:keepNext/>
              <w:keepLines/>
              <w:pageBreakBefore w:val="0"/>
              <w:tabs>
                <w:tab w:val="left" w:pos="0"/>
              </w:tabs>
              <w:wordWrap w:val="0"/>
              <w:topLinePunct w:val="0"/>
              <w:bidi w:val="0"/>
              <w:ind w:left="-2" w:firstLine="480" w:firstLineChars="200"/>
              <w:jc w:val="left"/>
              <w:outlineLvl w:val="2"/>
              <w:rPr>
                <w:rFonts w:hint="default" w:ascii="Times New Roman" w:hAnsi="Times New Roman" w:cs="Times New Roman"/>
                <w:b/>
                <w:color w:val="auto"/>
                <w:highlight w:val="none"/>
              </w:rPr>
            </w:pPr>
            <w:r>
              <w:rPr>
                <w:rFonts w:hint="default" w:ascii="Times New Roman" w:hAnsi="Times New Roman" w:cs="Times New Roman"/>
                <w:b/>
                <w:color w:val="auto"/>
                <w:highlight w:val="none"/>
              </w:rPr>
              <w:t>一、项目由来</w:t>
            </w:r>
          </w:p>
          <w:p w14:paraId="18209815">
            <w:pPr>
              <w:pageBreakBefore w:val="0"/>
              <w:widowControl/>
              <w:wordWrap w:val="0"/>
              <w:topLinePunct w:val="0"/>
              <w:bidi w:val="0"/>
              <w:ind w:firstLine="480" w:firstLineChars="200"/>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kern w:val="0"/>
                <w:sz w:val="24"/>
                <w:szCs w:val="24"/>
                <w:highlight w:val="none"/>
                <w:lang w:val="en-US" w:eastAsia="zh-CN" w:bidi="ar"/>
              </w:rPr>
              <w:t>吉特电器(韶关)有限公司</w:t>
            </w:r>
            <w:r>
              <w:rPr>
                <w:rFonts w:hint="default" w:ascii="Times New Roman" w:hAnsi="Times New Roman" w:cs="Times New Roman"/>
                <w:color w:val="auto"/>
                <w:highlight w:val="none"/>
              </w:rPr>
              <w:t>（以下简称“建设单位”）</w:t>
            </w:r>
            <w:r>
              <w:rPr>
                <w:rFonts w:hint="default" w:ascii="Times New Roman" w:hAnsi="Times New Roman" w:cs="Times New Roman"/>
                <w:color w:val="auto"/>
                <w:sz w:val="24"/>
                <w:highlight w:val="none"/>
                <w:u w:val="none"/>
                <w:lang w:val="en-US" w:eastAsia="zh-CN"/>
              </w:rPr>
              <w:t>于2025年1月向乐昌市发展改革局申请办理了《广东省技企业投资项目备案证》，备案项目名称：“</w:t>
            </w:r>
            <w:r>
              <w:rPr>
                <w:rFonts w:hint="default" w:ascii="Times New Roman" w:hAnsi="Times New Roman" w:cs="Times New Roman"/>
                <w:color w:val="auto"/>
                <w:highlight w:val="none"/>
                <w:u w:val="none"/>
              </w:rPr>
              <w:t>吉特公司年产1000万套塑料壳/注塑自动化生产线新建项目</w:t>
            </w:r>
            <w:r>
              <w:rPr>
                <w:rFonts w:hint="default" w:ascii="Times New Roman" w:hAnsi="Times New Roman" w:cs="Times New Roman"/>
                <w:color w:val="auto"/>
                <w:sz w:val="24"/>
                <w:highlight w:val="none"/>
                <w:u w:val="none"/>
                <w:lang w:val="en-US" w:eastAsia="zh-CN"/>
              </w:rPr>
              <w:t>”，由于本项目立项阶段以“</w:t>
            </w:r>
            <w:r>
              <w:rPr>
                <w:rFonts w:hint="default" w:ascii="Times New Roman" w:hAnsi="Times New Roman" w:cs="Times New Roman"/>
                <w:color w:val="auto"/>
                <w:highlight w:val="none"/>
                <w:u w:val="none"/>
              </w:rPr>
              <w:t>吉特公司年产1000万套塑料壳/注塑自动化生产线新建项目</w:t>
            </w:r>
            <w:r>
              <w:rPr>
                <w:rFonts w:hint="default" w:ascii="Times New Roman" w:hAnsi="Times New Roman" w:cs="Times New Roman"/>
                <w:color w:val="auto"/>
                <w:sz w:val="24"/>
                <w:highlight w:val="none"/>
                <w:u w:val="none"/>
                <w:lang w:val="en-US" w:eastAsia="zh-CN"/>
              </w:rPr>
              <w:t>”项目名称完成备案登记，现已无法变更项目名称，为确保建设项目手续的合法性与延续性，现依照已核准备案的项目开展后续环评编制工作。</w:t>
            </w:r>
          </w:p>
          <w:p w14:paraId="5AFCB23B">
            <w:pPr>
              <w:pageBreakBefore w:val="0"/>
              <w:widowControl/>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highlight w:val="none"/>
                <w:u w:val="none"/>
                <w:lang w:val="en-US" w:eastAsia="zh-CN"/>
              </w:rPr>
              <w:t>建设单位</w:t>
            </w:r>
            <w:r>
              <w:rPr>
                <w:rFonts w:hint="default" w:ascii="Times New Roman" w:hAnsi="Times New Roman" w:cs="Times New Roman"/>
                <w:color w:val="auto"/>
                <w:highlight w:val="none"/>
              </w:rPr>
              <w:t>拟于</w:t>
            </w:r>
            <w:r>
              <w:rPr>
                <w:rFonts w:hint="default" w:ascii="Times New Roman" w:hAnsi="Times New Roman" w:cs="Times New Roman"/>
                <w:bCs/>
                <w:color w:val="auto"/>
                <w:sz w:val="24"/>
                <w:highlight w:val="none"/>
                <w:lang w:eastAsia="zh-CN"/>
              </w:rPr>
              <w:t>韶关市乐昌市廊田镇乐园大道22号（3号厂房）</w:t>
            </w:r>
            <w:r>
              <w:rPr>
                <w:rFonts w:hint="default" w:ascii="Times New Roman" w:hAnsi="Times New Roman" w:cs="Times New Roman"/>
                <w:color w:val="auto"/>
                <w:kern w:val="0"/>
                <w:highlight w:val="none"/>
                <w:lang w:bidi="ar"/>
              </w:rPr>
              <w:t>，投资</w:t>
            </w:r>
            <w:r>
              <w:rPr>
                <w:rFonts w:hint="default" w:ascii="Times New Roman" w:hAnsi="Times New Roman" w:cs="Times New Roman"/>
                <w:color w:val="auto"/>
                <w:highlight w:val="none"/>
              </w:rPr>
              <w:t>建设“</w:t>
            </w:r>
            <w:r>
              <w:rPr>
                <w:rFonts w:hint="default" w:ascii="Times New Roman" w:hAnsi="Times New Roman" w:cs="Times New Roman"/>
                <w:color w:val="auto"/>
                <w:highlight w:val="none"/>
                <w:u w:val="none"/>
              </w:rPr>
              <w:t>吉特公司年产1000万套塑料壳/注塑自动化生产线新建项目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以下简称“本项目”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w:t>
            </w:r>
          </w:p>
          <w:p w14:paraId="3B73AF2D">
            <w:pPr>
              <w:pageBreakBefore w:val="0"/>
              <w:widowControl/>
              <w:wordWrap w:val="0"/>
              <w:topLinePunct w:val="0"/>
              <w:bidi w:val="0"/>
              <w:ind w:firstLine="48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rPr>
              <w:t>本项目总占地面积约</w:t>
            </w:r>
            <w:r>
              <w:rPr>
                <w:rFonts w:hint="default" w:ascii="Times New Roman" w:hAnsi="Times New Roman" w:cs="Times New Roman"/>
                <w:color w:val="auto"/>
                <w:kern w:val="24"/>
                <w:highlight w:val="none"/>
                <w:lang w:val="en-US" w:eastAsia="zh-CN"/>
              </w:rPr>
              <w:t>1395.30</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，总建筑面积</w:t>
            </w:r>
            <w:r>
              <w:rPr>
                <w:rFonts w:hint="default" w:ascii="Times New Roman" w:hAnsi="Times New Roman" w:cs="Times New Roman"/>
                <w:color w:val="auto"/>
                <w:kern w:val="24"/>
                <w:highlight w:val="none"/>
                <w:lang w:val="en-US" w:eastAsia="zh-CN"/>
              </w:rPr>
              <w:t>7079.24</w:t>
            </w:r>
            <w:r>
              <w:rPr>
                <w:rFonts w:hint="default" w:ascii="Times New Roman" w:hAnsi="Times New Roman" w:cs="Times New Roman"/>
                <w:color w:val="auto"/>
                <w:kern w:val="24"/>
                <w:highlight w:val="none"/>
              </w:rPr>
              <w:t>m</w:t>
            </w:r>
            <w:r>
              <w:rPr>
                <w:rFonts w:hint="default" w:ascii="Times New Roman" w:hAnsi="Times New Roman" w:cs="Times New Roman"/>
                <w:color w:val="auto"/>
                <w:kern w:val="24"/>
                <w:highlight w:val="none"/>
                <w:vertAlign w:val="superscript"/>
                <w:lang w:val="en-US" w:eastAsia="zh-CN"/>
              </w:rPr>
              <w:t>2</w:t>
            </w:r>
            <w:r>
              <w:rPr>
                <w:rFonts w:hint="default" w:ascii="Times New Roman" w:hAnsi="Times New Roman" w:cs="Times New Roman"/>
                <w:color w:val="auto"/>
                <w:highlight w:val="none"/>
              </w:rPr>
              <w:t>。项目总投资</w:t>
            </w:r>
            <w:r>
              <w:rPr>
                <w:rFonts w:hint="default" w:ascii="Times New Roman" w:hAnsi="Times New Roman" w:cs="Times New Roman"/>
                <w:color w:val="auto"/>
                <w:highlight w:val="none"/>
                <w:lang w:val="en-US" w:eastAsia="zh-CN"/>
              </w:rPr>
              <w:t>600</w:t>
            </w:r>
            <w:r>
              <w:rPr>
                <w:rFonts w:hint="default" w:ascii="Times New Roman" w:hAnsi="Times New Roman" w:cs="Times New Roman"/>
                <w:color w:val="auto"/>
                <w:highlight w:val="none"/>
              </w:rPr>
              <w:t>万元，其中环保投资</w:t>
            </w:r>
            <w:r>
              <w:rPr>
                <w:rFonts w:hint="default" w:ascii="Times New Roman" w:hAnsi="Times New Roman" w:cs="Times New Roman"/>
                <w:color w:val="auto"/>
                <w:highlight w:val="none"/>
                <w:lang w:val="en-US" w:eastAsia="zh-CN"/>
              </w:rPr>
              <w:t>50</w:t>
            </w:r>
            <w:r>
              <w:rPr>
                <w:rFonts w:hint="default" w:ascii="Times New Roman" w:hAnsi="Times New Roman" w:cs="Times New Roman"/>
                <w:color w:val="auto"/>
                <w:highlight w:val="none"/>
              </w:rPr>
              <w:t>万元。项目</w:t>
            </w:r>
            <w:r>
              <w:rPr>
                <w:rFonts w:hint="default" w:ascii="Times New Roman" w:hAnsi="Times New Roman" w:cs="Times New Roman"/>
                <w:color w:val="auto"/>
                <w:highlight w:val="none"/>
                <w:lang w:val="en-US" w:eastAsia="zh-CN"/>
              </w:rPr>
              <w:t>租赁广东省利创新材料科技有限公司位于</w:t>
            </w:r>
            <w:r>
              <w:rPr>
                <w:rFonts w:hint="default" w:ascii="Times New Roman" w:hAnsi="Times New Roman" w:cs="Times New Roman"/>
                <w:bCs/>
                <w:color w:val="auto"/>
                <w:sz w:val="24"/>
                <w:highlight w:val="none"/>
                <w:lang w:eastAsia="zh-CN"/>
              </w:rPr>
              <w:t>韶关市乐昌市廊田镇乐园大道22号（3号厂房）</w:t>
            </w:r>
            <w:r>
              <w:rPr>
                <w:rFonts w:hint="default" w:ascii="Times New Roman" w:hAnsi="Times New Roman" w:cs="Times New Roman"/>
                <w:bCs/>
                <w:color w:val="auto"/>
                <w:sz w:val="24"/>
                <w:highlight w:val="none"/>
                <w:lang w:val="en-US" w:eastAsia="zh-CN"/>
              </w:rPr>
              <w:t>进行生产</w:t>
            </w:r>
            <w:r>
              <w:rPr>
                <w:rFonts w:hint="default" w:ascii="Times New Roman" w:hAnsi="Times New Roman" w:cs="Times New Roman"/>
                <w:color w:val="auto"/>
                <w:highlight w:val="none"/>
                <w:lang w:val="en-US" w:eastAsia="zh-CN"/>
              </w:rPr>
              <w:t>，主要从事</w:t>
            </w:r>
            <w:r>
              <w:rPr>
                <w:rFonts w:hint="default" w:ascii="Times New Roman" w:hAnsi="Times New Roman" w:cs="Times New Roman"/>
                <w:color w:val="auto"/>
                <w:kern w:val="0"/>
                <w:highlight w:val="none"/>
                <w:lang w:eastAsia="zh-CN" w:bidi="ar"/>
              </w:rPr>
              <w:t>塑料外壳件</w:t>
            </w:r>
            <w:r>
              <w:rPr>
                <w:rFonts w:hint="default" w:ascii="Times New Roman" w:hAnsi="Times New Roman" w:cs="Times New Roman"/>
                <w:color w:val="auto"/>
                <w:kern w:val="0"/>
                <w:highlight w:val="none"/>
                <w:lang w:val="en-US" w:eastAsia="zh-CN" w:bidi="ar"/>
              </w:rPr>
              <w:t>的</w:t>
            </w:r>
            <w:r>
              <w:rPr>
                <w:rFonts w:hint="default" w:ascii="Times New Roman" w:hAnsi="Times New Roman" w:cs="Times New Roman"/>
                <w:color w:val="auto"/>
                <w:highlight w:val="none"/>
                <w:lang w:val="en-US" w:eastAsia="zh-CN"/>
              </w:rPr>
              <w:t>生产，预计年产</w:t>
            </w:r>
            <w:r>
              <w:rPr>
                <w:rFonts w:hint="default" w:ascii="Times New Roman" w:hAnsi="Times New Roman" w:cs="Times New Roman"/>
                <w:color w:val="auto"/>
                <w:kern w:val="0"/>
                <w:highlight w:val="none"/>
                <w:lang w:bidi="ar"/>
              </w:rPr>
              <w:t>1000万</w:t>
            </w:r>
            <w:r>
              <w:rPr>
                <w:rFonts w:hint="default" w:ascii="Times New Roman" w:hAnsi="Times New Roman" w:cs="Times New Roman"/>
                <w:color w:val="auto"/>
                <w:kern w:val="0"/>
                <w:highlight w:val="none"/>
                <w:lang w:val="en-US" w:eastAsia="zh-CN" w:bidi="ar"/>
              </w:rPr>
              <w:t>个</w:t>
            </w:r>
            <w:r>
              <w:rPr>
                <w:rFonts w:hint="default" w:ascii="Times New Roman" w:hAnsi="Times New Roman" w:cs="Times New Roman"/>
                <w:color w:val="auto"/>
                <w:kern w:val="0"/>
                <w:highlight w:val="none"/>
                <w:lang w:bidi="ar"/>
              </w:rPr>
              <w:t>塑料</w:t>
            </w:r>
            <w:r>
              <w:rPr>
                <w:rFonts w:hint="default" w:ascii="Times New Roman" w:hAnsi="Times New Roman" w:cs="Times New Roman"/>
                <w:color w:val="auto"/>
                <w:kern w:val="0"/>
                <w:highlight w:val="none"/>
                <w:lang w:val="en-US" w:eastAsia="zh-CN" w:bidi="ar"/>
              </w:rPr>
              <w:t>外</w:t>
            </w:r>
            <w:r>
              <w:rPr>
                <w:rFonts w:hint="default" w:ascii="Times New Roman" w:hAnsi="Times New Roman" w:cs="Times New Roman"/>
                <w:color w:val="auto"/>
                <w:kern w:val="0"/>
                <w:highlight w:val="none"/>
                <w:lang w:bidi="ar"/>
              </w:rPr>
              <w:t>壳</w:t>
            </w:r>
            <w:r>
              <w:rPr>
                <w:rFonts w:hint="default" w:ascii="Times New Roman" w:hAnsi="Times New Roman" w:cs="Times New Roman"/>
                <w:color w:val="auto"/>
                <w:kern w:val="0"/>
                <w:highlight w:val="none"/>
                <w:lang w:val="en-US" w:eastAsia="zh-CN" w:bidi="ar"/>
              </w:rPr>
              <w:t>件</w:t>
            </w:r>
            <w:r>
              <w:rPr>
                <w:rFonts w:hint="default" w:ascii="Times New Roman" w:hAnsi="Times New Roman" w:cs="Times New Roman"/>
                <w:color w:val="auto"/>
                <w:highlight w:val="none"/>
                <w:lang w:val="en-US" w:eastAsia="zh-CN"/>
              </w:rPr>
              <w:t>。</w:t>
            </w:r>
          </w:p>
          <w:p w14:paraId="65D343E5">
            <w:pPr>
              <w:pStyle w:val="16"/>
              <w:pageBreakBefore w:val="0"/>
              <w:wordWrap w:val="0"/>
              <w:topLinePunct w:val="0"/>
              <w:bidi w:val="0"/>
              <w:ind w:firstLine="480" w:firstLineChars="200"/>
              <w:jc w:val="both"/>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本项目行业类别为C292</w:t>
            </w:r>
            <w:r>
              <w:rPr>
                <w:rFonts w:hint="default" w:ascii="Times New Roman" w:hAnsi="Times New Roman" w:cs="Times New Roman"/>
                <w:color w:val="auto"/>
                <w:szCs w:val="24"/>
                <w:highlight w:val="none"/>
                <w:lang w:val="en-US" w:eastAsia="zh-CN"/>
              </w:rPr>
              <w:t>9塑料零件及其他塑料制品制造</w:t>
            </w:r>
            <w:r>
              <w:rPr>
                <w:rFonts w:hint="default" w:ascii="Times New Roman" w:hAnsi="Times New Roman" w:cs="Times New Roman"/>
                <w:color w:val="auto"/>
                <w:szCs w:val="24"/>
                <w:highlight w:val="none"/>
              </w:rPr>
              <w:t>，根据《中华人民共和国环境影响评价法》、国务院令第682号《国务院关于修改〈建设项目环境保护管理条例〉的决定》及《建设项目环境影响评价分类管理名录》(2021年版)，本项目属于二十六、橡胶和塑料制品业29-53塑料制品业292-其他(年用非溶剂型低VOCs含量涂料10吨以下的除外)，应当编制环境影响报告表。评价单位在建设单位大力支持下，立即开展了详细的现场调查、资料收集工作，在对本项目的环境现状和可能造成的环境影响进行分析后，依照《建设项目环境影响报告表编制技术指南(污染影响类)(试行)》的要求编制了本项目环境影响报告表。</w:t>
            </w:r>
          </w:p>
          <w:p w14:paraId="3EF98337">
            <w:pPr>
              <w:pStyle w:val="5"/>
              <w:pageBreakBefore w:val="0"/>
              <w:numPr>
                <w:ilvl w:val="0"/>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二、项目内容及规模</w:t>
            </w:r>
          </w:p>
          <w:p w14:paraId="728A5411">
            <w:pPr>
              <w:pStyle w:val="6"/>
              <w:pageBreakBefore w:val="0"/>
              <w:numPr>
                <w:ilvl w:val="3"/>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1、</w:t>
            </w:r>
            <w:r>
              <w:rPr>
                <w:rFonts w:hint="default" w:ascii="Times New Roman" w:hAnsi="Times New Roman" w:cs="Times New Roman"/>
                <w:color w:val="auto"/>
                <w:highlight w:val="none"/>
              </w:rPr>
              <w:t>工程规模</w:t>
            </w:r>
          </w:p>
          <w:p w14:paraId="4DEF611C">
            <w:pPr>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bCs/>
                <w:color w:val="auto"/>
                <w:sz w:val="24"/>
                <w:highlight w:val="none"/>
                <w:lang w:val="en-US" w:eastAsia="zh-CN"/>
              </w:rPr>
              <w:t>本项目租赁位于</w:t>
            </w:r>
            <w:r>
              <w:rPr>
                <w:rFonts w:hint="default" w:ascii="Times New Roman" w:hAnsi="Times New Roman" w:cs="Times New Roman"/>
                <w:bCs/>
                <w:color w:val="auto"/>
                <w:sz w:val="24"/>
                <w:highlight w:val="none"/>
                <w:lang w:eastAsia="zh-CN"/>
              </w:rPr>
              <w:t>韶关市乐昌市廊田镇乐园大道22号（3号厂房）</w:t>
            </w:r>
            <w:r>
              <w:rPr>
                <w:rFonts w:hint="default" w:ascii="Times New Roman" w:hAnsi="Times New Roman" w:cs="Times New Roman"/>
                <w:color w:val="auto"/>
                <w:highlight w:val="none"/>
                <w:lang w:val="en-US" w:eastAsia="zh-CN"/>
              </w:rPr>
              <w:t>1栋5层厂房进行生产活动。厂区</w:t>
            </w:r>
            <w:r>
              <w:rPr>
                <w:rFonts w:hint="default" w:ascii="Times New Roman" w:hAnsi="Times New Roman" w:cs="Times New Roman"/>
                <w:color w:val="auto"/>
                <w:highlight w:val="none"/>
              </w:rPr>
              <w:t>面布置图见附图</w:t>
            </w:r>
            <w:r>
              <w:rPr>
                <w:rFonts w:hint="default" w:ascii="Times New Roman" w:hAnsi="Times New Roman" w:cs="Times New Roman"/>
                <w:color w:val="auto"/>
                <w:highlight w:val="none"/>
                <w:lang w:val="en-US" w:eastAsia="zh-CN"/>
              </w:rPr>
              <w:t>3-1~3</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zh-CN"/>
              </w:rPr>
              <w:t>工程组成见表</w:t>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val="zh-CN"/>
              </w:rPr>
              <w:t>。</w:t>
            </w:r>
          </w:p>
          <w:p w14:paraId="0F370459">
            <w:pPr>
              <w:pageBreakBefore w:val="0"/>
              <w:wordWrap w:val="0"/>
              <w:topLinePunct w:val="0"/>
              <w:bidi w:val="0"/>
              <w:spacing w:line="36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lang w:val="en-US" w:eastAsia="zh-CN"/>
              </w:rPr>
              <w:t>1</w:t>
            </w:r>
            <w:r>
              <w:rPr>
                <w:rFonts w:hint="default" w:ascii="Times New Roman" w:hAnsi="Times New Roman" w:cs="Times New Roman"/>
                <w:b/>
                <w:bCs/>
                <w:color w:val="auto"/>
                <w:sz w:val="21"/>
                <w:szCs w:val="21"/>
                <w:highlight w:val="none"/>
              </w:rPr>
              <w:t>工程组成一览表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1437"/>
              <w:gridCol w:w="803"/>
              <w:gridCol w:w="4997"/>
            </w:tblGrid>
            <w:tr w14:paraId="6EFFD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1303" w:type="pct"/>
                  <w:gridSpan w:val="2"/>
                  <w:noWrap w:val="0"/>
                  <w:vAlign w:val="center"/>
                </w:tcPr>
                <w:p w14:paraId="2796A157">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工程类别</w:t>
                  </w:r>
                </w:p>
              </w:tc>
              <w:tc>
                <w:tcPr>
                  <w:tcW w:w="512" w:type="pct"/>
                  <w:noWrap w:val="0"/>
                  <w:vAlign w:val="center"/>
                </w:tcPr>
                <w:p w14:paraId="1D2E0402">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工程组成</w:t>
                  </w:r>
                </w:p>
              </w:tc>
              <w:tc>
                <w:tcPr>
                  <w:tcW w:w="3183" w:type="pct"/>
                  <w:noWrap w:val="0"/>
                  <w:vAlign w:val="center"/>
                </w:tcPr>
                <w:p w14:paraId="385661DE">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工程建设规模及内容</w:t>
                  </w:r>
                </w:p>
              </w:tc>
            </w:tr>
            <w:tr w14:paraId="7B8F2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387" w:type="pct"/>
                  <w:vMerge w:val="restart"/>
                  <w:noWrap w:val="0"/>
                  <w:vAlign w:val="center"/>
                </w:tcPr>
                <w:p w14:paraId="7A91C57D">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主体工程</w:t>
                  </w:r>
                </w:p>
              </w:tc>
              <w:tc>
                <w:tcPr>
                  <w:tcW w:w="915" w:type="pct"/>
                  <w:vMerge w:val="restart"/>
                  <w:noWrap w:val="0"/>
                  <w:vAlign w:val="center"/>
                </w:tcPr>
                <w:p w14:paraId="0F1D0244">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3号厂房</w:t>
                  </w:r>
                  <w:r>
                    <w:rPr>
                      <w:rFonts w:hint="default" w:ascii="Times New Roman" w:hAnsi="Times New Roman" w:cs="Times New Roman"/>
                      <w:color w:val="auto"/>
                      <w:highlight w:val="none"/>
                    </w:rPr>
                    <w:t>（H=</w:t>
                  </w:r>
                  <w:r>
                    <w:rPr>
                      <w:rFonts w:hint="default" w:ascii="Times New Roman" w:hAnsi="Times New Roman" w:cs="Times New Roman"/>
                      <w:color w:val="auto"/>
                      <w:highlight w:val="none"/>
                      <w:lang w:val="en-US" w:eastAsia="zh-CN"/>
                    </w:rPr>
                    <w:t>28.1m</w:t>
                  </w:r>
                  <w:r>
                    <w:rPr>
                      <w:rFonts w:hint="default" w:ascii="Times New Roman" w:hAnsi="Times New Roman" w:cs="Times New Roman"/>
                      <w:color w:val="auto"/>
                      <w:highlight w:val="none"/>
                    </w:rPr>
                    <w:t>）</w:t>
                  </w:r>
                </w:p>
              </w:tc>
              <w:tc>
                <w:tcPr>
                  <w:tcW w:w="512" w:type="pct"/>
                  <w:noWrap w:val="0"/>
                  <w:vAlign w:val="center"/>
                </w:tcPr>
                <w:p w14:paraId="60A9735F">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F</w:t>
                  </w:r>
                </w:p>
              </w:tc>
              <w:tc>
                <w:tcPr>
                  <w:tcW w:w="3183" w:type="pct"/>
                  <w:noWrap w:val="0"/>
                  <w:vAlign w:val="center"/>
                </w:tcPr>
                <w:p w14:paraId="25601BD2">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建筑面积1395.30平方米，层高7.9m，主要进行注塑、破碎、烘料工序</w:t>
                  </w:r>
                </w:p>
              </w:tc>
            </w:tr>
            <w:tr w14:paraId="6F4352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387" w:type="pct"/>
                  <w:vMerge w:val="continue"/>
                  <w:noWrap w:val="0"/>
                  <w:vAlign w:val="center"/>
                </w:tcPr>
                <w:p w14:paraId="291ECBAA">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vMerge w:val="continue"/>
                  <w:noWrap w:val="0"/>
                  <w:vAlign w:val="center"/>
                </w:tcPr>
                <w:p w14:paraId="6D1758B6">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lang w:val="en-US" w:eastAsia="zh-CN"/>
                    </w:rPr>
                  </w:pPr>
                </w:p>
              </w:tc>
              <w:tc>
                <w:tcPr>
                  <w:tcW w:w="512" w:type="pct"/>
                  <w:noWrap w:val="0"/>
                  <w:vAlign w:val="center"/>
                </w:tcPr>
                <w:p w14:paraId="095E460D">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F</w:t>
                  </w:r>
                </w:p>
              </w:tc>
              <w:tc>
                <w:tcPr>
                  <w:tcW w:w="3183" w:type="pct"/>
                  <w:noWrap w:val="0"/>
                  <w:vAlign w:val="center"/>
                </w:tcPr>
                <w:p w14:paraId="0CAB9C2E">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建筑面积为</w:t>
                  </w:r>
                  <w:r>
                    <w:rPr>
                      <w:rFonts w:hint="default" w:ascii="Times New Roman" w:hAnsi="Times New Roman" w:cs="Times New Roman"/>
                      <w:color w:val="auto"/>
                      <w:sz w:val="21"/>
                      <w:szCs w:val="21"/>
                      <w:highlight w:val="none"/>
                      <w:lang w:val="en-US" w:eastAsia="zh-CN"/>
                    </w:rPr>
                    <w:t>295.30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lang w:val="en-US" w:eastAsia="zh-CN"/>
                    </w:rPr>
                    <w:t>，层高5.8米，</w:t>
                  </w:r>
                  <w:r>
                    <w:rPr>
                      <w:rFonts w:hint="default" w:ascii="Times New Roman" w:hAnsi="Times New Roman" w:cs="Times New Roman"/>
                      <w:color w:val="auto"/>
                      <w:sz w:val="21"/>
                      <w:szCs w:val="21"/>
                      <w:highlight w:val="none"/>
                      <w:lang w:val="en-US" w:eastAsia="zh-CN"/>
                    </w:rPr>
                    <w:t>主要为模具修理区</w:t>
                  </w:r>
                </w:p>
              </w:tc>
            </w:tr>
            <w:tr w14:paraId="16B1F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387" w:type="pct"/>
                  <w:vMerge w:val="continue"/>
                  <w:noWrap w:val="0"/>
                  <w:vAlign w:val="center"/>
                </w:tcPr>
                <w:p w14:paraId="178C0624">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vMerge w:val="continue"/>
                  <w:noWrap w:val="0"/>
                  <w:vAlign w:val="center"/>
                </w:tcPr>
                <w:p w14:paraId="5C3501A3">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lang w:val="en-US" w:eastAsia="zh-CN"/>
                    </w:rPr>
                  </w:pPr>
                </w:p>
              </w:tc>
              <w:tc>
                <w:tcPr>
                  <w:tcW w:w="512" w:type="pct"/>
                  <w:noWrap w:val="0"/>
                  <w:vAlign w:val="center"/>
                </w:tcPr>
                <w:p w14:paraId="78B176BA">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4F</w:t>
                  </w:r>
                </w:p>
              </w:tc>
              <w:tc>
                <w:tcPr>
                  <w:tcW w:w="3183" w:type="pct"/>
                  <w:noWrap w:val="0"/>
                  <w:vAlign w:val="center"/>
                </w:tcPr>
                <w:p w14:paraId="17716001">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建筑面积为1</w:t>
                  </w:r>
                  <w:r>
                    <w:rPr>
                      <w:rFonts w:hint="default" w:ascii="Times New Roman" w:hAnsi="Times New Roman" w:cs="Times New Roman"/>
                      <w:color w:val="auto"/>
                      <w:sz w:val="21"/>
                      <w:szCs w:val="21"/>
                      <w:highlight w:val="none"/>
                      <w:lang w:val="en-US" w:eastAsia="zh-CN"/>
                    </w:rPr>
                    <w:t>1395.30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，为</w:t>
                  </w:r>
                  <w:r>
                    <w:rPr>
                      <w:rFonts w:hint="default" w:ascii="Times New Roman" w:hAnsi="Times New Roman" w:eastAsia="宋体" w:cs="Times New Roman"/>
                      <w:color w:val="auto"/>
                      <w:sz w:val="21"/>
                      <w:szCs w:val="21"/>
                      <w:highlight w:val="none"/>
                      <w:lang w:val="en-US" w:eastAsia="zh-CN"/>
                    </w:rPr>
                    <w:t>空置厂房，层高为4.8米</w:t>
                  </w:r>
                </w:p>
              </w:tc>
            </w:tr>
            <w:tr w14:paraId="7CD04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8" w:hRule="atLeast"/>
              </w:trPr>
              <w:tc>
                <w:tcPr>
                  <w:tcW w:w="387" w:type="pct"/>
                  <w:vMerge w:val="continue"/>
                  <w:noWrap w:val="0"/>
                  <w:vAlign w:val="center"/>
                </w:tcPr>
                <w:p w14:paraId="26614DC1">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vMerge w:val="continue"/>
                  <w:noWrap w:val="0"/>
                  <w:vAlign w:val="center"/>
                </w:tcPr>
                <w:p w14:paraId="44B085BF">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512" w:type="pct"/>
                  <w:noWrap w:val="0"/>
                  <w:vAlign w:val="center"/>
                </w:tcPr>
                <w:p w14:paraId="3D1C9A91">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5F</w:t>
                  </w:r>
                </w:p>
              </w:tc>
              <w:tc>
                <w:tcPr>
                  <w:tcW w:w="3183" w:type="pct"/>
                  <w:noWrap w:val="0"/>
                  <w:vAlign w:val="center"/>
                </w:tcPr>
                <w:p w14:paraId="4C5BF007">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eastAsia="宋体" w:cs="Times New Roman"/>
                      <w:color w:val="auto"/>
                      <w:sz w:val="21"/>
                      <w:szCs w:val="21"/>
                      <w:highlight w:val="none"/>
                      <w:lang w:val="en-US" w:eastAsia="zh-CN"/>
                    </w:rPr>
                    <w:t>建筑面积为</w:t>
                  </w:r>
                  <w:r>
                    <w:rPr>
                      <w:rFonts w:hint="default" w:ascii="Times New Roman" w:hAnsi="Times New Roman" w:cs="Times New Roman"/>
                      <w:color w:val="auto"/>
                      <w:sz w:val="21"/>
                      <w:szCs w:val="21"/>
                      <w:highlight w:val="none"/>
                      <w:lang w:val="en-US" w:eastAsia="zh-CN"/>
                    </w:rPr>
                    <w:t>1395.30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2</w:t>
                  </w:r>
                  <w:r>
                    <w:rPr>
                      <w:rFonts w:hint="default" w:ascii="Times New Roman" w:hAnsi="Times New Roman" w:eastAsia="宋体" w:cs="Times New Roman"/>
                      <w:color w:val="auto"/>
                      <w:sz w:val="21"/>
                      <w:szCs w:val="21"/>
                      <w:highlight w:val="none"/>
                      <w:vertAlign w:val="baseline"/>
                      <w:lang w:val="en-US" w:eastAsia="zh-CN"/>
                    </w:rPr>
                    <w:t>，为</w:t>
                  </w:r>
                  <w:r>
                    <w:rPr>
                      <w:rFonts w:hint="default" w:ascii="Times New Roman" w:hAnsi="Times New Roman" w:eastAsia="宋体" w:cs="Times New Roman"/>
                      <w:color w:val="auto"/>
                      <w:sz w:val="21"/>
                      <w:szCs w:val="21"/>
                      <w:highlight w:val="none"/>
                      <w:lang w:val="en-US" w:eastAsia="zh-CN"/>
                    </w:rPr>
                    <w:t>空置厂房，层高为4.8米</w:t>
                  </w:r>
                </w:p>
              </w:tc>
            </w:tr>
            <w:tr w14:paraId="60321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387" w:type="pct"/>
                  <w:vMerge w:val="restart"/>
                  <w:noWrap w:val="0"/>
                  <w:vAlign w:val="center"/>
                </w:tcPr>
                <w:p w14:paraId="22DE59CD">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lang w:val="en-US" w:eastAsia="zh-CN"/>
                    </w:rPr>
                    <w:t>储运</w:t>
                  </w:r>
                  <w:r>
                    <w:rPr>
                      <w:rFonts w:hint="default" w:ascii="Times New Roman" w:hAnsi="Times New Roman" w:cs="Times New Roman"/>
                      <w:color w:val="auto"/>
                      <w:szCs w:val="21"/>
                      <w:highlight w:val="none"/>
                    </w:rPr>
                    <w:t>工程</w:t>
                  </w:r>
                </w:p>
              </w:tc>
              <w:tc>
                <w:tcPr>
                  <w:tcW w:w="915" w:type="pct"/>
                  <w:noWrap w:val="0"/>
                  <w:vAlign w:val="center"/>
                </w:tcPr>
                <w:p w14:paraId="11923A60">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szCs w:val="21"/>
                      <w:highlight w:val="none"/>
                      <w:lang w:val="en-US" w:eastAsia="zh-CN"/>
                    </w:rPr>
                    <w:t>成品</w:t>
                  </w:r>
                  <w:r>
                    <w:rPr>
                      <w:rFonts w:hint="default" w:ascii="Times New Roman" w:hAnsi="Times New Roman" w:cs="Times New Roman"/>
                      <w:color w:val="auto"/>
                      <w:szCs w:val="21"/>
                      <w:highlight w:val="none"/>
                    </w:rPr>
                    <w:t>仓库</w:t>
                  </w:r>
                </w:p>
              </w:tc>
              <w:tc>
                <w:tcPr>
                  <w:tcW w:w="3696" w:type="pct"/>
                  <w:gridSpan w:val="2"/>
                  <w:noWrap w:val="0"/>
                  <w:vAlign w:val="center"/>
                </w:tcPr>
                <w:p w14:paraId="08057C64">
                  <w:pPr>
                    <w:pStyle w:val="94"/>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位于</w:t>
                  </w:r>
                  <w:r>
                    <w:rPr>
                      <w:rFonts w:hint="default" w:ascii="Times New Roman" w:hAnsi="Times New Roman" w:cs="Times New Roman"/>
                      <w:color w:val="auto"/>
                      <w:highlight w:val="none"/>
                    </w:rPr>
                    <w:t>厂房</w:t>
                  </w:r>
                  <w:r>
                    <w:rPr>
                      <w:rFonts w:hint="default" w:ascii="Times New Roman" w:hAnsi="Times New Roman" w:cs="Times New Roman"/>
                      <w:color w:val="auto"/>
                      <w:highlight w:val="none"/>
                      <w:lang w:val="en-US" w:eastAsia="zh-CN"/>
                    </w:rPr>
                    <w:t>3F，</w:t>
                  </w:r>
                  <w:r>
                    <w:rPr>
                      <w:rFonts w:hint="default" w:ascii="Times New Roman" w:hAnsi="Times New Roman" w:eastAsia="宋体" w:cs="Times New Roman"/>
                      <w:color w:val="auto"/>
                      <w:kern w:val="2"/>
                      <w:sz w:val="21"/>
                      <w:szCs w:val="20"/>
                      <w:highlight w:val="none"/>
                      <w:vertAlign w:val="baseline"/>
                      <w:lang w:val="en-US" w:eastAsia="zh-CN" w:bidi="ar-SA"/>
                    </w:rPr>
                    <w:t>建筑面积1395.30m</w:t>
                  </w:r>
                  <w:r>
                    <w:rPr>
                      <w:rFonts w:hint="default" w:ascii="Times New Roman" w:hAnsi="Times New Roman" w:eastAsia="宋体" w:cs="Times New Roman"/>
                      <w:color w:val="auto"/>
                      <w:kern w:val="2"/>
                      <w:sz w:val="21"/>
                      <w:szCs w:val="20"/>
                      <w:highlight w:val="none"/>
                      <w:vertAlign w:val="superscript"/>
                      <w:lang w:val="en-US" w:eastAsia="zh-CN" w:bidi="ar-SA"/>
                    </w:rPr>
                    <w:t>2</w:t>
                  </w:r>
                  <w:r>
                    <w:rPr>
                      <w:rFonts w:hint="default" w:ascii="Times New Roman" w:hAnsi="Times New Roman" w:eastAsia="宋体" w:cs="Times New Roman"/>
                      <w:color w:val="auto"/>
                      <w:kern w:val="2"/>
                      <w:sz w:val="21"/>
                      <w:szCs w:val="20"/>
                      <w:highlight w:val="none"/>
                      <w:vertAlign w:val="baseline"/>
                      <w:lang w:val="en-US" w:eastAsia="zh-CN" w:bidi="ar-SA"/>
                    </w:rPr>
                    <w:t>，</w:t>
                  </w:r>
                  <w:r>
                    <w:rPr>
                      <w:rFonts w:hint="default" w:ascii="Times New Roman" w:hAnsi="Times New Roman" w:eastAsia="宋体" w:cs="Times New Roman"/>
                      <w:color w:val="auto"/>
                      <w:sz w:val="21"/>
                      <w:szCs w:val="21"/>
                      <w:highlight w:val="none"/>
                      <w:lang w:val="en-US" w:eastAsia="zh-CN"/>
                    </w:rPr>
                    <w:t>层高为4.8米</w:t>
                  </w:r>
                </w:p>
              </w:tc>
            </w:tr>
            <w:tr w14:paraId="14956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387" w:type="pct"/>
                  <w:vMerge w:val="continue"/>
                  <w:noWrap w:val="0"/>
                  <w:vAlign w:val="center"/>
                </w:tcPr>
                <w:p w14:paraId="44812B02">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szCs w:val="21"/>
                      <w:highlight w:val="none"/>
                      <w:lang w:val="en-US" w:eastAsia="zh-CN"/>
                    </w:rPr>
                  </w:pPr>
                </w:p>
              </w:tc>
              <w:tc>
                <w:tcPr>
                  <w:tcW w:w="915" w:type="pct"/>
                  <w:noWrap w:val="0"/>
                  <w:vAlign w:val="center"/>
                </w:tcPr>
                <w:p w14:paraId="453660A5">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原料仓库</w:t>
                  </w:r>
                </w:p>
              </w:tc>
              <w:tc>
                <w:tcPr>
                  <w:tcW w:w="3696" w:type="pct"/>
                  <w:gridSpan w:val="2"/>
                  <w:noWrap w:val="0"/>
                  <w:vAlign w:val="center"/>
                </w:tcPr>
                <w:p w14:paraId="41EA6149">
                  <w:pPr>
                    <w:pStyle w:val="94"/>
                    <w:keepNext w:val="0"/>
                    <w:keepLines w:val="0"/>
                    <w:pageBreakBefore w:val="0"/>
                    <w:widowControl w:val="0"/>
                    <w:kinsoku/>
                    <w:wordWrap w:val="0"/>
                    <w:overflowPunct/>
                    <w:topLinePunct w:val="0"/>
                    <w:autoSpaceDE/>
                    <w:autoSpaceDN/>
                    <w:bidi w:val="0"/>
                    <w:adjustRightInd w:val="0"/>
                    <w:snapToGrid w:val="0"/>
                    <w:jc w:val="center"/>
                    <w:textAlignment w:val="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位于</w:t>
                  </w:r>
                  <w:r>
                    <w:rPr>
                      <w:rFonts w:hint="default" w:ascii="Times New Roman" w:hAnsi="Times New Roman" w:cs="Times New Roman"/>
                      <w:color w:val="auto"/>
                      <w:highlight w:val="none"/>
                    </w:rPr>
                    <w:t>厂房</w:t>
                  </w:r>
                  <w:r>
                    <w:rPr>
                      <w:rFonts w:hint="default" w:ascii="Times New Roman" w:hAnsi="Times New Roman" w:cs="Times New Roman"/>
                      <w:color w:val="auto"/>
                      <w:highlight w:val="none"/>
                      <w:lang w:val="en-US" w:eastAsia="zh-CN"/>
                    </w:rPr>
                    <w:t>2F，占</w:t>
                  </w:r>
                  <w:r>
                    <w:rPr>
                      <w:rFonts w:hint="default" w:ascii="Times New Roman" w:hAnsi="Times New Roman" w:cs="Times New Roman"/>
                      <w:color w:val="auto"/>
                      <w:highlight w:val="none"/>
                    </w:rPr>
                    <w:t>建筑面积</w:t>
                  </w:r>
                  <w:r>
                    <w:rPr>
                      <w:rFonts w:hint="default" w:ascii="Times New Roman" w:hAnsi="Times New Roman" w:cs="Times New Roman"/>
                      <w:color w:val="auto"/>
                      <w:highlight w:val="none"/>
                      <w:lang w:val="en-US" w:eastAsia="zh-CN"/>
                    </w:rPr>
                    <w:t>1000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tc>
            </w:tr>
            <w:tr w14:paraId="1D5EB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9" w:hRule="atLeast"/>
              </w:trPr>
              <w:tc>
                <w:tcPr>
                  <w:tcW w:w="387" w:type="pct"/>
                  <w:noWrap w:val="0"/>
                  <w:vAlign w:val="center"/>
                </w:tcPr>
                <w:p w14:paraId="3F182724">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辅助工程</w:t>
                  </w:r>
                </w:p>
              </w:tc>
              <w:tc>
                <w:tcPr>
                  <w:tcW w:w="915" w:type="pct"/>
                  <w:noWrap w:val="0"/>
                  <w:vAlign w:val="center"/>
                </w:tcPr>
                <w:p w14:paraId="047BA2BA">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cs="Times New Roman"/>
                      <w:color w:val="auto"/>
                      <w:highlight w:val="none"/>
                      <w:lang w:val="en-US" w:eastAsia="zh-CN"/>
                    </w:rPr>
                    <w:t>办公室</w:t>
                  </w:r>
                </w:p>
              </w:tc>
              <w:tc>
                <w:tcPr>
                  <w:tcW w:w="3696" w:type="pct"/>
                  <w:gridSpan w:val="2"/>
                  <w:noWrap w:val="0"/>
                  <w:vAlign w:val="center"/>
                </w:tcPr>
                <w:p w14:paraId="06BCA10E">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zh-CN" w:eastAsia="zh-CN" w:bidi="ar-SA"/>
                    </w:rPr>
                  </w:pPr>
                  <w:r>
                    <w:rPr>
                      <w:rFonts w:hint="default" w:ascii="Times New Roman" w:hAnsi="Times New Roman" w:cs="Times New Roman"/>
                      <w:color w:val="auto"/>
                      <w:highlight w:val="none"/>
                      <w:lang w:val="en-US" w:eastAsia="zh-CN"/>
                    </w:rPr>
                    <w:t>位于厂房2</w:t>
                  </w:r>
                  <w:r>
                    <w:rPr>
                      <w:rFonts w:hint="default" w:ascii="Times New Roman" w:hAnsi="Times New Roman" w:cs="Times New Roman"/>
                      <w:color w:val="auto"/>
                      <w:highlight w:val="none"/>
                    </w:rPr>
                    <w:t>F</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建筑面积</w:t>
                  </w:r>
                  <w:r>
                    <w:rPr>
                      <w:rFonts w:hint="default" w:ascii="Times New Roman" w:hAnsi="Times New Roman" w:cs="Times New Roman"/>
                      <w:color w:val="auto"/>
                      <w:highlight w:val="none"/>
                      <w:lang w:val="en-US" w:eastAsia="zh-CN"/>
                    </w:rPr>
                    <w:t>100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p>
              </w:tc>
            </w:tr>
            <w:tr w14:paraId="2D745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7" w:type="pct"/>
                  <w:vMerge w:val="restart"/>
                  <w:noWrap w:val="0"/>
                  <w:vAlign w:val="center"/>
                </w:tcPr>
                <w:p w14:paraId="369FFA73">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公用工程</w:t>
                  </w:r>
                </w:p>
              </w:tc>
              <w:tc>
                <w:tcPr>
                  <w:tcW w:w="915" w:type="pct"/>
                  <w:noWrap w:val="0"/>
                  <w:vAlign w:val="center"/>
                </w:tcPr>
                <w:p w14:paraId="6DC6B5B4">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给排水</w:t>
                  </w:r>
                </w:p>
              </w:tc>
              <w:tc>
                <w:tcPr>
                  <w:tcW w:w="3696" w:type="pct"/>
                  <w:gridSpan w:val="2"/>
                  <w:noWrap w:val="0"/>
                  <w:vAlign w:val="center"/>
                </w:tcPr>
                <w:p w14:paraId="05C873E7">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市政给水，雨污分流</w:t>
                  </w:r>
                </w:p>
              </w:tc>
            </w:tr>
            <w:tr w14:paraId="74AC3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7" w:type="pct"/>
                  <w:vMerge w:val="continue"/>
                  <w:noWrap w:val="0"/>
                  <w:vAlign w:val="center"/>
                </w:tcPr>
                <w:p w14:paraId="345D7746">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noWrap w:val="0"/>
                  <w:vAlign w:val="center"/>
                </w:tcPr>
                <w:p w14:paraId="1F445C7E">
                  <w:pPr>
                    <w:pageBreakBefore w:val="0"/>
                    <w:wordWrap w:val="0"/>
                    <w:topLinePunct w:val="0"/>
                    <w:bidi w:val="0"/>
                    <w:adjustRightInd w:val="0"/>
                    <w:snapToGrid w:val="0"/>
                    <w:spacing w:line="24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vertAlign w:val="baseline"/>
                    </w:rPr>
                    <w:t>消防系统</w:t>
                  </w:r>
                </w:p>
              </w:tc>
              <w:tc>
                <w:tcPr>
                  <w:tcW w:w="3696" w:type="pct"/>
                  <w:gridSpan w:val="2"/>
                  <w:noWrap w:val="0"/>
                  <w:vAlign w:val="center"/>
                </w:tcPr>
                <w:p w14:paraId="7B257D67">
                  <w:pPr>
                    <w:pageBreakBefore w:val="0"/>
                    <w:wordWrap w:val="0"/>
                    <w:topLinePunct w:val="0"/>
                    <w:bidi w:val="0"/>
                    <w:adjustRightInd w:val="0"/>
                    <w:snapToGrid w:val="0"/>
                    <w:spacing w:line="240" w:lineRule="auto"/>
                    <w:jc w:val="center"/>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vertAlign w:val="baseline"/>
                    </w:rPr>
                    <w:t>室外、内消防系统</w:t>
                  </w:r>
                </w:p>
              </w:tc>
            </w:tr>
            <w:tr w14:paraId="689F2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387" w:type="pct"/>
                  <w:vMerge w:val="continue"/>
                  <w:noWrap w:val="0"/>
                  <w:vAlign w:val="center"/>
                </w:tcPr>
                <w:p w14:paraId="5C9E0310">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noWrap w:val="0"/>
                  <w:vAlign w:val="center"/>
                </w:tcPr>
                <w:p w14:paraId="53A38344">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zh-CN" w:eastAsia="zh-CN" w:bidi="ar-SA"/>
                    </w:rPr>
                  </w:pPr>
                  <w:r>
                    <w:rPr>
                      <w:rFonts w:hint="default" w:ascii="Times New Roman" w:hAnsi="Times New Roman" w:cs="Times New Roman"/>
                      <w:color w:val="auto"/>
                      <w:highlight w:val="none"/>
                    </w:rPr>
                    <w:t>供电</w:t>
                  </w:r>
                </w:p>
              </w:tc>
              <w:tc>
                <w:tcPr>
                  <w:tcW w:w="3696" w:type="pct"/>
                  <w:gridSpan w:val="2"/>
                  <w:noWrap w:val="0"/>
                  <w:vAlign w:val="center"/>
                </w:tcPr>
                <w:p w14:paraId="2341E101">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en-US" w:eastAsia="zh-CN" w:bidi="ar-SA"/>
                    </w:rPr>
                  </w:pPr>
                  <w:r>
                    <w:rPr>
                      <w:rFonts w:hint="default" w:ascii="Times New Roman" w:hAnsi="Times New Roman" w:cs="Times New Roman"/>
                      <w:color w:val="auto"/>
                      <w:highlight w:val="none"/>
                    </w:rPr>
                    <w:t>市政供电</w:t>
                  </w:r>
                </w:p>
              </w:tc>
            </w:tr>
            <w:tr w14:paraId="16905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387" w:type="pct"/>
                  <w:vMerge w:val="restart"/>
                  <w:noWrap w:val="0"/>
                  <w:vAlign w:val="center"/>
                </w:tcPr>
                <w:p w14:paraId="2A0F7975">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环保工程</w:t>
                  </w:r>
                </w:p>
              </w:tc>
              <w:tc>
                <w:tcPr>
                  <w:tcW w:w="915" w:type="pct"/>
                  <w:noWrap w:val="0"/>
                  <w:vAlign w:val="center"/>
                </w:tcPr>
                <w:p w14:paraId="5B9A1F58">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废气处理设施</w:t>
                  </w:r>
                </w:p>
              </w:tc>
              <w:tc>
                <w:tcPr>
                  <w:tcW w:w="3696" w:type="pct"/>
                  <w:gridSpan w:val="2"/>
                  <w:noWrap w:val="0"/>
                  <w:vAlign w:val="center"/>
                </w:tcPr>
                <w:p w14:paraId="0E0BA7D2">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eastAsia="宋体" w:cs="Times New Roman"/>
                      <w:bCs/>
                      <w:color w:val="auto"/>
                      <w:kern w:val="2"/>
                      <w:sz w:val="21"/>
                      <w:szCs w:val="24"/>
                      <w:highlight w:val="none"/>
                      <w:lang w:val="zh-CN" w:eastAsia="zh-CN" w:bidi="ar-SA"/>
                    </w:rPr>
                  </w:pPr>
                  <w:r>
                    <w:rPr>
                      <w:rFonts w:hint="default" w:ascii="Times New Roman" w:hAnsi="Times New Roman" w:cs="Times New Roman"/>
                      <w:color w:val="auto"/>
                      <w:highlight w:val="none"/>
                      <w:lang w:val="en-US" w:eastAsia="zh-CN"/>
                    </w:rPr>
                    <w:t>注塑产生的有机废气经密闭车间整体换风收集后进入二级活性炭吸附装置处理达标后通过1根30m的排气筒DA001高空排放</w:t>
                  </w:r>
                </w:p>
              </w:tc>
            </w:tr>
            <w:tr w14:paraId="05160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387" w:type="pct"/>
                  <w:vMerge w:val="continue"/>
                  <w:noWrap w:val="0"/>
                  <w:vAlign w:val="center"/>
                </w:tcPr>
                <w:p w14:paraId="2FFAE972">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noWrap w:val="0"/>
                  <w:vAlign w:val="center"/>
                </w:tcPr>
                <w:p w14:paraId="04C784DD">
                  <w:pPr>
                    <w:pageBreakBefore w:val="0"/>
                    <w:wordWrap w:val="0"/>
                    <w:topLinePunct w:val="0"/>
                    <w:bidi w:val="0"/>
                    <w:adjustRightInd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sz w:val="21"/>
                      <w:szCs w:val="21"/>
                      <w:highlight w:val="none"/>
                      <w:lang w:eastAsia="zh-CN"/>
                    </w:rPr>
                    <w:t>废水处理设施</w:t>
                  </w:r>
                </w:p>
              </w:tc>
              <w:tc>
                <w:tcPr>
                  <w:tcW w:w="3696" w:type="pct"/>
                  <w:gridSpan w:val="2"/>
                  <w:noWrap w:val="0"/>
                  <w:vAlign w:val="center"/>
                </w:tcPr>
                <w:p w14:paraId="32830881">
                  <w:pPr>
                    <w:pageBreakBefore w:val="0"/>
                    <w:wordWrap w:val="0"/>
                    <w:topLinePunct w:val="0"/>
                    <w:bidi w:val="0"/>
                    <w:adjustRightIn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生活污水</w:t>
                  </w:r>
                  <w:r>
                    <w:rPr>
                      <w:rFonts w:hint="default" w:ascii="Times New Roman" w:hAnsi="Times New Roman" w:cs="Times New Roman"/>
                      <w:color w:val="auto"/>
                      <w:sz w:val="21"/>
                      <w:szCs w:val="21"/>
                      <w:highlight w:val="none"/>
                      <w:lang w:eastAsia="zh-CN"/>
                    </w:rPr>
                    <w:t>经</w:t>
                  </w:r>
                  <w:r>
                    <w:rPr>
                      <w:rFonts w:hint="default" w:ascii="Times New Roman" w:hAnsi="Times New Roman" w:cs="Times New Roman"/>
                      <w:color w:val="auto"/>
                      <w:sz w:val="21"/>
                      <w:szCs w:val="21"/>
                      <w:highlight w:val="none"/>
                    </w:rPr>
                    <w:t>三级化粪池预处理后，排入园区污水处理厂进一步处理</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冷却废水定期排入</w:t>
                  </w:r>
                  <w:r>
                    <w:rPr>
                      <w:rFonts w:hint="default" w:ascii="Times New Roman" w:hAnsi="Times New Roman" w:cs="Times New Roman"/>
                      <w:color w:val="auto"/>
                      <w:sz w:val="21"/>
                      <w:szCs w:val="21"/>
                      <w:highlight w:val="none"/>
                    </w:rPr>
                    <w:t>园区污水处理厂</w:t>
                  </w:r>
                  <w:r>
                    <w:rPr>
                      <w:rFonts w:hint="default" w:ascii="Times New Roman" w:hAnsi="Times New Roman" w:cs="Times New Roman"/>
                      <w:color w:val="auto"/>
                      <w:sz w:val="21"/>
                      <w:szCs w:val="21"/>
                      <w:highlight w:val="none"/>
                      <w:lang w:val="en-US" w:eastAsia="zh-CN"/>
                    </w:rPr>
                    <w:t>处理，处理达标后</w:t>
                  </w:r>
                  <w:r>
                    <w:rPr>
                      <w:rFonts w:hint="default" w:ascii="Times New Roman" w:hAnsi="Times New Roman" w:cs="Times New Roman"/>
                      <w:color w:val="auto"/>
                      <w:sz w:val="21"/>
                      <w:szCs w:val="21"/>
                      <w:highlight w:val="none"/>
                    </w:rPr>
                    <w:t>排放至武江</w:t>
                  </w:r>
                  <w:r>
                    <w:rPr>
                      <w:rFonts w:hint="default" w:ascii="Times New Roman" w:hAnsi="Times New Roman" w:cs="Times New Roman"/>
                      <w:color w:val="auto"/>
                      <w:sz w:val="21"/>
                      <w:szCs w:val="21"/>
                      <w:highlight w:val="none"/>
                      <w:lang w:eastAsia="zh-CN"/>
                    </w:rPr>
                    <w:t>（乐昌城-犁市河段）。</w:t>
                  </w:r>
                </w:p>
              </w:tc>
            </w:tr>
            <w:tr w14:paraId="6E6EC5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387" w:type="pct"/>
                  <w:vMerge w:val="continue"/>
                  <w:noWrap w:val="0"/>
                  <w:vAlign w:val="center"/>
                </w:tcPr>
                <w:p w14:paraId="574F7343">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noWrap w:val="0"/>
                  <w:vAlign w:val="center"/>
                </w:tcPr>
                <w:p w14:paraId="7CCDF868">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噪声处理设施</w:t>
                  </w:r>
                </w:p>
              </w:tc>
              <w:tc>
                <w:tcPr>
                  <w:tcW w:w="3696" w:type="pct"/>
                  <w:gridSpan w:val="2"/>
                  <w:noWrap w:val="0"/>
                  <w:vAlign w:val="center"/>
                </w:tcPr>
                <w:p w14:paraId="4E3C40A2">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减震、隔声措施</w:t>
                  </w:r>
                </w:p>
              </w:tc>
            </w:tr>
            <w:tr w14:paraId="677B8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387" w:type="pct"/>
                  <w:vMerge w:val="continue"/>
                  <w:noWrap w:val="0"/>
                  <w:vAlign w:val="center"/>
                </w:tcPr>
                <w:p w14:paraId="0672B06D">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vMerge w:val="restart"/>
                  <w:noWrap w:val="0"/>
                  <w:vAlign w:val="center"/>
                </w:tcPr>
                <w:p w14:paraId="6EB41C67">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t>固废处理设施</w:t>
                  </w:r>
                </w:p>
              </w:tc>
              <w:tc>
                <w:tcPr>
                  <w:tcW w:w="3696" w:type="pct"/>
                  <w:gridSpan w:val="2"/>
                  <w:noWrap w:val="0"/>
                  <w:vAlign w:val="center"/>
                </w:tcPr>
                <w:p w14:paraId="7B1AECAE">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一般固废暂存场所位于</w:t>
                  </w:r>
                  <w:r>
                    <w:rPr>
                      <w:rFonts w:hint="default" w:ascii="Times New Roman" w:hAnsi="Times New Roman" w:cs="Times New Roman"/>
                      <w:color w:val="auto"/>
                      <w:highlight w:val="none"/>
                      <w:lang w:val="en-US" w:eastAsia="zh-CN"/>
                    </w:rPr>
                    <w:t>厂房1F西侧</w:t>
                  </w:r>
                  <w:r>
                    <w:rPr>
                      <w:rFonts w:hint="default" w:ascii="Times New Roman" w:hAnsi="Times New Roman" w:cs="Times New Roman"/>
                      <w:color w:val="auto"/>
                      <w:highlight w:val="none"/>
                      <w:lang w:eastAsia="zh-CN"/>
                    </w:rPr>
                    <w:t>，占地面积约10m</w:t>
                  </w:r>
                  <w:r>
                    <w:rPr>
                      <w:rFonts w:hint="default" w:ascii="Times New Roman" w:hAnsi="Times New Roman" w:cs="Times New Roman"/>
                      <w:color w:val="auto"/>
                      <w:highlight w:val="none"/>
                      <w:vertAlign w:val="superscript"/>
                      <w:lang w:eastAsia="zh-CN"/>
                    </w:rPr>
                    <w:t>2</w:t>
                  </w:r>
                  <w:r>
                    <w:rPr>
                      <w:rFonts w:hint="default" w:ascii="Times New Roman" w:hAnsi="Times New Roman" w:cs="Times New Roman"/>
                      <w:color w:val="auto"/>
                      <w:highlight w:val="none"/>
                      <w:lang w:eastAsia="zh-CN"/>
                    </w:rPr>
                    <w:t>，一般固废收集后交由专业公司回收处理</w:t>
                  </w:r>
                </w:p>
              </w:tc>
            </w:tr>
            <w:tr w14:paraId="2ECCAD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trPr>
              <w:tc>
                <w:tcPr>
                  <w:tcW w:w="387" w:type="pct"/>
                  <w:vMerge w:val="continue"/>
                  <w:noWrap w:val="0"/>
                  <w:vAlign w:val="center"/>
                </w:tcPr>
                <w:p w14:paraId="02B0B12F">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915" w:type="pct"/>
                  <w:vMerge w:val="continue"/>
                  <w:noWrap w:val="0"/>
                  <w:vAlign w:val="center"/>
                </w:tcPr>
                <w:p w14:paraId="68E4BB07">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rPr>
                  </w:pPr>
                </w:p>
              </w:tc>
              <w:tc>
                <w:tcPr>
                  <w:tcW w:w="3696" w:type="pct"/>
                  <w:gridSpan w:val="2"/>
                  <w:noWrap w:val="0"/>
                  <w:vAlign w:val="center"/>
                </w:tcPr>
                <w:p w14:paraId="6A9E43A1">
                  <w:pPr>
                    <w:pStyle w:val="94"/>
                    <w:keepNext w:val="0"/>
                    <w:keepLines w:val="0"/>
                    <w:pageBreakBefore w:val="0"/>
                    <w:widowControl w:val="0"/>
                    <w:kinsoku/>
                    <w:wordWrap w:val="0"/>
                    <w:overflowPunct/>
                    <w:topLinePunct w:val="0"/>
                    <w:autoSpaceDE/>
                    <w:autoSpaceDN/>
                    <w:bidi w:val="0"/>
                    <w:adjustRightInd w:val="0"/>
                    <w:snapToGrid w:val="0"/>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eastAsia="zh-CN"/>
                    </w:rPr>
                    <w:t>危险废物暂存间位</w:t>
                  </w:r>
                  <w:r>
                    <w:rPr>
                      <w:rFonts w:hint="default" w:ascii="Times New Roman" w:hAnsi="Times New Roman" w:cs="Times New Roman"/>
                      <w:color w:val="auto"/>
                      <w:highlight w:val="none"/>
                      <w:lang w:val="en-US" w:eastAsia="zh-CN"/>
                    </w:rPr>
                    <w:t>于厂房1F西侧</w:t>
                  </w:r>
                  <w:r>
                    <w:rPr>
                      <w:rFonts w:hint="default" w:ascii="Times New Roman" w:hAnsi="Times New Roman" w:cs="Times New Roman"/>
                      <w:color w:val="auto"/>
                      <w:highlight w:val="none"/>
                      <w:lang w:eastAsia="zh-CN"/>
                    </w:rPr>
                    <w:t>，占地面积约</w:t>
                  </w:r>
                  <w:r>
                    <w:rPr>
                      <w:rFonts w:hint="default" w:ascii="Times New Roman" w:hAnsi="Times New Roman" w:cs="Times New Roman"/>
                      <w:color w:val="auto"/>
                      <w:highlight w:val="none"/>
                      <w:lang w:val="en-US" w:eastAsia="zh-CN"/>
                    </w:rPr>
                    <w:t>10</w:t>
                  </w:r>
                  <w:r>
                    <w:rPr>
                      <w:rFonts w:hint="default" w:ascii="Times New Roman" w:hAnsi="Times New Roman" w:cs="Times New Roman"/>
                      <w:color w:val="auto"/>
                      <w:highlight w:val="none"/>
                      <w:lang w:eastAsia="zh-CN"/>
                    </w:rPr>
                    <w:t>m</w:t>
                  </w:r>
                  <w:r>
                    <w:rPr>
                      <w:rFonts w:hint="default" w:ascii="Times New Roman" w:hAnsi="Times New Roman" w:cs="Times New Roman"/>
                      <w:color w:val="auto"/>
                      <w:highlight w:val="none"/>
                      <w:vertAlign w:val="superscript"/>
                      <w:lang w:eastAsia="zh-CN"/>
                    </w:rPr>
                    <w:t>2</w:t>
                  </w:r>
                  <w:r>
                    <w:rPr>
                      <w:rFonts w:hint="default" w:ascii="Times New Roman" w:hAnsi="Times New Roman" w:cs="Times New Roman"/>
                      <w:color w:val="auto"/>
                      <w:highlight w:val="none"/>
                      <w:lang w:eastAsia="zh-CN"/>
                    </w:rPr>
                    <w:t>，危险废物收集后交由有危险废物处理资质单位处置</w:t>
                  </w:r>
                  <w:r>
                    <w:rPr>
                      <w:rFonts w:hint="default" w:ascii="Times New Roman" w:hAnsi="Times New Roman" w:cs="Times New Roman"/>
                      <w:color w:val="auto"/>
                      <w:highlight w:val="none"/>
                      <w:lang w:val="en-US" w:eastAsia="zh-CN"/>
                    </w:rPr>
                    <w:t xml:space="preserve">  </w:t>
                  </w:r>
                </w:p>
              </w:tc>
            </w:tr>
          </w:tbl>
          <w:p w14:paraId="4C44E09F">
            <w:pPr>
              <w:pStyle w:val="6"/>
              <w:pageBreakBefore w:val="0"/>
              <w:numPr>
                <w:ilvl w:val="3"/>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2、</w:t>
            </w:r>
            <w:r>
              <w:rPr>
                <w:rFonts w:hint="default" w:ascii="Times New Roman" w:hAnsi="Times New Roman" w:cs="Times New Roman"/>
                <w:color w:val="auto"/>
                <w:highlight w:val="none"/>
              </w:rPr>
              <w:t>产品方案</w:t>
            </w:r>
          </w:p>
          <w:p w14:paraId="516B87A8">
            <w:pPr>
              <w:pageBreakBefore w:val="0"/>
              <w:tabs>
                <w:tab w:val="left" w:pos="6960"/>
              </w:tabs>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本项目生产产品见下表。</w:t>
            </w:r>
          </w:p>
          <w:p w14:paraId="33CA15C6">
            <w:pPr>
              <w:pageBreakBefore w:val="0"/>
              <w:widowControl/>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lang w:val="en-US" w:eastAsia="zh-CN"/>
              </w:rPr>
              <w:t>2</w:t>
            </w:r>
            <w:r>
              <w:rPr>
                <w:rFonts w:hint="default" w:ascii="Times New Roman" w:hAnsi="Times New Roman" w:cs="Times New Roman"/>
                <w:b/>
                <w:color w:val="auto"/>
                <w:sz w:val="21"/>
                <w:szCs w:val="21"/>
                <w:highlight w:val="none"/>
              </w:rPr>
              <w:t>产品产量一览表</w:t>
            </w:r>
          </w:p>
          <w:tbl>
            <w:tblPr>
              <w:tblStyle w:val="38"/>
              <w:tblW w:w="4998" w:type="pct"/>
              <w:jc w:val="center"/>
              <w:tblLayout w:type="autofit"/>
              <w:tblCellMar>
                <w:top w:w="0" w:type="dxa"/>
                <w:left w:w="57" w:type="dxa"/>
                <w:bottom w:w="0" w:type="dxa"/>
                <w:right w:w="57" w:type="dxa"/>
              </w:tblCellMar>
            </w:tblPr>
            <w:tblGrid>
              <w:gridCol w:w="1030"/>
              <w:gridCol w:w="3812"/>
              <w:gridCol w:w="3012"/>
            </w:tblGrid>
            <w:tr w14:paraId="2C202645">
              <w:tblPrEx>
                <w:tblCellMar>
                  <w:top w:w="0" w:type="dxa"/>
                  <w:left w:w="57" w:type="dxa"/>
                  <w:bottom w:w="0" w:type="dxa"/>
                  <w:right w:w="57" w:type="dxa"/>
                </w:tblCellMar>
              </w:tblPrEx>
              <w:trPr>
                <w:cantSplit/>
                <w:trHeight w:val="397" w:hRule="atLeast"/>
                <w:jc w:val="center"/>
              </w:trPr>
              <w:tc>
                <w:tcPr>
                  <w:tcW w:w="656" w:type="pct"/>
                  <w:tcBorders>
                    <w:top w:val="single" w:color="auto" w:sz="6" w:space="0"/>
                    <w:left w:val="single" w:color="auto" w:sz="6" w:space="0"/>
                    <w:bottom w:val="single" w:color="auto" w:sz="6" w:space="0"/>
                    <w:right w:val="single" w:color="auto" w:sz="6" w:space="0"/>
                  </w:tcBorders>
                  <w:vAlign w:val="center"/>
                </w:tcPr>
                <w:p w14:paraId="1A888A3A">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序号</w:t>
                  </w:r>
                </w:p>
              </w:tc>
              <w:tc>
                <w:tcPr>
                  <w:tcW w:w="2426" w:type="pct"/>
                  <w:tcBorders>
                    <w:top w:val="single" w:color="auto" w:sz="6" w:space="0"/>
                    <w:left w:val="nil"/>
                    <w:bottom w:val="single" w:color="auto" w:sz="6" w:space="0"/>
                    <w:right w:val="single" w:color="auto" w:sz="6" w:space="0"/>
                  </w:tcBorders>
                  <w:vAlign w:val="center"/>
                </w:tcPr>
                <w:p w14:paraId="60F9534D">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产品名称</w:t>
                  </w:r>
                </w:p>
              </w:tc>
              <w:tc>
                <w:tcPr>
                  <w:tcW w:w="1917" w:type="pct"/>
                  <w:tcBorders>
                    <w:top w:val="single" w:color="auto" w:sz="6" w:space="0"/>
                    <w:left w:val="nil"/>
                    <w:bottom w:val="single" w:color="auto" w:sz="6" w:space="0"/>
                    <w:right w:val="single" w:color="auto" w:sz="4" w:space="0"/>
                  </w:tcBorders>
                  <w:vAlign w:val="center"/>
                </w:tcPr>
                <w:p w14:paraId="3A4FDEC8">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val="en-US" w:eastAsia="zh-CN"/>
                    </w:rPr>
                    <w:t>设计规模</w:t>
                  </w:r>
                </w:p>
              </w:tc>
            </w:tr>
            <w:tr w14:paraId="62D3EB86">
              <w:tblPrEx>
                <w:tblCellMar>
                  <w:top w:w="0" w:type="dxa"/>
                  <w:left w:w="57" w:type="dxa"/>
                  <w:bottom w:w="0" w:type="dxa"/>
                  <w:right w:w="57" w:type="dxa"/>
                </w:tblCellMar>
              </w:tblPrEx>
              <w:trPr>
                <w:cantSplit/>
                <w:trHeight w:val="397" w:hRule="atLeast"/>
                <w:jc w:val="center"/>
              </w:trPr>
              <w:tc>
                <w:tcPr>
                  <w:tcW w:w="656" w:type="pct"/>
                  <w:tcBorders>
                    <w:top w:val="single" w:color="auto" w:sz="6" w:space="0"/>
                    <w:left w:val="single" w:color="auto" w:sz="6" w:space="0"/>
                    <w:bottom w:val="single" w:color="auto" w:sz="6" w:space="0"/>
                    <w:right w:val="single" w:color="auto" w:sz="6" w:space="0"/>
                  </w:tcBorders>
                  <w:vAlign w:val="center"/>
                </w:tcPr>
                <w:p w14:paraId="4E56B3B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426" w:type="pct"/>
                  <w:tcBorders>
                    <w:top w:val="single" w:color="auto" w:sz="6" w:space="0"/>
                    <w:left w:val="nil"/>
                    <w:bottom w:val="single" w:color="auto" w:sz="6" w:space="0"/>
                    <w:right w:val="single" w:color="auto" w:sz="6" w:space="0"/>
                  </w:tcBorders>
                  <w:vAlign w:val="center"/>
                </w:tcPr>
                <w:p w14:paraId="6D15EA39">
                  <w:pPr>
                    <w:pageBreakBefore w:val="0"/>
                    <w:wordWrap w:val="0"/>
                    <w:topLinePunct w:val="0"/>
                    <w:bidi w:val="0"/>
                    <w:spacing w:line="36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塑料外壳件</w:t>
                  </w:r>
                </w:p>
              </w:tc>
              <w:tc>
                <w:tcPr>
                  <w:tcW w:w="1917" w:type="pct"/>
                  <w:tcBorders>
                    <w:top w:val="single" w:color="auto" w:sz="6" w:space="0"/>
                    <w:left w:val="nil"/>
                    <w:bottom w:val="single" w:color="auto" w:sz="6" w:space="0"/>
                    <w:right w:val="single" w:color="auto" w:sz="4" w:space="0"/>
                  </w:tcBorders>
                  <w:vAlign w:val="center"/>
                </w:tcPr>
                <w:p w14:paraId="10F35AFD">
                  <w:pPr>
                    <w:pageBreakBefore w:val="0"/>
                    <w:tabs>
                      <w:tab w:val="left" w:pos="1305"/>
                    </w:tabs>
                    <w:wordWrap w:val="0"/>
                    <w:topLinePunct w:val="0"/>
                    <w:bidi w:val="0"/>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sz w:val="21"/>
                      <w:szCs w:val="21"/>
                      <w:highlight w:val="none"/>
                      <w:lang w:val="en-US" w:eastAsia="zh-CN"/>
                    </w:rPr>
                    <w:t>1000万个</w:t>
                  </w:r>
                </w:p>
              </w:tc>
            </w:tr>
          </w:tbl>
          <w:p w14:paraId="40E0E104">
            <w:pPr>
              <w:pStyle w:val="6"/>
              <w:pageBreakBefore w:val="0"/>
              <w:numPr>
                <w:ilvl w:val="3"/>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3、</w:t>
            </w:r>
            <w:r>
              <w:rPr>
                <w:rFonts w:hint="default" w:ascii="Times New Roman" w:hAnsi="Times New Roman" w:cs="Times New Roman"/>
                <w:color w:val="auto"/>
                <w:highlight w:val="none"/>
              </w:rPr>
              <w:t>原辅材料及用量</w:t>
            </w:r>
          </w:p>
          <w:p w14:paraId="3E3F7B58">
            <w:pPr>
              <w:pStyle w:val="8"/>
              <w:pageBreakBefore w:val="0"/>
              <w:numPr>
                <w:ilvl w:val="4"/>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（1）原辅材料用量</w:t>
            </w:r>
          </w:p>
          <w:p w14:paraId="2D21FD1A">
            <w:pPr>
              <w:pStyle w:val="2"/>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val="en-US" w:eastAsia="zh-CN"/>
              </w:rPr>
              <w:t>主要</w:t>
            </w:r>
            <w:r>
              <w:rPr>
                <w:rFonts w:hint="default" w:ascii="Times New Roman" w:hAnsi="Times New Roman" w:cs="Times New Roman"/>
                <w:color w:val="auto"/>
                <w:highlight w:val="none"/>
              </w:rPr>
              <w:t>原辅材料种类及年用量见下表。</w:t>
            </w:r>
          </w:p>
          <w:p w14:paraId="403C3C5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lang w:val="en-US" w:eastAsia="zh-CN"/>
              </w:rPr>
              <w:t>-3主要</w:t>
            </w:r>
            <w:r>
              <w:rPr>
                <w:rFonts w:hint="default" w:ascii="Times New Roman" w:hAnsi="Times New Roman" w:cs="Times New Roman"/>
                <w:b/>
                <w:bCs/>
                <w:color w:val="auto"/>
                <w:sz w:val="21"/>
                <w:szCs w:val="21"/>
                <w:highlight w:val="none"/>
              </w:rPr>
              <w:t>原辅材料一览表</w:t>
            </w:r>
          </w:p>
          <w:tbl>
            <w:tblPr>
              <w:tblStyle w:val="38"/>
              <w:tblW w:w="7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10"/>
              <w:gridCol w:w="1951"/>
              <w:gridCol w:w="937"/>
              <w:gridCol w:w="780"/>
              <w:gridCol w:w="710"/>
              <w:gridCol w:w="1016"/>
              <w:gridCol w:w="1139"/>
              <w:gridCol w:w="825"/>
            </w:tblGrid>
            <w:tr w14:paraId="1813E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tcBorders>
                    <w:top w:val="single" w:color="000000" w:sz="2" w:space="0"/>
                  </w:tcBorders>
                  <w:vAlign w:val="center"/>
                </w:tcPr>
                <w:p w14:paraId="0F124949">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序号</w:t>
                  </w:r>
                </w:p>
              </w:tc>
              <w:tc>
                <w:tcPr>
                  <w:tcW w:w="1951" w:type="dxa"/>
                  <w:tcBorders>
                    <w:top w:val="single" w:color="000000" w:sz="2" w:space="0"/>
                  </w:tcBorders>
                  <w:vAlign w:val="center"/>
                </w:tcPr>
                <w:p w14:paraId="57195C2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名称</w:t>
                  </w:r>
                </w:p>
              </w:tc>
              <w:tc>
                <w:tcPr>
                  <w:tcW w:w="937" w:type="dxa"/>
                  <w:tcBorders>
                    <w:top w:val="single" w:color="000000" w:sz="2" w:space="0"/>
                  </w:tcBorders>
                  <w:vAlign w:val="center"/>
                </w:tcPr>
                <w:p w14:paraId="1B8526AF">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年用量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val="0"/>
                      <w:color w:val="auto"/>
                      <w:sz w:val="21"/>
                      <w:szCs w:val="21"/>
                      <w:highlight w:val="none"/>
                    </w:rPr>
                    <w:t>t/a</w:t>
                  </w:r>
                  <w:r>
                    <w:rPr>
                      <w:rFonts w:hint="default" w:ascii="Times New Roman" w:hAnsi="Times New Roman" w:cs="Times New Roman"/>
                      <w:b/>
                      <w:bCs w:val="0"/>
                      <w:color w:val="auto"/>
                      <w:sz w:val="21"/>
                      <w:szCs w:val="21"/>
                      <w:highlight w:val="none"/>
                      <w:lang w:eastAsia="zh-CN"/>
                    </w:rPr>
                    <w:t>）</w:t>
                  </w:r>
                </w:p>
              </w:tc>
              <w:tc>
                <w:tcPr>
                  <w:tcW w:w="780" w:type="dxa"/>
                  <w:tcBorders>
                    <w:top w:val="single" w:color="000000" w:sz="2" w:space="0"/>
                  </w:tcBorders>
                  <w:vAlign w:val="center"/>
                </w:tcPr>
                <w:p w14:paraId="741B5EB7">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rPr>
                    <w:t>最大贮存量</w:t>
                  </w:r>
                  <w:r>
                    <w:rPr>
                      <w:rFonts w:hint="default" w:ascii="Times New Roman" w:hAnsi="Times New Roman" w:cs="Times New Roman"/>
                      <w:b/>
                      <w:bCs/>
                      <w:color w:val="auto"/>
                      <w:sz w:val="21"/>
                      <w:szCs w:val="21"/>
                      <w:highlight w:val="none"/>
                      <w:lang w:eastAsia="zh-CN"/>
                    </w:rPr>
                    <w:t>（</w:t>
                  </w:r>
                  <w:r>
                    <w:rPr>
                      <w:rFonts w:hint="default" w:ascii="Times New Roman" w:hAnsi="Times New Roman" w:cs="Times New Roman"/>
                      <w:b/>
                      <w:bCs/>
                      <w:color w:val="auto"/>
                      <w:sz w:val="21"/>
                      <w:szCs w:val="21"/>
                      <w:highlight w:val="none"/>
                      <w:lang w:val="en-US" w:eastAsia="zh-CN"/>
                    </w:rPr>
                    <w:t>t</w:t>
                  </w:r>
                  <w:r>
                    <w:rPr>
                      <w:rFonts w:hint="default" w:ascii="Times New Roman" w:hAnsi="Times New Roman" w:cs="Times New Roman"/>
                      <w:b/>
                      <w:bCs/>
                      <w:color w:val="auto"/>
                      <w:sz w:val="21"/>
                      <w:szCs w:val="21"/>
                      <w:highlight w:val="none"/>
                      <w:lang w:eastAsia="zh-CN"/>
                    </w:rPr>
                    <w:t>）</w:t>
                  </w:r>
                </w:p>
              </w:tc>
              <w:tc>
                <w:tcPr>
                  <w:tcW w:w="710" w:type="dxa"/>
                  <w:tcBorders>
                    <w:top w:val="single" w:color="000000" w:sz="2" w:space="0"/>
                  </w:tcBorders>
                  <w:vAlign w:val="center"/>
                </w:tcPr>
                <w:p w14:paraId="4A73BE2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形态</w:t>
                  </w:r>
                </w:p>
              </w:tc>
              <w:tc>
                <w:tcPr>
                  <w:tcW w:w="1016" w:type="dxa"/>
                  <w:tcBorders>
                    <w:top w:val="single" w:color="000000" w:sz="2" w:space="0"/>
                  </w:tcBorders>
                  <w:vAlign w:val="center"/>
                </w:tcPr>
                <w:p w14:paraId="6081807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型号/规格</w:t>
                  </w:r>
                </w:p>
              </w:tc>
              <w:tc>
                <w:tcPr>
                  <w:tcW w:w="1139" w:type="dxa"/>
                  <w:tcBorders>
                    <w:top w:val="single" w:color="000000" w:sz="2" w:space="0"/>
                  </w:tcBorders>
                  <w:vAlign w:val="center"/>
                </w:tcPr>
                <w:p w14:paraId="2383ED02">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使用环节</w:t>
                  </w:r>
                </w:p>
              </w:tc>
              <w:tc>
                <w:tcPr>
                  <w:tcW w:w="825" w:type="dxa"/>
                  <w:tcBorders>
                    <w:top w:val="single" w:color="000000" w:sz="2" w:space="0"/>
                  </w:tcBorders>
                  <w:vAlign w:val="center"/>
                </w:tcPr>
                <w:p w14:paraId="02CC059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贮存位置</w:t>
                  </w:r>
                </w:p>
              </w:tc>
            </w:tr>
            <w:tr w14:paraId="3825F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10" w:type="dxa"/>
                  <w:vAlign w:val="center"/>
                </w:tcPr>
                <w:p w14:paraId="174F7FEC">
                  <w:pPr>
                    <w:pageBreakBefore w:val="0"/>
                    <w:wordWrap w:val="0"/>
                    <w:topLinePunct w:val="0"/>
                    <w:bidi w:val="0"/>
                    <w:spacing w:line="240" w:lineRule="auto"/>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1</w:t>
                  </w:r>
                </w:p>
              </w:tc>
              <w:tc>
                <w:tcPr>
                  <w:tcW w:w="1951" w:type="dxa"/>
                  <w:vAlign w:val="center"/>
                </w:tcPr>
                <w:p w14:paraId="3393D2E1">
                  <w:pPr>
                    <w:pageBreakBefore w:val="0"/>
                    <w:widowControl/>
                    <w:wordWrap w:val="0"/>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尼龙料PA6</w:t>
                  </w:r>
                </w:p>
              </w:tc>
              <w:tc>
                <w:tcPr>
                  <w:tcW w:w="937" w:type="dxa"/>
                  <w:vAlign w:val="center"/>
                </w:tcPr>
                <w:p w14:paraId="08D20FE6">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600</w:t>
                  </w:r>
                </w:p>
              </w:tc>
              <w:tc>
                <w:tcPr>
                  <w:tcW w:w="780" w:type="dxa"/>
                  <w:vAlign w:val="center"/>
                </w:tcPr>
                <w:p w14:paraId="72A5353D">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50</w:t>
                  </w:r>
                </w:p>
              </w:tc>
              <w:tc>
                <w:tcPr>
                  <w:tcW w:w="710" w:type="dxa"/>
                  <w:vAlign w:val="center"/>
                </w:tcPr>
                <w:p w14:paraId="3636D999">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固态</w:t>
                  </w:r>
                </w:p>
              </w:tc>
              <w:tc>
                <w:tcPr>
                  <w:tcW w:w="1016" w:type="dxa"/>
                  <w:vAlign w:val="center"/>
                </w:tcPr>
                <w:p w14:paraId="0D2AE741">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25kg/袋</w:t>
                  </w:r>
                </w:p>
              </w:tc>
              <w:tc>
                <w:tcPr>
                  <w:tcW w:w="1139" w:type="dxa"/>
                  <w:vMerge w:val="restart"/>
                  <w:vAlign w:val="center"/>
                </w:tcPr>
                <w:p w14:paraId="36B609E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c>
                <w:tcPr>
                  <w:tcW w:w="825" w:type="dxa"/>
                  <w:vMerge w:val="restart"/>
                  <w:vAlign w:val="center"/>
                </w:tcPr>
                <w:p w14:paraId="7669FB0A">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2F</w:t>
                  </w:r>
                </w:p>
                <w:p w14:paraId="5A4E8EC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原料仓</w:t>
                  </w:r>
                </w:p>
              </w:tc>
            </w:tr>
            <w:tr w14:paraId="5E9CA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1" w:hRule="atLeast"/>
                <w:jc w:val="center"/>
              </w:trPr>
              <w:tc>
                <w:tcPr>
                  <w:tcW w:w="510" w:type="dxa"/>
                  <w:vAlign w:val="center"/>
                </w:tcPr>
                <w:p w14:paraId="1CF99C44">
                  <w:pPr>
                    <w:pageBreakBefore w:val="0"/>
                    <w:wordWrap w:val="0"/>
                    <w:topLinePunct w:val="0"/>
                    <w:bidi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1951" w:type="dxa"/>
                  <w:shd w:val="clear" w:color="auto" w:fill="auto"/>
                  <w:vAlign w:val="center"/>
                </w:tcPr>
                <w:p w14:paraId="58881FBD">
                  <w:pPr>
                    <w:pageBreakBefore w:val="0"/>
                    <w:widowControl/>
                    <w:wordWrap w:val="0"/>
                    <w:topLinePunct w:val="0"/>
                    <w:bidi w:val="0"/>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PP</w:t>
                  </w:r>
                </w:p>
              </w:tc>
              <w:tc>
                <w:tcPr>
                  <w:tcW w:w="937" w:type="dxa"/>
                  <w:shd w:val="clear" w:color="auto" w:fill="auto"/>
                  <w:vAlign w:val="center"/>
                </w:tcPr>
                <w:p w14:paraId="337CEFF6">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30</w:t>
                  </w:r>
                </w:p>
              </w:tc>
              <w:tc>
                <w:tcPr>
                  <w:tcW w:w="780" w:type="dxa"/>
                  <w:shd w:val="clear" w:color="auto" w:fill="auto"/>
                  <w:vAlign w:val="center"/>
                </w:tcPr>
                <w:p w14:paraId="5012CDE4">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10</w:t>
                  </w:r>
                </w:p>
              </w:tc>
              <w:tc>
                <w:tcPr>
                  <w:tcW w:w="710" w:type="dxa"/>
                  <w:shd w:val="clear" w:color="auto" w:fill="auto"/>
                  <w:vAlign w:val="center"/>
                </w:tcPr>
                <w:p w14:paraId="6D082925">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固态</w:t>
                  </w:r>
                </w:p>
              </w:tc>
              <w:tc>
                <w:tcPr>
                  <w:tcW w:w="1016" w:type="dxa"/>
                  <w:shd w:val="clear" w:color="auto" w:fill="auto"/>
                  <w:vAlign w:val="center"/>
                </w:tcPr>
                <w:p w14:paraId="5C4F1926">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25kg/袋</w:t>
                  </w:r>
                </w:p>
              </w:tc>
              <w:tc>
                <w:tcPr>
                  <w:tcW w:w="1139" w:type="dxa"/>
                  <w:vMerge w:val="continue"/>
                  <w:shd w:val="clear" w:color="auto" w:fill="auto"/>
                  <w:vAlign w:val="center"/>
                </w:tcPr>
                <w:p w14:paraId="20A88A1D">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c>
                <w:tcPr>
                  <w:tcW w:w="825" w:type="dxa"/>
                  <w:vMerge w:val="continue"/>
                  <w:shd w:val="clear" w:color="auto" w:fill="auto"/>
                  <w:vAlign w:val="center"/>
                </w:tcPr>
                <w:p w14:paraId="63385B83">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p>
              </w:tc>
            </w:tr>
            <w:tr w14:paraId="619C5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510" w:type="dxa"/>
                  <w:vAlign w:val="center"/>
                </w:tcPr>
                <w:p w14:paraId="3E57675B">
                  <w:pPr>
                    <w:pageBreakBefore w:val="0"/>
                    <w:wordWrap w:val="0"/>
                    <w:topLinePunct w:val="0"/>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1951" w:type="dxa"/>
                  <w:shd w:val="clear" w:color="auto" w:fill="auto"/>
                  <w:vAlign w:val="center"/>
                </w:tcPr>
                <w:p w14:paraId="0EEC3C8A">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机油</w:t>
                  </w:r>
                </w:p>
              </w:tc>
              <w:tc>
                <w:tcPr>
                  <w:tcW w:w="937" w:type="dxa"/>
                  <w:shd w:val="clear" w:color="auto" w:fill="auto"/>
                  <w:vAlign w:val="center"/>
                </w:tcPr>
                <w:p w14:paraId="42A405AE">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0.1</w:t>
                  </w:r>
                </w:p>
              </w:tc>
              <w:tc>
                <w:tcPr>
                  <w:tcW w:w="780" w:type="dxa"/>
                  <w:shd w:val="clear" w:color="auto" w:fill="auto"/>
                  <w:vAlign w:val="center"/>
                </w:tcPr>
                <w:p w14:paraId="4634297F">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0.1</w:t>
                  </w:r>
                </w:p>
              </w:tc>
              <w:tc>
                <w:tcPr>
                  <w:tcW w:w="710" w:type="dxa"/>
                  <w:shd w:val="clear" w:color="auto" w:fill="auto"/>
                  <w:vAlign w:val="center"/>
                </w:tcPr>
                <w:p w14:paraId="7D1EA6E0">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液态</w:t>
                  </w:r>
                </w:p>
              </w:tc>
              <w:tc>
                <w:tcPr>
                  <w:tcW w:w="1016" w:type="dxa"/>
                  <w:shd w:val="clear" w:color="auto" w:fill="auto"/>
                  <w:vAlign w:val="center"/>
                </w:tcPr>
                <w:p w14:paraId="543EC99E">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25kg/桶</w:t>
                  </w:r>
                </w:p>
              </w:tc>
              <w:tc>
                <w:tcPr>
                  <w:tcW w:w="1139" w:type="dxa"/>
                  <w:shd w:val="clear" w:color="auto" w:fill="auto"/>
                  <w:vAlign w:val="center"/>
                </w:tcPr>
                <w:p w14:paraId="7A5B9331">
                  <w:pPr>
                    <w:pageBreakBefore w:val="0"/>
                    <w:wordWrap w:val="0"/>
                    <w:topLinePunct w:val="0"/>
                    <w:bidi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生产设备维保</w:t>
                  </w:r>
                </w:p>
              </w:tc>
              <w:tc>
                <w:tcPr>
                  <w:tcW w:w="825" w:type="dxa"/>
                  <w:vMerge w:val="continue"/>
                  <w:vAlign w:val="center"/>
                </w:tcPr>
                <w:p w14:paraId="1938E8F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r>
            <w:tr w14:paraId="7ABD6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510" w:type="dxa"/>
                  <w:vAlign w:val="center"/>
                </w:tcPr>
                <w:p w14:paraId="6ACD6841">
                  <w:pPr>
                    <w:pageBreakBefore w:val="0"/>
                    <w:wordWrap w:val="0"/>
                    <w:topLinePunct w:val="0"/>
                    <w:bidi w:val="0"/>
                    <w:spacing w:line="240" w:lineRule="auto"/>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w:t>
                  </w:r>
                </w:p>
              </w:tc>
              <w:tc>
                <w:tcPr>
                  <w:tcW w:w="1951" w:type="dxa"/>
                  <w:shd w:val="clear" w:color="auto" w:fill="auto"/>
                  <w:vAlign w:val="center"/>
                </w:tcPr>
                <w:p w14:paraId="4492383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模具</w:t>
                  </w:r>
                </w:p>
              </w:tc>
              <w:tc>
                <w:tcPr>
                  <w:tcW w:w="937" w:type="dxa"/>
                  <w:shd w:val="clear" w:color="auto" w:fill="auto"/>
                  <w:vAlign w:val="center"/>
                </w:tcPr>
                <w:p w14:paraId="6B320353">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40套</w:t>
                  </w:r>
                </w:p>
              </w:tc>
              <w:tc>
                <w:tcPr>
                  <w:tcW w:w="780" w:type="dxa"/>
                  <w:shd w:val="clear" w:color="auto" w:fill="auto"/>
                  <w:vAlign w:val="center"/>
                </w:tcPr>
                <w:p w14:paraId="25763ADF">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40套</w:t>
                  </w:r>
                </w:p>
              </w:tc>
              <w:tc>
                <w:tcPr>
                  <w:tcW w:w="710" w:type="dxa"/>
                  <w:shd w:val="clear" w:color="auto" w:fill="auto"/>
                  <w:vAlign w:val="center"/>
                </w:tcPr>
                <w:p w14:paraId="448056A3">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2"/>
                      <w:sz w:val="21"/>
                      <w:szCs w:val="21"/>
                      <w:highlight w:val="none"/>
                      <w:lang w:val="en-US" w:eastAsia="zh-CN" w:bidi="ar-SA"/>
                    </w:rPr>
                    <w:t>固态</w:t>
                  </w:r>
                </w:p>
              </w:tc>
              <w:tc>
                <w:tcPr>
                  <w:tcW w:w="1016" w:type="dxa"/>
                  <w:shd w:val="clear" w:color="auto" w:fill="auto"/>
                  <w:vAlign w:val="center"/>
                </w:tcPr>
                <w:p w14:paraId="56A4905F">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39" w:type="dxa"/>
                  <w:shd w:val="clear" w:color="auto" w:fill="auto"/>
                  <w:vAlign w:val="center"/>
                </w:tcPr>
                <w:p w14:paraId="4E18D587">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w:t>
                  </w:r>
                </w:p>
              </w:tc>
              <w:tc>
                <w:tcPr>
                  <w:tcW w:w="825" w:type="dxa"/>
                  <w:vAlign w:val="center"/>
                </w:tcPr>
                <w:p w14:paraId="5FFBE88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14:paraId="79009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3" w:hRule="atLeast"/>
                <w:jc w:val="center"/>
              </w:trPr>
              <w:tc>
                <w:tcPr>
                  <w:tcW w:w="7868" w:type="dxa"/>
                  <w:gridSpan w:val="8"/>
                  <w:vAlign w:val="center"/>
                </w:tcPr>
                <w:p w14:paraId="52B67AA7">
                  <w:pPr>
                    <w:pageBreakBefore w:val="0"/>
                    <w:wordWrap w:val="0"/>
                    <w:topLinePunct w:val="0"/>
                    <w:bidi w:val="0"/>
                    <w:spacing w:line="240" w:lineRule="auto"/>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注：尼龙料PA6、PP塑胶粒均为新料，项目不使用再生料。</w:t>
                  </w:r>
                </w:p>
              </w:tc>
            </w:tr>
          </w:tbl>
          <w:p w14:paraId="5362F864">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lang w:val="en-US" w:eastAsia="zh-CN"/>
              </w:rPr>
              <w:t>-4物料平衡表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384"/>
              <w:gridCol w:w="2198"/>
              <w:gridCol w:w="990"/>
              <w:gridCol w:w="697"/>
              <w:gridCol w:w="2435"/>
              <w:gridCol w:w="1140"/>
            </w:tblGrid>
            <w:tr w14:paraId="6708EB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45" w:type="pct"/>
                  <w:vMerge w:val="restart"/>
                  <w:vAlign w:val="center"/>
                </w:tcPr>
                <w:p w14:paraId="0B559E6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序号</w:t>
                  </w:r>
                </w:p>
              </w:tc>
              <w:tc>
                <w:tcPr>
                  <w:tcW w:w="2032" w:type="pct"/>
                  <w:gridSpan w:val="2"/>
                  <w:vAlign w:val="center"/>
                </w:tcPr>
                <w:p w14:paraId="3928AFFA">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投料（t/a）</w:t>
                  </w:r>
                </w:p>
              </w:tc>
              <w:tc>
                <w:tcPr>
                  <w:tcW w:w="2722" w:type="pct"/>
                  <w:gridSpan w:val="3"/>
                  <w:vAlign w:val="center"/>
                </w:tcPr>
                <w:p w14:paraId="7DC7A11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eastAsia="宋体" w:cs="Times New Roman"/>
                      <w:b/>
                      <w:bCs/>
                      <w:i w:val="0"/>
                      <w:iCs w:val="0"/>
                      <w:color w:val="auto"/>
                      <w:kern w:val="0"/>
                      <w:sz w:val="21"/>
                      <w:szCs w:val="21"/>
                      <w:highlight w:val="none"/>
                      <w:u w:val="none"/>
                      <w:lang w:val="en-US" w:eastAsia="zh-CN" w:bidi="ar"/>
                    </w:rPr>
                    <w:t>产出（t/a）</w:t>
                  </w:r>
                </w:p>
              </w:tc>
            </w:tr>
            <w:tr w14:paraId="20808C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45" w:type="pct"/>
                  <w:vMerge w:val="continue"/>
                  <w:vAlign w:val="center"/>
                </w:tcPr>
                <w:p w14:paraId="2586F1EF">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p>
              </w:tc>
              <w:tc>
                <w:tcPr>
                  <w:tcW w:w="1401" w:type="pct"/>
                  <w:vAlign w:val="center"/>
                </w:tcPr>
                <w:p w14:paraId="44BE3E7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物料名称</w:t>
                  </w:r>
                </w:p>
              </w:tc>
              <w:tc>
                <w:tcPr>
                  <w:tcW w:w="630" w:type="pct"/>
                  <w:vAlign w:val="center"/>
                </w:tcPr>
                <w:p w14:paraId="473133E9">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p>
              </w:tc>
              <w:tc>
                <w:tcPr>
                  <w:tcW w:w="1996" w:type="pct"/>
                  <w:gridSpan w:val="2"/>
                  <w:vAlign w:val="center"/>
                </w:tcPr>
                <w:p w14:paraId="25F6E380">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物料名称</w:t>
                  </w:r>
                </w:p>
              </w:tc>
              <w:tc>
                <w:tcPr>
                  <w:tcW w:w="725" w:type="pct"/>
                  <w:vAlign w:val="center"/>
                </w:tcPr>
                <w:p w14:paraId="500F9FA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i w:val="0"/>
                      <w:iCs w:val="0"/>
                      <w:color w:val="auto"/>
                      <w:kern w:val="0"/>
                      <w:sz w:val="21"/>
                      <w:szCs w:val="21"/>
                      <w:highlight w:val="none"/>
                      <w:u w:val="none"/>
                      <w:lang w:val="en-US" w:eastAsia="zh-CN" w:bidi="ar"/>
                    </w:rPr>
                  </w:pPr>
                  <w:r>
                    <w:rPr>
                      <w:rFonts w:hint="default" w:ascii="Times New Roman" w:hAnsi="Times New Roman" w:eastAsia="宋体" w:cs="Times New Roman"/>
                      <w:b/>
                      <w:bCs/>
                      <w:i w:val="0"/>
                      <w:iCs w:val="0"/>
                      <w:color w:val="auto"/>
                      <w:kern w:val="0"/>
                      <w:sz w:val="21"/>
                      <w:szCs w:val="21"/>
                      <w:highlight w:val="none"/>
                      <w:u w:val="none"/>
                      <w:lang w:val="en-US" w:eastAsia="zh-CN" w:bidi="ar"/>
                    </w:rPr>
                    <w:t>数量</w:t>
                  </w:r>
                </w:p>
              </w:tc>
            </w:tr>
            <w:tr w14:paraId="669DB9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45" w:type="pct"/>
                  <w:vAlign w:val="center"/>
                </w:tcPr>
                <w:p w14:paraId="3268EC2F">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sz w:val="21"/>
                      <w:szCs w:val="21"/>
                      <w:highlight w:val="none"/>
                      <w:lang w:val="en-US"/>
                    </w:rPr>
                  </w:pPr>
                  <w:r>
                    <w:rPr>
                      <w:rFonts w:hint="default" w:ascii="Times New Roman" w:hAnsi="Times New Roman" w:cs="Times New Roman"/>
                      <w:i w:val="0"/>
                      <w:iCs w:val="0"/>
                      <w:color w:val="auto"/>
                      <w:kern w:val="0"/>
                      <w:sz w:val="21"/>
                      <w:szCs w:val="21"/>
                      <w:highlight w:val="none"/>
                      <w:u w:val="none"/>
                      <w:lang w:val="en-US" w:eastAsia="zh-CN" w:bidi="ar"/>
                    </w:rPr>
                    <w:t>1</w:t>
                  </w:r>
                </w:p>
              </w:tc>
              <w:tc>
                <w:tcPr>
                  <w:tcW w:w="1401" w:type="pct"/>
                  <w:vAlign w:val="center"/>
                </w:tcPr>
                <w:p w14:paraId="1AB899FF">
                  <w:pPr>
                    <w:pageBreakBefore w:val="0"/>
                    <w:widowControl/>
                    <w:wordWrap w:val="0"/>
                    <w:topLinePunct w:val="0"/>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尼龙料PA6</w:t>
                  </w:r>
                </w:p>
              </w:tc>
              <w:tc>
                <w:tcPr>
                  <w:tcW w:w="630" w:type="pct"/>
                  <w:vAlign w:val="center"/>
                </w:tcPr>
                <w:p w14:paraId="2C3E378D">
                  <w:pPr>
                    <w:pageBreakBefore w:val="0"/>
                    <w:wordWrap w:val="0"/>
                    <w:topLinePunct w:val="0"/>
                    <w:bidi w:val="0"/>
                    <w:spacing w:line="240" w:lineRule="auto"/>
                    <w:jc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color w:val="auto"/>
                      <w:kern w:val="2"/>
                      <w:sz w:val="21"/>
                      <w:szCs w:val="21"/>
                      <w:highlight w:val="none"/>
                      <w:lang w:val="en-US" w:eastAsia="zh-CN" w:bidi="ar-SA"/>
                    </w:rPr>
                    <w:t>600</w:t>
                  </w:r>
                </w:p>
              </w:tc>
              <w:tc>
                <w:tcPr>
                  <w:tcW w:w="444" w:type="pct"/>
                  <w:tcBorders>
                    <w:bottom w:val="single" w:color="auto" w:sz="4" w:space="0"/>
                  </w:tcBorders>
                  <w:vAlign w:val="center"/>
                </w:tcPr>
                <w:p w14:paraId="5CE25CF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产品</w:t>
                  </w:r>
                </w:p>
              </w:tc>
              <w:tc>
                <w:tcPr>
                  <w:tcW w:w="1551" w:type="pct"/>
                  <w:tcBorders>
                    <w:bottom w:val="single" w:color="auto" w:sz="4" w:space="0"/>
                  </w:tcBorders>
                  <w:vAlign w:val="center"/>
                </w:tcPr>
                <w:p w14:paraId="4B95C71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塑料外壳件</w:t>
                  </w:r>
                </w:p>
              </w:tc>
              <w:tc>
                <w:tcPr>
                  <w:tcW w:w="725" w:type="pct"/>
                  <w:tcBorders>
                    <w:bottom w:val="single" w:color="auto" w:sz="4" w:space="0"/>
                  </w:tcBorders>
                  <w:shd w:val="clear" w:color="auto" w:fill="auto"/>
                  <w:vAlign w:val="center"/>
                </w:tcPr>
                <w:p w14:paraId="2210769F">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628.279</w:t>
                  </w:r>
                </w:p>
              </w:tc>
            </w:tr>
            <w:tr w14:paraId="3F1BEA8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45" w:type="pct"/>
                  <w:vAlign w:val="center"/>
                </w:tcPr>
                <w:p w14:paraId="6144F0A3">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1401" w:type="pct"/>
                  <w:vAlign w:val="center"/>
                </w:tcPr>
                <w:p w14:paraId="46C6963C">
                  <w:pPr>
                    <w:pageBreakBefore w:val="0"/>
                    <w:widowControl/>
                    <w:wordWrap w:val="0"/>
                    <w:topLinePunct w:val="0"/>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PP</w:t>
                  </w:r>
                </w:p>
              </w:tc>
              <w:tc>
                <w:tcPr>
                  <w:tcW w:w="630" w:type="pct"/>
                  <w:vAlign w:val="center"/>
                </w:tcPr>
                <w:p w14:paraId="04D2965E">
                  <w:pPr>
                    <w:pageBreakBefore w:val="0"/>
                    <w:wordWrap w:val="0"/>
                    <w:topLinePunct w:val="0"/>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30</w:t>
                  </w:r>
                </w:p>
              </w:tc>
              <w:tc>
                <w:tcPr>
                  <w:tcW w:w="444" w:type="pct"/>
                  <w:vMerge w:val="restart"/>
                  <w:tcBorders>
                    <w:top w:val="single" w:color="auto" w:sz="4" w:space="0"/>
                  </w:tcBorders>
                  <w:vAlign w:val="center"/>
                </w:tcPr>
                <w:p w14:paraId="4697C6F8">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废气</w:t>
                  </w:r>
                </w:p>
              </w:tc>
              <w:tc>
                <w:tcPr>
                  <w:tcW w:w="1551" w:type="pct"/>
                  <w:tcBorders>
                    <w:top w:val="single" w:color="auto" w:sz="4" w:space="0"/>
                  </w:tcBorders>
                  <w:vAlign w:val="center"/>
                </w:tcPr>
                <w:p w14:paraId="64849435">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有机废气</w:t>
                  </w:r>
                </w:p>
              </w:tc>
              <w:tc>
                <w:tcPr>
                  <w:tcW w:w="725" w:type="pct"/>
                  <w:tcBorders>
                    <w:top w:val="single" w:color="auto" w:sz="4" w:space="0"/>
                  </w:tcBorders>
                  <w:vAlign w:val="center"/>
                </w:tcPr>
                <w:p w14:paraId="023EE79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cs="Times New Roman"/>
                      <w:i w:val="0"/>
                      <w:iCs w:val="0"/>
                      <w:color w:val="auto"/>
                      <w:kern w:val="0"/>
                      <w:sz w:val="21"/>
                      <w:szCs w:val="21"/>
                      <w:highlight w:val="none"/>
                      <w:u w:val="none"/>
                      <w:lang w:val="en-US" w:eastAsia="zh-CN" w:bidi="ar"/>
                    </w:rPr>
                    <w:t>1.718</w:t>
                  </w:r>
                </w:p>
              </w:tc>
            </w:tr>
            <w:tr w14:paraId="33C662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245" w:type="pct"/>
                  <w:tcBorders>
                    <w:bottom w:val="single" w:color="auto" w:sz="4" w:space="0"/>
                  </w:tcBorders>
                  <w:vAlign w:val="center"/>
                </w:tcPr>
                <w:p w14:paraId="69BA1383">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3</w:t>
                  </w:r>
                </w:p>
              </w:tc>
              <w:tc>
                <w:tcPr>
                  <w:tcW w:w="1401" w:type="pct"/>
                  <w:tcBorders>
                    <w:bottom w:val="single" w:color="auto" w:sz="4" w:space="0"/>
                  </w:tcBorders>
                  <w:vAlign w:val="center"/>
                </w:tcPr>
                <w:p w14:paraId="1E1DF49C">
                  <w:pPr>
                    <w:pageBreakBefore w:val="0"/>
                    <w:widowControl/>
                    <w:wordWrap w:val="0"/>
                    <w:topLinePunct w:val="0"/>
                    <w:bidi w:val="0"/>
                    <w:adjustRightInd w:val="0"/>
                    <w:snapToGrid w:val="0"/>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bidi="ar-SA"/>
                    </w:rPr>
                    <w:t>/</w:t>
                  </w:r>
                </w:p>
              </w:tc>
              <w:tc>
                <w:tcPr>
                  <w:tcW w:w="630" w:type="pct"/>
                  <w:vAlign w:val="center"/>
                </w:tcPr>
                <w:p w14:paraId="4991F98F">
                  <w:pPr>
                    <w:pageBreakBefore w:val="0"/>
                    <w:wordWrap w:val="0"/>
                    <w:topLinePunct w:val="0"/>
                    <w:bidi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color w:val="auto"/>
                      <w:kern w:val="2"/>
                      <w:sz w:val="21"/>
                      <w:szCs w:val="21"/>
                      <w:highlight w:val="none"/>
                      <w:lang w:val="en-US" w:eastAsia="zh-CN" w:bidi="ar-SA"/>
                    </w:rPr>
                    <w:t>/</w:t>
                  </w:r>
                </w:p>
              </w:tc>
              <w:tc>
                <w:tcPr>
                  <w:tcW w:w="444" w:type="pct"/>
                  <w:vMerge w:val="continue"/>
                  <w:vAlign w:val="center"/>
                </w:tcPr>
                <w:p w14:paraId="4F23EF04">
                  <w:pPr>
                    <w:keepNext w:val="0"/>
                    <w:keepLines w:val="0"/>
                    <w:pageBreakBefore w:val="0"/>
                    <w:widowControl/>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lang w:eastAsia="zh-CN"/>
                    </w:rPr>
                  </w:pPr>
                </w:p>
              </w:tc>
              <w:tc>
                <w:tcPr>
                  <w:tcW w:w="1551" w:type="pct"/>
                  <w:vAlign w:val="center"/>
                </w:tcPr>
                <w:p w14:paraId="16E4D606">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破碎粉尘</w:t>
                  </w:r>
                </w:p>
              </w:tc>
              <w:tc>
                <w:tcPr>
                  <w:tcW w:w="725" w:type="pct"/>
                  <w:vAlign w:val="center"/>
                </w:tcPr>
                <w:p w14:paraId="6C645A4B">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0.003</w:t>
                  </w:r>
                </w:p>
              </w:tc>
            </w:tr>
            <w:tr w14:paraId="478116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1646" w:type="pct"/>
                  <w:gridSpan w:val="2"/>
                  <w:vAlign w:val="center"/>
                </w:tcPr>
                <w:p w14:paraId="03FE0A11">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630" w:type="pct"/>
                  <w:shd w:val="clear" w:color="auto" w:fill="auto"/>
                  <w:vAlign w:val="center"/>
                </w:tcPr>
                <w:p w14:paraId="2E04EE92">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i w:val="0"/>
                      <w:iCs w:val="0"/>
                      <w:color w:val="auto"/>
                      <w:kern w:val="2"/>
                      <w:sz w:val="21"/>
                      <w:szCs w:val="21"/>
                      <w:highlight w:val="none"/>
                      <w:u w:val="none"/>
                      <w:lang w:val="en-US" w:eastAsia="zh-CN" w:bidi="ar-SA"/>
                    </w:rPr>
                    <w:t>630</w:t>
                  </w:r>
                </w:p>
              </w:tc>
              <w:tc>
                <w:tcPr>
                  <w:tcW w:w="1996" w:type="pct"/>
                  <w:gridSpan w:val="2"/>
                  <w:vAlign w:val="center"/>
                </w:tcPr>
                <w:p w14:paraId="1A30C94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bCs/>
                      <w:i w:val="0"/>
                      <w:iCs w:val="0"/>
                      <w:color w:val="auto"/>
                      <w:kern w:val="0"/>
                      <w:sz w:val="21"/>
                      <w:szCs w:val="21"/>
                      <w:highlight w:val="none"/>
                      <w:u w:val="none"/>
                      <w:lang w:val="en-US" w:eastAsia="zh-CN" w:bidi="ar"/>
                    </w:rPr>
                    <w:t>合计</w:t>
                  </w:r>
                </w:p>
              </w:tc>
              <w:tc>
                <w:tcPr>
                  <w:tcW w:w="725" w:type="pct"/>
                  <w:shd w:val="clear" w:color="auto" w:fill="auto"/>
                  <w:vAlign w:val="center"/>
                </w:tcPr>
                <w:p w14:paraId="43C0EFAF">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2"/>
                      <w:sz w:val="21"/>
                      <w:szCs w:val="21"/>
                      <w:highlight w:val="none"/>
                      <w:u w:val="none"/>
                      <w:lang w:val="en-US" w:eastAsia="zh-CN" w:bidi="ar-SA"/>
                    </w:rPr>
                  </w:pPr>
                  <w:r>
                    <w:rPr>
                      <w:rFonts w:hint="default" w:ascii="Times New Roman" w:hAnsi="Times New Roman" w:cs="Times New Roman"/>
                      <w:color w:val="auto"/>
                      <w:highlight w:val="none"/>
                      <w:lang w:val="en-US" w:eastAsia="zh-CN"/>
                    </w:rPr>
                    <w:t>630</w:t>
                  </w:r>
                </w:p>
              </w:tc>
            </w:tr>
          </w:tbl>
          <w:p w14:paraId="3C9CD7CE">
            <w:pPr>
              <w:pStyle w:val="6"/>
              <w:pageBreakBefore w:val="0"/>
              <w:widowControl w:val="0"/>
              <w:numPr>
                <w:ilvl w:val="3"/>
                <w:numId w:val="0"/>
              </w:numPr>
              <w:kinsoku/>
              <w:wordWrap w:val="0"/>
              <w:overflowPunct/>
              <w:topLinePunct w:val="0"/>
              <w:autoSpaceDE/>
              <w:autoSpaceDN/>
              <w:bidi w:val="0"/>
              <w:adjustRightInd/>
              <w:snapToGrid/>
              <w:ind w:left="0" w:firstLine="480" w:firstLineChars="200"/>
              <w:textAlignment w:val="auto"/>
              <w:rPr>
                <w:rFonts w:hint="default" w:ascii="Times New Roman" w:hAnsi="Times New Roman" w:cs="Times New Roman"/>
                <w:color w:val="auto"/>
                <w:szCs w:val="24"/>
                <w:highlight w:val="none"/>
                <w:lang w:val="en-US" w:eastAsia="zh-CN"/>
              </w:rPr>
            </w:pP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2</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szCs w:val="24"/>
                <w:highlight w:val="none"/>
                <w:lang w:val="en-US" w:eastAsia="zh-CN"/>
              </w:rPr>
              <w:t>原辅材料理化性质</w:t>
            </w:r>
          </w:p>
          <w:p w14:paraId="64A88B97">
            <w:pPr>
              <w:pStyle w:val="7"/>
              <w:pageBreakBefore w:val="0"/>
              <w:widowControl w:val="0"/>
              <w:kinsoku/>
              <w:wordWrap w:val="0"/>
              <w:overflowPunct/>
              <w:topLinePunct w:val="0"/>
              <w:autoSpaceDE/>
              <w:autoSpaceDN/>
              <w:bidi w:val="0"/>
              <w:adjustRightInd/>
              <w:snapToGrid/>
              <w:ind w:left="0" w:firstLine="480" w:firstLineChars="2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val="en-US" w:eastAsia="zh-CN"/>
              </w:rPr>
              <w:t>①</w:t>
            </w:r>
            <w:r>
              <w:rPr>
                <w:rFonts w:hint="default" w:ascii="Times New Roman" w:hAnsi="Times New Roman" w:eastAsia="宋体" w:cs="Times New Roman"/>
                <w:b/>
                <w:bCs/>
                <w:color w:val="auto"/>
                <w:sz w:val="24"/>
                <w:szCs w:val="24"/>
                <w:highlight w:val="none"/>
                <w:lang w:val="en-US" w:eastAsia="zh-CN"/>
              </w:rPr>
              <w:t>尼龙料PA6：</w:t>
            </w:r>
            <w:r>
              <w:rPr>
                <w:rFonts w:hint="default" w:ascii="Times New Roman" w:hAnsi="Times New Roman" w:eastAsia="宋体" w:cs="Times New Roman"/>
                <w:b w:val="0"/>
                <w:bCs w:val="0"/>
                <w:color w:val="auto"/>
                <w:sz w:val="24"/>
                <w:szCs w:val="24"/>
                <w:highlight w:val="none"/>
                <w:lang w:val="en-US" w:eastAsia="zh-CN"/>
              </w:rPr>
              <w:t>聚</w:t>
            </w: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HYPERLINK "https://baike.baidu.com/item/%E9%85%B0%E8%83%BA/5823210?fromModule=lemma_inlink" \t "https://baike.baidu.com/item/_blank"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酰胺</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b w:val="0"/>
                <w:bCs w:val="0"/>
                <w:color w:val="auto"/>
                <w:sz w:val="24"/>
                <w:szCs w:val="24"/>
                <w:highlight w:val="none"/>
                <w:lang w:val="en-US" w:eastAsia="zh-CN"/>
              </w:rPr>
              <w:t>树脂是分子中具有一CONH结构的缩聚型</w:t>
            </w: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HYPERLINK "https://baike.baidu.com/item/%E9%AB%98%E5%88%86%E5%AD%90%E5%8C%96%E5%90%88%E7%89%A9/273389?fromModule=lemma_inlink" \t "https://baike.baidu.com/item/_blank"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高分子化合物</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b w:val="0"/>
                <w:bCs w:val="0"/>
                <w:color w:val="auto"/>
                <w:sz w:val="24"/>
                <w:szCs w:val="24"/>
                <w:highlight w:val="none"/>
                <w:lang w:val="en-US" w:eastAsia="zh-CN"/>
              </w:rPr>
              <w:t>，它通常由</w:t>
            </w:r>
            <w:r>
              <w:rPr>
                <w:rFonts w:hint="default" w:ascii="Times New Roman" w:hAnsi="Times New Roman" w:eastAsia="宋体" w:cs="Times New Roman"/>
                <w:b w:val="0"/>
                <w:bCs w:val="0"/>
                <w:color w:val="auto"/>
                <w:sz w:val="24"/>
                <w:szCs w:val="24"/>
                <w:highlight w:val="none"/>
                <w:lang w:val="en-US" w:eastAsia="zh-CN"/>
              </w:rPr>
              <w:fldChar w:fldCharType="begin"/>
            </w:r>
            <w:r>
              <w:rPr>
                <w:rFonts w:hint="default" w:ascii="Times New Roman" w:hAnsi="Times New Roman" w:eastAsia="宋体" w:cs="Times New Roman"/>
                <w:b w:val="0"/>
                <w:bCs w:val="0"/>
                <w:color w:val="auto"/>
                <w:sz w:val="24"/>
                <w:szCs w:val="24"/>
                <w:highlight w:val="none"/>
                <w:lang w:val="en-US" w:eastAsia="zh-CN"/>
              </w:rPr>
              <w:instrText xml:space="preserve"> HYPERLINK "https://baike.baidu.com/item/%E4%BA%8C%E5%85%83%E9%85%B8/299165?fromModule=lemma_inlink" \t "https://baike.baidu.com/item/_blank" </w:instrText>
            </w:r>
            <w:r>
              <w:rPr>
                <w:rFonts w:hint="default" w:ascii="Times New Roman" w:hAnsi="Times New Roman" w:eastAsia="宋体" w:cs="Times New Roman"/>
                <w:b w:val="0"/>
                <w:bCs w:val="0"/>
                <w:color w:val="auto"/>
                <w:sz w:val="24"/>
                <w:szCs w:val="24"/>
                <w:highlight w:val="none"/>
                <w:lang w:val="en-US" w:eastAsia="zh-CN"/>
              </w:rPr>
              <w:fldChar w:fldCharType="separate"/>
            </w:r>
            <w:r>
              <w:rPr>
                <w:rFonts w:hint="default" w:ascii="Times New Roman" w:hAnsi="Times New Roman" w:eastAsia="宋体" w:cs="Times New Roman"/>
                <w:b w:val="0"/>
                <w:bCs w:val="0"/>
                <w:color w:val="auto"/>
                <w:sz w:val="24"/>
                <w:szCs w:val="24"/>
                <w:highlight w:val="none"/>
                <w:lang w:val="en-US" w:eastAsia="zh-CN"/>
              </w:rPr>
              <w:t>二元酸</w:t>
            </w:r>
            <w:r>
              <w:rPr>
                <w:rFonts w:hint="default" w:ascii="Times New Roman" w:hAnsi="Times New Roman" w:eastAsia="宋体" w:cs="Times New Roman"/>
                <w:b w:val="0"/>
                <w:bCs w:val="0"/>
                <w:color w:val="auto"/>
                <w:sz w:val="24"/>
                <w:szCs w:val="24"/>
                <w:highlight w:val="none"/>
                <w:lang w:val="en-US" w:eastAsia="zh-CN"/>
              </w:rPr>
              <w:fldChar w:fldCharType="end"/>
            </w:r>
            <w:r>
              <w:rPr>
                <w:rFonts w:hint="default" w:ascii="Times New Roman" w:hAnsi="Times New Roman" w:eastAsia="宋体" w:cs="Times New Roman"/>
                <w:b w:val="0"/>
                <w:bCs w:val="0"/>
                <w:color w:val="auto"/>
                <w:sz w:val="24"/>
                <w:szCs w:val="24"/>
                <w:highlight w:val="none"/>
                <w:lang w:val="en-US" w:eastAsia="zh-CN"/>
              </w:rPr>
              <w:t>和二元胺经缩聚而得。</w:t>
            </w:r>
            <w:r>
              <w:rPr>
                <w:rFonts w:hint="default" w:ascii="Times New Roman" w:hAnsi="Times New Roman" w:eastAsia="宋体" w:cs="Times New Roman"/>
                <w:i w:val="0"/>
                <w:iCs w:val="0"/>
                <w:caps w:val="0"/>
                <w:color w:val="auto"/>
                <w:spacing w:val="0"/>
                <w:sz w:val="24"/>
                <w:szCs w:val="24"/>
                <w:highlight w:val="none"/>
                <w:shd w:val="clear" w:color="auto" w:fill="FFFFFF"/>
              </w:rPr>
              <w:t>通常为白色或微黄颗粒状</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，密度：1.12-1.15g/</w:t>
            </w:r>
            <w:r>
              <w:rPr>
                <w:rFonts w:hint="default" w:ascii="Times New Roman" w:hAnsi="Times New Roman" w:eastAsia="宋体" w:cs="Times New Roman"/>
                <w:i w:val="0"/>
                <w:iCs w:val="0"/>
                <w:caps w:val="0"/>
                <w:color w:val="auto"/>
                <w:spacing w:val="0"/>
                <w:sz w:val="24"/>
                <w:szCs w:val="24"/>
                <w:highlight w:val="none"/>
                <w:shd w:val="clear" w:color="auto" w:fill="FFFFFF"/>
              </w:rPr>
              <w:t>cm³</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，熔融温度</w:t>
            </w:r>
            <w:r>
              <w:rPr>
                <w:rFonts w:hint="default" w:ascii="Times New Roman" w:hAnsi="Times New Roman" w:eastAsia="宋体" w:cs="Times New Roman"/>
                <w:i w:val="0"/>
                <w:iCs w:val="0"/>
                <w:caps w:val="0"/>
                <w:color w:val="auto"/>
                <w:spacing w:val="0"/>
                <w:sz w:val="24"/>
                <w:szCs w:val="24"/>
                <w:highlight w:val="none"/>
                <w:shd w:val="clear" w:color="auto" w:fill="FFFFFF"/>
                <w:lang w:val="en-US" w:eastAsia="zh-CN"/>
              </w:rPr>
              <w:t>一般在</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230-280℃</w:t>
            </w:r>
            <w:r>
              <w:rPr>
                <w:rFonts w:hint="default" w:ascii="Times New Roman" w:hAnsi="Times New Roman" w:eastAsia="宋体" w:cs="Times New Roman"/>
                <w:i w:val="0"/>
                <w:iCs w:val="0"/>
                <w:caps w:val="0"/>
                <w:color w:val="auto"/>
                <w:spacing w:val="0"/>
                <w:sz w:val="24"/>
                <w:szCs w:val="24"/>
                <w:highlight w:val="none"/>
                <w:shd w:val="clear" w:color="auto" w:fill="FFFFFF"/>
                <w:lang w:val="en-US" w:eastAsia="zh-CN"/>
              </w:rPr>
              <w:t>左右</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，对于增强品种熔融温度</w:t>
            </w:r>
            <w:r>
              <w:rPr>
                <w:rFonts w:hint="default" w:ascii="Times New Roman" w:hAnsi="Times New Roman" w:eastAsia="宋体" w:cs="Times New Roman"/>
                <w:i w:val="0"/>
                <w:iCs w:val="0"/>
                <w:caps w:val="0"/>
                <w:color w:val="auto"/>
                <w:spacing w:val="0"/>
                <w:sz w:val="24"/>
                <w:szCs w:val="24"/>
                <w:highlight w:val="none"/>
                <w:shd w:val="clear" w:color="auto" w:fill="FFFFFF"/>
                <w:lang w:val="en-US" w:eastAsia="zh-CN"/>
              </w:rPr>
              <w:t>一般在</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250-280℃</w:t>
            </w:r>
            <w:r>
              <w:rPr>
                <w:rFonts w:hint="default" w:ascii="Times New Roman" w:hAnsi="Times New Roman" w:eastAsia="宋体" w:cs="Times New Roman"/>
                <w:i w:val="0"/>
                <w:iCs w:val="0"/>
                <w:caps w:val="0"/>
                <w:color w:val="auto"/>
                <w:spacing w:val="0"/>
                <w:sz w:val="24"/>
                <w:szCs w:val="24"/>
                <w:highlight w:val="none"/>
                <w:shd w:val="clear" w:color="auto" w:fill="FFFFFF"/>
                <w:lang w:val="en-US" w:eastAsia="zh-CN"/>
              </w:rPr>
              <w:t>左右</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，热分解温度</w:t>
            </w:r>
            <w:r>
              <w:rPr>
                <w:rFonts w:hint="default" w:ascii="Times New Roman" w:hAnsi="Times New Roman" w:eastAsia="宋体" w:cs="Times New Roman"/>
                <w:b w:val="0"/>
                <w:bCs w:val="0"/>
                <w:color w:val="auto"/>
                <w:sz w:val="24"/>
                <w:szCs w:val="24"/>
                <w:highlight w:val="none"/>
                <w:lang w:val="en-US" w:eastAsia="zh-CN"/>
              </w:rPr>
              <w:t>&gt;</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310℃。</w:t>
            </w:r>
            <w:r>
              <w:rPr>
                <w:rFonts w:hint="default" w:ascii="Times New Roman" w:hAnsi="Times New Roman" w:eastAsia="宋体" w:cs="Times New Roman"/>
                <w:i w:val="0"/>
                <w:iCs w:val="0"/>
                <w:caps w:val="0"/>
                <w:color w:val="auto"/>
                <w:spacing w:val="0"/>
                <w:sz w:val="24"/>
                <w:szCs w:val="24"/>
                <w:highlight w:val="none"/>
                <w:shd w:val="clear" w:color="auto" w:fill="FFFFFF"/>
              </w:rPr>
              <w:t>吸水率较高，在一定湿度环境下会吸收较多水分，影响尺寸稳定性和电性能</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w:t>
            </w:r>
            <w:r>
              <w:rPr>
                <w:rFonts w:hint="default" w:ascii="Times New Roman" w:hAnsi="Times New Roman" w:eastAsia="宋体" w:cs="Times New Roman"/>
                <w:i w:val="0"/>
                <w:iCs w:val="0"/>
                <w:caps w:val="0"/>
                <w:color w:val="auto"/>
                <w:spacing w:val="0"/>
                <w:sz w:val="24"/>
                <w:szCs w:val="24"/>
                <w:highlight w:val="none"/>
                <w:shd w:val="clear" w:color="auto" w:fill="FFFFFF"/>
              </w:rPr>
              <w:t>耐化学药品性较好，可耐大部分有机溶剂如醇、芳烃、酯及酮等，尤其是耐油性突出，但耐酸、碱、盐性不好，可导致溶胀</w:t>
            </w:r>
          </w:p>
          <w:p w14:paraId="119EAA12">
            <w:pPr>
              <w:keepNext w:val="0"/>
              <w:keepLines w:val="0"/>
              <w:pageBreakBefore w:val="0"/>
              <w:widowControl w:val="0"/>
              <w:numPr>
                <w:ilvl w:val="0"/>
                <w:numId w:val="0"/>
              </w:numPr>
              <w:tabs>
                <w:tab w:val="left" w:pos="0"/>
              </w:tabs>
              <w:kinsoku/>
              <w:wordWrap w:val="0"/>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i w:val="0"/>
                <w:iCs w:val="0"/>
                <w:caps w:val="0"/>
                <w:color w:val="auto"/>
                <w:spacing w:val="0"/>
                <w:kern w:val="2"/>
                <w:sz w:val="24"/>
                <w:szCs w:val="24"/>
                <w:highlight w:val="none"/>
                <w:shd w:val="clear" w:color="auto" w:fill="FFFFFF"/>
                <w:lang w:val="en-US" w:eastAsia="zh-CN" w:bidi="ar-SA"/>
              </w:rPr>
            </w:pPr>
            <w:r>
              <w:rPr>
                <w:rFonts w:hint="default" w:ascii="Times New Roman" w:hAnsi="Times New Roman" w:eastAsia="宋体" w:cs="Times New Roman"/>
                <w:b/>
                <w:bCs/>
                <w:color w:val="auto"/>
                <w:sz w:val="24"/>
                <w:szCs w:val="24"/>
                <w:highlight w:val="none"/>
                <w:lang w:val="en-US" w:eastAsia="zh-CN"/>
              </w:rPr>
              <w:t>②</w:t>
            </w:r>
            <w:r>
              <w:rPr>
                <w:rFonts w:hint="default" w:ascii="Times New Roman" w:hAnsi="Times New Roman" w:cs="Times New Roman"/>
                <w:b/>
                <w:bCs/>
                <w:color w:val="auto"/>
                <w:sz w:val="24"/>
                <w:szCs w:val="24"/>
                <w:highlight w:val="none"/>
                <w:lang w:val="en-US" w:eastAsia="zh-CN"/>
              </w:rPr>
              <w:t>PP</w:t>
            </w:r>
            <w:r>
              <w:rPr>
                <w:rFonts w:hint="default" w:ascii="Times New Roman" w:hAnsi="Times New Roman" w:eastAsia="宋体" w:cs="Times New Roman"/>
                <w:b/>
                <w:bCs/>
                <w:color w:val="auto"/>
                <w:sz w:val="24"/>
                <w:szCs w:val="24"/>
                <w:highlight w:val="none"/>
                <w:lang w:val="en-US" w:eastAsia="zh-CN"/>
              </w:rPr>
              <w:t>：</w:t>
            </w:r>
            <w:r>
              <w:rPr>
                <w:rFonts w:hint="default" w:ascii="Times New Roman" w:hAnsi="Times New Roman" w:cs="Times New Roman"/>
                <w:color w:val="auto"/>
                <w:szCs w:val="21"/>
                <w:highlight w:val="none"/>
              </w:rPr>
              <w:t>PP（聚丙烯）是丙烯加聚反应而成的聚合物。系白色蜡状材料，外观透明而轻。密度为0.89～0.91g/cm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，易燃，熔点165℃，在155℃左右软化，使用温度范围为-30～140℃ </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热分解温度为350～380℃。在80℃以下能耐酸、碱、盐液及多种有机溶剂的腐蚀，能在高温和氧化作用下分解。聚丙烯广泛应用于服装、毛毯等纤维制品、医疗器械、汽车、自行车、零件、输送管道、化工容器等生产，也用于食品、药品包装。</w:t>
            </w:r>
          </w:p>
          <w:p w14:paraId="602772F8">
            <w:pPr>
              <w:pStyle w:val="6"/>
              <w:pageBreakBefore w:val="0"/>
              <w:numPr>
                <w:ilvl w:val="3"/>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szCs w:val="24"/>
                <w:highlight w:val="none"/>
              </w:rPr>
              <w:t>4、</w:t>
            </w:r>
            <w:r>
              <w:rPr>
                <w:rFonts w:hint="default" w:ascii="Times New Roman" w:hAnsi="Times New Roman" w:cs="Times New Roman"/>
                <w:color w:val="auto"/>
                <w:highlight w:val="none"/>
              </w:rPr>
              <w:t>生产设备</w:t>
            </w:r>
          </w:p>
          <w:p w14:paraId="38BCE85E">
            <w:pPr>
              <w:pStyle w:val="2"/>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本项目生产设备见下表。</w:t>
            </w:r>
          </w:p>
          <w:p w14:paraId="2C0D4F2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rPr>
              <w:fldChar w:fldCharType="begin"/>
            </w:r>
            <w:r>
              <w:rPr>
                <w:rFonts w:hint="default" w:ascii="Times New Roman" w:hAnsi="Times New Roman" w:cs="Times New Roman"/>
                <w:b/>
                <w:bCs/>
                <w:color w:val="auto"/>
                <w:sz w:val="21"/>
                <w:szCs w:val="21"/>
                <w:highlight w:val="none"/>
              </w:rPr>
              <w:instrText xml:space="preserve"> STYLEREF 1 \s </w:instrText>
            </w:r>
            <w:r>
              <w:rPr>
                <w:rFonts w:hint="default" w:ascii="Times New Roman" w:hAnsi="Times New Roman" w:cs="Times New Roman"/>
                <w:b/>
                <w:bCs/>
                <w:color w:val="auto"/>
                <w:sz w:val="21"/>
                <w:szCs w:val="21"/>
                <w:highlight w:val="none"/>
              </w:rPr>
              <w:fldChar w:fldCharType="separate"/>
            </w:r>
            <w:r>
              <w:rPr>
                <w:rFonts w:hint="default" w:ascii="Times New Roman" w:hAnsi="Times New Roman" w:cs="Times New Roman"/>
                <w:b/>
                <w:bCs/>
                <w:color w:val="auto"/>
                <w:sz w:val="21"/>
                <w:szCs w:val="21"/>
                <w:highlight w:val="none"/>
              </w:rPr>
              <w:t>2</w:t>
            </w:r>
            <w:r>
              <w:rPr>
                <w:rFonts w:hint="default" w:ascii="Times New Roman" w:hAnsi="Times New Roman" w:cs="Times New Roman"/>
                <w:b/>
                <w:bCs/>
                <w:color w:val="auto"/>
                <w:sz w:val="21"/>
                <w:szCs w:val="21"/>
                <w:highlight w:val="none"/>
              </w:rPr>
              <w:fldChar w:fldCharType="end"/>
            </w: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lang w:val="en-US" w:eastAsia="zh-CN"/>
              </w:rPr>
              <w:t>5</w:t>
            </w:r>
            <w:r>
              <w:rPr>
                <w:rFonts w:hint="default" w:ascii="Times New Roman" w:hAnsi="Times New Roman" w:cs="Times New Roman"/>
                <w:b/>
                <w:bCs/>
                <w:color w:val="auto"/>
                <w:sz w:val="21"/>
                <w:szCs w:val="21"/>
                <w:highlight w:val="none"/>
              </w:rPr>
              <w:t>生产设备一览表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57" w:type="dxa"/>
                <w:bottom w:w="0" w:type="dxa"/>
                <w:right w:w="57" w:type="dxa"/>
              </w:tblCellMar>
            </w:tblPr>
            <w:tblGrid>
              <w:gridCol w:w="573"/>
              <w:gridCol w:w="1024"/>
              <w:gridCol w:w="1923"/>
              <w:gridCol w:w="864"/>
              <w:gridCol w:w="2661"/>
              <w:gridCol w:w="799"/>
            </w:tblGrid>
            <w:tr w14:paraId="332E71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97" w:hRule="atLeast"/>
                <w:jc w:val="center"/>
              </w:trPr>
              <w:tc>
                <w:tcPr>
                  <w:tcW w:w="365" w:type="pct"/>
                  <w:tcBorders>
                    <w:tl2br w:val="nil"/>
                    <w:tr2bl w:val="nil"/>
                  </w:tcBorders>
                  <w:shd w:val="clear" w:color="auto" w:fill="auto"/>
                  <w:noWrap/>
                  <w:vAlign w:val="center"/>
                </w:tcPr>
                <w:p w14:paraId="1F237C32">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序号</w:t>
                  </w:r>
                </w:p>
              </w:tc>
              <w:tc>
                <w:tcPr>
                  <w:tcW w:w="652" w:type="pct"/>
                  <w:tcBorders>
                    <w:tl2br w:val="nil"/>
                    <w:tr2bl w:val="nil"/>
                  </w:tcBorders>
                  <w:shd w:val="clear" w:color="auto" w:fill="auto"/>
                  <w:noWrap/>
                  <w:vAlign w:val="center"/>
                </w:tcPr>
                <w:p w14:paraId="4719B00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kern w:val="0"/>
                      <w:sz w:val="21"/>
                      <w:szCs w:val="21"/>
                      <w:highlight w:val="none"/>
                      <w:lang w:eastAsia="zh-CN" w:bidi="ar"/>
                    </w:rPr>
                  </w:pPr>
                  <w:r>
                    <w:rPr>
                      <w:rFonts w:hint="default" w:ascii="Times New Roman" w:hAnsi="Times New Roman" w:cs="Times New Roman"/>
                      <w:b/>
                      <w:bCs/>
                      <w:color w:val="auto"/>
                      <w:kern w:val="0"/>
                      <w:sz w:val="21"/>
                      <w:szCs w:val="21"/>
                      <w:highlight w:val="none"/>
                      <w:lang w:eastAsia="zh-CN" w:bidi="ar"/>
                    </w:rPr>
                    <w:t>生产线</w:t>
                  </w:r>
                </w:p>
              </w:tc>
              <w:tc>
                <w:tcPr>
                  <w:tcW w:w="1225" w:type="pct"/>
                  <w:tcBorders>
                    <w:tl2br w:val="nil"/>
                    <w:tr2bl w:val="nil"/>
                  </w:tcBorders>
                  <w:shd w:val="clear" w:color="auto" w:fill="auto"/>
                  <w:noWrap/>
                  <w:vAlign w:val="center"/>
                </w:tcPr>
                <w:p w14:paraId="659436C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设备名称</w:t>
                  </w:r>
                </w:p>
              </w:tc>
              <w:tc>
                <w:tcPr>
                  <w:tcW w:w="550" w:type="pct"/>
                  <w:tcBorders>
                    <w:tl2br w:val="nil"/>
                    <w:tr2bl w:val="nil"/>
                  </w:tcBorders>
                  <w:shd w:val="clear" w:color="auto" w:fill="auto"/>
                  <w:noWrap/>
                  <w:vAlign w:val="center"/>
                </w:tcPr>
                <w:p w14:paraId="531A31A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kern w:val="0"/>
                      <w:sz w:val="21"/>
                      <w:szCs w:val="21"/>
                      <w:highlight w:val="none"/>
                      <w:lang w:bidi="ar"/>
                    </w:rPr>
                    <w:t>数量</w:t>
                  </w:r>
                  <w:r>
                    <w:rPr>
                      <w:rFonts w:hint="default" w:ascii="Times New Roman" w:hAnsi="Times New Roman" w:cs="Times New Roman"/>
                      <w:b/>
                      <w:bCs/>
                      <w:color w:val="auto"/>
                      <w:kern w:val="0"/>
                      <w:sz w:val="21"/>
                      <w:szCs w:val="21"/>
                      <w:highlight w:val="none"/>
                      <w:lang w:val="en-US" w:eastAsia="zh-CN" w:bidi="ar"/>
                    </w:rPr>
                    <w:t>/台</w:t>
                  </w:r>
                </w:p>
              </w:tc>
              <w:tc>
                <w:tcPr>
                  <w:tcW w:w="1695" w:type="pct"/>
                  <w:tcBorders>
                    <w:tl2br w:val="nil"/>
                    <w:tr2bl w:val="nil"/>
                  </w:tcBorders>
                  <w:shd w:val="clear" w:color="auto" w:fill="auto"/>
                  <w:noWrap/>
                  <w:vAlign w:val="center"/>
                </w:tcPr>
                <w:p w14:paraId="431F687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0"/>
                      <w:sz w:val="21"/>
                      <w:szCs w:val="21"/>
                      <w:highlight w:val="none"/>
                      <w:lang w:bidi="ar"/>
                    </w:rPr>
                    <w:t>规格型号</w:t>
                  </w:r>
                </w:p>
              </w:tc>
              <w:tc>
                <w:tcPr>
                  <w:tcW w:w="509" w:type="pct"/>
                  <w:tcBorders>
                    <w:tl2br w:val="nil"/>
                    <w:tr2bl w:val="nil"/>
                  </w:tcBorders>
                  <w:shd w:val="clear" w:color="auto" w:fill="auto"/>
                  <w:noWrap/>
                  <w:vAlign w:val="center"/>
                </w:tcPr>
                <w:p w14:paraId="03BD9F9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摆放</w:t>
                  </w:r>
                </w:p>
                <w:p w14:paraId="6612587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kern w:val="0"/>
                      <w:sz w:val="21"/>
                      <w:szCs w:val="21"/>
                      <w:highlight w:val="none"/>
                      <w:lang w:val="en-US" w:eastAsia="zh-CN" w:bidi="ar"/>
                    </w:rPr>
                  </w:pPr>
                  <w:r>
                    <w:rPr>
                      <w:rFonts w:hint="default" w:ascii="Times New Roman" w:hAnsi="Times New Roman" w:cs="Times New Roman"/>
                      <w:b/>
                      <w:bCs/>
                      <w:color w:val="auto"/>
                      <w:kern w:val="0"/>
                      <w:sz w:val="21"/>
                      <w:szCs w:val="21"/>
                      <w:highlight w:val="none"/>
                      <w:lang w:val="en-US" w:eastAsia="zh-CN" w:bidi="ar"/>
                    </w:rPr>
                    <w:t>位置</w:t>
                  </w:r>
                </w:p>
              </w:tc>
            </w:tr>
            <w:tr w14:paraId="6A3EB7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202" w:hRule="atLeast"/>
                <w:jc w:val="center"/>
              </w:trPr>
              <w:tc>
                <w:tcPr>
                  <w:tcW w:w="365" w:type="pct"/>
                  <w:tcBorders>
                    <w:tl2br w:val="nil"/>
                    <w:tr2bl w:val="nil"/>
                  </w:tcBorders>
                  <w:shd w:val="clear" w:color="auto" w:fill="auto"/>
                  <w:noWrap/>
                  <w:vAlign w:val="center"/>
                </w:tcPr>
                <w:p w14:paraId="37369A06">
                  <w:pPr>
                    <w:keepNext w:val="0"/>
                    <w:keepLines w:val="0"/>
                    <w:pageBreakBefore w:val="0"/>
                    <w:widowControl/>
                    <w:numPr>
                      <w:ilvl w:val="0"/>
                      <w:numId w:val="0"/>
                    </w:numPr>
                    <w:kinsoku/>
                    <w:wordWrap w:val="0"/>
                    <w:overflowPunct/>
                    <w:topLinePunct w:val="0"/>
                    <w:autoSpaceDE/>
                    <w:autoSpaceDN/>
                    <w:bidi w:val="0"/>
                    <w:adjustRightInd/>
                    <w:snapToGrid/>
                    <w:spacing w:line="240" w:lineRule="auto"/>
                    <w:ind w:leftChars="0"/>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1</w:t>
                  </w:r>
                </w:p>
              </w:tc>
              <w:tc>
                <w:tcPr>
                  <w:tcW w:w="652" w:type="pct"/>
                  <w:vMerge w:val="restart"/>
                  <w:tcBorders>
                    <w:tl2br w:val="nil"/>
                    <w:tr2bl w:val="nil"/>
                  </w:tcBorders>
                  <w:shd w:val="clear" w:color="auto" w:fill="auto"/>
                  <w:noWrap/>
                  <w:vAlign w:val="center"/>
                </w:tcPr>
                <w:p w14:paraId="1F1E768A">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注塑工序</w:t>
                  </w:r>
                </w:p>
              </w:tc>
              <w:tc>
                <w:tcPr>
                  <w:tcW w:w="1225" w:type="pct"/>
                  <w:tcBorders>
                    <w:tl2br w:val="nil"/>
                    <w:tr2bl w:val="nil"/>
                  </w:tcBorders>
                  <w:shd w:val="clear" w:color="auto" w:fill="auto"/>
                  <w:noWrap/>
                  <w:vAlign w:val="center"/>
                </w:tcPr>
                <w:p w14:paraId="3E6C7AB9">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海天注塑机</w:t>
                  </w:r>
                </w:p>
              </w:tc>
              <w:tc>
                <w:tcPr>
                  <w:tcW w:w="550" w:type="pct"/>
                  <w:tcBorders>
                    <w:tl2br w:val="nil"/>
                    <w:tr2bl w:val="nil"/>
                  </w:tcBorders>
                  <w:shd w:val="clear" w:color="auto" w:fill="auto"/>
                  <w:noWrap/>
                  <w:vAlign w:val="center"/>
                </w:tcPr>
                <w:p w14:paraId="501A124E">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20</w:t>
                  </w:r>
                </w:p>
              </w:tc>
              <w:tc>
                <w:tcPr>
                  <w:tcW w:w="1695" w:type="pct"/>
                  <w:tcBorders>
                    <w:tl2br w:val="nil"/>
                    <w:tr2bl w:val="nil"/>
                  </w:tcBorders>
                  <w:shd w:val="clear" w:color="auto" w:fill="auto"/>
                  <w:noWrap/>
                  <w:vAlign w:val="center"/>
                </w:tcPr>
                <w:p w14:paraId="3E94D57F">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Ma2000</w:t>
                  </w:r>
                </w:p>
              </w:tc>
              <w:tc>
                <w:tcPr>
                  <w:tcW w:w="509" w:type="pct"/>
                  <w:vMerge w:val="restart"/>
                  <w:tcBorders>
                    <w:tl2br w:val="nil"/>
                    <w:tr2bl w:val="nil"/>
                  </w:tcBorders>
                  <w:shd w:val="clear" w:color="auto" w:fill="auto"/>
                  <w:noWrap/>
                  <w:vAlign w:val="center"/>
                </w:tcPr>
                <w:p w14:paraId="69C577B7">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1F</w:t>
                  </w:r>
                </w:p>
              </w:tc>
            </w:tr>
            <w:tr w14:paraId="15D845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088D694F">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2</w:t>
                  </w:r>
                </w:p>
              </w:tc>
              <w:tc>
                <w:tcPr>
                  <w:tcW w:w="652" w:type="pct"/>
                  <w:vMerge w:val="continue"/>
                  <w:tcBorders>
                    <w:bottom w:val="single" w:color="auto" w:sz="4" w:space="0"/>
                    <w:tl2br w:val="nil"/>
                    <w:tr2bl w:val="nil"/>
                  </w:tcBorders>
                  <w:shd w:val="clear" w:color="auto" w:fill="auto"/>
                  <w:noWrap/>
                  <w:vAlign w:val="center"/>
                </w:tcPr>
                <w:p w14:paraId="6A18FC85">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eastAsia="zh-CN" w:bidi="ar"/>
                    </w:rPr>
                  </w:pPr>
                </w:p>
              </w:tc>
              <w:tc>
                <w:tcPr>
                  <w:tcW w:w="1225" w:type="pct"/>
                  <w:tcBorders>
                    <w:bottom w:val="single" w:color="auto" w:sz="4" w:space="0"/>
                    <w:tl2br w:val="nil"/>
                    <w:tr2bl w:val="nil"/>
                  </w:tcBorders>
                  <w:shd w:val="clear" w:color="auto" w:fill="auto"/>
                  <w:noWrap/>
                  <w:vAlign w:val="center"/>
                </w:tcPr>
                <w:p w14:paraId="20AA13E9">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伊之密注塑机</w:t>
                  </w:r>
                </w:p>
              </w:tc>
              <w:tc>
                <w:tcPr>
                  <w:tcW w:w="550" w:type="pct"/>
                  <w:tcBorders>
                    <w:tl2br w:val="nil"/>
                    <w:tr2bl w:val="nil"/>
                  </w:tcBorders>
                  <w:shd w:val="clear" w:color="auto" w:fill="auto"/>
                  <w:noWrap/>
                  <w:vAlign w:val="center"/>
                </w:tcPr>
                <w:p w14:paraId="2430375E">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14</w:t>
                  </w:r>
                </w:p>
              </w:tc>
              <w:tc>
                <w:tcPr>
                  <w:tcW w:w="1695" w:type="pct"/>
                  <w:tcBorders>
                    <w:tl2br w:val="nil"/>
                    <w:tr2bl w:val="nil"/>
                  </w:tcBorders>
                  <w:shd w:val="clear" w:color="auto" w:fill="auto"/>
                  <w:noWrap/>
                  <w:vAlign w:val="center"/>
                </w:tcPr>
                <w:p w14:paraId="14149537">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UN120A5S</w:t>
                  </w:r>
                </w:p>
              </w:tc>
              <w:tc>
                <w:tcPr>
                  <w:tcW w:w="509" w:type="pct"/>
                  <w:vMerge w:val="continue"/>
                  <w:tcBorders>
                    <w:tl2br w:val="nil"/>
                    <w:tr2bl w:val="nil"/>
                  </w:tcBorders>
                  <w:shd w:val="clear" w:color="auto" w:fill="auto"/>
                  <w:noWrap/>
                  <w:vAlign w:val="center"/>
                </w:tcPr>
                <w:p w14:paraId="45D06EDF">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p>
              </w:tc>
            </w:tr>
            <w:tr w14:paraId="58217A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550C296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3</w:t>
                  </w:r>
                </w:p>
              </w:tc>
              <w:tc>
                <w:tcPr>
                  <w:tcW w:w="652" w:type="pct"/>
                  <w:tcBorders>
                    <w:top w:val="single" w:color="auto" w:sz="4" w:space="0"/>
                    <w:bottom w:val="single" w:color="auto" w:sz="4" w:space="0"/>
                    <w:tl2br w:val="nil"/>
                    <w:tr2bl w:val="nil"/>
                  </w:tcBorders>
                  <w:shd w:val="clear" w:color="auto" w:fill="auto"/>
                  <w:noWrap/>
                  <w:vAlign w:val="center"/>
                </w:tcPr>
                <w:p w14:paraId="2ADFB170">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破碎</w:t>
                  </w:r>
                </w:p>
              </w:tc>
              <w:tc>
                <w:tcPr>
                  <w:tcW w:w="1225" w:type="pct"/>
                  <w:tcBorders>
                    <w:top w:val="single" w:color="auto" w:sz="4" w:space="0"/>
                    <w:bottom w:val="single" w:color="auto" w:sz="4" w:space="0"/>
                    <w:tl2br w:val="nil"/>
                    <w:tr2bl w:val="nil"/>
                  </w:tcBorders>
                  <w:shd w:val="clear" w:color="auto" w:fill="auto"/>
                  <w:noWrap/>
                  <w:vAlign w:val="center"/>
                </w:tcPr>
                <w:p w14:paraId="7F5F579C">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粉碎机</w:t>
                  </w:r>
                </w:p>
              </w:tc>
              <w:tc>
                <w:tcPr>
                  <w:tcW w:w="550" w:type="pct"/>
                  <w:tcBorders>
                    <w:tl2br w:val="nil"/>
                    <w:tr2bl w:val="nil"/>
                  </w:tcBorders>
                  <w:shd w:val="clear" w:color="auto" w:fill="auto"/>
                  <w:noWrap/>
                  <w:vAlign w:val="center"/>
                </w:tcPr>
                <w:p w14:paraId="599E1AED">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25</w:t>
                  </w:r>
                </w:p>
              </w:tc>
              <w:tc>
                <w:tcPr>
                  <w:tcW w:w="1695" w:type="pct"/>
                  <w:tcBorders>
                    <w:tl2br w:val="nil"/>
                    <w:tr2bl w:val="nil"/>
                  </w:tcBorders>
                  <w:shd w:val="clear" w:color="auto" w:fill="auto"/>
                  <w:noWrap/>
                  <w:vAlign w:val="center"/>
                </w:tcPr>
                <w:p w14:paraId="787085FC">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1.1</w:t>
                  </w:r>
                  <w:r>
                    <w:rPr>
                      <w:rFonts w:hint="default" w:ascii="Times New Roman" w:hAnsi="Times New Roman" w:cs="Times New Roman"/>
                      <w:b w:val="0"/>
                      <w:bCs w:val="0"/>
                      <w:color w:val="auto"/>
                      <w:kern w:val="0"/>
                      <w:sz w:val="21"/>
                      <w:szCs w:val="21"/>
                      <w:highlight w:val="none"/>
                      <w:lang w:val="en-US" w:eastAsia="zh-CN" w:bidi="ar"/>
                    </w:rPr>
                    <w:t>kW</w:t>
                  </w:r>
                </w:p>
              </w:tc>
              <w:tc>
                <w:tcPr>
                  <w:tcW w:w="509" w:type="pct"/>
                  <w:vMerge w:val="continue"/>
                  <w:tcBorders>
                    <w:tl2br w:val="nil"/>
                    <w:tr2bl w:val="nil"/>
                  </w:tcBorders>
                  <w:shd w:val="clear" w:color="auto" w:fill="auto"/>
                  <w:noWrap/>
                  <w:vAlign w:val="center"/>
                </w:tcPr>
                <w:p w14:paraId="4D6D76C9">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p>
              </w:tc>
            </w:tr>
            <w:tr w14:paraId="3B5857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2AB513D9">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4</w:t>
                  </w:r>
                </w:p>
              </w:tc>
              <w:tc>
                <w:tcPr>
                  <w:tcW w:w="652" w:type="pct"/>
                  <w:tcBorders>
                    <w:top w:val="single" w:color="auto" w:sz="4" w:space="0"/>
                    <w:bottom w:val="single" w:color="auto" w:sz="4" w:space="0"/>
                    <w:tl2br w:val="nil"/>
                    <w:tr2bl w:val="nil"/>
                  </w:tcBorders>
                  <w:shd w:val="clear" w:color="auto" w:fill="auto"/>
                  <w:noWrap/>
                  <w:vAlign w:val="center"/>
                </w:tcPr>
                <w:p w14:paraId="61B13788">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烘干</w:t>
                  </w:r>
                </w:p>
              </w:tc>
              <w:tc>
                <w:tcPr>
                  <w:tcW w:w="1225" w:type="pct"/>
                  <w:tcBorders>
                    <w:top w:val="single" w:color="auto" w:sz="4" w:space="0"/>
                    <w:bottom w:val="single" w:color="auto" w:sz="4" w:space="0"/>
                    <w:tl2br w:val="nil"/>
                    <w:tr2bl w:val="nil"/>
                  </w:tcBorders>
                  <w:shd w:val="clear" w:color="auto" w:fill="auto"/>
                  <w:noWrap/>
                  <w:vAlign w:val="center"/>
                </w:tcPr>
                <w:p w14:paraId="65247C9E">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烤炉</w:t>
                  </w:r>
                </w:p>
              </w:tc>
              <w:tc>
                <w:tcPr>
                  <w:tcW w:w="550" w:type="pct"/>
                  <w:tcBorders>
                    <w:tl2br w:val="nil"/>
                    <w:tr2bl w:val="nil"/>
                  </w:tcBorders>
                  <w:shd w:val="clear" w:color="auto" w:fill="auto"/>
                  <w:noWrap/>
                  <w:vAlign w:val="center"/>
                </w:tcPr>
                <w:p w14:paraId="3F1CB6E7">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30</w:t>
                  </w:r>
                </w:p>
              </w:tc>
              <w:tc>
                <w:tcPr>
                  <w:tcW w:w="1695" w:type="pct"/>
                  <w:tcBorders>
                    <w:tl2br w:val="nil"/>
                    <w:tr2bl w:val="nil"/>
                  </w:tcBorders>
                  <w:shd w:val="clear" w:color="auto" w:fill="auto"/>
                  <w:noWrap/>
                  <w:vAlign w:val="center"/>
                </w:tcPr>
                <w:p w14:paraId="34DAEC09">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4.9kW</w:t>
                  </w:r>
                </w:p>
              </w:tc>
              <w:tc>
                <w:tcPr>
                  <w:tcW w:w="509" w:type="pct"/>
                  <w:vMerge w:val="continue"/>
                  <w:tcBorders>
                    <w:tl2br w:val="nil"/>
                    <w:tr2bl w:val="nil"/>
                  </w:tcBorders>
                  <w:shd w:val="clear" w:color="auto" w:fill="auto"/>
                  <w:noWrap/>
                  <w:vAlign w:val="center"/>
                </w:tcPr>
                <w:p w14:paraId="2B4A978B">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p>
              </w:tc>
            </w:tr>
            <w:tr w14:paraId="28AF97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2F6B020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5</w:t>
                  </w:r>
                </w:p>
              </w:tc>
              <w:tc>
                <w:tcPr>
                  <w:tcW w:w="652" w:type="pct"/>
                  <w:vMerge w:val="restart"/>
                  <w:tcBorders>
                    <w:tl2br w:val="nil"/>
                    <w:tr2bl w:val="nil"/>
                  </w:tcBorders>
                  <w:shd w:val="clear" w:color="auto" w:fill="auto"/>
                  <w:noWrap/>
                  <w:vAlign w:val="center"/>
                </w:tcPr>
                <w:p w14:paraId="57F2A96B">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eastAsia="zh-CN" w:bidi="ar"/>
                    </w:rPr>
                  </w:pPr>
                  <w:r>
                    <w:rPr>
                      <w:rFonts w:hint="default" w:ascii="Times New Roman" w:hAnsi="Times New Roman" w:cs="Times New Roman"/>
                      <w:b w:val="0"/>
                      <w:bCs w:val="0"/>
                      <w:color w:val="auto"/>
                      <w:kern w:val="0"/>
                      <w:sz w:val="21"/>
                      <w:szCs w:val="21"/>
                      <w:highlight w:val="none"/>
                      <w:lang w:eastAsia="zh-CN" w:bidi="ar"/>
                    </w:rPr>
                    <w:t>配套设施</w:t>
                  </w:r>
                </w:p>
              </w:tc>
              <w:tc>
                <w:tcPr>
                  <w:tcW w:w="1225" w:type="pct"/>
                  <w:tcBorders>
                    <w:tl2br w:val="nil"/>
                    <w:tr2bl w:val="nil"/>
                  </w:tcBorders>
                  <w:shd w:val="clear" w:color="auto" w:fill="auto"/>
                  <w:noWrap/>
                  <w:vAlign w:val="center"/>
                </w:tcPr>
                <w:p w14:paraId="3D5ED97A">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天车</w:t>
                  </w:r>
                </w:p>
              </w:tc>
              <w:tc>
                <w:tcPr>
                  <w:tcW w:w="550" w:type="pct"/>
                  <w:tcBorders>
                    <w:tl2br w:val="nil"/>
                    <w:tr2bl w:val="nil"/>
                  </w:tcBorders>
                  <w:shd w:val="clear" w:color="auto" w:fill="auto"/>
                  <w:noWrap/>
                  <w:vAlign w:val="center"/>
                </w:tcPr>
                <w:p w14:paraId="68D6FFFF">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3</w:t>
                  </w:r>
                </w:p>
              </w:tc>
              <w:tc>
                <w:tcPr>
                  <w:tcW w:w="1695" w:type="pct"/>
                  <w:tcBorders>
                    <w:tl2br w:val="nil"/>
                    <w:tr2bl w:val="nil"/>
                  </w:tcBorders>
                  <w:shd w:val="clear" w:color="auto" w:fill="auto"/>
                  <w:noWrap/>
                  <w:vAlign w:val="center"/>
                </w:tcPr>
                <w:p w14:paraId="0C8253E3">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2.8T</w:t>
                  </w:r>
                </w:p>
              </w:tc>
              <w:tc>
                <w:tcPr>
                  <w:tcW w:w="509" w:type="pct"/>
                  <w:tcBorders>
                    <w:tl2br w:val="nil"/>
                    <w:tr2bl w:val="nil"/>
                  </w:tcBorders>
                  <w:shd w:val="clear" w:color="auto" w:fill="auto"/>
                  <w:noWrap/>
                  <w:vAlign w:val="center"/>
                </w:tcPr>
                <w:p w14:paraId="33399DDC">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1、2F</w:t>
                  </w:r>
                </w:p>
              </w:tc>
            </w:tr>
            <w:tr w14:paraId="42FB7B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3E2A1AC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6</w:t>
                  </w:r>
                </w:p>
              </w:tc>
              <w:tc>
                <w:tcPr>
                  <w:tcW w:w="652" w:type="pct"/>
                  <w:vMerge w:val="continue"/>
                  <w:tcBorders>
                    <w:tl2br w:val="nil"/>
                    <w:tr2bl w:val="nil"/>
                  </w:tcBorders>
                  <w:shd w:val="clear" w:color="auto" w:fill="auto"/>
                  <w:noWrap/>
                  <w:vAlign w:val="center"/>
                </w:tcPr>
                <w:p w14:paraId="3C7301AE">
                  <w:pPr>
                    <w:pageBreakBefore w:val="0"/>
                    <w:widowControl/>
                    <w:wordWrap w:val="0"/>
                    <w:topLinePunct w:val="0"/>
                    <w:bidi w:val="0"/>
                    <w:spacing w:line="240" w:lineRule="auto"/>
                    <w:jc w:val="center"/>
                    <w:textAlignment w:val="center"/>
                    <w:rPr>
                      <w:rFonts w:hint="default" w:ascii="Times New Roman" w:hAnsi="Times New Roman" w:cs="Times New Roman"/>
                      <w:b w:val="0"/>
                      <w:bCs w:val="0"/>
                      <w:color w:val="auto"/>
                      <w:kern w:val="0"/>
                      <w:sz w:val="21"/>
                      <w:szCs w:val="21"/>
                      <w:highlight w:val="none"/>
                      <w:lang w:eastAsia="zh-CN" w:bidi="ar"/>
                    </w:rPr>
                  </w:pPr>
                </w:p>
              </w:tc>
              <w:tc>
                <w:tcPr>
                  <w:tcW w:w="1225" w:type="pct"/>
                  <w:tcBorders>
                    <w:tl2br w:val="nil"/>
                    <w:tr2bl w:val="nil"/>
                  </w:tcBorders>
                  <w:shd w:val="clear" w:color="auto" w:fill="auto"/>
                  <w:noWrap/>
                  <w:vAlign w:val="center"/>
                </w:tcPr>
                <w:p w14:paraId="34F7266C">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机械手臂</w:t>
                  </w:r>
                </w:p>
              </w:tc>
              <w:tc>
                <w:tcPr>
                  <w:tcW w:w="550" w:type="pct"/>
                  <w:tcBorders>
                    <w:tl2br w:val="nil"/>
                    <w:tr2bl w:val="nil"/>
                  </w:tcBorders>
                  <w:shd w:val="clear" w:color="auto" w:fill="auto"/>
                  <w:noWrap/>
                  <w:vAlign w:val="center"/>
                </w:tcPr>
                <w:p w14:paraId="2B284ACC">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18</w:t>
                  </w:r>
                </w:p>
              </w:tc>
              <w:tc>
                <w:tcPr>
                  <w:tcW w:w="1695" w:type="pct"/>
                  <w:tcBorders>
                    <w:tl2br w:val="nil"/>
                    <w:tr2bl w:val="nil"/>
                  </w:tcBorders>
                  <w:shd w:val="clear" w:color="auto" w:fill="auto"/>
                  <w:noWrap/>
                  <w:vAlign w:val="center"/>
                </w:tcPr>
                <w:p w14:paraId="78318849">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w:t>
                  </w:r>
                </w:p>
              </w:tc>
              <w:tc>
                <w:tcPr>
                  <w:tcW w:w="509" w:type="pct"/>
                  <w:tcBorders>
                    <w:tl2br w:val="nil"/>
                    <w:tr2bl w:val="nil"/>
                  </w:tcBorders>
                  <w:shd w:val="clear" w:color="auto" w:fill="auto"/>
                  <w:noWrap/>
                  <w:vAlign w:val="center"/>
                </w:tcPr>
                <w:p w14:paraId="3B70A255">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1F</w:t>
                  </w:r>
                </w:p>
              </w:tc>
            </w:tr>
            <w:tr w14:paraId="0C78DF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6447AA8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7</w:t>
                  </w:r>
                </w:p>
              </w:tc>
              <w:tc>
                <w:tcPr>
                  <w:tcW w:w="652" w:type="pct"/>
                  <w:vMerge w:val="continue"/>
                  <w:tcBorders>
                    <w:tl2br w:val="nil"/>
                    <w:tr2bl w:val="nil"/>
                  </w:tcBorders>
                  <w:shd w:val="clear" w:color="auto" w:fill="auto"/>
                  <w:noWrap/>
                  <w:vAlign w:val="center"/>
                </w:tcPr>
                <w:p w14:paraId="3C418F1E">
                  <w:pPr>
                    <w:pageBreakBefore w:val="0"/>
                    <w:widowControl/>
                    <w:wordWrap w:val="0"/>
                    <w:topLinePunct w:val="0"/>
                    <w:bidi w:val="0"/>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p>
              </w:tc>
              <w:tc>
                <w:tcPr>
                  <w:tcW w:w="1225" w:type="pct"/>
                  <w:tcBorders>
                    <w:tl2br w:val="nil"/>
                    <w:tr2bl w:val="nil"/>
                  </w:tcBorders>
                  <w:shd w:val="clear" w:color="auto" w:fill="auto"/>
                  <w:noWrap/>
                  <w:vAlign w:val="center"/>
                </w:tcPr>
                <w:p w14:paraId="1E548016">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冷却塔</w:t>
                  </w:r>
                </w:p>
              </w:tc>
              <w:tc>
                <w:tcPr>
                  <w:tcW w:w="550" w:type="pct"/>
                  <w:tcBorders>
                    <w:tl2br w:val="nil"/>
                    <w:tr2bl w:val="nil"/>
                  </w:tcBorders>
                  <w:shd w:val="clear" w:color="auto" w:fill="auto"/>
                  <w:noWrap/>
                  <w:vAlign w:val="center"/>
                </w:tcPr>
                <w:p w14:paraId="30C59D04">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1</w:t>
                  </w:r>
                </w:p>
              </w:tc>
              <w:tc>
                <w:tcPr>
                  <w:tcW w:w="1695" w:type="pct"/>
                  <w:tcBorders>
                    <w:tl2br w:val="nil"/>
                    <w:tr2bl w:val="nil"/>
                  </w:tcBorders>
                  <w:shd w:val="clear" w:color="auto" w:fill="auto"/>
                  <w:noWrap/>
                  <w:vAlign w:val="center"/>
                </w:tcPr>
                <w:p w14:paraId="7122C706">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循环水量20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/h</w:t>
                  </w:r>
                </w:p>
              </w:tc>
              <w:tc>
                <w:tcPr>
                  <w:tcW w:w="509" w:type="pct"/>
                  <w:tcBorders>
                    <w:tl2br w:val="nil"/>
                    <w:tr2bl w:val="nil"/>
                  </w:tcBorders>
                  <w:shd w:val="clear" w:color="auto" w:fill="auto"/>
                  <w:noWrap/>
                  <w:vAlign w:val="center"/>
                </w:tcPr>
                <w:p w14:paraId="5FFE6D79">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厂房外</w:t>
                  </w:r>
                </w:p>
              </w:tc>
            </w:tr>
            <w:tr w14:paraId="169929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397" w:hRule="atLeast"/>
                <w:jc w:val="center"/>
              </w:trPr>
              <w:tc>
                <w:tcPr>
                  <w:tcW w:w="365" w:type="pct"/>
                  <w:tcBorders>
                    <w:tl2br w:val="nil"/>
                    <w:tr2bl w:val="nil"/>
                  </w:tcBorders>
                  <w:shd w:val="clear" w:color="auto" w:fill="auto"/>
                  <w:noWrap/>
                  <w:vAlign w:val="center"/>
                </w:tcPr>
                <w:p w14:paraId="1333B24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8</w:t>
                  </w:r>
                </w:p>
              </w:tc>
              <w:tc>
                <w:tcPr>
                  <w:tcW w:w="652" w:type="pct"/>
                  <w:vMerge w:val="continue"/>
                  <w:tcBorders>
                    <w:bottom w:val="single" w:color="auto" w:sz="4" w:space="0"/>
                    <w:tl2br w:val="nil"/>
                    <w:tr2bl w:val="nil"/>
                  </w:tcBorders>
                  <w:shd w:val="clear" w:color="auto" w:fill="auto"/>
                  <w:noWrap/>
                  <w:vAlign w:val="center"/>
                </w:tcPr>
                <w:p w14:paraId="7B7DADDF">
                  <w:pPr>
                    <w:pageBreakBefore w:val="0"/>
                    <w:widowControl/>
                    <w:wordWrap w:val="0"/>
                    <w:topLinePunct w:val="0"/>
                    <w:bidi w:val="0"/>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p>
              </w:tc>
              <w:tc>
                <w:tcPr>
                  <w:tcW w:w="1225" w:type="pct"/>
                  <w:tcBorders>
                    <w:bottom w:val="single" w:color="auto" w:sz="4" w:space="0"/>
                    <w:tl2br w:val="nil"/>
                    <w:tr2bl w:val="nil"/>
                  </w:tcBorders>
                  <w:shd w:val="clear" w:color="auto" w:fill="auto"/>
                  <w:noWrap/>
                  <w:vAlign w:val="center"/>
                </w:tcPr>
                <w:p w14:paraId="251FD4F5">
                  <w:pPr>
                    <w:pageBreakBefore w:val="0"/>
                    <w:widowControl/>
                    <w:wordWrap w:val="0"/>
                    <w:topLinePunct w:val="0"/>
                    <w:bidi w:val="0"/>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空压机</w:t>
                  </w:r>
                </w:p>
              </w:tc>
              <w:tc>
                <w:tcPr>
                  <w:tcW w:w="550" w:type="pct"/>
                  <w:tcBorders>
                    <w:tl2br w:val="nil"/>
                    <w:tr2bl w:val="nil"/>
                  </w:tcBorders>
                  <w:shd w:val="clear" w:color="auto" w:fill="auto"/>
                  <w:noWrap/>
                  <w:vAlign w:val="center"/>
                </w:tcPr>
                <w:p w14:paraId="2CEB659F">
                  <w:pPr>
                    <w:pageBreakBefore w:val="0"/>
                    <w:widowControl/>
                    <w:wordWrap w:val="0"/>
                    <w:topLinePunct w:val="0"/>
                    <w:bidi w:val="0"/>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1</w:t>
                  </w:r>
                </w:p>
              </w:tc>
              <w:tc>
                <w:tcPr>
                  <w:tcW w:w="1695" w:type="pct"/>
                  <w:tcBorders>
                    <w:tl2br w:val="nil"/>
                    <w:tr2bl w:val="nil"/>
                  </w:tcBorders>
                  <w:shd w:val="clear" w:color="auto" w:fill="auto"/>
                  <w:noWrap/>
                  <w:vAlign w:val="center"/>
                </w:tcPr>
                <w:p w14:paraId="235D1C70">
                  <w:pPr>
                    <w:pageBreakBefore w:val="0"/>
                    <w:widowControl/>
                    <w:wordWrap w:val="0"/>
                    <w:topLinePunct w:val="0"/>
                    <w:bidi w:val="0"/>
                    <w:spacing w:line="240" w:lineRule="auto"/>
                    <w:jc w:val="center"/>
                    <w:textAlignment w:val="center"/>
                    <w:rPr>
                      <w:rFonts w:hint="default" w:ascii="Times New Roman" w:hAnsi="Times New Roman" w:cs="Times New Roman"/>
                      <w:b w:val="0"/>
                      <w:bCs w:val="0"/>
                      <w:color w:val="auto"/>
                      <w:kern w:val="0"/>
                      <w:sz w:val="21"/>
                      <w:szCs w:val="21"/>
                      <w:highlight w:val="none"/>
                      <w:lang w:val="en-US" w:eastAsia="zh-CN" w:bidi="ar"/>
                    </w:rPr>
                  </w:pPr>
                  <w:r>
                    <w:rPr>
                      <w:rFonts w:hint="default" w:ascii="Times New Roman" w:hAnsi="Times New Roman" w:cs="Times New Roman"/>
                      <w:b w:val="0"/>
                      <w:bCs w:val="0"/>
                      <w:color w:val="auto"/>
                      <w:kern w:val="0"/>
                      <w:sz w:val="21"/>
                      <w:szCs w:val="21"/>
                      <w:highlight w:val="none"/>
                      <w:lang w:val="en-US" w:eastAsia="zh-CN" w:bidi="ar"/>
                    </w:rPr>
                    <w:t>/</w:t>
                  </w:r>
                </w:p>
              </w:tc>
              <w:tc>
                <w:tcPr>
                  <w:tcW w:w="509" w:type="pct"/>
                  <w:tcBorders>
                    <w:bottom w:val="single" w:color="auto" w:sz="4" w:space="0"/>
                    <w:tl2br w:val="nil"/>
                    <w:tr2bl w:val="nil"/>
                  </w:tcBorders>
                  <w:shd w:val="clear" w:color="auto" w:fill="auto"/>
                  <w:noWrap/>
                  <w:vAlign w:val="center"/>
                </w:tcPr>
                <w:p w14:paraId="23225401">
                  <w:pPr>
                    <w:pageBreakBefore w:val="0"/>
                    <w:widowControl/>
                    <w:wordWrap w:val="0"/>
                    <w:topLinePunct w:val="0"/>
                    <w:bidi w:val="0"/>
                    <w:spacing w:line="240" w:lineRule="auto"/>
                    <w:jc w:val="center"/>
                    <w:textAlignment w:val="center"/>
                    <w:rPr>
                      <w:rFonts w:hint="default" w:ascii="Times New Roman" w:hAnsi="Times New Roman" w:eastAsia="宋体" w:cs="Times New Roman"/>
                      <w:b w:val="0"/>
                      <w:bCs w:val="0"/>
                      <w:color w:val="auto"/>
                      <w:kern w:val="0"/>
                      <w:sz w:val="21"/>
                      <w:szCs w:val="21"/>
                      <w:highlight w:val="none"/>
                      <w:lang w:val="en-US" w:eastAsia="zh-CN" w:bidi="ar"/>
                    </w:rPr>
                  </w:pPr>
                  <w:r>
                    <w:rPr>
                      <w:rFonts w:hint="default" w:ascii="Times New Roman" w:hAnsi="Times New Roman" w:eastAsia="宋体" w:cs="Times New Roman"/>
                      <w:b w:val="0"/>
                      <w:bCs w:val="0"/>
                      <w:color w:val="auto"/>
                      <w:kern w:val="0"/>
                      <w:sz w:val="21"/>
                      <w:szCs w:val="21"/>
                      <w:highlight w:val="none"/>
                      <w:lang w:val="en-US" w:eastAsia="zh-CN" w:bidi="ar"/>
                    </w:rPr>
                    <w:t>1F</w:t>
                  </w:r>
                </w:p>
              </w:tc>
            </w:tr>
          </w:tbl>
          <w:p w14:paraId="034D01AA">
            <w:pPr>
              <w:pStyle w:val="7"/>
              <w:pageBreakBefore w:val="0"/>
              <w:wordWrap w:val="0"/>
              <w:topLinePunct w:val="0"/>
              <w:bidi w:val="0"/>
              <w:ind w:firstLine="482"/>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注塑机</w:t>
            </w:r>
            <w:r>
              <w:rPr>
                <w:rFonts w:hint="default" w:ascii="Times New Roman" w:hAnsi="Times New Roman" w:cs="Times New Roman"/>
                <w:b/>
                <w:color w:val="auto"/>
                <w:sz w:val="24"/>
                <w:highlight w:val="none"/>
              </w:rPr>
              <w:t>产能核算：</w:t>
            </w:r>
          </w:p>
          <w:p w14:paraId="06BB12B1">
            <w:pPr>
              <w:pStyle w:val="57"/>
              <w:pageBreakBefore w:val="0"/>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b/>
                <w:color w:val="auto"/>
                <w:sz w:val="21"/>
                <w:szCs w:val="21"/>
                <w:highlight w:val="none"/>
              </w:rPr>
              <w:t>表2-</w:t>
            </w:r>
            <w:r>
              <w:rPr>
                <w:rFonts w:hint="default" w:ascii="Times New Roman" w:hAnsi="Times New Roman" w:cs="Times New Roman"/>
                <w:b/>
                <w:color w:val="auto"/>
                <w:sz w:val="21"/>
                <w:szCs w:val="21"/>
                <w:highlight w:val="none"/>
                <w:lang w:val="en-US" w:eastAsia="zh-CN"/>
              </w:rPr>
              <w:t>6</w:t>
            </w:r>
            <w:r>
              <w:rPr>
                <w:rFonts w:hint="default" w:ascii="Times New Roman" w:hAnsi="Times New Roman" w:cs="Times New Roman"/>
                <w:b/>
                <w:color w:val="auto"/>
                <w:sz w:val="21"/>
                <w:szCs w:val="21"/>
                <w:highlight w:val="none"/>
              </w:rPr>
              <w:t xml:space="preserve"> </w:t>
            </w:r>
            <w:r>
              <w:rPr>
                <w:rFonts w:hint="default" w:ascii="Times New Roman" w:hAnsi="Times New Roman" w:cs="Times New Roman"/>
                <w:b/>
                <w:color w:val="auto"/>
                <w:sz w:val="21"/>
                <w:szCs w:val="21"/>
                <w:highlight w:val="none"/>
                <w:lang w:val="en-US" w:eastAsia="zh-CN"/>
              </w:rPr>
              <w:t>注塑机</w:t>
            </w:r>
            <w:r>
              <w:rPr>
                <w:rFonts w:hint="default" w:ascii="Times New Roman" w:hAnsi="Times New Roman" w:cs="Times New Roman"/>
                <w:b/>
                <w:color w:val="auto"/>
                <w:sz w:val="21"/>
                <w:szCs w:val="21"/>
                <w:highlight w:val="none"/>
              </w:rPr>
              <w:t>产能核算一览表</w:t>
            </w:r>
          </w:p>
          <w:tbl>
            <w:tblPr>
              <w:tblStyle w:val="38"/>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61"/>
              <w:gridCol w:w="1398"/>
              <w:gridCol w:w="849"/>
              <w:gridCol w:w="711"/>
              <w:gridCol w:w="1040"/>
              <w:gridCol w:w="1172"/>
              <w:gridCol w:w="1065"/>
              <w:gridCol w:w="442"/>
            </w:tblGrid>
            <w:tr w14:paraId="16E0FF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15DECAA6">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名称</w:t>
                  </w:r>
                </w:p>
              </w:tc>
              <w:tc>
                <w:tcPr>
                  <w:tcW w:w="893" w:type="pct"/>
                  <w:noWrap w:val="0"/>
                  <w:vAlign w:val="center"/>
                </w:tcPr>
                <w:p w14:paraId="08B6F821">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设施参数</w:t>
                  </w:r>
                </w:p>
              </w:tc>
              <w:tc>
                <w:tcPr>
                  <w:tcW w:w="528" w:type="pct"/>
                  <w:noWrap w:val="0"/>
                  <w:vAlign w:val="center"/>
                </w:tcPr>
                <w:p w14:paraId="37B9F88E">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数量</w:t>
                  </w:r>
                  <w:r>
                    <w:rPr>
                      <w:rFonts w:hint="default" w:ascii="Times New Roman" w:hAnsi="Times New Roman" w:eastAsia="宋体" w:cs="Times New Roman"/>
                      <w:b/>
                      <w:bCs/>
                      <w:color w:val="auto"/>
                      <w:sz w:val="21"/>
                      <w:szCs w:val="21"/>
                      <w:highlight w:val="none"/>
                    </w:rPr>
                    <w:t>（台）</w:t>
                  </w:r>
                </w:p>
              </w:tc>
              <w:tc>
                <w:tcPr>
                  <w:tcW w:w="455" w:type="pct"/>
                  <w:noWrap w:val="0"/>
                  <w:vAlign w:val="center"/>
                </w:tcPr>
                <w:p w14:paraId="0CE2FEAD">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单台产能</w:t>
                  </w:r>
                  <w:r>
                    <w:rPr>
                      <w:rFonts w:hint="default" w:ascii="Times New Roman" w:hAnsi="Times New Roman" w:cs="Times New Roman"/>
                      <w:b/>
                      <w:bCs/>
                      <w:color w:val="auto"/>
                      <w:sz w:val="21"/>
                      <w:szCs w:val="21"/>
                      <w:highlight w:val="none"/>
                      <w:lang w:val="en-US" w:eastAsia="zh-CN"/>
                    </w:rPr>
                    <w:t>t/d</w:t>
                  </w:r>
                </w:p>
              </w:tc>
              <w:tc>
                <w:tcPr>
                  <w:tcW w:w="665" w:type="pct"/>
                  <w:noWrap w:val="0"/>
                  <w:vAlign w:val="center"/>
                </w:tcPr>
                <w:p w14:paraId="5CED723E">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年工作时间（</w:t>
                  </w:r>
                  <w:r>
                    <w:rPr>
                      <w:rFonts w:hint="default" w:ascii="Times New Roman" w:hAnsi="Times New Roman" w:cs="Times New Roman"/>
                      <w:b/>
                      <w:bCs/>
                      <w:color w:val="auto"/>
                      <w:sz w:val="21"/>
                      <w:szCs w:val="21"/>
                      <w:highlight w:val="none"/>
                      <w:lang w:val="en-US" w:eastAsia="zh-CN"/>
                    </w:rPr>
                    <w:t>d</w:t>
                  </w:r>
                  <w:r>
                    <w:rPr>
                      <w:rFonts w:hint="default" w:ascii="Times New Roman" w:hAnsi="Times New Roman" w:eastAsia="宋体" w:cs="Times New Roman"/>
                      <w:b/>
                      <w:bCs/>
                      <w:color w:val="auto"/>
                      <w:sz w:val="21"/>
                      <w:szCs w:val="21"/>
                      <w:highlight w:val="none"/>
                    </w:rPr>
                    <w:t>）</w:t>
                  </w:r>
                </w:p>
              </w:tc>
              <w:tc>
                <w:tcPr>
                  <w:tcW w:w="749" w:type="pct"/>
                  <w:noWrap w:val="0"/>
                  <w:vAlign w:val="center"/>
                </w:tcPr>
                <w:p w14:paraId="04A3A0C4">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最大产量（</w:t>
                  </w:r>
                  <w:r>
                    <w:rPr>
                      <w:rFonts w:hint="default" w:ascii="Times New Roman" w:hAnsi="Times New Roman" w:eastAsia="宋体"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rPr>
                    <w:t>/a）</w:t>
                  </w:r>
                </w:p>
              </w:tc>
              <w:tc>
                <w:tcPr>
                  <w:tcW w:w="681" w:type="pct"/>
                  <w:noWrap w:val="0"/>
                  <w:vAlign w:val="center"/>
                </w:tcPr>
                <w:p w14:paraId="74FE68A0">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实际年产量</w:t>
                  </w:r>
                </w:p>
                <w:p w14:paraId="41CE9570">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w:t>
                  </w:r>
                  <w:r>
                    <w:rPr>
                      <w:rFonts w:hint="default" w:ascii="Times New Roman" w:hAnsi="Times New Roman" w:eastAsia="宋体" w:cs="Times New Roman"/>
                      <w:b/>
                      <w:bCs/>
                      <w:color w:val="auto"/>
                      <w:sz w:val="21"/>
                      <w:szCs w:val="21"/>
                      <w:highlight w:val="none"/>
                      <w:lang w:val="en-US" w:eastAsia="zh-CN"/>
                    </w:rPr>
                    <w:t>t</w:t>
                  </w:r>
                  <w:r>
                    <w:rPr>
                      <w:rFonts w:hint="default" w:ascii="Times New Roman" w:hAnsi="Times New Roman" w:eastAsia="宋体" w:cs="Times New Roman"/>
                      <w:b/>
                      <w:bCs/>
                      <w:color w:val="auto"/>
                      <w:sz w:val="21"/>
                      <w:szCs w:val="21"/>
                      <w:highlight w:val="none"/>
                    </w:rPr>
                    <w:t>/a）</w:t>
                  </w:r>
                </w:p>
              </w:tc>
              <w:tc>
                <w:tcPr>
                  <w:tcW w:w="284" w:type="pct"/>
                  <w:noWrap w:val="0"/>
                  <w:vAlign w:val="center"/>
                </w:tcPr>
                <w:p w14:paraId="4F4DFAA8">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匹配</w:t>
                  </w:r>
                </w:p>
                <w:p w14:paraId="7B5907E1">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bCs/>
                      <w:color w:val="auto"/>
                      <w:sz w:val="21"/>
                      <w:szCs w:val="21"/>
                      <w:highlight w:val="none"/>
                    </w:rPr>
                    <w:t>情况</w:t>
                  </w:r>
                </w:p>
              </w:tc>
            </w:tr>
            <w:tr w14:paraId="2EBB4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68344905">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
                    </w:rPr>
                    <w:t>海天注塑机</w:t>
                  </w:r>
                </w:p>
              </w:tc>
              <w:tc>
                <w:tcPr>
                  <w:tcW w:w="893" w:type="pct"/>
                  <w:noWrap w:val="0"/>
                  <w:vAlign w:val="center"/>
                </w:tcPr>
                <w:p w14:paraId="6A36180B">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rPr>
                    <w:t>处理能力</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2kg/h</w:t>
                  </w:r>
                </w:p>
              </w:tc>
              <w:tc>
                <w:tcPr>
                  <w:tcW w:w="528" w:type="pct"/>
                  <w:noWrap w:val="0"/>
                  <w:vAlign w:val="center"/>
                </w:tcPr>
                <w:p w14:paraId="1C04236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w:t>
                  </w:r>
                </w:p>
              </w:tc>
              <w:tc>
                <w:tcPr>
                  <w:tcW w:w="455" w:type="pct"/>
                  <w:noWrap w:val="0"/>
                  <w:vAlign w:val="center"/>
                </w:tcPr>
                <w:p w14:paraId="498EA5FA">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0.048</w:t>
                  </w:r>
                </w:p>
              </w:tc>
              <w:tc>
                <w:tcPr>
                  <w:tcW w:w="665" w:type="pct"/>
                  <w:noWrap w:val="0"/>
                  <w:vAlign w:val="center"/>
                </w:tcPr>
                <w:p w14:paraId="75DA8818">
                  <w:pPr>
                    <w:pageBreakBefore w:val="0"/>
                    <w:widowControl/>
                    <w:wordWrap w:val="0"/>
                    <w:topLinePunct w:val="0"/>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310</w:t>
                  </w:r>
                </w:p>
              </w:tc>
              <w:tc>
                <w:tcPr>
                  <w:tcW w:w="1175" w:type="dxa"/>
                  <w:noWrap w:val="0"/>
                  <w:vAlign w:val="center"/>
                </w:tcPr>
                <w:p w14:paraId="48EFD59F">
                  <w:pPr>
                    <w:pageBreakBefore w:val="0"/>
                    <w:widowControl/>
                    <w:wordWrap w:val="0"/>
                    <w:topLinePunct w:val="0"/>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297.6</w:t>
                  </w:r>
                </w:p>
              </w:tc>
              <w:tc>
                <w:tcPr>
                  <w:tcW w:w="681" w:type="pct"/>
                  <w:vMerge w:val="restart"/>
                  <w:noWrap w:val="0"/>
                  <w:vAlign w:val="center"/>
                </w:tcPr>
                <w:p w14:paraId="327429A7">
                  <w:pPr>
                    <w:pageBreakBefore w:val="0"/>
                    <w:widowControl/>
                    <w:wordWrap w:val="0"/>
                    <w:topLinePunct w:val="0"/>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636.3（含回用破碎的塑胶粒）</w:t>
                  </w:r>
                </w:p>
              </w:tc>
              <w:tc>
                <w:tcPr>
                  <w:tcW w:w="284" w:type="pct"/>
                  <w:vMerge w:val="restart"/>
                  <w:noWrap w:val="0"/>
                  <w:vAlign w:val="center"/>
                </w:tcPr>
                <w:p w14:paraId="3C084B3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匹配</w:t>
                  </w:r>
                </w:p>
              </w:tc>
            </w:tr>
            <w:tr w14:paraId="23C9E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2" w:type="pct"/>
                  <w:noWrap w:val="0"/>
                  <w:vAlign w:val="center"/>
                </w:tcPr>
                <w:p w14:paraId="6921E694">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cs="Times New Roman"/>
                      <w:snapToGrid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bidi="ar"/>
                    </w:rPr>
                    <w:t>伊之密注塑机</w:t>
                  </w:r>
                </w:p>
              </w:tc>
              <w:tc>
                <w:tcPr>
                  <w:tcW w:w="893" w:type="pct"/>
                  <w:noWrap w:val="0"/>
                  <w:vAlign w:val="center"/>
                </w:tcPr>
                <w:p w14:paraId="68E12760">
                  <w:pPr>
                    <w:keepNext w:val="0"/>
                    <w:keepLines w:val="0"/>
                    <w:pageBreakBefore w:val="0"/>
                    <w:kinsoku/>
                    <w:wordWrap w:val="0"/>
                    <w:overflowPunct/>
                    <w:topLinePunct w:val="0"/>
                    <w:bidi w:val="0"/>
                    <w:snapToGrid/>
                    <w:spacing w:line="240" w:lineRule="auto"/>
                    <w:ind w:left="0" w:leftChars="0" w:firstLine="0" w:firstLineChars="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处理能力</w:t>
                  </w:r>
                  <w:r>
                    <w:rPr>
                      <w:rFonts w:hint="default" w:ascii="Times New Roman" w:hAnsi="Times New Roman" w:eastAsia="宋体" w:cs="Times New Roman"/>
                      <w:bCs/>
                      <w:color w:val="auto"/>
                      <w:sz w:val="21"/>
                      <w:szCs w:val="21"/>
                      <w:highlight w:val="none"/>
                      <w:lang w:eastAsia="zh-CN"/>
                    </w:rPr>
                    <w:t>：</w:t>
                  </w:r>
                  <w:r>
                    <w:rPr>
                      <w:rFonts w:hint="default" w:ascii="Times New Roman" w:hAnsi="Times New Roman" w:eastAsia="宋体" w:cs="Times New Roman"/>
                      <w:bCs/>
                      <w:color w:val="auto"/>
                      <w:sz w:val="21"/>
                      <w:szCs w:val="21"/>
                      <w:highlight w:val="none"/>
                      <w:lang w:val="en-US" w:eastAsia="zh-CN"/>
                    </w:rPr>
                    <w:t>2kg/h</w:t>
                  </w:r>
                </w:p>
              </w:tc>
              <w:tc>
                <w:tcPr>
                  <w:tcW w:w="528" w:type="pct"/>
                  <w:noWrap w:val="0"/>
                  <w:vAlign w:val="center"/>
                </w:tcPr>
                <w:p w14:paraId="167DEB8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14</w:t>
                  </w:r>
                </w:p>
              </w:tc>
              <w:tc>
                <w:tcPr>
                  <w:tcW w:w="455" w:type="pct"/>
                  <w:noWrap w:val="0"/>
                  <w:vAlign w:val="center"/>
                </w:tcPr>
                <w:p w14:paraId="51B821C4">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0.048</w:t>
                  </w:r>
                </w:p>
              </w:tc>
              <w:tc>
                <w:tcPr>
                  <w:tcW w:w="665" w:type="pct"/>
                  <w:noWrap w:val="0"/>
                  <w:vAlign w:val="center"/>
                </w:tcPr>
                <w:p w14:paraId="709122F1">
                  <w:pPr>
                    <w:pageBreakBefore w:val="0"/>
                    <w:widowControl/>
                    <w:wordWrap w:val="0"/>
                    <w:topLinePunct w:val="0"/>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310</w:t>
                  </w:r>
                </w:p>
              </w:tc>
              <w:tc>
                <w:tcPr>
                  <w:tcW w:w="1175" w:type="dxa"/>
                  <w:noWrap w:val="0"/>
                  <w:vAlign w:val="center"/>
                </w:tcPr>
                <w:p w14:paraId="4B9BEC05">
                  <w:pPr>
                    <w:pageBreakBefore w:val="0"/>
                    <w:widowControl/>
                    <w:wordWrap w:val="0"/>
                    <w:topLinePunct w:val="0"/>
                    <w:bidi w:val="0"/>
                    <w:spacing w:line="240" w:lineRule="auto"/>
                    <w:jc w:val="center"/>
                    <w:textAlignment w:val="center"/>
                    <w:rPr>
                      <w:rFonts w:hint="default" w:ascii="Times New Roman" w:hAnsi="Times New Roman" w:cs="Times New Roman"/>
                      <w:color w:val="auto"/>
                      <w:kern w:val="0"/>
                      <w:sz w:val="21"/>
                      <w:szCs w:val="21"/>
                      <w:highlight w:val="none"/>
                      <w:lang w:val="en-US" w:eastAsia="zh-CN" w:bidi="ar"/>
                    </w:rPr>
                  </w:pPr>
                  <w:r>
                    <w:rPr>
                      <w:rFonts w:hint="default" w:ascii="Times New Roman" w:hAnsi="Times New Roman" w:cs="Times New Roman"/>
                      <w:color w:val="auto"/>
                      <w:kern w:val="0"/>
                      <w:sz w:val="21"/>
                      <w:szCs w:val="21"/>
                      <w:highlight w:val="none"/>
                      <w:lang w:val="en-US" w:eastAsia="zh-CN" w:bidi="ar"/>
                    </w:rPr>
                    <w:t>446.4</w:t>
                  </w:r>
                </w:p>
              </w:tc>
              <w:tc>
                <w:tcPr>
                  <w:tcW w:w="681" w:type="pct"/>
                  <w:vMerge w:val="continue"/>
                  <w:noWrap w:val="0"/>
                  <w:vAlign w:val="center"/>
                </w:tcPr>
                <w:p w14:paraId="4D23B90B">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p>
              </w:tc>
              <w:tc>
                <w:tcPr>
                  <w:tcW w:w="284" w:type="pct"/>
                  <w:vMerge w:val="continue"/>
                  <w:noWrap w:val="0"/>
                  <w:vAlign w:val="center"/>
                </w:tcPr>
                <w:p w14:paraId="3A897EB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p>
              </w:tc>
            </w:tr>
          </w:tbl>
          <w:p w14:paraId="3681B750">
            <w:pPr>
              <w:pStyle w:val="6"/>
              <w:pageBreakBefore w:val="0"/>
              <w:numPr>
                <w:ilvl w:val="3"/>
                <w:numId w:val="0"/>
              </w:numPr>
              <w:wordWrap w:val="0"/>
              <w:topLinePunct w:val="0"/>
              <w:bidi w:val="0"/>
              <w:ind w:left="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sz w:val="24"/>
                <w:szCs w:val="24"/>
                <w:highlight w:val="none"/>
              </w:rPr>
              <w:t>5、</w:t>
            </w:r>
            <w:r>
              <w:rPr>
                <w:rFonts w:hint="default" w:ascii="Times New Roman" w:hAnsi="Times New Roman" w:eastAsia="宋体" w:cs="Times New Roman"/>
                <w:color w:val="auto"/>
                <w:highlight w:val="none"/>
              </w:rPr>
              <w:t>劳动定员和工作制度</w:t>
            </w:r>
          </w:p>
          <w:p w14:paraId="082E7F5E">
            <w:pPr>
              <w:pStyle w:val="15"/>
              <w:pageBreakBefore w:val="0"/>
              <w:wordWrap w:val="0"/>
              <w:topLinePunct w:val="0"/>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7</w:t>
            </w:r>
            <w:r>
              <w:rPr>
                <w:rStyle w:val="61"/>
                <w:rFonts w:hint="default" w:ascii="Times New Roman" w:hAnsi="Times New Roman" w:cs="Times New Roman"/>
                <w:b/>
                <w:bCs/>
                <w:color w:val="auto"/>
                <w:highlight w:val="none"/>
              </w:rPr>
              <w:t>劳</w:t>
            </w:r>
            <w:r>
              <w:rPr>
                <w:rFonts w:hint="default" w:ascii="Times New Roman" w:hAnsi="Times New Roman" w:cs="Times New Roman"/>
                <w:color w:val="auto"/>
                <w:highlight w:val="none"/>
              </w:rPr>
              <w:t>动定员与工作制度一览表</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293"/>
              <w:gridCol w:w="2613"/>
              <w:gridCol w:w="1393"/>
              <w:gridCol w:w="2545"/>
            </w:tblGrid>
            <w:tr w14:paraId="36C2FC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824" w:type="pct"/>
                  <w:vAlign w:val="center"/>
                </w:tcPr>
                <w:p w14:paraId="040C692C">
                  <w:pPr>
                    <w:pStyle w:val="60"/>
                    <w:pageBreakBefore w:val="0"/>
                    <w:wordWrap w:val="0"/>
                    <w:topLinePunct w:val="0"/>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65" w:type="pct"/>
                  <w:vAlign w:val="center"/>
                </w:tcPr>
                <w:p w14:paraId="5CAD6497">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c>
                <w:tcPr>
                  <w:tcW w:w="888" w:type="pct"/>
                  <w:vAlign w:val="center"/>
                </w:tcPr>
                <w:p w14:paraId="73B08FF9">
                  <w:pPr>
                    <w:pStyle w:val="60"/>
                    <w:pageBreakBefore w:val="0"/>
                    <w:wordWrap w:val="0"/>
                    <w:topLinePunct w:val="0"/>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lang w:val="en-US" w:eastAsia="zh-CN"/>
                    </w:rPr>
                    <w:t>项目</w:t>
                  </w:r>
                </w:p>
              </w:tc>
              <w:tc>
                <w:tcPr>
                  <w:tcW w:w="1622" w:type="pct"/>
                  <w:vAlign w:val="center"/>
                </w:tcPr>
                <w:p w14:paraId="1D4AAF35">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内容</w:t>
                  </w:r>
                </w:p>
              </w:tc>
            </w:tr>
            <w:tr w14:paraId="520F5F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824" w:type="pct"/>
                  <w:vAlign w:val="center"/>
                </w:tcPr>
                <w:p w14:paraId="4DB482C7">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劳动定员</w:t>
                  </w:r>
                </w:p>
              </w:tc>
              <w:tc>
                <w:tcPr>
                  <w:tcW w:w="1665" w:type="pct"/>
                  <w:vAlign w:val="center"/>
                </w:tcPr>
                <w:p w14:paraId="06257B54">
                  <w:pPr>
                    <w:pStyle w:val="60"/>
                    <w:pageBreakBefore w:val="0"/>
                    <w:wordWrap w:val="0"/>
                    <w:topLinePunct w:val="0"/>
                    <w:bidi w:val="0"/>
                    <w:spacing w:line="360" w:lineRule="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1"/>
                      <w:szCs w:val="21"/>
                      <w:highlight w:val="none"/>
                      <w:lang w:val="en-US" w:eastAsia="zh-CN"/>
                    </w:rPr>
                    <w:t>80</w:t>
                  </w:r>
                  <w:r>
                    <w:rPr>
                      <w:rFonts w:hint="default" w:ascii="Times New Roman" w:hAnsi="Times New Roman" w:cs="Times New Roman"/>
                      <w:color w:val="auto"/>
                      <w:sz w:val="21"/>
                      <w:szCs w:val="21"/>
                      <w:highlight w:val="none"/>
                      <w:lang w:eastAsia="zh-CN"/>
                    </w:rPr>
                    <w:t>人</w:t>
                  </w:r>
                </w:p>
              </w:tc>
              <w:tc>
                <w:tcPr>
                  <w:tcW w:w="888" w:type="pct"/>
                  <w:vAlign w:val="center"/>
                </w:tcPr>
                <w:p w14:paraId="7F695BAD">
                  <w:pPr>
                    <w:pStyle w:val="60"/>
                    <w:pageBreakBefore w:val="0"/>
                    <w:wordWrap w:val="0"/>
                    <w:topLinePunct w:val="0"/>
                    <w:bidi w:val="0"/>
                    <w:rPr>
                      <w:rFonts w:hint="default" w:ascii="Times New Roman" w:hAnsi="Times New Roman" w:eastAsia="宋体" w:cs="Times New Roman"/>
                      <w:b/>
                      <w:bCs/>
                      <w:color w:val="auto"/>
                      <w:highlight w:val="none"/>
                      <w:lang w:eastAsia="zh-CN"/>
                    </w:rPr>
                  </w:pPr>
                  <w:r>
                    <w:rPr>
                      <w:rFonts w:hint="default" w:ascii="Times New Roman" w:hAnsi="Times New Roman" w:cs="Times New Roman"/>
                      <w:b/>
                      <w:bCs/>
                      <w:color w:val="auto"/>
                      <w:highlight w:val="none"/>
                    </w:rPr>
                    <w:t>食宿</w:t>
                  </w:r>
                  <w:r>
                    <w:rPr>
                      <w:rFonts w:hint="default" w:ascii="Times New Roman" w:hAnsi="Times New Roman" w:cs="Times New Roman"/>
                      <w:b/>
                      <w:bCs/>
                      <w:color w:val="auto"/>
                      <w:highlight w:val="none"/>
                      <w:lang w:val="en-US" w:eastAsia="zh-CN"/>
                    </w:rPr>
                    <w:t>情况</w:t>
                  </w:r>
                </w:p>
              </w:tc>
              <w:tc>
                <w:tcPr>
                  <w:tcW w:w="1622" w:type="pct"/>
                  <w:vAlign w:val="center"/>
                </w:tcPr>
                <w:p w14:paraId="34D0C2E3">
                  <w:pPr>
                    <w:pStyle w:val="60"/>
                    <w:pageBreakBefore w:val="0"/>
                    <w:wordWrap w:val="0"/>
                    <w:topLinePunct w:val="0"/>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无食堂、住宿</w:t>
                  </w:r>
                </w:p>
              </w:tc>
            </w:tr>
            <w:tr w14:paraId="71D945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824" w:type="pct"/>
                  <w:vAlign w:val="center"/>
                </w:tcPr>
                <w:p w14:paraId="42CD7105">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工作时间</w:t>
                  </w:r>
                </w:p>
              </w:tc>
              <w:tc>
                <w:tcPr>
                  <w:tcW w:w="1665" w:type="pct"/>
                  <w:vAlign w:val="center"/>
                </w:tcPr>
                <w:p w14:paraId="713C78C2">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年生产310天</w:t>
                  </w:r>
                </w:p>
              </w:tc>
              <w:tc>
                <w:tcPr>
                  <w:tcW w:w="888" w:type="pct"/>
                  <w:vAlign w:val="center"/>
                </w:tcPr>
                <w:p w14:paraId="3B11BD61">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夜间生产</w:t>
                  </w:r>
                </w:p>
              </w:tc>
              <w:tc>
                <w:tcPr>
                  <w:tcW w:w="1622" w:type="pct"/>
                  <w:vAlign w:val="center"/>
                </w:tcPr>
                <w:p w14:paraId="471B6CEB">
                  <w:pPr>
                    <w:pStyle w:val="60"/>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有</w:t>
                  </w:r>
                </w:p>
              </w:tc>
            </w:tr>
            <w:tr w14:paraId="5328B5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824" w:type="pct"/>
                  <w:vAlign w:val="center"/>
                </w:tcPr>
                <w:p w14:paraId="53598C07">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工作班制</w:t>
                  </w:r>
                </w:p>
              </w:tc>
              <w:tc>
                <w:tcPr>
                  <w:tcW w:w="1665" w:type="pct"/>
                  <w:vAlign w:val="center"/>
                </w:tcPr>
                <w:p w14:paraId="5CBC52C1">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每班12小时，实行2班制</w:t>
                  </w:r>
                </w:p>
              </w:tc>
              <w:tc>
                <w:tcPr>
                  <w:tcW w:w="888" w:type="pct"/>
                  <w:vAlign w:val="center"/>
                </w:tcPr>
                <w:p w14:paraId="7C665820">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622" w:type="pct"/>
                  <w:vAlign w:val="center"/>
                </w:tcPr>
                <w:p w14:paraId="4EA84AB2">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bl>
          <w:p w14:paraId="3B78F8D2">
            <w:pPr>
              <w:pStyle w:val="6"/>
              <w:pageBreakBefore w:val="0"/>
              <w:numPr>
                <w:ilvl w:val="3"/>
                <w:numId w:val="0"/>
              </w:numPr>
              <w:wordWrap w:val="0"/>
              <w:topLinePunct w:val="0"/>
              <w:bidi w:val="0"/>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6、能源和资源消耗</w:t>
            </w:r>
          </w:p>
          <w:p w14:paraId="7CBF1B4B">
            <w:pPr>
              <w:pStyle w:val="8"/>
              <w:pageBreakBefore w:val="0"/>
              <w:numPr>
                <w:ilvl w:val="4"/>
                <w:numId w:val="0"/>
              </w:numPr>
              <w:wordWrap w:val="0"/>
              <w:topLinePunct w:val="0"/>
              <w:bidi w:val="0"/>
              <w:ind w:left="-960" w:firstLine="1440"/>
              <w:rPr>
                <w:rFonts w:hint="default" w:ascii="Times New Roman" w:hAnsi="Times New Roman" w:cs="Times New Roman"/>
                <w:color w:val="auto"/>
                <w:szCs w:val="32"/>
                <w:highlight w:val="none"/>
              </w:rPr>
            </w:pPr>
            <w:r>
              <w:rPr>
                <w:rFonts w:hint="default" w:ascii="Times New Roman" w:hAnsi="Times New Roman" w:cs="Times New Roman"/>
                <w:color w:val="auto"/>
                <w:szCs w:val="32"/>
                <w:highlight w:val="none"/>
              </w:rPr>
              <w:t>（1）供电</w:t>
            </w:r>
          </w:p>
          <w:p w14:paraId="003D21E1">
            <w:pPr>
              <w:pageBreakBefore w:val="0"/>
              <w:wordWrap w:val="0"/>
              <w:topLinePunct w:val="0"/>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本项目用电由市政供电网提供，年用电量约</w:t>
            </w:r>
            <w:r>
              <w:rPr>
                <w:rFonts w:hint="default" w:ascii="Times New Roman" w:hAnsi="Times New Roman" w:cs="Times New Roman"/>
                <w:color w:val="auto"/>
                <w:sz w:val="24"/>
                <w:szCs w:val="24"/>
                <w:highlight w:val="none"/>
                <w:lang w:val="en-US" w:eastAsia="zh-CN"/>
              </w:rPr>
              <w:t>98.699万</w:t>
            </w:r>
            <w:r>
              <w:rPr>
                <w:rFonts w:hint="default" w:ascii="Times New Roman" w:hAnsi="Times New Roman" w:cs="Times New Roman"/>
                <w:color w:val="auto"/>
                <w:highlight w:val="none"/>
              </w:rPr>
              <w:t>千瓦·时，不设备用发电机或锅炉。</w:t>
            </w:r>
          </w:p>
          <w:p w14:paraId="6FA67A5C">
            <w:pPr>
              <w:pStyle w:val="8"/>
              <w:pageBreakBefore w:val="0"/>
              <w:numPr>
                <w:ilvl w:val="4"/>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（2）给水</w:t>
            </w:r>
          </w:p>
          <w:p w14:paraId="464842A1">
            <w:pPr>
              <w:pageBreakBefore w:val="0"/>
              <w:wordWrap w:val="0"/>
              <w:topLinePunct w:val="0"/>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本项目营运期用水主要为生活用水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冷却用水</w:t>
            </w:r>
            <w:r>
              <w:rPr>
                <w:rFonts w:hint="default" w:ascii="Times New Roman" w:hAnsi="Times New Roman" w:cs="Times New Roman"/>
                <w:color w:val="auto"/>
                <w:highlight w:val="none"/>
                <w:lang w:eastAsia="zh-CN"/>
              </w:rPr>
              <w:t>。</w:t>
            </w:r>
          </w:p>
          <w:p w14:paraId="000986CC">
            <w:pPr>
              <w:pStyle w:val="2"/>
              <w:pageBreakBefore w:val="0"/>
              <w:wordWrap w:val="0"/>
              <w:topLinePunct w:val="0"/>
              <w:bidi w:val="0"/>
              <w:ind w:firstLine="48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①</w:t>
            </w:r>
            <w:r>
              <w:rPr>
                <w:rFonts w:hint="default" w:ascii="Times New Roman" w:hAnsi="Times New Roman" w:cs="Times New Roman"/>
                <w:color w:val="auto"/>
                <w:highlight w:val="none"/>
              </w:rPr>
              <w:t>生活用水：</w:t>
            </w:r>
            <w:r>
              <w:rPr>
                <w:rFonts w:hint="default" w:ascii="Times New Roman" w:hAnsi="Times New Roman" w:cs="Times New Roman"/>
                <w:color w:val="auto"/>
                <w:kern w:val="0"/>
                <w:highlight w:val="none"/>
                <w:lang w:bidi="ar"/>
              </w:rPr>
              <w:t>本项目劳动定员</w:t>
            </w:r>
            <w:r>
              <w:rPr>
                <w:rFonts w:hint="default" w:ascii="Times New Roman" w:hAnsi="Times New Roman" w:cs="Times New Roman"/>
                <w:color w:val="auto"/>
                <w:kern w:val="0"/>
                <w:highlight w:val="none"/>
                <w:lang w:val="en-US" w:eastAsia="zh-CN" w:bidi="ar"/>
              </w:rPr>
              <w:t>80</w:t>
            </w:r>
            <w:r>
              <w:rPr>
                <w:rFonts w:hint="default" w:ascii="Times New Roman" w:hAnsi="Times New Roman" w:cs="Times New Roman"/>
                <w:color w:val="auto"/>
                <w:kern w:val="0"/>
                <w:highlight w:val="none"/>
                <w:lang w:bidi="ar"/>
              </w:rPr>
              <w:t>人，厂区内</w:t>
            </w:r>
            <w:r>
              <w:rPr>
                <w:rFonts w:hint="default" w:ascii="Times New Roman" w:hAnsi="Times New Roman" w:cs="Times New Roman"/>
                <w:color w:val="auto"/>
                <w:kern w:val="0"/>
                <w:highlight w:val="none"/>
                <w:lang w:val="en-US" w:eastAsia="zh-CN" w:bidi="ar"/>
              </w:rPr>
              <w:t>不设食堂和住宿</w:t>
            </w:r>
            <w:r>
              <w:rPr>
                <w:rFonts w:hint="default" w:ascii="Times New Roman" w:hAnsi="Times New Roman" w:cs="Times New Roman"/>
                <w:color w:val="auto"/>
                <w:kern w:val="0"/>
                <w:highlight w:val="none"/>
                <w:lang w:bidi="ar"/>
              </w:rPr>
              <w:t>，年工作天数</w:t>
            </w:r>
            <w:r>
              <w:rPr>
                <w:rFonts w:hint="default" w:ascii="Times New Roman" w:hAnsi="Times New Roman" w:cs="Times New Roman"/>
                <w:color w:val="auto"/>
                <w:kern w:val="0"/>
                <w:highlight w:val="none"/>
                <w:lang w:val="en-US" w:eastAsia="zh-CN" w:bidi="ar"/>
              </w:rPr>
              <w:t>310</w:t>
            </w:r>
            <w:r>
              <w:rPr>
                <w:rFonts w:hint="default" w:ascii="Times New Roman" w:hAnsi="Times New Roman" w:cs="Times New Roman"/>
                <w:color w:val="auto"/>
                <w:kern w:val="0"/>
                <w:highlight w:val="none"/>
                <w:lang w:bidi="ar"/>
              </w:rPr>
              <w:t>天</w:t>
            </w:r>
            <w:r>
              <w:rPr>
                <w:rFonts w:hint="default" w:ascii="Times New Roman" w:hAnsi="Times New Roman" w:cs="Times New Roman"/>
                <w:color w:val="auto"/>
                <w:highlight w:val="none"/>
              </w:rPr>
              <w:t>，生活用水量为</w:t>
            </w:r>
            <w:r>
              <w:rPr>
                <w:rFonts w:hint="default" w:ascii="Times New Roman" w:hAnsi="Times New Roman" w:cs="Times New Roman"/>
                <w:color w:val="auto"/>
                <w:highlight w:val="none"/>
                <w:lang w:val="en-US" w:eastAsia="zh-CN"/>
              </w:rPr>
              <w:t>800</w:t>
            </w:r>
            <w:r>
              <w:rPr>
                <w:rFonts w:hint="default" w:ascii="Times New Roman" w:hAnsi="Times New Roman" w:cs="Times New Roman"/>
                <w:color w:val="auto"/>
                <w:highlight w:val="none"/>
              </w:rPr>
              <w:t>t/a</w:t>
            </w:r>
            <w:r>
              <w:rPr>
                <w:rFonts w:hint="default" w:ascii="Times New Roman" w:hAnsi="Times New Roman" w:cs="Times New Roman"/>
                <w:color w:val="auto"/>
                <w:highlight w:val="none"/>
                <w:lang w:eastAsia="zh-CN"/>
              </w:rPr>
              <w:t>。</w:t>
            </w:r>
          </w:p>
          <w:p w14:paraId="06C18BB5">
            <w:pPr>
              <w:pStyle w:val="2"/>
              <w:pageBreakBefore w:val="0"/>
              <w:wordWrap w:val="0"/>
              <w:topLinePunct w:val="0"/>
              <w:bidi w:val="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②冷却用水</w:t>
            </w:r>
          </w:p>
          <w:p w14:paraId="7D512378">
            <w:pPr>
              <w:pStyle w:val="2"/>
              <w:pageBreakBefore w:val="0"/>
              <w:wordWrap w:val="0"/>
              <w:topLinePunct w:val="0"/>
              <w:bidi w:val="0"/>
              <w:ind w:firstLine="48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项目设置1台冷却塔，尺寸为φ1.5m×H1.2m，有效水深为0.5。设置循环水量为20m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/h，即循环水量为148800m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p>
          <w:p w14:paraId="5527DE59">
            <w:pPr>
              <w:pageBreakBefore w:val="0"/>
              <w:widowControl/>
              <w:wordWrap w:val="0"/>
              <w:topLinePunct w:val="0"/>
              <w:bidi w:val="0"/>
              <w:spacing w:after="12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根据项目生产特性，循环冷却水用于产品的间接冷却，本项目年运营期3</w:t>
            </w:r>
            <w:r>
              <w:rPr>
                <w:rFonts w:hint="default" w:ascii="Times New Roman" w:hAnsi="Times New Roman" w:cs="Times New Roman"/>
                <w:color w:val="auto"/>
                <w:kern w:val="0"/>
                <w:highlight w:val="none"/>
                <w:lang w:val="en-US" w:eastAsia="zh-CN"/>
              </w:rPr>
              <w:t>1</w:t>
            </w:r>
            <w:r>
              <w:rPr>
                <w:rFonts w:hint="default" w:ascii="Times New Roman" w:hAnsi="Times New Roman" w:cs="Times New Roman"/>
                <w:color w:val="auto"/>
                <w:kern w:val="0"/>
                <w:highlight w:val="none"/>
              </w:rPr>
              <w:t>0天，每天工作</w:t>
            </w:r>
            <w:r>
              <w:rPr>
                <w:rFonts w:hint="default" w:ascii="Times New Roman" w:hAnsi="Times New Roman" w:cs="Times New Roman"/>
                <w:color w:val="auto"/>
                <w:kern w:val="0"/>
                <w:highlight w:val="none"/>
                <w:lang w:val="en-US" w:eastAsia="zh-CN"/>
              </w:rPr>
              <w:t>24</w:t>
            </w:r>
            <w:r>
              <w:rPr>
                <w:rFonts w:hint="default" w:ascii="Times New Roman" w:hAnsi="Times New Roman" w:cs="Times New Roman"/>
                <w:color w:val="auto"/>
                <w:kern w:val="0"/>
                <w:highlight w:val="none"/>
              </w:rPr>
              <w:t>小时，则每台平均日循环水量为</w:t>
            </w:r>
            <w:r>
              <w:rPr>
                <w:rFonts w:hint="default" w:ascii="Times New Roman" w:hAnsi="Times New Roman" w:cs="Times New Roman"/>
                <w:color w:val="auto"/>
                <w:kern w:val="0"/>
                <w:highlight w:val="none"/>
                <w:lang w:val="en-US" w:eastAsia="zh-CN"/>
              </w:rPr>
              <w:t>480</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，约合</w:t>
            </w:r>
            <w:r>
              <w:rPr>
                <w:rFonts w:hint="default" w:ascii="Times New Roman" w:hAnsi="Times New Roman" w:cs="Times New Roman"/>
                <w:color w:val="auto"/>
                <w:kern w:val="0"/>
                <w:highlight w:val="none"/>
                <w:lang w:val="en-US" w:eastAsia="zh-CN"/>
              </w:rPr>
              <w:t>148800</w:t>
            </w:r>
            <w:r>
              <w:rPr>
                <w:rFonts w:hint="default" w:ascii="Times New Roman" w:hAnsi="Times New Roman" w:cs="Times New Roman"/>
                <w:color w:val="auto"/>
                <w:kern w:val="0"/>
                <w:highlight w:val="none"/>
              </w:rPr>
              <w:t xml:space="preserve"> 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/a。循环过程中会有部分水以蒸汽的形式损耗，根据《工业循环冷却水处理设计规范》 （GB/T50050-2017），本项目蒸发水量可按下列公式计算：</w:t>
            </w:r>
          </w:p>
          <w:p w14:paraId="743F25C8">
            <w:pPr>
              <w:pageBreakBefore w:val="0"/>
              <w:widowControl/>
              <w:wordWrap w:val="0"/>
              <w:topLinePunct w:val="0"/>
              <w:bidi w:val="0"/>
              <w:spacing w:after="120"/>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Qe=k×Δt×Qr</w:t>
            </w:r>
          </w:p>
          <w:p w14:paraId="133B6AA4">
            <w:pPr>
              <w:pageBreakBefore w:val="0"/>
              <w:widowControl/>
              <w:wordWrap w:val="0"/>
              <w:topLinePunct w:val="0"/>
              <w:bidi w:val="0"/>
              <w:spacing w:after="120" w:line="240" w:lineRule="auto"/>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式中：Qe——蒸发水量，（m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/h）；</w:t>
            </w:r>
          </w:p>
          <w:p w14:paraId="2CEC9193">
            <w:pPr>
              <w:pageBreakBefore w:val="0"/>
              <w:widowControl/>
              <w:wordWrap w:val="0"/>
              <w:topLinePunct w:val="0"/>
              <w:bidi w:val="0"/>
              <w:spacing w:after="120" w:line="240" w:lineRule="auto"/>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 xml:space="preserve"> Qr——循环冷却水量，（m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/h）；</w:t>
            </w:r>
          </w:p>
          <w:p w14:paraId="070ACE65">
            <w:pPr>
              <w:pageBreakBefore w:val="0"/>
              <w:widowControl/>
              <w:wordWrap w:val="0"/>
              <w:topLinePunct w:val="0"/>
              <w:bidi w:val="0"/>
              <w:spacing w:after="120" w:line="240" w:lineRule="auto"/>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 xml:space="preserve"> Δt——循环冷却水进出冷却塔温差，℃；本项目取 5℃；</w:t>
            </w:r>
          </w:p>
          <w:p w14:paraId="7B2594FE">
            <w:pPr>
              <w:pageBreakBefore w:val="0"/>
              <w:widowControl/>
              <w:wordWrap w:val="0"/>
              <w:topLinePunct w:val="0"/>
              <w:bidi w:val="0"/>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 xml:space="preserve"> K——蒸发损失系数，1/℃；本项目按环境气温25℃，系数取 0.00145/℃；</w:t>
            </w:r>
          </w:p>
          <w:p w14:paraId="1229B4EC">
            <w:pPr>
              <w:pageBreakBefore w:val="0"/>
              <w:wordWrap w:val="0"/>
              <w:topLinePunct w:val="0"/>
              <w:bidi w:val="0"/>
              <w:ind w:firstLine="480"/>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rPr>
              <w:t>经计算得出，冷却塔蒸发水量共为</w:t>
            </w:r>
            <w:r>
              <w:rPr>
                <w:rFonts w:hint="default" w:ascii="Times New Roman" w:hAnsi="Times New Roman" w:cs="Times New Roman"/>
                <w:color w:val="auto"/>
                <w:kern w:val="0"/>
                <w:highlight w:val="none"/>
                <w:lang w:val="en-US" w:eastAsia="zh-CN"/>
              </w:rPr>
              <w:t>3.48</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/d，</w:t>
            </w:r>
            <w:r>
              <w:rPr>
                <w:rFonts w:hint="default" w:ascii="Times New Roman" w:hAnsi="Times New Roman" w:cs="Times New Roman"/>
                <w:color w:val="auto"/>
                <w:kern w:val="0"/>
                <w:highlight w:val="none"/>
                <w:lang w:val="en-US" w:eastAsia="zh-CN"/>
              </w:rPr>
              <w:t>1078.8</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则冷却塔年补充水量为1078.8</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/a</w:t>
            </w:r>
            <w:r>
              <w:rPr>
                <w:rFonts w:hint="default" w:ascii="Times New Roman" w:hAnsi="Times New Roman" w:cs="Times New Roman"/>
                <w:color w:val="auto"/>
                <w:kern w:val="0"/>
                <w:highlight w:val="none"/>
                <w:lang w:eastAsia="zh-CN"/>
              </w:rPr>
              <w:t>。</w:t>
            </w:r>
          </w:p>
          <w:p w14:paraId="2581F002">
            <w:pPr>
              <w:pageBreakBefore w:val="0"/>
              <w:wordWrap w:val="0"/>
              <w:topLinePunct w:val="0"/>
              <w:bidi w:val="0"/>
              <w:ind w:firstLine="480"/>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rPr>
              <w:t>冷却水采用自来水，循环使用且不添加任何试剂，定期补充冷却水损耗，冷却水池在循环过程中由于蒸发过程不断进行，使循环水中的含盐量越来越高，需定期清理，定期清理的冷却废水</w:t>
            </w:r>
            <w:r>
              <w:rPr>
                <w:rFonts w:hint="default" w:ascii="Times New Roman" w:hAnsi="Times New Roman" w:cs="Times New Roman"/>
                <w:color w:val="auto"/>
                <w:kern w:val="0"/>
                <w:highlight w:val="none"/>
                <w:lang w:val="en-US" w:eastAsia="zh-CN"/>
              </w:rPr>
              <w:t>与生活污水一同排入园区污水厂处理。根据建设单位提供资料冷却塔年更换两次，则合计更换为1.766t/a。综上冷却用水量为1080.566t/a。</w:t>
            </w:r>
          </w:p>
          <w:p w14:paraId="1A162001">
            <w:pPr>
              <w:pStyle w:val="8"/>
              <w:pageBreakBefore w:val="0"/>
              <w:numPr>
                <w:ilvl w:val="4"/>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（3）排水</w:t>
            </w:r>
          </w:p>
          <w:p w14:paraId="5EFB1054">
            <w:pPr>
              <w:pageBreakBefore w:val="0"/>
              <w:wordWrap w:val="0"/>
              <w:topLinePunct w:val="0"/>
              <w:bidi w:val="0"/>
              <w:adjustRightIn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本项目实行雨污分流制的排水体制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雨水经厂区雨水管网收集后，排入市政雨水管网</w:t>
            </w:r>
            <w:r>
              <w:rPr>
                <w:rFonts w:hint="default" w:ascii="Times New Roman" w:hAnsi="Times New Roman" w:cs="Times New Roman"/>
                <w:color w:val="auto"/>
                <w:highlight w:val="none"/>
                <w:lang w:eastAsia="zh-CN"/>
              </w:rPr>
              <w:t>。</w:t>
            </w:r>
          </w:p>
          <w:p w14:paraId="6CC0A88F">
            <w:pPr>
              <w:pStyle w:val="2"/>
              <w:pageBreakBefore w:val="0"/>
              <w:wordWrap w:val="0"/>
              <w:topLinePunct w:val="0"/>
              <w:bidi w:val="0"/>
              <w:ind w:firstLine="480"/>
              <w:jc w:val="left"/>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生活污水：本项目生活污水排放量为</w:t>
            </w:r>
            <w:r>
              <w:rPr>
                <w:rFonts w:hint="default" w:ascii="Times New Roman" w:hAnsi="Times New Roman" w:cs="Times New Roman"/>
                <w:color w:val="auto"/>
                <w:highlight w:val="none"/>
                <w:lang w:val="en-US" w:eastAsia="zh-CN"/>
              </w:rPr>
              <w:t>720</w:t>
            </w:r>
            <w:r>
              <w:rPr>
                <w:rFonts w:hint="default" w:ascii="Times New Roman" w:hAnsi="Times New Roman" w:cs="Times New Roman"/>
                <w:color w:val="auto"/>
                <w:highlight w:val="none"/>
              </w:rPr>
              <w:t>t/a，经三级化粪池预处理后，排入园区污水处理厂进一步处理，达标后排放至武江</w:t>
            </w:r>
            <w:r>
              <w:rPr>
                <w:rFonts w:hint="default" w:ascii="Times New Roman" w:hAnsi="Times New Roman" w:cs="Times New Roman"/>
                <w:color w:val="auto"/>
                <w:highlight w:val="none"/>
                <w:lang w:eastAsia="zh-CN"/>
              </w:rPr>
              <w:t>（乐昌城-犁市河段）</w:t>
            </w:r>
            <w:r>
              <w:rPr>
                <w:rFonts w:hint="default" w:ascii="Times New Roman" w:hAnsi="Times New Roman" w:cs="Times New Roman"/>
                <w:color w:val="auto"/>
                <w:highlight w:val="none"/>
                <w:lang w:val="en-US" w:eastAsia="zh-CN"/>
              </w:rPr>
              <w:t>。</w:t>
            </w:r>
          </w:p>
          <w:p w14:paraId="3500A4C9">
            <w:pPr>
              <w:pStyle w:val="2"/>
              <w:pageBreakBefore w:val="0"/>
              <w:wordWrap w:val="0"/>
              <w:topLinePunct w:val="0"/>
              <w:bidi w:val="0"/>
              <w:ind w:firstLine="480"/>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冷却废水：</w:t>
            </w:r>
            <w:r>
              <w:rPr>
                <w:rFonts w:hint="default" w:ascii="Times New Roman" w:hAnsi="Times New Roman" w:cs="Times New Roman"/>
                <w:color w:val="auto"/>
                <w:kern w:val="0"/>
                <w:highlight w:val="none"/>
              </w:rPr>
              <w:t>冷却水采用自来水，循环使用且不添加任何试剂，定期补充冷却水损耗，冷却水池在循环过程中由于蒸发过程不断进行，使循环水中的含盐量越来越高，需定期清理，定期清理的冷却废水</w:t>
            </w:r>
            <w:r>
              <w:rPr>
                <w:rFonts w:hint="default" w:ascii="Times New Roman" w:hAnsi="Times New Roman" w:cs="Times New Roman"/>
                <w:color w:val="auto"/>
                <w:kern w:val="0"/>
                <w:highlight w:val="none"/>
                <w:lang w:val="en-US" w:eastAsia="zh-CN"/>
              </w:rPr>
              <w:t>与生活污水一同排入园区污水厂处理。根据建设单位提供资料冷却塔年更换两次，则排水量为1.766t/a。</w:t>
            </w:r>
          </w:p>
          <w:p w14:paraId="51E617CE">
            <w:pPr>
              <w:pStyle w:val="15"/>
              <w:pageBreakBefore w:val="0"/>
              <w:wordWrap w:val="0"/>
              <w:topLinePunct w:val="0"/>
              <w:bidi w:val="0"/>
              <w:spacing w:line="240" w:lineRule="auto"/>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4630420" cy="2076450"/>
                  <wp:effectExtent l="0" t="0" r="0" b="0"/>
                  <wp:docPr id="9" name="ECB019B1-382A-4266-B25C-5B523AA43C14-1" descr="C:/Users/Admin/AppData/Local/Temp/wps.CXaXWo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CB019B1-382A-4266-B25C-5B523AA43C14-1" descr="C:/Users/Admin/AppData/Local/Temp/wps.CXaXWowps"/>
                          <pic:cNvPicPr>
                            <a:picLocks noChangeAspect="1"/>
                          </pic:cNvPicPr>
                        </pic:nvPicPr>
                        <pic:blipFill>
                          <a:blip r:embed="rId12"/>
                          <a:stretch>
                            <a:fillRect/>
                          </a:stretch>
                        </pic:blipFill>
                        <pic:spPr>
                          <a:xfrm>
                            <a:off x="0" y="0"/>
                            <a:ext cx="4630420" cy="2076450"/>
                          </a:xfrm>
                          <a:prstGeom prst="rect">
                            <a:avLst/>
                          </a:prstGeom>
                        </pic:spPr>
                      </pic:pic>
                    </a:graphicData>
                  </a:graphic>
                </wp:inline>
              </w:drawing>
            </w:r>
          </w:p>
          <w:p w14:paraId="79E5FDA4">
            <w:pPr>
              <w:pStyle w:val="15"/>
              <w:pageBreakBefore w:val="0"/>
              <w:wordWrap w:val="0"/>
              <w:topLinePunct w:val="0"/>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图2-1项目用水平衡图单位：t/a</w:t>
            </w:r>
          </w:p>
          <w:p w14:paraId="5DF878FD">
            <w:pPr>
              <w:pStyle w:val="8"/>
              <w:pageBreakBefore w:val="0"/>
              <w:numPr>
                <w:ilvl w:val="4"/>
                <w:numId w:val="0"/>
              </w:numPr>
              <w:wordWrap w:val="0"/>
              <w:topLinePunct w:val="0"/>
              <w:bidi w:val="0"/>
              <w:ind w:left="-960" w:firstLine="1440"/>
              <w:rPr>
                <w:rFonts w:hint="default" w:ascii="Times New Roman" w:hAnsi="Times New Roman" w:cs="Times New Roman"/>
                <w:color w:val="auto"/>
                <w:highlight w:val="none"/>
              </w:rPr>
            </w:pPr>
            <w:r>
              <w:rPr>
                <w:rFonts w:hint="default" w:ascii="Times New Roman" w:hAnsi="Times New Roman" w:cs="Times New Roman"/>
                <w:color w:val="auto"/>
                <w:highlight w:val="none"/>
              </w:rPr>
              <w:t>（4）通风系统</w:t>
            </w:r>
          </w:p>
          <w:p w14:paraId="1FC1EA30">
            <w:pPr>
              <w:pageBreakBefore w:val="0"/>
              <w:wordWrap w:val="0"/>
              <w:topLinePunct w:val="0"/>
              <w:bidi w:val="0"/>
              <w:adjustRightInd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本项目主要采用自然通风或设置抽排风机进行通风，不设中央空调。</w:t>
            </w:r>
          </w:p>
          <w:p w14:paraId="06D9408F">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三、总平面布局合理性分析</w:t>
            </w:r>
          </w:p>
          <w:p w14:paraId="242F895E">
            <w:pPr>
              <w:pStyle w:val="6"/>
              <w:pageBreakBefore w:val="0"/>
              <w:numPr>
                <w:ilvl w:val="3"/>
                <w:numId w:val="0"/>
              </w:numPr>
              <w:wordWrap w:val="0"/>
              <w:topLinePunct w:val="0"/>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1、用地合理、合法性分析</w:t>
            </w:r>
          </w:p>
          <w:p w14:paraId="32279FAA">
            <w:pPr>
              <w:pStyle w:val="6"/>
              <w:pageBreakBefore w:val="0"/>
              <w:numPr>
                <w:ilvl w:val="3"/>
                <w:numId w:val="0"/>
              </w:numPr>
              <w:wordWrap w:val="0"/>
              <w:topLinePunct w:val="0"/>
              <w:bidi w:val="0"/>
              <w:ind w:firstLine="480" w:firstLineChars="200"/>
              <w:rPr>
                <w:rFonts w:hint="default" w:ascii="Times New Roman" w:hAnsi="Times New Roman" w:cs="Times New Roman"/>
                <w:b w:val="0"/>
                <w:color w:val="auto"/>
                <w:szCs w:val="24"/>
                <w:highlight w:val="none"/>
              </w:rPr>
            </w:pPr>
            <w:r>
              <w:rPr>
                <w:rFonts w:hint="default" w:ascii="Times New Roman" w:hAnsi="Times New Roman" w:cs="Times New Roman"/>
                <w:b w:val="0"/>
                <w:color w:val="auto"/>
                <w:szCs w:val="24"/>
                <w:highlight w:val="none"/>
              </w:rPr>
              <w:t>建设单位拟于</w:t>
            </w:r>
            <w:r>
              <w:rPr>
                <w:rFonts w:hint="default" w:ascii="Times New Roman" w:hAnsi="Times New Roman" w:cs="Times New Roman"/>
                <w:b w:val="0"/>
                <w:color w:val="auto"/>
                <w:szCs w:val="24"/>
                <w:highlight w:val="none"/>
                <w:lang w:eastAsia="zh-CN"/>
              </w:rPr>
              <w:t>韶关市乐昌市廊田镇乐园大道22号（3号厂房）</w:t>
            </w:r>
            <w:r>
              <w:rPr>
                <w:rFonts w:hint="default" w:ascii="Times New Roman" w:hAnsi="Times New Roman" w:cs="Times New Roman"/>
                <w:b w:val="0"/>
                <w:color w:val="auto"/>
                <w:szCs w:val="24"/>
                <w:highlight w:val="none"/>
              </w:rPr>
              <w:t>进行生产，根据中华人民共和国不动产权证书（详见附件</w:t>
            </w:r>
            <w:r>
              <w:rPr>
                <w:rFonts w:hint="default" w:ascii="Times New Roman" w:hAnsi="Times New Roman" w:cs="Times New Roman"/>
                <w:b w:val="0"/>
                <w:color w:val="auto"/>
                <w:szCs w:val="24"/>
                <w:highlight w:val="none"/>
                <w:lang w:val="en-US" w:eastAsia="zh-CN"/>
              </w:rPr>
              <w:t>3</w:t>
            </w:r>
            <w:r>
              <w:rPr>
                <w:rFonts w:hint="default" w:ascii="Times New Roman" w:hAnsi="Times New Roman" w:cs="Times New Roman"/>
                <w:b w:val="0"/>
                <w:color w:val="auto"/>
                <w:szCs w:val="24"/>
                <w:highlight w:val="none"/>
              </w:rPr>
              <w:t>）可知，项目用地用途为工业用地。</w:t>
            </w:r>
          </w:p>
          <w:p w14:paraId="65D46B94">
            <w:pPr>
              <w:pStyle w:val="6"/>
              <w:pageBreakBefore w:val="0"/>
              <w:numPr>
                <w:ilvl w:val="3"/>
                <w:numId w:val="0"/>
              </w:numPr>
              <w:wordWrap w:val="0"/>
              <w:topLinePunct w:val="0"/>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2、四至分析</w:t>
            </w:r>
          </w:p>
          <w:p w14:paraId="1C7E9581">
            <w:pPr>
              <w:pageBreakBefore w:val="0"/>
              <w:wordWrap w:val="0"/>
              <w:topLinePunct w:val="0"/>
              <w:bidi w:val="0"/>
              <w:ind w:firstLine="240" w:firstLineChars="100"/>
              <w:rPr>
                <w:rFonts w:hint="default" w:ascii="Times New Roman" w:hAnsi="Times New Roman" w:cs="Times New Roman"/>
                <w:color w:val="auto"/>
                <w:highlight w:val="none"/>
              </w:rPr>
            </w:pPr>
            <w:bookmarkStart w:id="19" w:name="_Toc15878"/>
            <w:bookmarkStart w:id="20" w:name="_Toc21623"/>
            <w:r>
              <w:rPr>
                <w:rFonts w:hint="default" w:ascii="Times New Roman" w:hAnsi="Times New Roman" w:cs="Times New Roman"/>
                <w:bCs/>
                <w:color w:val="auto"/>
                <w:highlight w:val="none"/>
              </w:rPr>
              <w:t>本项目</w:t>
            </w:r>
            <w:r>
              <w:rPr>
                <w:rFonts w:hint="default" w:ascii="Times New Roman" w:hAnsi="Times New Roman" w:cs="Times New Roman"/>
                <w:bCs/>
                <w:color w:val="auto"/>
                <w:highlight w:val="none"/>
                <w:lang w:val="en-US" w:eastAsia="zh-CN"/>
              </w:rPr>
              <w:t>南面</w:t>
            </w:r>
            <w:r>
              <w:rPr>
                <w:rFonts w:hint="default" w:ascii="Times New Roman" w:hAnsi="Times New Roman" w:cs="Times New Roman"/>
                <w:bCs/>
                <w:color w:val="auto"/>
                <w:highlight w:val="none"/>
              </w:rPr>
              <w:t>为</w:t>
            </w:r>
            <w:r>
              <w:rPr>
                <w:rFonts w:hint="default" w:ascii="Times New Roman" w:hAnsi="Times New Roman" w:cs="Times New Roman"/>
                <w:bCs/>
                <w:color w:val="auto"/>
                <w:highlight w:val="none"/>
                <w:lang w:val="en-US" w:eastAsia="zh-CN"/>
              </w:rPr>
              <w:t>空地，北面</w:t>
            </w:r>
            <w:r>
              <w:rPr>
                <w:rFonts w:hint="default" w:ascii="Times New Roman" w:hAnsi="Times New Roman" w:eastAsia="宋体" w:cs="Times New Roman"/>
                <w:bCs/>
                <w:color w:val="auto"/>
                <w:highlight w:val="none"/>
                <w:lang w:val="en-US" w:eastAsia="zh-CN"/>
              </w:rPr>
              <w:t>为溢拓新能源(广东)有限公司，</w:t>
            </w:r>
            <w:r>
              <w:rPr>
                <w:rFonts w:hint="default" w:ascii="Times New Roman" w:hAnsi="Times New Roman" w:cs="Times New Roman"/>
                <w:bCs/>
                <w:color w:val="auto"/>
                <w:highlight w:val="none"/>
                <w:lang w:val="en-US" w:eastAsia="zh-CN"/>
              </w:rPr>
              <w:t>西面为大朗乐昌产业共建科技园，东面为韶关市高尔泰塑胶科技有限公司。</w:t>
            </w:r>
            <w:r>
              <w:rPr>
                <w:rFonts w:hint="default" w:ascii="Times New Roman" w:hAnsi="Times New Roman" w:cs="Times New Roman"/>
                <w:bCs/>
                <w:color w:val="auto"/>
                <w:highlight w:val="none"/>
              </w:rPr>
              <w:t>本项目最近的环境保护目标为厂界</w:t>
            </w:r>
            <w:r>
              <w:rPr>
                <w:rFonts w:hint="default" w:ascii="Times New Roman" w:hAnsi="Times New Roman" w:cs="Times New Roman"/>
                <w:bCs/>
                <w:color w:val="auto"/>
                <w:highlight w:val="none"/>
                <w:lang w:val="en-US" w:eastAsia="zh-CN"/>
              </w:rPr>
              <w:t>东南</w:t>
            </w:r>
            <w:r>
              <w:rPr>
                <w:rFonts w:hint="default" w:ascii="Times New Roman" w:hAnsi="Times New Roman" w:cs="Times New Roman"/>
                <w:bCs/>
                <w:color w:val="auto"/>
                <w:highlight w:val="none"/>
              </w:rPr>
              <w:t>侧</w:t>
            </w:r>
            <w:r>
              <w:rPr>
                <w:rFonts w:hint="default" w:ascii="Times New Roman" w:hAnsi="Times New Roman" w:cs="Times New Roman"/>
                <w:bCs/>
                <w:color w:val="auto"/>
                <w:highlight w:val="none"/>
                <w:lang w:val="en-US" w:eastAsia="zh-CN"/>
              </w:rPr>
              <w:t>265</w:t>
            </w:r>
            <w:r>
              <w:rPr>
                <w:rFonts w:hint="default" w:ascii="Times New Roman" w:hAnsi="Times New Roman" w:cs="Times New Roman"/>
                <w:bCs/>
                <w:color w:val="auto"/>
                <w:highlight w:val="none"/>
              </w:rPr>
              <w:t>m的</w:t>
            </w:r>
            <w:r>
              <w:rPr>
                <w:rFonts w:hint="default" w:ascii="Times New Roman" w:hAnsi="Times New Roman" w:cs="Times New Roman"/>
                <w:bCs/>
                <w:color w:val="auto"/>
                <w:highlight w:val="none"/>
                <w:lang w:val="en-US" w:eastAsia="zh-CN"/>
              </w:rPr>
              <w:t>江屋村</w:t>
            </w:r>
            <w:r>
              <w:rPr>
                <w:rFonts w:hint="default" w:ascii="Times New Roman" w:hAnsi="Times New Roman" w:cs="Times New Roman"/>
                <w:bCs/>
                <w:color w:val="auto"/>
                <w:highlight w:val="none"/>
              </w:rPr>
              <w:t>，项目边界周围500m范围内无学校、医院、文物古迹、风景名胜区、自然保护区、水源保护区</w:t>
            </w:r>
            <w:r>
              <w:rPr>
                <w:rFonts w:hint="default" w:ascii="Times New Roman" w:hAnsi="Times New Roman" w:cs="Times New Roman"/>
                <w:color w:val="auto"/>
                <w:highlight w:val="none"/>
              </w:rPr>
              <w:t>。</w:t>
            </w:r>
            <w:bookmarkEnd w:id="19"/>
            <w:bookmarkEnd w:id="20"/>
          </w:p>
          <w:p w14:paraId="682C6A75">
            <w:pPr>
              <w:keepNext w:val="0"/>
              <w:keepLines w:val="0"/>
              <w:pageBreakBefore w:val="0"/>
              <w:widowControl w:val="0"/>
              <w:kinsoku/>
              <w:wordWrap w:val="0"/>
              <w:overflowPunct/>
              <w:topLinePunct w:val="0"/>
              <w:autoSpaceDE/>
              <w:autoSpaceDN/>
              <w:bidi w:val="0"/>
              <w:adjustRightInd w:val="0"/>
              <w:snapToGrid/>
              <w:ind w:firstLine="480" w:firstLineChars="200"/>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3、总平面布局</w:t>
            </w:r>
          </w:p>
          <w:p w14:paraId="37D0B3A0">
            <w:pPr>
              <w:keepNext w:val="0"/>
              <w:keepLines w:val="0"/>
              <w:pageBreakBefore w:val="0"/>
              <w:widowControl w:val="0"/>
              <w:kinsoku/>
              <w:wordWrap w:val="0"/>
              <w:overflowPunct/>
              <w:topLinePunct w:val="0"/>
              <w:autoSpaceDE/>
              <w:autoSpaceDN/>
              <w:bidi w:val="0"/>
              <w:adjustRightInd w:val="0"/>
              <w:snapToGrid/>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rPr>
              <w:t>本项目由</w:t>
            </w:r>
            <w:r>
              <w:rPr>
                <w:rFonts w:hint="default" w:ascii="Times New Roman" w:hAnsi="Times New Roman" w:cs="Times New Roman"/>
                <w:b w:val="0"/>
                <w:bCs w:val="0"/>
                <w:color w:val="auto"/>
                <w:highlight w:val="none"/>
                <w:lang w:val="en-US" w:eastAsia="zh-CN"/>
              </w:rPr>
              <w:t>1栋5层构筑物组</w:t>
            </w:r>
            <w:r>
              <w:rPr>
                <w:rFonts w:hint="default" w:ascii="Times New Roman" w:hAnsi="Times New Roman" w:cs="Times New Roman"/>
                <w:b w:val="0"/>
                <w:bCs w:val="0"/>
                <w:color w:val="auto"/>
                <w:highlight w:val="none"/>
              </w:rPr>
              <w:t>成，</w:t>
            </w:r>
            <w:r>
              <w:rPr>
                <w:rFonts w:hint="default" w:ascii="Times New Roman" w:hAnsi="Times New Roman" w:cs="Times New Roman"/>
                <w:b w:val="0"/>
                <w:bCs w:val="0"/>
                <w:color w:val="auto"/>
                <w:highlight w:val="none"/>
                <w:lang w:val="en-US" w:eastAsia="zh-CN"/>
              </w:rPr>
              <w:t>1F设有注塑区、烘烤区、破碎区、打包、品检、出库区；2F设有原料仓，模具修理区，办公区，</w:t>
            </w:r>
            <w:r>
              <w:rPr>
                <w:rFonts w:hint="default" w:ascii="Times New Roman" w:hAnsi="Times New Roman" w:cs="Times New Roman"/>
                <w:b w:val="0"/>
                <w:bCs w:val="0"/>
                <w:color w:val="auto"/>
                <w:highlight w:val="none"/>
              </w:rPr>
              <w:t>各车间用途分明，布局紧凑</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lang w:val="en-US" w:eastAsia="zh-CN"/>
              </w:rPr>
              <w:t>注塑</w:t>
            </w:r>
            <w:r>
              <w:rPr>
                <w:rFonts w:hint="default" w:ascii="Times New Roman" w:hAnsi="Times New Roman" w:cs="Times New Roman"/>
                <w:b w:val="0"/>
                <w:bCs w:val="0"/>
                <w:color w:val="auto"/>
                <w:highlight w:val="none"/>
                <w:lang w:eastAsia="zh-CN"/>
              </w:rPr>
              <w:t>工序产生有机废气经</w:t>
            </w:r>
            <w:r>
              <w:rPr>
                <w:rFonts w:hint="default" w:ascii="Times New Roman" w:hAnsi="Times New Roman" w:cs="Times New Roman"/>
                <w:color w:val="auto"/>
                <w:spacing w:val="-2"/>
                <w:sz w:val="24"/>
                <w:szCs w:val="24"/>
                <w:highlight w:val="none"/>
              </w:rPr>
              <w:t>二级活性炭吸附</w:t>
            </w:r>
            <w:r>
              <w:rPr>
                <w:rFonts w:hint="default" w:ascii="Times New Roman" w:hAnsi="Times New Roman" w:cs="Times New Roman"/>
                <w:color w:val="auto"/>
                <w:spacing w:val="-2"/>
                <w:sz w:val="24"/>
                <w:szCs w:val="24"/>
                <w:highlight w:val="none"/>
                <w:lang w:eastAsia="zh-CN"/>
              </w:rPr>
              <w:t>装置</w:t>
            </w:r>
            <w:r>
              <w:rPr>
                <w:rFonts w:hint="default" w:ascii="Times New Roman" w:hAnsi="Times New Roman" w:cs="Times New Roman"/>
                <w:b w:val="0"/>
                <w:bCs w:val="0"/>
                <w:color w:val="auto"/>
                <w:highlight w:val="none"/>
              </w:rPr>
              <w:t>处理后经排气筒引至</w:t>
            </w:r>
            <w:r>
              <w:rPr>
                <w:rFonts w:hint="default" w:ascii="Times New Roman" w:hAnsi="Times New Roman" w:cs="Times New Roman"/>
                <w:b w:val="0"/>
                <w:bCs w:val="0"/>
                <w:color w:val="auto"/>
                <w:highlight w:val="none"/>
                <w:lang w:val="en-US" w:eastAsia="zh-CN"/>
              </w:rPr>
              <w:t>30</w:t>
            </w:r>
            <w:r>
              <w:rPr>
                <w:rFonts w:hint="default" w:ascii="Times New Roman" w:hAnsi="Times New Roman" w:cs="Times New Roman"/>
                <w:b w:val="0"/>
                <w:bCs w:val="0"/>
                <w:color w:val="auto"/>
                <w:highlight w:val="none"/>
              </w:rPr>
              <w:t>m高空排放</w:t>
            </w:r>
            <w:r>
              <w:rPr>
                <w:rFonts w:hint="default" w:ascii="Times New Roman" w:hAnsi="Times New Roman" w:cs="Times New Roman"/>
                <w:b w:val="0"/>
                <w:bCs w:val="0"/>
                <w:color w:val="auto"/>
                <w:highlight w:val="none"/>
                <w:lang w:eastAsia="zh-CN"/>
              </w:rPr>
              <w:t>，</w:t>
            </w:r>
            <w:r>
              <w:rPr>
                <w:rFonts w:hint="default" w:ascii="Times New Roman" w:hAnsi="Times New Roman" w:cs="Times New Roman"/>
                <w:b w:val="0"/>
                <w:bCs w:val="0"/>
                <w:color w:val="auto"/>
                <w:highlight w:val="none"/>
              </w:rPr>
              <w:t>该地盛行</w:t>
            </w:r>
            <w:r>
              <w:rPr>
                <w:rFonts w:hint="default" w:ascii="Times New Roman" w:hAnsi="Times New Roman" w:cs="Times New Roman"/>
                <w:b w:val="0"/>
                <w:bCs w:val="0"/>
                <w:color w:val="auto"/>
                <w:highlight w:val="none"/>
                <w:lang w:eastAsia="zh-CN"/>
              </w:rPr>
              <w:t>西</w:t>
            </w:r>
            <w:r>
              <w:rPr>
                <w:rFonts w:hint="default" w:ascii="Times New Roman" w:hAnsi="Times New Roman" w:cs="Times New Roman"/>
                <w:b w:val="0"/>
                <w:bCs w:val="0"/>
                <w:color w:val="auto"/>
                <w:highlight w:val="none"/>
              </w:rPr>
              <w:t>北风，废气排放口DA001距离最近</w:t>
            </w:r>
            <w:r>
              <w:rPr>
                <w:rFonts w:hint="default" w:ascii="Times New Roman" w:hAnsi="Times New Roman" w:cs="Times New Roman"/>
                <w:b w:val="0"/>
                <w:bCs w:val="0"/>
                <w:color w:val="auto"/>
                <w:highlight w:val="none"/>
                <w:lang w:eastAsia="zh-CN"/>
              </w:rPr>
              <w:t>北侧</w:t>
            </w:r>
            <w:r>
              <w:rPr>
                <w:rFonts w:hint="default" w:ascii="Times New Roman" w:hAnsi="Times New Roman" w:cs="Times New Roman"/>
                <w:b w:val="0"/>
                <w:bCs w:val="0"/>
                <w:color w:val="auto"/>
                <w:highlight w:val="none"/>
              </w:rPr>
              <w:t>敏感点</w:t>
            </w:r>
            <w:r>
              <w:rPr>
                <w:rFonts w:hint="default" w:ascii="Times New Roman" w:hAnsi="Times New Roman" w:cs="Times New Roman"/>
                <w:b w:val="0"/>
                <w:bCs w:val="0"/>
                <w:color w:val="auto"/>
                <w:highlight w:val="none"/>
                <w:lang w:eastAsia="zh-CN"/>
              </w:rPr>
              <w:t>王屋村</w:t>
            </w:r>
            <w:r>
              <w:rPr>
                <w:rFonts w:hint="default" w:ascii="Times New Roman" w:hAnsi="Times New Roman" w:cs="Times New Roman"/>
                <w:b w:val="0"/>
                <w:bCs w:val="0"/>
                <w:color w:val="auto"/>
                <w:highlight w:val="none"/>
                <w:lang w:val="en-US" w:eastAsia="zh-CN"/>
              </w:rPr>
              <w:t>1#195米，</w:t>
            </w:r>
            <w:r>
              <w:rPr>
                <w:rFonts w:hint="default" w:ascii="Times New Roman" w:hAnsi="Times New Roman" w:cs="Times New Roman"/>
                <w:b w:val="0"/>
                <w:bCs w:val="0"/>
                <w:color w:val="auto"/>
                <w:highlight w:val="none"/>
              </w:rPr>
              <w:t>有机废气经废气治理设施处理后可实现达标排放，对附近居民的影响较小</w:t>
            </w:r>
            <w:r>
              <w:rPr>
                <w:rFonts w:hint="default" w:ascii="Times New Roman" w:hAnsi="Times New Roman" w:cs="Times New Roman"/>
                <w:b w:val="0"/>
                <w:bCs w:val="0"/>
                <w:color w:val="auto"/>
                <w:highlight w:val="none"/>
                <w:lang w:eastAsia="zh-CN"/>
              </w:rPr>
              <w:t>，故</w:t>
            </w:r>
            <w:r>
              <w:rPr>
                <w:rFonts w:hint="default" w:ascii="Times New Roman" w:hAnsi="Times New Roman" w:cs="Times New Roman"/>
                <w:b w:val="0"/>
                <w:bCs w:val="0"/>
                <w:color w:val="auto"/>
                <w:highlight w:val="none"/>
              </w:rPr>
              <w:t>项目总体布局功能分区明确，布局合理，具体详见附图</w:t>
            </w:r>
            <w:r>
              <w:rPr>
                <w:rFonts w:hint="default" w:ascii="Times New Roman" w:hAnsi="Times New Roman" w:cs="Times New Roman"/>
                <w:b w:val="0"/>
                <w:bCs w:val="0"/>
                <w:color w:val="auto"/>
                <w:highlight w:val="none"/>
                <w:lang w:val="en-US" w:eastAsia="zh-CN"/>
              </w:rPr>
              <w:t>3</w:t>
            </w:r>
            <w:r>
              <w:rPr>
                <w:rFonts w:hint="default" w:ascii="Times New Roman" w:hAnsi="Times New Roman" w:cs="Times New Roman"/>
                <w:b w:val="0"/>
                <w:bCs w:val="0"/>
                <w:color w:val="auto"/>
                <w:highlight w:val="none"/>
              </w:rPr>
              <w:t>。</w:t>
            </w:r>
          </w:p>
        </w:tc>
      </w:tr>
      <w:tr w14:paraId="63BDF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266" w:type="pct"/>
            <w:vAlign w:val="center"/>
          </w:tcPr>
          <w:p w14:paraId="3DF0C9A4">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21" w:name="_Toc22477"/>
            <w:bookmarkStart w:id="22" w:name="_Toc29759"/>
            <w:bookmarkStart w:id="23" w:name="_Toc7091"/>
            <w:bookmarkStart w:id="24" w:name="_Toc25729"/>
            <w:bookmarkStart w:id="25" w:name="_Toc14179"/>
            <w:r>
              <w:rPr>
                <w:rFonts w:hint="default" w:ascii="Times New Roman" w:hAnsi="Times New Roman" w:cs="Times New Roman"/>
                <w:color w:val="auto"/>
                <w:highlight w:val="none"/>
              </w:rPr>
              <w:t>工艺流程和产排污环节</w:t>
            </w:r>
            <w:bookmarkEnd w:id="21"/>
            <w:bookmarkEnd w:id="22"/>
            <w:bookmarkEnd w:id="23"/>
            <w:bookmarkEnd w:id="24"/>
            <w:bookmarkEnd w:id="25"/>
          </w:p>
        </w:tc>
        <w:tc>
          <w:tcPr>
            <w:tcW w:w="4733" w:type="pct"/>
          </w:tcPr>
          <w:p w14:paraId="6DA6EAB7">
            <w:pPr>
              <w:keepNext w:val="0"/>
              <w:keepLines w:val="0"/>
              <w:pageBreakBefore w:val="0"/>
              <w:widowControl w:val="0"/>
              <w:kinsoku/>
              <w:wordWrap w:val="0"/>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b/>
                <w:bCs w:val="0"/>
                <w:color w:val="auto"/>
                <w:sz w:val="24"/>
                <w:szCs w:val="24"/>
                <w:highlight w:val="none"/>
                <w:lang w:eastAsia="zh-CN"/>
              </w:rPr>
              <w:t>一、</w:t>
            </w:r>
            <w:r>
              <w:rPr>
                <w:rFonts w:hint="default" w:ascii="Times New Roman" w:hAnsi="Times New Roman" w:cs="Times New Roman"/>
                <w:b/>
                <w:bCs w:val="0"/>
                <w:color w:val="auto"/>
                <w:sz w:val="24"/>
                <w:szCs w:val="24"/>
                <w:highlight w:val="none"/>
                <w:lang w:val="en-US" w:eastAsia="zh-CN"/>
              </w:rPr>
              <w:t>项目</w:t>
            </w:r>
            <w:r>
              <w:rPr>
                <w:rFonts w:hint="default" w:ascii="Times New Roman" w:hAnsi="Times New Roman" w:eastAsia="宋体" w:cs="Times New Roman"/>
                <w:b/>
                <w:bCs w:val="0"/>
                <w:color w:val="auto"/>
                <w:sz w:val="24"/>
                <w:szCs w:val="24"/>
                <w:highlight w:val="none"/>
                <w:lang w:eastAsia="zh-CN"/>
              </w:rPr>
              <w:t>运营期工艺</w:t>
            </w:r>
            <w:r>
              <w:rPr>
                <w:rFonts w:hint="default" w:ascii="Times New Roman" w:hAnsi="Times New Roman" w:cs="Times New Roman"/>
                <w:b/>
                <w:bCs w:val="0"/>
                <w:color w:val="auto"/>
                <w:sz w:val="24"/>
                <w:szCs w:val="24"/>
                <w:highlight w:val="none"/>
                <w:lang w:eastAsia="zh-CN"/>
              </w:rPr>
              <w:t>流程</w:t>
            </w:r>
            <w:r>
              <w:rPr>
                <w:rFonts w:hint="default" w:ascii="Times New Roman" w:hAnsi="Times New Roman" w:eastAsia="宋体" w:cs="Times New Roman"/>
                <w:b/>
                <w:bCs w:val="0"/>
                <w:color w:val="auto"/>
                <w:sz w:val="24"/>
                <w:szCs w:val="24"/>
                <w:highlight w:val="none"/>
                <w:lang w:eastAsia="zh-CN"/>
              </w:rPr>
              <w:t>及产污</w:t>
            </w:r>
            <w:r>
              <w:rPr>
                <w:rFonts w:hint="default" w:ascii="Times New Roman" w:hAnsi="Times New Roman" w:cs="Times New Roman"/>
                <w:b/>
                <w:bCs w:val="0"/>
                <w:color w:val="auto"/>
                <w:sz w:val="24"/>
                <w:szCs w:val="24"/>
                <w:highlight w:val="none"/>
                <w:lang w:eastAsia="zh-CN"/>
              </w:rPr>
              <w:t>环节</w:t>
            </w:r>
          </w:p>
          <w:p w14:paraId="6185A74E">
            <w:pPr>
              <w:pStyle w:val="15"/>
              <w:pageBreakBefore w:val="0"/>
              <w:kinsoku/>
              <w:wordWrap w:val="0"/>
              <w:overflowPunct/>
              <w:topLinePunct w:val="0"/>
              <w:bidi w:val="0"/>
              <w:snapToGrid/>
              <w:spacing w:line="240" w:lineRule="auto"/>
              <w:jc w:val="both"/>
              <w:outlineLvl w:val="9"/>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drawing>
                <wp:inline distT="0" distB="0" distL="114300" distR="114300">
                  <wp:extent cx="4984115" cy="3609975"/>
                  <wp:effectExtent l="9525" t="9525" r="16510" b="1905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13"/>
                          <a:stretch>
                            <a:fillRect/>
                          </a:stretch>
                        </pic:blipFill>
                        <pic:spPr>
                          <a:xfrm>
                            <a:off x="0" y="0"/>
                            <a:ext cx="4984115" cy="3609975"/>
                          </a:xfrm>
                          <a:prstGeom prst="rect">
                            <a:avLst/>
                          </a:prstGeom>
                          <a:noFill/>
                          <a:ln>
                            <a:solidFill>
                              <a:schemeClr val="tx1"/>
                            </a:solidFill>
                          </a:ln>
                        </pic:spPr>
                      </pic:pic>
                    </a:graphicData>
                  </a:graphic>
                </wp:inline>
              </w:drawing>
            </w:r>
          </w:p>
          <w:p w14:paraId="5A2A6313">
            <w:pPr>
              <w:pStyle w:val="15"/>
              <w:pageBreakBefore w:val="0"/>
              <w:kinsoku/>
              <w:wordWrap w:val="0"/>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图</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2项目</w:t>
            </w:r>
            <w:r>
              <w:rPr>
                <w:rFonts w:hint="default" w:ascii="Times New Roman" w:hAnsi="Times New Roman" w:cs="Times New Roman"/>
                <w:color w:val="auto"/>
                <w:highlight w:val="none"/>
              </w:rPr>
              <w:t>生产工艺流程图</w:t>
            </w:r>
          </w:p>
          <w:p w14:paraId="0C346AD0">
            <w:pPr>
              <w:pageBreakBefore w:val="0"/>
              <w:numPr>
                <w:ilvl w:val="0"/>
                <w:numId w:val="0"/>
              </w:numPr>
              <w:tabs>
                <w:tab w:val="left" w:pos="420"/>
              </w:tabs>
              <w:kinsoku/>
              <w:wordWrap w:val="0"/>
              <w:overflowPunct/>
              <w:topLinePunct w:val="0"/>
              <w:bidi w:val="0"/>
              <w:snapToGrid/>
              <w:ind w:left="480" w:leftChars="200"/>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eastAsia="zh-CN"/>
              </w:rPr>
              <w:t>主要</w:t>
            </w:r>
            <w:r>
              <w:rPr>
                <w:rFonts w:hint="default" w:ascii="Times New Roman" w:hAnsi="Times New Roman" w:cs="Times New Roman"/>
                <w:b/>
                <w:bCs/>
                <w:color w:val="auto"/>
                <w:highlight w:val="none"/>
              </w:rPr>
              <w:t>工艺</w:t>
            </w:r>
            <w:r>
              <w:rPr>
                <w:rFonts w:hint="default" w:ascii="Times New Roman" w:hAnsi="Times New Roman" w:cs="Times New Roman"/>
                <w:b/>
                <w:bCs/>
                <w:color w:val="auto"/>
                <w:highlight w:val="none"/>
                <w:lang w:eastAsia="zh-CN"/>
              </w:rPr>
              <w:t>流程简述</w:t>
            </w:r>
            <w:r>
              <w:rPr>
                <w:rFonts w:hint="default" w:ascii="Times New Roman" w:hAnsi="Times New Roman" w:cs="Times New Roman"/>
                <w:b/>
                <w:bCs/>
                <w:color w:val="auto"/>
                <w:highlight w:val="none"/>
              </w:rPr>
              <w:t>：</w:t>
            </w:r>
          </w:p>
          <w:p w14:paraId="1768F26B">
            <w:pPr>
              <w:pStyle w:val="122"/>
              <w:keepNext/>
              <w:keepLines/>
              <w:pageBreakBefore w:val="0"/>
              <w:widowControl/>
              <w:kinsoku/>
              <w:wordWrap w:val="0"/>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①烘料</w:t>
            </w:r>
            <w:r>
              <w:rPr>
                <w:rFonts w:hint="default" w:ascii="Times New Roman" w:hAnsi="Times New Roman" w:eastAsia="宋体" w:cs="Times New Roman"/>
                <w:b w:val="0"/>
                <w:bCs w:val="0"/>
                <w:color w:val="auto"/>
                <w:sz w:val="24"/>
                <w:szCs w:val="24"/>
                <w:highlight w:val="none"/>
                <w:lang w:val="en-US" w:eastAsia="zh-CN"/>
              </w:rPr>
              <w:t>：将</w:t>
            </w:r>
            <w:r>
              <w:rPr>
                <w:rFonts w:hint="default" w:ascii="Times New Roman" w:hAnsi="Times New Roman" w:eastAsia="宋体" w:cs="Times New Roman"/>
                <w:b w:val="0"/>
                <w:bCs w:val="0"/>
                <w:color w:val="auto"/>
                <w:sz w:val="24"/>
                <w:szCs w:val="24"/>
                <w:highlight w:val="none"/>
                <w:lang w:val="zh-CN" w:eastAsia="zh-CN"/>
              </w:rPr>
              <w:t>外购</w:t>
            </w:r>
            <w:r>
              <w:rPr>
                <w:rFonts w:hint="default" w:ascii="Times New Roman" w:hAnsi="Times New Roman" w:eastAsia="宋体" w:cs="Times New Roman"/>
                <w:b w:val="0"/>
                <w:bCs w:val="0"/>
                <w:color w:val="auto"/>
                <w:sz w:val="24"/>
                <w:szCs w:val="24"/>
                <w:highlight w:val="none"/>
                <w:lang w:val="en-US" w:eastAsia="zh-CN"/>
              </w:rPr>
              <w:t>的尼龙料PA6、</w:t>
            </w:r>
            <w:r>
              <w:rPr>
                <w:rFonts w:hint="default" w:ascii="Times New Roman" w:hAnsi="Times New Roman" w:cs="Times New Roman"/>
                <w:b w:val="0"/>
                <w:bCs w:val="0"/>
                <w:color w:val="auto"/>
                <w:sz w:val="24"/>
                <w:szCs w:val="24"/>
                <w:highlight w:val="none"/>
                <w:lang w:val="en-US" w:eastAsia="zh-CN"/>
              </w:rPr>
              <w:t>PP</w:t>
            </w:r>
            <w:r>
              <w:rPr>
                <w:rFonts w:hint="default" w:ascii="Times New Roman" w:hAnsi="Times New Roman" w:eastAsia="宋体" w:cs="Times New Roman"/>
                <w:b w:val="0"/>
                <w:bCs w:val="0"/>
                <w:color w:val="auto"/>
                <w:sz w:val="24"/>
                <w:szCs w:val="24"/>
                <w:highlight w:val="none"/>
                <w:lang w:val="en-US" w:eastAsia="zh-CN"/>
              </w:rPr>
              <w:t>塑胶粒</w:t>
            </w:r>
            <w:r>
              <w:rPr>
                <w:rFonts w:hint="default" w:ascii="Times New Roman" w:hAnsi="Times New Roman" w:eastAsia="宋体" w:cs="Times New Roman"/>
                <w:b w:val="0"/>
                <w:bCs w:val="0"/>
                <w:color w:val="auto"/>
                <w:sz w:val="24"/>
                <w:szCs w:val="24"/>
                <w:highlight w:val="none"/>
                <w:lang w:val="zh-CN" w:eastAsia="zh-CN"/>
              </w:rPr>
              <w:t>按照比例</w:t>
            </w:r>
            <w:r>
              <w:rPr>
                <w:rFonts w:hint="default" w:ascii="Times New Roman" w:hAnsi="Times New Roman" w:eastAsia="宋体" w:cs="Times New Roman"/>
                <w:b w:val="0"/>
                <w:bCs w:val="0"/>
                <w:color w:val="auto"/>
                <w:sz w:val="24"/>
                <w:szCs w:val="24"/>
                <w:highlight w:val="none"/>
                <w:lang w:val="en-US" w:eastAsia="zh-CN"/>
              </w:rPr>
              <w:t>通过人工投料到烤炉</w:t>
            </w:r>
            <w:r>
              <w:rPr>
                <w:rFonts w:hint="default" w:ascii="Times New Roman" w:hAnsi="Times New Roman" w:eastAsia="宋体" w:cs="Times New Roman"/>
                <w:b w:val="0"/>
                <w:bCs w:val="0"/>
                <w:color w:val="auto"/>
                <w:sz w:val="24"/>
                <w:szCs w:val="24"/>
                <w:highlight w:val="none"/>
                <w:lang w:val="zh-CN" w:eastAsia="zh-CN"/>
              </w:rPr>
              <w:t>中，尼龙料PA6、</w:t>
            </w:r>
            <w:r>
              <w:rPr>
                <w:rFonts w:hint="default" w:ascii="Times New Roman" w:hAnsi="Times New Roman" w:cs="Times New Roman"/>
                <w:b w:val="0"/>
                <w:bCs w:val="0"/>
                <w:color w:val="auto"/>
                <w:sz w:val="24"/>
                <w:szCs w:val="24"/>
                <w:highlight w:val="none"/>
                <w:lang w:val="en-US" w:eastAsia="zh-CN"/>
              </w:rPr>
              <w:t>PP</w:t>
            </w:r>
            <w:r>
              <w:rPr>
                <w:rFonts w:hint="default" w:ascii="Times New Roman" w:hAnsi="Times New Roman" w:eastAsia="宋体" w:cs="Times New Roman"/>
                <w:b w:val="0"/>
                <w:bCs w:val="0"/>
                <w:color w:val="auto"/>
                <w:sz w:val="24"/>
                <w:szCs w:val="24"/>
                <w:highlight w:val="none"/>
                <w:lang w:val="zh-CN" w:eastAsia="zh-CN"/>
              </w:rPr>
              <w:t>塑胶粒</w:t>
            </w:r>
            <w:r>
              <w:rPr>
                <w:rFonts w:hint="default" w:ascii="Times New Roman" w:hAnsi="Times New Roman" w:eastAsia="宋体" w:cs="Times New Roman"/>
                <w:b w:val="0"/>
                <w:bCs w:val="0"/>
                <w:color w:val="auto"/>
                <w:sz w:val="24"/>
                <w:szCs w:val="24"/>
                <w:highlight w:val="none"/>
                <w:lang w:val="en-US" w:eastAsia="zh-CN"/>
              </w:rPr>
              <w:t>为颗粒状新料</w:t>
            </w:r>
            <w:r>
              <w:rPr>
                <w:rFonts w:hint="default" w:ascii="Times New Roman" w:hAnsi="Times New Roman" w:eastAsia="宋体" w:cs="Times New Roman"/>
                <w:b w:val="0"/>
                <w:bCs w:val="0"/>
                <w:color w:val="auto"/>
                <w:sz w:val="24"/>
                <w:szCs w:val="24"/>
                <w:highlight w:val="none"/>
                <w:lang w:val="zh-CN" w:eastAsia="zh-CN"/>
              </w:rPr>
              <w:t>。</w:t>
            </w:r>
            <w:r>
              <w:rPr>
                <w:rFonts w:hint="default" w:ascii="Times New Roman" w:hAnsi="Times New Roman" w:eastAsia="宋体" w:cs="Times New Roman"/>
                <w:b w:val="0"/>
                <w:bCs w:val="0"/>
                <w:color w:val="auto"/>
                <w:sz w:val="24"/>
                <w:szCs w:val="24"/>
                <w:highlight w:val="none"/>
                <w:lang w:val="en-US" w:eastAsia="zh-CN"/>
              </w:rPr>
              <w:t>为提高注塑产品安全及产品质量，注塑前原料一般需要充分烘干。通过电加热，进行预烘干加热，干燥时间约4h，加热温度控制在100℃，未达到各塑胶粒的成型或融解温度，因此不会产生熔融废气。</w:t>
            </w:r>
            <w:r>
              <w:rPr>
                <w:rFonts w:hint="default" w:ascii="Times New Roman" w:hAnsi="Times New Roman" w:eastAsia="宋体" w:cs="Times New Roman"/>
                <w:b w:val="0"/>
                <w:bCs w:val="0"/>
                <w:color w:val="auto"/>
                <w:sz w:val="24"/>
                <w:szCs w:val="24"/>
                <w:highlight w:val="none"/>
                <w:lang w:val="zh-CN" w:eastAsia="zh-CN"/>
              </w:rPr>
              <w:t>该过程会产生</w:t>
            </w:r>
            <w:r>
              <w:rPr>
                <w:rFonts w:hint="default" w:ascii="Times New Roman" w:hAnsi="Times New Roman" w:eastAsia="宋体" w:cs="Times New Roman"/>
                <w:b w:val="0"/>
                <w:bCs w:val="0"/>
                <w:color w:val="auto"/>
                <w:sz w:val="24"/>
                <w:szCs w:val="24"/>
                <w:highlight w:val="none"/>
                <w:lang w:val="en-US" w:eastAsia="zh-CN"/>
              </w:rPr>
              <w:t>废包装材料、</w:t>
            </w:r>
            <w:r>
              <w:rPr>
                <w:rFonts w:hint="default" w:ascii="Times New Roman" w:hAnsi="Times New Roman" w:eastAsia="宋体" w:cs="Times New Roman"/>
                <w:b w:val="0"/>
                <w:bCs w:val="0"/>
                <w:color w:val="auto"/>
                <w:sz w:val="24"/>
                <w:szCs w:val="24"/>
                <w:highlight w:val="none"/>
                <w:lang w:val="zh-CN" w:eastAsia="zh-CN"/>
              </w:rPr>
              <w:t>噪声</w:t>
            </w:r>
            <w:r>
              <w:rPr>
                <w:rFonts w:hint="default" w:ascii="Times New Roman" w:hAnsi="Times New Roman" w:eastAsia="宋体" w:cs="Times New Roman"/>
                <w:b w:val="0"/>
                <w:bCs w:val="0"/>
                <w:color w:val="auto"/>
                <w:sz w:val="24"/>
                <w:szCs w:val="24"/>
                <w:highlight w:val="none"/>
                <w:lang w:val="en-US" w:eastAsia="zh-CN"/>
              </w:rPr>
              <w:t>。</w:t>
            </w:r>
          </w:p>
          <w:p w14:paraId="2B319A4A">
            <w:pPr>
              <w:pStyle w:val="122"/>
              <w:keepNext/>
              <w:keepLines/>
              <w:pageBreakBefore w:val="0"/>
              <w:widowControl/>
              <w:kinsoku/>
              <w:wordWrap w:val="0"/>
              <w:overflowPunct/>
              <w:topLinePunct w:val="0"/>
              <w:autoSpaceDE/>
              <w:autoSpaceDN/>
              <w:bidi w:val="0"/>
              <w:adjustRightInd/>
              <w:snapToGrid/>
              <w:spacing w:before="0" w:after="0" w:line="360" w:lineRule="auto"/>
              <w:ind w:right="0" w:firstLine="480" w:firstLineChars="200"/>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rPr>
              <w:t>②注塑：</w:t>
            </w:r>
            <w:r>
              <w:rPr>
                <w:rFonts w:hint="default" w:ascii="Times New Roman" w:hAnsi="Times New Roman" w:eastAsia="宋体" w:cs="Times New Roman"/>
                <w:b w:val="0"/>
                <w:color w:val="auto"/>
                <w:kern w:val="2"/>
                <w:sz w:val="24"/>
                <w:szCs w:val="24"/>
                <w:highlight w:val="none"/>
                <w:lang w:val="en-US" w:eastAsia="zh-CN" w:bidi="ar-SA"/>
              </w:rPr>
              <w:t>注塑机的工作原理与打针用的注射器相似，它是借助螺杆（或柱塞）的推力，将已塑化好的熔融状态（即粘流态）的塑料注射入闭合好的模腔内，经固化定型后取得制品的工艺过程。注射成型是一个循环的过程，每一周期主要包括：投料—注塑成型—冷却—脱模。取出塑胶件后又再闭模，进行下一个循环。</w:t>
            </w:r>
          </w:p>
          <w:p w14:paraId="6B2AF63A">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注塑机采用电加热形式，加热温度在200℃，均低于尼龙料PA6、</w:t>
            </w:r>
            <w:r>
              <w:rPr>
                <w:rFonts w:hint="default" w:ascii="Times New Roman" w:hAnsi="Times New Roman" w:cs="Times New Roman"/>
                <w:b w:val="0"/>
                <w:color w:val="auto"/>
                <w:kern w:val="2"/>
                <w:sz w:val="24"/>
                <w:szCs w:val="24"/>
                <w:highlight w:val="none"/>
                <w:lang w:val="en-US" w:eastAsia="zh-CN" w:bidi="ar-SA"/>
              </w:rPr>
              <w:t>PP</w:t>
            </w:r>
            <w:r>
              <w:rPr>
                <w:rFonts w:hint="default" w:ascii="Times New Roman" w:hAnsi="Times New Roman" w:eastAsia="宋体" w:cs="Times New Roman"/>
                <w:b w:val="0"/>
                <w:color w:val="auto"/>
                <w:kern w:val="2"/>
                <w:sz w:val="24"/>
                <w:szCs w:val="24"/>
                <w:highlight w:val="none"/>
                <w:lang w:val="en-US" w:eastAsia="zh-CN" w:bidi="ar-SA"/>
              </w:rPr>
              <w:t>塑胶粒分解温度</w:t>
            </w:r>
            <w:r>
              <w:rPr>
                <w:rFonts w:hint="default" w:ascii="Times New Roman" w:hAnsi="Times New Roman" w:cs="Times New Roman"/>
                <w:b w:val="0"/>
                <w:color w:val="auto"/>
                <w:kern w:val="2"/>
                <w:sz w:val="24"/>
                <w:szCs w:val="24"/>
                <w:highlight w:val="none"/>
                <w:lang w:val="en-US" w:eastAsia="zh-CN" w:bidi="ar-SA"/>
              </w:rPr>
              <w:t>（</w:t>
            </w:r>
            <w:r>
              <w:rPr>
                <w:rFonts w:hint="default" w:ascii="Times New Roman" w:hAnsi="Times New Roman" w:eastAsia="宋体" w:cs="Times New Roman"/>
                <w:b w:val="0"/>
                <w:color w:val="auto"/>
                <w:kern w:val="2"/>
                <w:sz w:val="24"/>
                <w:szCs w:val="24"/>
                <w:highlight w:val="none"/>
                <w:lang w:val="en-US" w:eastAsia="zh-CN" w:bidi="ar-SA"/>
              </w:rPr>
              <w:t>尼龙料PA6、</w:t>
            </w:r>
            <w:r>
              <w:rPr>
                <w:rFonts w:hint="default" w:ascii="Times New Roman" w:hAnsi="Times New Roman" w:cs="Times New Roman"/>
                <w:b w:val="0"/>
                <w:color w:val="auto"/>
                <w:kern w:val="2"/>
                <w:sz w:val="24"/>
                <w:szCs w:val="24"/>
                <w:highlight w:val="none"/>
                <w:lang w:val="en-US" w:eastAsia="zh-CN" w:bidi="ar-SA"/>
              </w:rPr>
              <w:t>PP</w:t>
            </w:r>
            <w:r>
              <w:rPr>
                <w:rFonts w:hint="default" w:ascii="Times New Roman" w:hAnsi="Times New Roman" w:eastAsia="宋体" w:cs="Times New Roman"/>
                <w:b w:val="0"/>
                <w:color w:val="auto"/>
                <w:kern w:val="2"/>
                <w:sz w:val="24"/>
                <w:szCs w:val="24"/>
                <w:highlight w:val="none"/>
                <w:lang w:val="en-US" w:eastAsia="zh-CN" w:bidi="ar-SA"/>
              </w:rPr>
              <w:t>塑胶粒分解温度</w:t>
            </w:r>
            <w:r>
              <w:rPr>
                <w:rFonts w:hint="default" w:ascii="Times New Roman" w:hAnsi="Times New Roman" w:cs="Times New Roman"/>
                <w:b w:val="0"/>
                <w:color w:val="auto"/>
                <w:kern w:val="2"/>
                <w:sz w:val="24"/>
                <w:szCs w:val="24"/>
                <w:highlight w:val="none"/>
                <w:lang w:val="en-US" w:eastAsia="zh-CN" w:bidi="ar-SA"/>
              </w:rPr>
              <w:t>分别为：</w:t>
            </w:r>
            <w:r>
              <w:rPr>
                <w:rFonts w:hint="default" w:ascii="Times New Roman" w:hAnsi="Times New Roman" w:eastAsia="宋体" w:cs="Times New Roman"/>
                <w:i w:val="0"/>
                <w:iCs w:val="0"/>
                <w:caps w:val="0"/>
                <w:color w:val="auto"/>
                <w:spacing w:val="0"/>
                <w:sz w:val="24"/>
                <w:szCs w:val="24"/>
                <w:highlight w:val="none"/>
                <w:shd w:val="clear" w:color="auto" w:fill="FFFFFF"/>
                <w:lang w:eastAsia="zh-CN"/>
              </w:rPr>
              <w:t>310℃</w:t>
            </w:r>
            <w:r>
              <w:rPr>
                <w:rFonts w:hint="default" w:ascii="Times New Roman" w:hAnsi="Times New Roman" w:cs="Times New Roman"/>
                <w:i w:val="0"/>
                <w:iCs w:val="0"/>
                <w:caps w:val="0"/>
                <w:color w:val="auto"/>
                <w:spacing w:val="0"/>
                <w:sz w:val="24"/>
                <w:szCs w:val="24"/>
                <w:highlight w:val="none"/>
                <w:shd w:val="clear" w:color="auto" w:fill="FFFFFF"/>
                <w:lang w:eastAsia="zh-CN"/>
              </w:rPr>
              <w:t>、</w:t>
            </w:r>
            <w:r>
              <w:rPr>
                <w:rFonts w:hint="default" w:ascii="Times New Roman" w:hAnsi="Times New Roman"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rPr>
              <w:t>0℃</w:t>
            </w:r>
            <w:r>
              <w:rPr>
                <w:rFonts w:hint="default" w:ascii="Times New Roman" w:hAnsi="Times New Roman" w:cs="Times New Roman"/>
                <w:b w:val="0"/>
                <w:color w:val="auto"/>
                <w:kern w:val="2"/>
                <w:sz w:val="24"/>
                <w:szCs w:val="24"/>
                <w:highlight w:val="none"/>
                <w:lang w:val="en-US" w:eastAsia="zh-CN" w:bidi="ar-SA"/>
              </w:rPr>
              <w:t>）</w:t>
            </w:r>
            <w:r>
              <w:rPr>
                <w:rFonts w:hint="default" w:ascii="Times New Roman" w:hAnsi="Times New Roman" w:eastAsia="宋体" w:cs="Times New Roman"/>
                <w:b w:val="0"/>
                <w:color w:val="auto"/>
                <w:kern w:val="2"/>
                <w:sz w:val="24"/>
                <w:szCs w:val="24"/>
                <w:highlight w:val="none"/>
                <w:lang w:val="en-US" w:eastAsia="zh-CN" w:bidi="ar-SA"/>
              </w:rPr>
              <w:t>，因此无裂解废气产生</w:t>
            </w:r>
            <w:r>
              <w:rPr>
                <w:rFonts w:hint="default" w:ascii="Times New Roman" w:hAnsi="Times New Roman" w:cs="Times New Roman"/>
                <w:b w:val="0"/>
                <w:color w:val="auto"/>
                <w:kern w:val="2"/>
                <w:sz w:val="24"/>
                <w:szCs w:val="24"/>
                <w:highlight w:val="none"/>
                <w:lang w:val="en-US" w:eastAsia="zh-CN" w:bidi="ar-SA"/>
              </w:rPr>
              <w:t>，</w:t>
            </w:r>
            <w:r>
              <w:rPr>
                <w:rFonts w:hint="default" w:ascii="Times New Roman" w:hAnsi="Times New Roman" w:eastAsia="宋体" w:cs="Times New Roman"/>
                <w:b w:val="0"/>
                <w:color w:val="auto"/>
                <w:kern w:val="2"/>
                <w:sz w:val="24"/>
                <w:szCs w:val="24"/>
                <w:highlight w:val="none"/>
                <w:lang w:val="en-US" w:eastAsia="zh-CN" w:bidi="ar-SA"/>
              </w:rPr>
              <w:t>但是各</w:t>
            </w:r>
            <w:r>
              <w:rPr>
                <w:rFonts w:hint="default" w:ascii="Times New Roman" w:hAnsi="Times New Roman" w:eastAsia="宋体" w:cs="Times New Roman"/>
                <w:color w:val="auto"/>
                <w:sz w:val="24"/>
                <w:szCs w:val="24"/>
                <w:highlight w:val="none"/>
                <w:lang w:val="en-US" w:eastAsia="zh-CN"/>
              </w:rPr>
              <w:t>塑胶粒</w:t>
            </w:r>
            <w:r>
              <w:rPr>
                <w:rFonts w:hint="default" w:ascii="Times New Roman" w:hAnsi="Times New Roman" w:eastAsia="宋体" w:cs="Times New Roman"/>
                <w:b w:val="0"/>
                <w:color w:val="auto"/>
                <w:kern w:val="2"/>
                <w:sz w:val="24"/>
                <w:szCs w:val="24"/>
                <w:highlight w:val="none"/>
                <w:lang w:val="en-US" w:eastAsia="zh-CN" w:bidi="ar-SA"/>
              </w:rPr>
              <w:t>加热熔融过程中，可能会有部分未完成聚合反应的游离单体产生，</w:t>
            </w:r>
            <w:r>
              <w:rPr>
                <w:rFonts w:hint="default" w:ascii="Times New Roman" w:hAnsi="Times New Roman" w:cs="Times New Roman"/>
                <w:b w:val="0"/>
                <w:color w:val="auto"/>
                <w:kern w:val="2"/>
                <w:sz w:val="24"/>
                <w:szCs w:val="24"/>
                <w:highlight w:val="none"/>
                <w:lang w:val="en-US" w:eastAsia="zh-CN" w:bidi="ar-SA"/>
              </w:rPr>
              <w:t>本次评价将该过程产生的废气定义为有机废气（以非甲烷总体总烃表征）、臭气浓度</w:t>
            </w:r>
          </w:p>
          <w:p w14:paraId="4FD165BC">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产品成型后即进行冷却，冷却采用间接方式水冷，冷却水采用自来水，循环使用且不添加任何试剂，定期补充冷却水损耗，冷却水池在循环过程中由于蒸发过程不断进行，使循环水中的含盐量越来越高，需定期清理。</w:t>
            </w:r>
            <w:r>
              <w:rPr>
                <w:rFonts w:hint="default" w:ascii="Times New Roman" w:hAnsi="Times New Roman" w:eastAsia="宋体" w:cs="Times New Roman"/>
                <w:bCs/>
                <w:color w:val="auto"/>
                <w:sz w:val="24"/>
                <w:szCs w:val="24"/>
                <w:highlight w:val="none"/>
              </w:rPr>
              <w:t>注塑件冷却固化后，便可开模取出</w:t>
            </w:r>
            <w:r>
              <w:rPr>
                <w:rFonts w:hint="default" w:ascii="Times New Roman" w:hAnsi="Times New Roman" w:cs="Times New Roman"/>
                <w:bCs/>
                <w:color w:val="auto"/>
                <w:sz w:val="24"/>
                <w:szCs w:val="24"/>
                <w:highlight w:val="none"/>
                <w:lang w:eastAsia="zh-CN"/>
              </w:rPr>
              <w:t>塑料外壳件</w:t>
            </w:r>
            <w:r>
              <w:rPr>
                <w:rFonts w:hint="default" w:ascii="Times New Roman" w:hAnsi="Times New Roman" w:eastAsia="宋体"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val="en-US" w:eastAsia="zh-CN"/>
              </w:rPr>
              <w:t>该工序无需使用脱模剂</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 w:val="0"/>
                <w:color w:val="auto"/>
                <w:kern w:val="2"/>
                <w:sz w:val="24"/>
                <w:szCs w:val="24"/>
                <w:highlight w:val="none"/>
                <w:lang w:val="en-US" w:eastAsia="zh-CN" w:bidi="ar-SA"/>
              </w:rPr>
              <w:t>注塑成型过程产生非甲烷总烃、臭气浓度、塑料次品、边角料、废模具</w:t>
            </w:r>
            <w:r>
              <w:rPr>
                <w:rFonts w:hint="default" w:ascii="Times New Roman" w:hAnsi="Times New Roman" w:cs="Times New Roman"/>
                <w:b w:val="0"/>
                <w:color w:val="auto"/>
                <w:kern w:val="2"/>
                <w:sz w:val="24"/>
                <w:szCs w:val="24"/>
                <w:highlight w:val="none"/>
                <w:lang w:val="en-US" w:eastAsia="zh-CN" w:bidi="ar-SA"/>
              </w:rPr>
              <w:t>、间接冷却废水</w:t>
            </w:r>
            <w:r>
              <w:rPr>
                <w:rFonts w:hint="default" w:ascii="Times New Roman" w:hAnsi="Times New Roman" w:eastAsia="宋体" w:cs="Times New Roman"/>
                <w:b w:val="0"/>
                <w:color w:val="auto"/>
                <w:kern w:val="2"/>
                <w:sz w:val="24"/>
                <w:szCs w:val="24"/>
                <w:highlight w:val="none"/>
                <w:lang w:val="en-US" w:eastAsia="zh-CN" w:bidi="ar-SA"/>
              </w:rPr>
              <w:t>和设备噪声。</w:t>
            </w:r>
          </w:p>
          <w:p w14:paraId="6AAFD889">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③破碎：使用碎料机对塑胶边角料和塑胶次品进行碎料，碎料时，破碎机密闭操作，破碎粉尘大部分沉降在设备内，只有开口时有少量溢散。该过程产生粉尘、噪声。</w:t>
            </w:r>
          </w:p>
          <w:p w14:paraId="59CE7B3C">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④品测、包装入库：对成品进行外观检测，该工序会产生次品和噪声，检验合格的成品入库待售。</w:t>
            </w:r>
          </w:p>
          <w:p w14:paraId="5258F517">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center"/>
              <w:textAlignment w:val="auto"/>
              <w:rPr>
                <w:rFonts w:hint="default" w:ascii="Times New Roman" w:hAnsi="Times New Roman" w:cs="Times New Roman" w:eastAsiaTheme="minorEastAsia"/>
                <w:color w:val="auto"/>
                <w:highlight w:val="none"/>
                <w:lang w:eastAsia="zh-CN"/>
              </w:rPr>
            </w:pPr>
            <w:r>
              <w:rPr>
                <w:rFonts w:hint="default" w:ascii="Times New Roman" w:hAnsi="Times New Roman" w:cs="Times New Roman" w:eastAsiaTheme="minorEastAsia"/>
                <w:color w:val="auto"/>
                <w:highlight w:val="none"/>
                <w:lang w:eastAsia="zh-CN"/>
              </w:rPr>
              <w:drawing>
                <wp:inline distT="0" distB="0" distL="114300" distR="114300">
                  <wp:extent cx="4453255" cy="1235710"/>
                  <wp:effectExtent l="0" t="0" r="0" b="0"/>
                  <wp:docPr id="2" name="ECB019B1-382A-4266-B25C-5B523AA43C14-2" descr="C:/Users/Admin/AppData/Local/Temp/wps.ZQuNfN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B019B1-382A-4266-B25C-5B523AA43C14-2" descr="C:/Users/Admin/AppData/Local/Temp/wps.ZQuNfNwps"/>
                          <pic:cNvPicPr>
                            <a:picLocks noChangeAspect="1"/>
                          </pic:cNvPicPr>
                        </pic:nvPicPr>
                        <pic:blipFill>
                          <a:blip r:embed="rId14"/>
                          <a:stretch>
                            <a:fillRect/>
                          </a:stretch>
                        </pic:blipFill>
                        <pic:spPr>
                          <a:xfrm>
                            <a:off x="0" y="0"/>
                            <a:ext cx="4453255" cy="1235710"/>
                          </a:xfrm>
                          <a:prstGeom prst="rect">
                            <a:avLst/>
                          </a:prstGeom>
                        </pic:spPr>
                      </pic:pic>
                    </a:graphicData>
                  </a:graphic>
                </wp:inline>
              </w:drawing>
            </w:r>
          </w:p>
          <w:p w14:paraId="73B0941E">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center"/>
              <w:textAlignment w:val="auto"/>
              <w:rPr>
                <w:rFonts w:hint="default" w:ascii="Times New Roman" w:hAnsi="Times New Roman" w:cs="Times New Roman" w:eastAsiaTheme="minorEastAsia"/>
                <w:b/>
                <w:bCs/>
                <w:color w:val="auto"/>
                <w:highlight w:val="none"/>
                <w:lang w:val="en-US" w:eastAsia="zh-CN"/>
              </w:rPr>
            </w:pPr>
            <w:r>
              <w:rPr>
                <w:rFonts w:hint="default" w:ascii="Times New Roman" w:hAnsi="Times New Roman" w:cs="Times New Roman" w:eastAsiaTheme="minorEastAsia"/>
                <w:b/>
                <w:bCs/>
                <w:color w:val="auto"/>
                <w:highlight w:val="none"/>
                <w:lang w:val="en-US" w:eastAsia="zh-CN"/>
              </w:rPr>
              <w:t>图2-3模具维修流程</w:t>
            </w:r>
          </w:p>
          <w:p w14:paraId="46A732AE">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工艺流程说明：</w:t>
            </w:r>
          </w:p>
          <w:p w14:paraId="0A690D2F">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一、故障诊断</w:t>
            </w:r>
          </w:p>
          <w:p w14:paraId="590803BD">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接收故障报告</w:t>
            </w:r>
            <w:r>
              <w:rPr>
                <w:rFonts w:hint="default" w:ascii="Times New Roman" w:hAnsi="Times New Roman" w:cs="Times New Roman"/>
                <w:b w:val="0"/>
                <w:color w:val="auto"/>
                <w:kern w:val="2"/>
                <w:sz w:val="24"/>
                <w:szCs w:val="24"/>
                <w:highlight w:val="none"/>
                <w:lang w:val="en-US" w:eastAsia="zh-CN" w:bidi="ar-SA"/>
              </w:rPr>
              <w:t>，</w:t>
            </w:r>
            <w:r>
              <w:rPr>
                <w:rFonts w:hint="default" w:ascii="Times New Roman" w:hAnsi="Times New Roman" w:eastAsia="宋体" w:cs="Times New Roman"/>
                <w:b w:val="0"/>
                <w:color w:val="auto"/>
                <w:kern w:val="2"/>
                <w:sz w:val="24"/>
                <w:szCs w:val="24"/>
                <w:highlight w:val="none"/>
                <w:lang w:val="en-US" w:eastAsia="zh-CN" w:bidi="ar-SA"/>
              </w:rPr>
              <w:t>记录生产反馈的问题（如飞边、顶出困难、尺寸不良、粘模、拉伤等），结合模具图纸、生产记录，判断故障可能原因（磨损、变形、断裂、污染等），此工序无产污</w:t>
            </w:r>
            <w:r>
              <w:rPr>
                <w:rFonts w:hint="default" w:ascii="Times New Roman" w:hAnsi="Times New Roman" w:cs="Times New Roman"/>
                <w:b w:val="0"/>
                <w:color w:val="auto"/>
                <w:kern w:val="2"/>
                <w:sz w:val="24"/>
                <w:szCs w:val="24"/>
                <w:highlight w:val="none"/>
                <w:lang w:val="en-US" w:eastAsia="zh-CN" w:bidi="ar-SA"/>
              </w:rPr>
              <w:t>。</w:t>
            </w:r>
          </w:p>
          <w:p w14:paraId="1E87629C">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二、 模具拆卸、清理</w:t>
            </w:r>
          </w:p>
          <w:p w14:paraId="7D1488C1">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安全泄压确保模具内无残余压力、使用抹布擦拭模具表面，清除残留；对关键部件（如滑块、斜顶）做定位标记，避免装配错误。此工序会产生废含油</w:t>
            </w:r>
            <w:r>
              <w:rPr>
                <w:rFonts w:hint="default" w:ascii="Times New Roman" w:hAnsi="Times New Roman" w:cs="Times New Roman"/>
                <w:b w:val="0"/>
                <w:color w:val="auto"/>
                <w:kern w:val="2"/>
                <w:sz w:val="24"/>
                <w:szCs w:val="24"/>
                <w:highlight w:val="none"/>
                <w:lang w:val="en-US" w:eastAsia="zh-CN" w:bidi="ar-SA"/>
              </w:rPr>
              <w:t>废</w:t>
            </w:r>
            <w:r>
              <w:rPr>
                <w:rFonts w:hint="default" w:ascii="Times New Roman" w:hAnsi="Times New Roman" w:eastAsia="宋体" w:cs="Times New Roman"/>
                <w:b w:val="0"/>
                <w:color w:val="auto"/>
                <w:kern w:val="2"/>
                <w:sz w:val="24"/>
                <w:szCs w:val="24"/>
                <w:highlight w:val="none"/>
                <w:lang w:val="en-US" w:eastAsia="zh-CN" w:bidi="ar-SA"/>
              </w:rPr>
              <w:t>抹布及手套</w:t>
            </w:r>
            <w:r>
              <w:rPr>
                <w:rFonts w:hint="default" w:ascii="Times New Roman" w:hAnsi="Times New Roman" w:cs="Times New Roman"/>
                <w:b w:val="0"/>
                <w:color w:val="auto"/>
                <w:kern w:val="2"/>
                <w:sz w:val="24"/>
                <w:szCs w:val="24"/>
                <w:highlight w:val="none"/>
                <w:lang w:val="en-US" w:eastAsia="zh-CN" w:bidi="ar-SA"/>
              </w:rPr>
              <w:t>及噪声</w:t>
            </w:r>
            <w:r>
              <w:rPr>
                <w:rFonts w:hint="default" w:ascii="Times New Roman" w:hAnsi="Times New Roman" w:eastAsia="宋体" w:cs="Times New Roman"/>
                <w:b w:val="0"/>
                <w:color w:val="auto"/>
                <w:kern w:val="2"/>
                <w:sz w:val="24"/>
                <w:szCs w:val="24"/>
                <w:highlight w:val="none"/>
                <w:lang w:val="en-US" w:eastAsia="zh-CN" w:bidi="ar-SA"/>
              </w:rPr>
              <w:t>。</w:t>
            </w:r>
          </w:p>
          <w:p w14:paraId="302DEE42">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三、 模具分解与检查</w:t>
            </w:r>
          </w:p>
          <w:p w14:paraId="12E18D0F">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有序拆解模具按结构分层拆卸、检查关键尺寸（型腔、导柱、顶针孔等是否磨损）、寻找裂纹、拉伤、锈蚀点（尤其分型面、型腔），检查顶出系统、滑块运动是否顺畅，此工序无产污。</w:t>
            </w:r>
          </w:p>
          <w:p w14:paraId="4458F3DF">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四、故障维修</w:t>
            </w:r>
          </w:p>
          <w:p w14:paraId="32E7EAC4">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b w:val="0"/>
                <w:color w:val="auto"/>
                <w:kern w:val="2"/>
                <w:sz w:val="24"/>
                <w:szCs w:val="24"/>
                <w:highlight w:val="none"/>
                <w:lang w:val="en-US" w:eastAsia="zh-CN" w:bidi="ar-SA"/>
              </w:rPr>
            </w:pPr>
            <w:r>
              <w:rPr>
                <w:rFonts w:hint="default" w:ascii="Times New Roman" w:hAnsi="Times New Roman" w:eastAsia="宋体" w:cs="Times New Roman"/>
                <w:b w:val="0"/>
                <w:color w:val="auto"/>
                <w:kern w:val="2"/>
                <w:sz w:val="24"/>
                <w:szCs w:val="24"/>
                <w:highlight w:val="none"/>
                <w:lang w:val="en-US" w:eastAsia="zh-CN" w:bidi="ar-SA"/>
              </w:rPr>
              <w:t>确定损坏原因后制定维修方案，对断裂、严重磨损件直接换新（如顶针、弹簧）修复或返厂维修，委外处理，此工序会产生少量废金属零部件</w:t>
            </w:r>
            <w:r>
              <w:rPr>
                <w:rFonts w:hint="default" w:ascii="Times New Roman" w:hAnsi="Times New Roman" w:cs="Times New Roman"/>
                <w:b w:val="0"/>
                <w:color w:val="auto"/>
                <w:kern w:val="2"/>
                <w:sz w:val="24"/>
                <w:szCs w:val="24"/>
                <w:highlight w:val="none"/>
                <w:lang w:val="en-US" w:eastAsia="zh-CN" w:bidi="ar-SA"/>
              </w:rPr>
              <w:t>及噪声</w:t>
            </w:r>
            <w:r>
              <w:rPr>
                <w:rFonts w:hint="default" w:ascii="Times New Roman" w:hAnsi="Times New Roman" w:eastAsia="宋体" w:cs="Times New Roman"/>
                <w:b w:val="0"/>
                <w:color w:val="auto"/>
                <w:kern w:val="2"/>
                <w:sz w:val="24"/>
                <w:szCs w:val="24"/>
                <w:highlight w:val="none"/>
                <w:lang w:val="en-US" w:eastAsia="zh-CN" w:bidi="ar-SA"/>
              </w:rPr>
              <w:t>。</w:t>
            </w:r>
          </w:p>
          <w:p w14:paraId="0BA4D407">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注：项目主要使用外购金属模具，主要在项目内设备的维保，基础的维修。此过程产生废矿物油、废油桶及含油废抹布及手套。</w:t>
            </w:r>
          </w:p>
          <w:p w14:paraId="1E0CC31E">
            <w:pPr>
              <w:pStyle w:val="15"/>
              <w:pageBreakBefore w:val="0"/>
              <w:kinsoku/>
              <w:wordWrap w:val="0"/>
              <w:overflowPunct/>
              <w:topLinePunct w:val="0"/>
              <w:bidi w:val="0"/>
              <w:snapToGrid/>
              <w:ind w:firstLine="480" w:firstLineChars="200"/>
              <w:jc w:val="both"/>
              <w:outlineLvl w:val="9"/>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二、产污环节分析</w:t>
            </w:r>
          </w:p>
          <w:p w14:paraId="37F50004">
            <w:pPr>
              <w:pStyle w:val="15"/>
              <w:pageBreakBefore w:val="0"/>
              <w:kinsoku/>
              <w:wordWrap w:val="0"/>
              <w:overflowPunct/>
              <w:topLinePunct w:val="0"/>
              <w:bidi w:val="0"/>
              <w:snapToGrid/>
              <w:spacing w:line="240" w:lineRule="auto"/>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2</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8</w:t>
            </w:r>
            <w:r>
              <w:rPr>
                <w:rStyle w:val="61"/>
                <w:rFonts w:hint="default" w:ascii="Times New Roman" w:hAnsi="Times New Roman" w:cs="Times New Roman"/>
                <w:b/>
                <w:bCs/>
                <w:color w:val="auto"/>
                <w:highlight w:val="none"/>
                <w:lang w:val="zh-CN"/>
              </w:rPr>
              <w:t>主要污染节点分析一览表</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2"/>
              <w:gridCol w:w="1681"/>
              <w:gridCol w:w="2293"/>
              <w:gridCol w:w="3135"/>
            </w:tblGrid>
            <w:tr w14:paraId="67BCC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7" w:type="pct"/>
                  <w:noWrap w:val="0"/>
                  <w:vAlign w:val="center"/>
                </w:tcPr>
                <w:p w14:paraId="05D6C5EC">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类别</w:t>
                  </w:r>
                </w:p>
              </w:tc>
              <w:tc>
                <w:tcPr>
                  <w:tcW w:w="1071" w:type="pct"/>
                  <w:noWrap w:val="0"/>
                  <w:vAlign w:val="center"/>
                </w:tcPr>
                <w:p w14:paraId="04AFD2F7">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污染工序</w:t>
                  </w:r>
                </w:p>
              </w:tc>
              <w:tc>
                <w:tcPr>
                  <w:tcW w:w="1461" w:type="pct"/>
                  <w:noWrap w:val="0"/>
                  <w:vAlign w:val="center"/>
                </w:tcPr>
                <w:p w14:paraId="082E5D38">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w:t>
                  </w:r>
                </w:p>
              </w:tc>
              <w:tc>
                <w:tcPr>
                  <w:tcW w:w="1998" w:type="pct"/>
                  <w:noWrap w:val="0"/>
                  <w:vAlign w:val="center"/>
                </w:tcPr>
                <w:p w14:paraId="09D4CCD7">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治理措施</w:t>
                  </w:r>
                </w:p>
              </w:tc>
            </w:tr>
            <w:tr w14:paraId="7A6CA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40" w:hRule="atLeast"/>
                <w:jc w:val="center"/>
              </w:trPr>
              <w:tc>
                <w:tcPr>
                  <w:tcW w:w="467" w:type="pct"/>
                  <w:vMerge w:val="restart"/>
                  <w:noWrap w:val="0"/>
                  <w:vAlign w:val="center"/>
                </w:tcPr>
                <w:p w14:paraId="69EACF55">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废气</w:t>
                  </w:r>
                </w:p>
              </w:tc>
              <w:tc>
                <w:tcPr>
                  <w:tcW w:w="1071" w:type="pct"/>
                  <w:noWrap w:val="0"/>
                  <w:vAlign w:val="center"/>
                </w:tcPr>
                <w:p w14:paraId="0421E2BE">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注塑成型</w:t>
                  </w:r>
                </w:p>
              </w:tc>
              <w:tc>
                <w:tcPr>
                  <w:tcW w:w="1461" w:type="pct"/>
                  <w:noWrap w:val="0"/>
                  <w:vAlign w:val="center"/>
                </w:tcPr>
                <w:p w14:paraId="2FAEB55D">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非甲烷总烃、臭气浓度</w:t>
                  </w:r>
                </w:p>
              </w:tc>
              <w:tc>
                <w:tcPr>
                  <w:tcW w:w="1998" w:type="pct"/>
                  <w:noWrap w:val="0"/>
                  <w:vAlign w:val="center"/>
                </w:tcPr>
                <w:p w14:paraId="0BB70480">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二级活性炭吸附装置+DA001排放口</w:t>
                  </w:r>
                </w:p>
              </w:tc>
            </w:tr>
            <w:tr w14:paraId="50185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467" w:type="pct"/>
                  <w:vMerge w:val="continue"/>
                  <w:noWrap w:val="0"/>
                  <w:vAlign w:val="center"/>
                </w:tcPr>
                <w:p w14:paraId="1A2B336A">
                  <w:pPr>
                    <w:pStyle w:val="123"/>
                    <w:pageBreakBefore w:val="0"/>
                    <w:wordWrap w:val="0"/>
                    <w:topLinePunct w:val="0"/>
                    <w:bidi w:val="0"/>
                    <w:rPr>
                      <w:rFonts w:hint="default" w:ascii="Times New Roman" w:hAnsi="Times New Roman" w:cs="Times New Roman"/>
                      <w:color w:val="auto"/>
                      <w:highlight w:val="none"/>
                    </w:rPr>
                  </w:pPr>
                </w:p>
              </w:tc>
              <w:tc>
                <w:tcPr>
                  <w:tcW w:w="1071" w:type="pct"/>
                  <w:noWrap w:val="0"/>
                  <w:vAlign w:val="center"/>
                </w:tcPr>
                <w:p w14:paraId="0B7AA611">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碎料</w:t>
                  </w:r>
                </w:p>
              </w:tc>
              <w:tc>
                <w:tcPr>
                  <w:tcW w:w="1461" w:type="pct"/>
                  <w:noWrap w:val="0"/>
                  <w:vAlign w:val="center"/>
                </w:tcPr>
                <w:p w14:paraId="264F94EF">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粉尘</w:t>
                  </w:r>
                </w:p>
              </w:tc>
              <w:tc>
                <w:tcPr>
                  <w:tcW w:w="1998" w:type="pct"/>
                  <w:noWrap w:val="0"/>
                  <w:vAlign w:val="center"/>
                </w:tcPr>
                <w:p w14:paraId="39A38352">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加强车间通风后无组织排放</w:t>
                  </w:r>
                </w:p>
              </w:tc>
            </w:tr>
            <w:tr w14:paraId="3A0F6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467" w:type="pct"/>
                  <w:vMerge w:val="restart"/>
                  <w:noWrap w:val="0"/>
                  <w:vAlign w:val="center"/>
                </w:tcPr>
                <w:p w14:paraId="33E4A37C">
                  <w:pPr>
                    <w:pStyle w:val="123"/>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废水</w:t>
                  </w:r>
                </w:p>
              </w:tc>
              <w:tc>
                <w:tcPr>
                  <w:tcW w:w="1071" w:type="pct"/>
                  <w:noWrap w:val="0"/>
                  <w:vAlign w:val="center"/>
                </w:tcPr>
                <w:p w14:paraId="06285927">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生活污水</w:t>
                  </w:r>
                </w:p>
              </w:tc>
              <w:tc>
                <w:tcPr>
                  <w:tcW w:w="1461" w:type="pct"/>
                  <w:noWrap w:val="0"/>
                  <w:vAlign w:val="center"/>
                </w:tcPr>
                <w:p w14:paraId="7D86A0B9">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CODCr、BOD</w:t>
                  </w:r>
                  <w:r>
                    <w:rPr>
                      <w:rFonts w:hint="default" w:ascii="Times New Roman" w:hAnsi="Times New Roman" w:cs="Times New Roman"/>
                      <w:color w:val="auto"/>
                      <w:highlight w:val="none"/>
                      <w:vertAlign w:val="subscript"/>
                      <w:lang w:val="en-US" w:eastAsia="zh-CN"/>
                    </w:rPr>
                    <w:t>5</w:t>
                  </w:r>
                  <w:r>
                    <w:rPr>
                      <w:rFonts w:hint="default" w:ascii="Times New Roman" w:hAnsi="Times New Roman" w:cs="Times New Roman"/>
                      <w:color w:val="auto"/>
                      <w:highlight w:val="none"/>
                      <w:lang w:val="en-US" w:eastAsia="zh-CN"/>
                    </w:rPr>
                    <w:t>、SS</w:t>
                  </w:r>
                </w:p>
                <w:p w14:paraId="25B69BB9">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NH3-N</w:t>
                  </w:r>
                </w:p>
              </w:tc>
              <w:tc>
                <w:tcPr>
                  <w:tcW w:w="1998" w:type="pct"/>
                  <w:noWrap w:val="0"/>
                  <w:vAlign w:val="center"/>
                </w:tcPr>
                <w:p w14:paraId="45C5F4EA">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经过三级化粪池处理后排入园区污水处理厂，处理达标后排入武江（乐昌城-犁市河段）</w:t>
                  </w:r>
                </w:p>
              </w:tc>
            </w:tr>
            <w:tr w14:paraId="35DE9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467" w:type="pct"/>
                  <w:vMerge w:val="continue"/>
                  <w:noWrap w:val="0"/>
                  <w:vAlign w:val="center"/>
                </w:tcPr>
                <w:p w14:paraId="340612D2">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1071" w:type="pct"/>
                  <w:noWrap w:val="0"/>
                  <w:vAlign w:val="center"/>
                </w:tcPr>
                <w:p w14:paraId="3B7B6F1F">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间接冷却废水</w:t>
                  </w:r>
                </w:p>
              </w:tc>
              <w:tc>
                <w:tcPr>
                  <w:tcW w:w="1461" w:type="pct"/>
                  <w:noWrap w:val="0"/>
                  <w:vAlign w:val="center"/>
                </w:tcPr>
                <w:p w14:paraId="005704D6">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盐分</w:t>
                  </w:r>
                </w:p>
              </w:tc>
              <w:tc>
                <w:tcPr>
                  <w:tcW w:w="1998" w:type="pct"/>
                  <w:noWrap w:val="0"/>
                  <w:vAlign w:val="center"/>
                </w:tcPr>
                <w:p w14:paraId="10C2717A">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排入园区污水处理厂，处理达标后排入武江（乐昌城-犁市河段）</w:t>
                  </w:r>
                </w:p>
              </w:tc>
            </w:tr>
            <w:tr w14:paraId="4B2CB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7" w:type="pct"/>
                  <w:vMerge w:val="restart"/>
                  <w:noWrap w:val="0"/>
                  <w:vAlign w:val="center"/>
                </w:tcPr>
                <w:p w14:paraId="08B3B974">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固废</w:t>
                  </w:r>
                </w:p>
              </w:tc>
              <w:tc>
                <w:tcPr>
                  <w:tcW w:w="1071" w:type="pct"/>
                  <w:noWrap w:val="0"/>
                  <w:vAlign w:val="center"/>
                </w:tcPr>
                <w:p w14:paraId="1310F026">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1461" w:type="pct"/>
                  <w:noWrap w:val="0"/>
                  <w:vAlign w:val="center"/>
                </w:tcPr>
                <w:p w14:paraId="6D012ECF">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1998" w:type="pct"/>
                  <w:noWrap w:val="0"/>
                  <w:vAlign w:val="center"/>
                </w:tcPr>
                <w:p w14:paraId="0963C4B6">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交由环卫部门统一清运</w:t>
                  </w:r>
                </w:p>
              </w:tc>
            </w:tr>
            <w:tr w14:paraId="2A708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7" w:type="pct"/>
                  <w:vMerge w:val="continue"/>
                  <w:noWrap w:val="0"/>
                  <w:vAlign w:val="center"/>
                </w:tcPr>
                <w:p w14:paraId="24899377">
                  <w:pPr>
                    <w:pStyle w:val="123"/>
                    <w:pageBreakBefore w:val="0"/>
                    <w:wordWrap w:val="0"/>
                    <w:topLinePunct w:val="0"/>
                    <w:bidi w:val="0"/>
                    <w:rPr>
                      <w:rFonts w:hint="default" w:ascii="Times New Roman" w:hAnsi="Times New Roman" w:cs="Times New Roman"/>
                      <w:color w:val="auto"/>
                      <w:highlight w:val="none"/>
                    </w:rPr>
                  </w:pPr>
                </w:p>
              </w:tc>
              <w:tc>
                <w:tcPr>
                  <w:tcW w:w="1071" w:type="pct"/>
                  <w:vMerge w:val="restart"/>
                  <w:noWrap w:val="0"/>
                  <w:vAlign w:val="center"/>
                </w:tcPr>
                <w:p w14:paraId="12AA6DD4">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一般工业固体废物</w:t>
                  </w:r>
                </w:p>
              </w:tc>
              <w:tc>
                <w:tcPr>
                  <w:tcW w:w="1461" w:type="pct"/>
                  <w:noWrap w:val="0"/>
                  <w:vAlign w:val="center"/>
                </w:tcPr>
                <w:p w14:paraId="7B32D445">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塑胶边角料和塑胶次品</w:t>
                  </w:r>
                </w:p>
              </w:tc>
              <w:tc>
                <w:tcPr>
                  <w:tcW w:w="1998" w:type="pct"/>
                  <w:noWrap w:val="0"/>
                  <w:vAlign w:val="center"/>
                </w:tcPr>
                <w:p w14:paraId="7E9CE80F">
                  <w:pPr>
                    <w:pStyle w:val="123"/>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经收集碎料后回用于生产</w:t>
                  </w:r>
                </w:p>
              </w:tc>
            </w:tr>
            <w:tr w14:paraId="59580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7" w:type="pct"/>
                  <w:vMerge w:val="continue"/>
                  <w:noWrap w:val="0"/>
                  <w:vAlign w:val="center"/>
                </w:tcPr>
                <w:p w14:paraId="5D7533F1">
                  <w:pPr>
                    <w:pStyle w:val="123"/>
                    <w:pageBreakBefore w:val="0"/>
                    <w:wordWrap w:val="0"/>
                    <w:topLinePunct w:val="0"/>
                    <w:bidi w:val="0"/>
                    <w:rPr>
                      <w:rFonts w:hint="default" w:ascii="Times New Roman" w:hAnsi="Times New Roman" w:cs="Times New Roman"/>
                      <w:color w:val="auto"/>
                      <w:highlight w:val="none"/>
                    </w:rPr>
                  </w:pPr>
                </w:p>
              </w:tc>
              <w:tc>
                <w:tcPr>
                  <w:tcW w:w="1071" w:type="pct"/>
                  <w:vMerge w:val="continue"/>
                  <w:noWrap w:val="0"/>
                  <w:vAlign w:val="center"/>
                </w:tcPr>
                <w:p w14:paraId="67D9F1D3">
                  <w:pPr>
                    <w:pStyle w:val="123"/>
                    <w:pageBreakBefore w:val="0"/>
                    <w:wordWrap w:val="0"/>
                    <w:topLinePunct w:val="0"/>
                    <w:bidi w:val="0"/>
                    <w:rPr>
                      <w:rFonts w:hint="default" w:ascii="Times New Roman" w:hAnsi="Times New Roman" w:cs="Times New Roman"/>
                      <w:color w:val="auto"/>
                      <w:highlight w:val="none"/>
                    </w:rPr>
                  </w:pPr>
                </w:p>
              </w:tc>
              <w:tc>
                <w:tcPr>
                  <w:tcW w:w="1461" w:type="pct"/>
                  <w:noWrap w:val="0"/>
                  <w:vAlign w:val="center"/>
                </w:tcPr>
                <w:p w14:paraId="00E5C96E">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废包装材料</w:t>
                  </w:r>
                </w:p>
              </w:tc>
              <w:tc>
                <w:tcPr>
                  <w:tcW w:w="1998" w:type="pct"/>
                  <w:vMerge w:val="restart"/>
                  <w:noWrap w:val="0"/>
                  <w:vAlign w:val="center"/>
                </w:tcPr>
                <w:p w14:paraId="577D9F99">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经收集后交专业回收公司处理</w:t>
                  </w:r>
                </w:p>
              </w:tc>
            </w:tr>
            <w:tr w14:paraId="07450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467" w:type="pct"/>
                  <w:vMerge w:val="continue"/>
                  <w:noWrap w:val="0"/>
                  <w:vAlign w:val="center"/>
                </w:tcPr>
                <w:p w14:paraId="7A86E7DD">
                  <w:pPr>
                    <w:pStyle w:val="123"/>
                    <w:pageBreakBefore w:val="0"/>
                    <w:wordWrap w:val="0"/>
                    <w:topLinePunct w:val="0"/>
                    <w:bidi w:val="0"/>
                    <w:rPr>
                      <w:rFonts w:hint="default" w:ascii="Times New Roman" w:hAnsi="Times New Roman" w:cs="Times New Roman"/>
                      <w:color w:val="auto"/>
                      <w:highlight w:val="none"/>
                    </w:rPr>
                  </w:pPr>
                </w:p>
              </w:tc>
              <w:tc>
                <w:tcPr>
                  <w:tcW w:w="1071" w:type="pct"/>
                  <w:vMerge w:val="continue"/>
                  <w:noWrap w:val="0"/>
                  <w:vAlign w:val="center"/>
                </w:tcPr>
                <w:p w14:paraId="5AED15BE">
                  <w:pPr>
                    <w:pStyle w:val="123"/>
                    <w:pageBreakBefore w:val="0"/>
                    <w:wordWrap w:val="0"/>
                    <w:topLinePunct w:val="0"/>
                    <w:bidi w:val="0"/>
                    <w:rPr>
                      <w:rFonts w:hint="default" w:ascii="Times New Roman" w:hAnsi="Times New Roman" w:cs="Times New Roman"/>
                      <w:color w:val="auto"/>
                      <w:highlight w:val="none"/>
                    </w:rPr>
                  </w:pPr>
                </w:p>
              </w:tc>
              <w:tc>
                <w:tcPr>
                  <w:tcW w:w="1461" w:type="pct"/>
                  <w:noWrap w:val="0"/>
                  <w:vAlign w:val="center"/>
                </w:tcPr>
                <w:p w14:paraId="306EF874">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废模具、</w:t>
                  </w:r>
                  <w:r>
                    <w:rPr>
                      <w:rFonts w:hint="default" w:ascii="Times New Roman" w:hAnsi="Times New Roman" w:cs="Times New Roman"/>
                      <w:color w:val="auto"/>
                      <w:highlight w:val="none"/>
                      <w:lang w:val="en-US" w:eastAsia="zh-CN"/>
                    </w:rPr>
                    <w:t>废金属零部件</w:t>
                  </w:r>
                </w:p>
              </w:tc>
              <w:tc>
                <w:tcPr>
                  <w:tcW w:w="1998" w:type="pct"/>
                  <w:vMerge w:val="continue"/>
                  <w:noWrap w:val="0"/>
                  <w:vAlign w:val="center"/>
                </w:tcPr>
                <w:p w14:paraId="5A9A103E">
                  <w:pPr>
                    <w:pStyle w:val="123"/>
                    <w:pageBreakBefore w:val="0"/>
                    <w:wordWrap w:val="0"/>
                    <w:topLinePunct w:val="0"/>
                    <w:bidi w:val="0"/>
                    <w:rPr>
                      <w:rFonts w:hint="default" w:ascii="Times New Roman" w:hAnsi="Times New Roman" w:cs="Times New Roman"/>
                      <w:color w:val="auto"/>
                      <w:highlight w:val="none"/>
                      <w:lang w:val="en-US" w:eastAsia="zh-CN"/>
                    </w:rPr>
                  </w:pPr>
                </w:p>
              </w:tc>
            </w:tr>
            <w:tr w14:paraId="2962C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jc w:val="center"/>
              </w:trPr>
              <w:tc>
                <w:tcPr>
                  <w:tcW w:w="467" w:type="pct"/>
                  <w:vMerge w:val="continue"/>
                  <w:noWrap w:val="0"/>
                  <w:vAlign w:val="center"/>
                </w:tcPr>
                <w:p w14:paraId="7B2C2550">
                  <w:pPr>
                    <w:pStyle w:val="123"/>
                    <w:pageBreakBefore w:val="0"/>
                    <w:wordWrap w:val="0"/>
                    <w:topLinePunct w:val="0"/>
                    <w:bidi w:val="0"/>
                    <w:rPr>
                      <w:rFonts w:hint="default" w:ascii="Times New Roman" w:hAnsi="Times New Roman" w:cs="Times New Roman"/>
                      <w:color w:val="auto"/>
                      <w:highlight w:val="none"/>
                    </w:rPr>
                  </w:pPr>
                </w:p>
              </w:tc>
              <w:tc>
                <w:tcPr>
                  <w:tcW w:w="1071" w:type="pct"/>
                  <w:vMerge w:val="restart"/>
                  <w:noWrap w:val="0"/>
                  <w:vAlign w:val="center"/>
                </w:tcPr>
                <w:p w14:paraId="066EA580">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w:t>
                  </w:r>
                </w:p>
              </w:tc>
              <w:tc>
                <w:tcPr>
                  <w:tcW w:w="1461" w:type="pct"/>
                  <w:noWrap w:val="0"/>
                  <w:vAlign w:val="center"/>
                </w:tcPr>
                <w:p w14:paraId="7429061C">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废矿物油、废油桶、含油废抹布及手套</w:t>
                  </w:r>
                </w:p>
              </w:tc>
              <w:tc>
                <w:tcPr>
                  <w:tcW w:w="1998" w:type="pct"/>
                  <w:vMerge w:val="restart"/>
                  <w:noWrap w:val="0"/>
                  <w:vAlign w:val="center"/>
                </w:tcPr>
                <w:p w14:paraId="0205FD9B">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交由有资质的单位处置</w:t>
                  </w:r>
                </w:p>
              </w:tc>
            </w:tr>
            <w:tr w14:paraId="4F879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7" w:type="pct"/>
                  <w:vMerge w:val="continue"/>
                  <w:noWrap w:val="0"/>
                  <w:vAlign w:val="center"/>
                </w:tcPr>
                <w:p w14:paraId="6487E0FE">
                  <w:pPr>
                    <w:pStyle w:val="123"/>
                    <w:pageBreakBefore w:val="0"/>
                    <w:wordWrap w:val="0"/>
                    <w:topLinePunct w:val="0"/>
                    <w:bidi w:val="0"/>
                    <w:rPr>
                      <w:rFonts w:hint="default" w:ascii="Times New Roman" w:hAnsi="Times New Roman" w:cs="Times New Roman"/>
                      <w:color w:val="auto"/>
                      <w:highlight w:val="none"/>
                    </w:rPr>
                  </w:pPr>
                </w:p>
              </w:tc>
              <w:tc>
                <w:tcPr>
                  <w:tcW w:w="1071" w:type="pct"/>
                  <w:vMerge w:val="continue"/>
                  <w:noWrap w:val="0"/>
                  <w:vAlign w:val="center"/>
                </w:tcPr>
                <w:p w14:paraId="7F87FFE2">
                  <w:pPr>
                    <w:pStyle w:val="123"/>
                    <w:pageBreakBefore w:val="0"/>
                    <w:wordWrap w:val="0"/>
                    <w:topLinePunct w:val="0"/>
                    <w:bidi w:val="0"/>
                    <w:rPr>
                      <w:rFonts w:hint="default" w:ascii="Times New Roman" w:hAnsi="Times New Roman" w:cs="Times New Roman"/>
                      <w:color w:val="auto"/>
                      <w:highlight w:val="none"/>
                    </w:rPr>
                  </w:pPr>
                </w:p>
              </w:tc>
              <w:tc>
                <w:tcPr>
                  <w:tcW w:w="1461" w:type="pct"/>
                  <w:noWrap w:val="0"/>
                  <w:vAlign w:val="center"/>
                </w:tcPr>
                <w:p w14:paraId="04451A89">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rPr>
                    <w:t>废活性炭</w:t>
                  </w:r>
                </w:p>
              </w:tc>
              <w:tc>
                <w:tcPr>
                  <w:tcW w:w="1998" w:type="pct"/>
                  <w:vMerge w:val="continue"/>
                  <w:noWrap w:val="0"/>
                  <w:vAlign w:val="center"/>
                </w:tcPr>
                <w:p w14:paraId="5DFDD7D1">
                  <w:pPr>
                    <w:pStyle w:val="123"/>
                    <w:pageBreakBefore w:val="0"/>
                    <w:wordWrap w:val="0"/>
                    <w:topLinePunct w:val="0"/>
                    <w:bidi w:val="0"/>
                    <w:rPr>
                      <w:rFonts w:hint="default" w:ascii="Times New Roman" w:hAnsi="Times New Roman" w:cs="Times New Roman"/>
                      <w:color w:val="auto"/>
                      <w:highlight w:val="none"/>
                    </w:rPr>
                  </w:pPr>
                </w:p>
              </w:tc>
            </w:tr>
            <w:tr w14:paraId="08EAB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7" w:type="pct"/>
                  <w:noWrap w:val="0"/>
                  <w:vAlign w:val="center"/>
                </w:tcPr>
                <w:p w14:paraId="54027FB0">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噪声</w:t>
                  </w:r>
                </w:p>
              </w:tc>
              <w:tc>
                <w:tcPr>
                  <w:tcW w:w="1071" w:type="pct"/>
                  <w:noWrap w:val="0"/>
                  <w:vAlign w:val="center"/>
                </w:tcPr>
                <w:p w14:paraId="61F515D5">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设备噪声</w:t>
                  </w:r>
                </w:p>
              </w:tc>
              <w:tc>
                <w:tcPr>
                  <w:tcW w:w="1461" w:type="pct"/>
                  <w:noWrap w:val="0"/>
                  <w:vAlign w:val="center"/>
                </w:tcPr>
                <w:p w14:paraId="0AD53243">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机械噪声</w:t>
                  </w:r>
                </w:p>
              </w:tc>
              <w:tc>
                <w:tcPr>
                  <w:tcW w:w="1998" w:type="pct"/>
                  <w:noWrap w:val="0"/>
                  <w:vAlign w:val="center"/>
                </w:tcPr>
                <w:p w14:paraId="0EA00AAE">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合理布局、距离衰减、墙体隔声</w:t>
                  </w:r>
                </w:p>
              </w:tc>
            </w:tr>
          </w:tbl>
          <w:p w14:paraId="3F5BD2FB">
            <w:pPr>
              <w:pStyle w:val="2"/>
              <w:pageBreakBefore w:val="0"/>
              <w:kinsoku/>
              <w:wordWrap w:val="0"/>
              <w:overflowPunct/>
              <w:topLinePunct w:val="0"/>
              <w:bidi w:val="0"/>
              <w:snapToGrid/>
              <w:ind w:firstLine="0" w:firstLineChars="0"/>
              <w:outlineLvl w:val="9"/>
              <w:rPr>
                <w:rFonts w:hint="default" w:ascii="Times New Roman" w:hAnsi="Times New Roman" w:cs="Times New Roman"/>
                <w:b/>
                <w:bCs/>
                <w:color w:val="auto"/>
                <w:sz w:val="21"/>
                <w:szCs w:val="21"/>
                <w:highlight w:val="none"/>
              </w:rPr>
            </w:pPr>
          </w:p>
        </w:tc>
      </w:tr>
      <w:tr w14:paraId="22922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66" w:type="pct"/>
            <w:vAlign w:val="center"/>
          </w:tcPr>
          <w:p w14:paraId="22CA6996">
            <w:pPr>
              <w:keepNext w:val="0"/>
              <w:keepLines w:val="0"/>
              <w:pageBreakBefore w:val="0"/>
              <w:widowControl w:val="0"/>
              <w:numPr>
                <w:ilvl w:val="1"/>
                <w:numId w:val="0"/>
              </w:numPr>
              <w:tabs>
                <w:tab w:val="left" w:pos="420"/>
              </w:tabs>
              <w:kinsoku/>
              <w:wordWrap w:val="0"/>
              <w:overflowPunct/>
              <w:topLinePunct w:val="0"/>
              <w:autoSpaceDE/>
              <w:autoSpaceDN/>
              <w:bidi w:val="0"/>
              <w:adjustRightInd w:val="0"/>
              <w:snapToGrid w:val="0"/>
              <w:spacing w:line="240" w:lineRule="auto"/>
              <w:textAlignment w:val="auto"/>
              <w:outlineLvl w:val="9"/>
              <w:rPr>
                <w:rFonts w:hint="default" w:ascii="Times New Roman" w:hAnsi="Times New Roman" w:cs="Times New Roman"/>
                <w:color w:val="auto"/>
                <w:highlight w:val="none"/>
              </w:rPr>
            </w:pPr>
            <w:bookmarkStart w:id="26" w:name="_Toc14546"/>
            <w:bookmarkStart w:id="27" w:name="_Toc8130"/>
            <w:bookmarkStart w:id="28" w:name="_Toc13420"/>
            <w:bookmarkStart w:id="29" w:name="_Toc24696"/>
            <w:bookmarkStart w:id="30" w:name="_Toc11592"/>
            <w:bookmarkStart w:id="31" w:name="_Toc21908"/>
            <w:bookmarkStart w:id="32" w:name="_Toc25856"/>
            <w:bookmarkStart w:id="33" w:name="_Toc5833"/>
            <w:bookmarkStart w:id="34" w:name="_Toc5613"/>
            <w:bookmarkStart w:id="35" w:name="_Toc631"/>
            <w:r>
              <w:rPr>
                <w:rFonts w:hint="default" w:ascii="Times New Roman" w:hAnsi="Times New Roman" w:cs="Times New Roman"/>
                <w:color w:val="auto"/>
                <w:highlight w:val="none"/>
              </w:rPr>
              <w:t>与项目有关的原有环境污染问题</w:t>
            </w:r>
            <w:bookmarkEnd w:id="26"/>
            <w:bookmarkEnd w:id="27"/>
            <w:bookmarkEnd w:id="28"/>
            <w:bookmarkEnd w:id="29"/>
            <w:bookmarkEnd w:id="30"/>
            <w:bookmarkEnd w:id="31"/>
            <w:bookmarkEnd w:id="32"/>
            <w:bookmarkEnd w:id="33"/>
            <w:bookmarkEnd w:id="34"/>
            <w:bookmarkEnd w:id="35"/>
          </w:p>
        </w:tc>
        <w:tc>
          <w:tcPr>
            <w:tcW w:w="4733" w:type="pct"/>
            <w:vAlign w:val="center"/>
          </w:tcPr>
          <w:p w14:paraId="7A79FA14">
            <w:pPr>
              <w:pageBreakBefore w:val="0"/>
              <w:wordWrap w:val="0"/>
              <w:topLinePunct w:val="0"/>
              <w:bidi w:val="0"/>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szCs w:val="21"/>
                <w:highlight w:val="none"/>
              </w:rPr>
              <w:t>本项目属新建项目，无与本项目有关的原有污染情况。</w:t>
            </w:r>
          </w:p>
        </w:tc>
      </w:tr>
    </w:tbl>
    <w:p w14:paraId="5FE3CC52">
      <w:pPr>
        <w:pageBreakBefore w:val="0"/>
        <w:wordWrap w:val="0"/>
        <w:topLinePunct w:val="0"/>
        <w:bidi w:val="0"/>
        <w:rPr>
          <w:rFonts w:hint="default" w:ascii="Times New Roman" w:hAnsi="Times New Roman" w:cs="Times New Roman"/>
          <w:color w:val="auto"/>
          <w:kern w:val="44"/>
          <w:sz w:val="30"/>
          <w:szCs w:val="30"/>
          <w:highlight w:val="none"/>
        </w:rPr>
      </w:pPr>
      <w:bookmarkStart w:id="36" w:name="_Toc29511"/>
      <w:r>
        <w:rPr>
          <w:rFonts w:hint="default" w:ascii="Times New Roman" w:hAnsi="Times New Roman" w:cs="Times New Roman"/>
          <w:color w:val="auto"/>
          <w:kern w:val="44"/>
          <w:sz w:val="30"/>
          <w:szCs w:val="30"/>
          <w:highlight w:val="none"/>
        </w:rPr>
        <w:br w:type="page"/>
      </w:r>
    </w:p>
    <w:p w14:paraId="4FA22B1B">
      <w:pPr>
        <w:pStyle w:val="3"/>
        <w:pageBreakBefore w:val="0"/>
        <w:numPr>
          <w:ilvl w:val="0"/>
          <w:numId w:val="0"/>
        </w:numPr>
        <w:tabs>
          <w:tab w:val="left" w:pos="4800"/>
        </w:tabs>
        <w:wordWrap w:val="0"/>
        <w:topLinePunct w:val="0"/>
        <w:bidi w:val="0"/>
        <w:rPr>
          <w:rFonts w:hint="default" w:ascii="Times New Roman" w:hAnsi="Times New Roman" w:cs="Times New Roman"/>
          <w:color w:val="auto"/>
          <w:highlight w:val="none"/>
        </w:rPr>
      </w:pPr>
      <w:bookmarkStart w:id="37" w:name="_Toc32456"/>
      <w:bookmarkStart w:id="38" w:name="_Toc17401"/>
      <w:r>
        <w:rPr>
          <w:rFonts w:hint="default" w:ascii="Times New Roman" w:hAnsi="Times New Roman" w:cs="Times New Roman"/>
          <w:color w:val="auto"/>
          <w:highlight w:val="none"/>
        </w:rPr>
        <w:t>三、区域环境质量现状、环境保护目标及评价标准</w:t>
      </w:r>
      <w:bookmarkEnd w:id="36"/>
      <w:bookmarkEnd w:id="37"/>
      <w:bookmarkEnd w:id="38"/>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
        <w:gridCol w:w="8151"/>
      </w:tblGrid>
      <w:tr w14:paraId="7B0F3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 w:hRule="atLeast"/>
        </w:trPr>
        <w:tc>
          <w:tcPr>
            <w:tcW w:w="262" w:type="pct"/>
            <w:vAlign w:val="center"/>
          </w:tcPr>
          <w:p w14:paraId="51D6B4A3">
            <w:pPr>
              <w:keepNext/>
              <w:keepLines w:val="0"/>
              <w:pageBreakBefore w:val="0"/>
              <w:widowControl/>
              <w:numPr>
                <w:ilvl w:val="1"/>
                <w:numId w:val="0"/>
              </w:numPr>
              <w:tabs>
                <w:tab w:val="left" w:pos="420"/>
              </w:tabs>
              <w:kinsoku/>
              <w:wordWrap w:val="0"/>
              <w:overflowPunct/>
              <w:topLinePunct w:val="0"/>
              <w:autoSpaceDE/>
              <w:autoSpaceDN/>
              <w:bidi w:val="0"/>
              <w:adjustRightInd/>
              <w:snapToGrid/>
              <w:textAlignment w:val="auto"/>
              <w:outlineLvl w:val="9"/>
              <w:rPr>
                <w:rFonts w:hint="default" w:ascii="Times New Roman" w:hAnsi="Times New Roman" w:cs="Times New Roman"/>
                <w:color w:val="auto"/>
                <w:highlight w:val="none"/>
              </w:rPr>
            </w:pPr>
            <w:bookmarkStart w:id="39" w:name="_Toc21642"/>
            <w:bookmarkStart w:id="40" w:name="_Toc11366"/>
            <w:bookmarkStart w:id="41" w:name="_Toc21960"/>
            <w:bookmarkStart w:id="42" w:name="_Toc24283"/>
            <w:bookmarkStart w:id="43" w:name="_Toc14318"/>
            <w:r>
              <w:rPr>
                <w:rFonts w:hint="default" w:ascii="Times New Roman" w:hAnsi="Times New Roman" w:cs="Times New Roman"/>
                <w:color w:val="auto"/>
                <w:highlight w:val="none"/>
              </w:rPr>
              <w:t>区域环境质量现状</w:t>
            </w:r>
            <w:bookmarkEnd w:id="39"/>
            <w:bookmarkEnd w:id="40"/>
            <w:bookmarkEnd w:id="41"/>
            <w:bookmarkEnd w:id="42"/>
            <w:bookmarkEnd w:id="43"/>
          </w:p>
        </w:tc>
        <w:tc>
          <w:tcPr>
            <w:tcW w:w="4737" w:type="pct"/>
          </w:tcPr>
          <w:p w14:paraId="1AD91608">
            <w:pPr>
              <w:pStyle w:val="5"/>
              <w:pageBreakBefore w:val="0"/>
              <w:numPr>
                <w:ilvl w:val="2"/>
                <w:numId w:val="0"/>
              </w:numPr>
              <w:wordWrap w:val="0"/>
              <w:topLinePunct w:val="0"/>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一、环境空气质量现状</w:t>
            </w:r>
          </w:p>
          <w:p w14:paraId="5E520B03">
            <w:pPr>
              <w:pStyle w:val="44"/>
              <w:pageBreakBefore w:val="0"/>
              <w:wordWrap w:val="0"/>
              <w:topLinePunct w:val="0"/>
              <w:bidi w:val="0"/>
              <w:ind w:firstLine="480" w:firstLineChars="20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（1）项目所在区域达标判定</w:t>
            </w:r>
          </w:p>
          <w:p w14:paraId="0163CBA9">
            <w:pPr>
              <w:pStyle w:val="44"/>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根据《韶关市生态环境保护战略规划（2020-2035）》，本项目选址周围空气环境质量功能区划为二类功能区，因此项目所在区域环境空气质量执行</w:t>
            </w:r>
            <w:r>
              <w:rPr>
                <w:rFonts w:hint="default" w:ascii="Times New Roman" w:hAnsi="Times New Roman" w:cs="Times New Roman"/>
                <w:color w:val="auto"/>
                <w:highlight w:val="none"/>
                <w:lang w:eastAsia="zh-CN"/>
              </w:rPr>
              <w:t>《环境空气质</w:t>
            </w:r>
            <w:r>
              <w:rPr>
                <w:rFonts w:hint="default" w:ascii="Times New Roman" w:hAnsi="Times New Roman" w:cs="Times New Roman"/>
                <w:color w:val="auto"/>
                <w:highlight w:val="none"/>
                <w:lang w:val="en-US" w:eastAsia="zh-CN"/>
              </w:rPr>
              <w:t>量</w:t>
            </w:r>
            <w:r>
              <w:rPr>
                <w:rFonts w:hint="default" w:ascii="Times New Roman" w:hAnsi="Times New Roman" w:cs="Times New Roman"/>
                <w:color w:val="auto"/>
                <w:highlight w:val="none"/>
                <w:lang w:eastAsia="zh-CN"/>
              </w:rPr>
              <w:t>标准》(GB3095-2026)中表1环境空气污染物基本项目浓度限值过渡阶段的二级标准</w:t>
            </w:r>
            <w:r>
              <w:rPr>
                <w:rFonts w:hint="default" w:ascii="Times New Roman" w:hAnsi="Times New Roman" w:cs="Times New Roman"/>
                <w:color w:val="auto"/>
                <w:highlight w:val="none"/>
              </w:rPr>
              <w:t>。</w:t>
            </w:r>
          </w:p>
          <w:p w14:paraId="26DAF8F5">
            <w:pPr>
              <w:pStyle w:val="44"/>
              <w:pageBreakBefore w:val="0"/>
              <w:wordWrap w:val="0"/>
              <w:topLinePunct w:val="0"/>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根据《2024年韶关市生态环境状况公报》</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项目所在区域空气质量数据详见下表。</w:t>
            </w:r>
          </w:p>
          <w:p w14:paraId="4FAC121F">
            <w:pPr>
              <w:keepNext w:val="0"/>
              <w:keepLines w:val="0"/>
              <w:pageBreakBefore w:val="0"/>
              <w:widowControl w:val="0"/>
              <w:kinsoku/>
              <w:wordWrap w:val="0"/>
              <w:overflowPunct/>
              <w:topLinePunct w:val="0"/>
              <w:autoSpaceDE/>
              <w:autoSpaceDN/>
              <w:bidi w:val="0"/>
              <w:adjustRightInd/>
              <w:snapToGrid/>
              <w:spacing w:line="240" w:lineRule="auto"/>
              <w:ind w:firstLine="420" w:firstLineChars="20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表3-1 区域空气质量现状评价表</w:t>
            </w:r>
          </w:p>
          <w:tbl>
            <w:tblPr>
              <w:tblStyle w:val="38"/>
              <w:tblW w:w="4998" w:type="pct"/>
              <w:tblInd w:w="1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989"/>
              <w:gridCol w:w="2504"/>
              <w:gridCol w:w="1057"/>
              <w:gridCol w:w="1068"/>
              <w:gridCol w:w="1274"/>
              <w:gridCol w:w="1030"/>
            </w:tblGrid>
            <w:tr w14:paraId="18EEC27D">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777A2497">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污染物</w:t>
                  </w:r>
                </w:p>
              </w:tc>
              <w:tc>
                <w:tcPr>
                  <w:tcW w:w="1580" w:type="pct"/>
                  <w:vAlign w:val="center"/>
                </w:tcPr>
                <w:p w14:paraId="3E8E6F2C">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年评价指标</w:t>
                  </w:r>
                </w:p>
              </w:tc>
              <w:tc>
                <w:tcPr>
                  <w:tcW w:w="667" w:type="pct"/>
                  <w:vAlign w:val="center"/>
                </w:tcPr>
                <w:p w14:paraId="32B28BBE">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现状浓度</w:t>
                  </w:r>
                </w:p>
              </w:tc>
              <w:tc>
                <w:tcPr>
                  <w:tcW w:w="674" w:type="pct"/>
                  <w:vAlign w:val="center"/>
                </w:tcPr>
                <w:p w14:paraId="31984D3D">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标准值</w:t>
                  </w:r>
                </w:p>
              </w:tc>
              <w:tc>
                <w:tcPr>
                  <w:tcW w:w="804" w:type="pct"/>
                  <w:vAlign w:val="center"/>
                </w:tcPr>
                <w:p w14:paraId="6F192700">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占标率%</w:t>
                  </w:r>
                </w:p>
              </w:tc>
              <w:tc>
                <w:tcPr>
                  <w:tcW w:w="650" w:type="pct"/>
                  <w:vAlign w:val="center"/>
                </w:tcPr>
                <w:p w14:paraId="687EB232">
                  <w:pPr>
                    <w:keepNext w:val="0"/>
                    <w:keepLines w:val="0"/>
                    <w:pageBreakBefore w:val="0"/>
                    <w:kinsoku/>
                    <w:wordWrap w:val="0"/>
                    <w:overflowPunct/>
                    <w:topLinePunct w:val="0"/>
                    <w:autoSpaceDE w:val="0"/>
                    <w:autoSpaceDN w:val="0"/>
                    <w:bidi w:val="0"/>
                    <w:adjustRightInd w:val="0"/>
                    <w:spacing w:line="240" w:lineRule="auto"/>
                    <w:jc w:val="center"/>
                    <w:rPr>
                      <w:rFonts w:hint="default" w:ascii="Times New Roman" w:hAnsi="Times New Roman" w:cs="Times New Roman"/>
                      <w:b/>
                      <w:bCs/>
                      <w:color w:val="auto"/>
                      <w:kern w:val="0"/>
                      <w:position w:val="-3"/>
                      <w:sz w:val="21"/>
                      <w:szCs w:val="21"/>
                      <w:highlight w:val="none"/>
                    </w:rPr>
                  </w:pPr>
                  <w:r>
                    <w:rPr>
                      <w:rFonts w:hint="default" w:ascii="Times New Roman" w:hAnsi="Times New Roman" w:cs="Times New Roman"/>
                      <w:b/>
                      <w:bCs/>
                      <w:color w:val="auto"/>
                      <w:kern w:val="0"/>
                      <w:position w:val="-3"/>
                      <w:sz w:val="21"/>
                      <w:szCs w:val="21"/>
                      <w:highlight w:val="none"/>
                    </w:rPr>
                    <w:t>达标情况</w:t>
                  </w:r>
                </w:p>
              </w:tc>
            </w:tr>
            <w:tr w14:paraId="1881B773">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0CF031C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vertAlign w:val="subscript"/>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580" w:type="pct"/>
                  <w:vAlign w:val="center"/>
                </w:tcPr>
                <w:p w14:paraId="06ACA4F3">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年</w:t>
                  </w:r>
                  <w:r>
                    <w:rPr>
                      <w:rFonts w:hint="default" w:ascii="Times New Roman" w:hAnsi="Times New Roman" w:cs="Times New Roman"/>
                      <w:color w:val="auto"/>
                      <w:sz w:val="21"/>
                      <w:szCs w:val="21"/>
                      <w:highlight w:val="none"/>
                    </w:rPr>
                    <w:t>平均质量浓度</w:t>
                  </w:r>
                </w:p>
              </w:tc>
              <w:tc>
                <w:tcPr>
                  <w:tcW w:w="667" w:type="pct"/>
                  <w:vAlign w:val="center"/>
                </w:tcPr>
                <w:p w14:paraId="5A9EDCFD">
                  <w:pPr>
                    <w:pStyle w:val="16"/>
                    <w:keepNext w:val="0"/>
                    <w:keepLines w:val="0"/>
                    <w:pageBreakBefore w:val="0"/>
                    <w:kinsoku/>
                    <w:wordWrap w:val="0"/>
                    <w:overflowPunct/>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lang w:val="en-US" w:eastAsia="zh-CN"/>
                    </w:rPr>
                    <w:t>3</w:t>
                  </w:r>
                </w:p>
              </w:tc>
              <w:tc>
                <w:tcPr>
                  <w:tcW w:w="674" w:type="pct"/>
                  <w:vAlign w:val="center"/>
                </w:tcPr>
                <w:p w14:paraId="726EE88C">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274" w:type="dxa"/>
                  <w:vAlign w:val="center"/>
                </w:tcPr>
                <w:p w14:paraId="6F9D756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10%</w:t>
                  </w:r>
                </w:p>
              </w:tc>
              <w:tc>
                <w:tcPr>
                  <w:tcW w:w="650" w:type="pct"/>
                  <w:vAlign w:val="center"/>
                </w:tcPr>
                <w:p w14:paraId="3A5F2A24">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306D3DE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2E6CC94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2</w:t>
                  </w:r>
                </w:p>
              </w:tc>
              <w:tc>
                <w:tcPr>
                  <w:tcW w:w="1580" w:type="pct"/>
                  <w:vAlign w:val="center"/>
                </w:tcPr>
                <w:p w14:paraId="79F5201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年</w:t>
                  </w:r>
                  <w:r>
                    <w:rPr>
                      <w:rFonts w:hint="default" w:ascii="Times New Roman" w:hAnsi="Times New Roman" w:cs="Times New Roman"/>
                      <w:color w:val="auto"/>
                      <w:sz w:val="21"/>
                      <w:szCs w:val="21"/>
                      <w:highlight w:val="none"/>
                    </w:rPr>
                    <w:t>平均质量浓度</w:t>
                  </w:r>
                </w:p>
              </w:tc>
              <w:tc>
                <w:tcPr>
                  <w:tcW w:w="667" w:type="pct"/>
                  <w:vAlign w:val="center"/>
                </w:tcPr>
                <w:p w14:paraId="24E9E595">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12μ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0D6344DC">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274" w:type="dxa"/>
                  <w:vAlign w:val="center"/>
                </w:tcPr>
                <w:p w14:paraId="4D8AF7A8">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30%</w:t>
                  </w:r>
                </w:p>
              </w:tc>
              <w:tc>
                <w:tcPr>
                  <w:tcW w:w="650" w:type="pct"/>
                  <w:vAlign w:val="center"/>
                </w:tcPr>
                <w:p w14:paraId="0D87195E">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59D6765">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E937DB8">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10</w:t>
                  </w:r>
                </w:p>
              </w:tc>
              <w:tc>
                <w:tcPr>
                  <w:tcW w:w="1580" w:type="pct"/>
                  <w:vAlign w:val="center"/>
                </w:tcPr>
                <w:p w14:paraId="775128EE">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年</w:t>
                  </w:r>
                  <w:r>
                    <w:rPr>
                      <w:rFonts w:hint="default" w:ascii="Times New Roman" w:hAnsi="Times New Roman" w:cs="Times New Roman"/>
                      <w:color w:val="auto"/>
                      <w:sz w:val="21"/>
                      <w:szCs w:val="21"/>
                      <w:highlight w:val="none"/>
                    </w:rPr>
                    <w:t>平均质量浓度</w:t>
                  </w:r>
                </w:p>
              </w:tc>
              <w:tc>
                <w:tcPr>
                  <w:tcW w:w="667" w:type="pct"/>
                  <w:vAlign w:val="center"/>
                </w:tcPr>
                <w:p w14:paraId="6A88CCA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31μ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0065433C">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274" w:type="dxa"/>
                  <w:vAlign w:val="center"/>
                </w:tcPr>
                <w:p w14:paraId="094C016F">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44%</w:t>
                  </w:r>
                </w:p>
              </w:tc>
              <w:tc>
                <w:tcPr>
                  <w:tcW w:w="650" w:type="pct"/>
                  <w:vAlign w:val="center"/>
                </w:tcPr>
                <w:p w14:paraId="7ABADC66">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16523A24">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2D96C35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PM</w:t>
                  </w:r>
                  <w:r>
                    <w:rPr>
                      <w:rFonts w:hint="default" w:ascii="Times New Roman" w:hAnsi="Times New Roman" w:cs="Times New Roman"/>
                      <w:color w:val="auto"/>
                      <w:sz w:val="21"/>
                      <w:szCs w:val="21"/>
                      <w:highlight w:val="none"/>
                      <w:vertAlign w:val="subscript"/>
                    </w:rPr>
                    <w:t>2.5</w:t>
                  </w:r>
                </w:p>
              </w:tc>
              <w:tc>
                <w:tcPr>
                  <w:tcW w:w="1580" w:type="pct"/>
                  <w:vAlign w:val="center"/>
                </w:tcPr>
                <w:p w14:paraId="70F9981D">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年</w:t>
                  </w:r>
                  <w:r>
                    <w:rPr>
                      <w:rFonts w:hint="default" w:ascii="Times New Roman" w:hAnsi="Times New Roman" w:cs="Times New Roman"/>
                      <w:color w:val="auto"/>
                      <w:sz w:val="21"/>
                      <w:szCs w:val="21"/>
                      <w:highlight w:val="none"/>
                    </w:rPr>
                    <w:t>平均质量浓度</w:t>
                  </w:r>
                </w:p>
              </w:tc>
              <w:tc>
                <w:tcPr>
                  <w:tcW w:w="667" w:type="pct"/>
                  <w:vAlign w:val="center"/>
                </w:tcPr>
                <w:p w14:paraId="36DB28B1">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21μ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6522D92A">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35</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274" w:type="dxa"/>
                  <w:vAlign w:val="center"/>
                </w:tcPr>
                <w:p w14:paraId="2358E3B5">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60%</w:t>
                  </w:r>
                </w:p>
              </w:tc>
              <w:tc>
                <w:tcPr>
                  <w:tcW w:w="650" w:type="pct"/>
                  <w:vAlign w:val="center"/>
                </w:tcPr>
                <w:p w14:paraId="2D4CC989">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不</w:t>
                  </w:r>
                  <w:r>
                    <w:rPr>
                      <w:rFonts w:hint="default" w:ascii="Times New Roman" w:hAnsi="Times New Roman" w:cs="Times New Roman"/>
                      <w:color w:val="auto"/>
                      <w:sz w:val="21"/>
                      <w:szCs w:val="21"/>
                      <w:highlight w:val="none"/>
                    </w:rPr>
                    <w:t>达标</w:t>
                  </w:r>
                </w:p>
              </w:tc>
            </w:tr>
            <w:tr w14:paraId="64BF1FE7">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0453582D">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w:t>
                  </w:r>
                </w:p>
              </w:tc>
              <w:tc>
                <w:tcPr>
                  <w:tcW w:w="1580" w:type="pct"/>
                  <w:vAlign w:val="center"/>
                </w:tcPr>
                <w:p w14:paraId="5A2C087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24小时均值第95百分位数</w:t>
                  </w:r>
                </w:p>
              </w:tc>
              <w:tc>
                <w:tcPr>
                  <w:tcW w:w="667" w:type="pct"/>
                  <w:vAlign w:val="center"/>
                </w:tcPr>
                <w:p w14:paraId="7BD520A2">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674" w:type="pct"/>
                  <w:vAlign w:val="center"/>
                </w:tcPr>
                <w:p w14:paraId="640518C5">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4mg/m</w:t>
                  </w:r>
                  <w:r>
                    <w:rPr>
                      <w:rFonts w:hint="default" w:ascii="Times New Roman" w:hAnsi="Times New Roman" w:cs="Times New Roman"/>
                      <w:color w:val="auto"/>
                      <w:sz w:val="21"/>
                      <w:szCs w:val="21"/>
                      <w:highlight w:val="none"/>
                      <w:vertAlign w:val="superscript"/>
                    </w:rPr>
                    <w:t>3</w:t>
                  </w:r>
                </w:p>
              </w:tc>
              <w:tc>
                <w:tcPr>
                  <w:tcW w:w="1274" w:type="dxa"/>
                  <w:vAlign w:val="center"/>
                </w:tcPr>
                <w:p w14:paraId="534FE257">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25%</w:t>
                  </w:r>
                </w:p>
              </w:tc>
              <w:tc>
                <w:tcPr>
                  <w:tcW w:w="650" w:type="pct"/>
                  <w:vAlign w:val="center"/>
                </w:tcPr>
                <w:p w14:paraId="0452260E">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r w14:paraId="7588D152">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624" w:type="pct"/>
                  <w:vAlign w:val="center"/>
                </w:tcPr>
                <w:p w14:paraId="32F1D5DF">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O</w:t>
                  </w:r>
                  <w:r>
                    <w:rPr>
                      <w:rFonts w:hint="default" w:ascii="Times New Roman" w:hAnsi="Times New Roman" w:cs="Times New Roman"/>
                      <w:color w:val="auto"/>
                      <w:sz w:val="21"/>
                      <w:szCs w:val="21"/>
                      <w:highlight w:val="none"/>
                      <w:vertAlign w:val="subscript"/>
                    </w:rPr>
                    <w:t>3</w:t>
                  </w:r>
                </w:p>
              </w:tc>
              <w:tc>
                <w:tcPr>
                  <w:tcW w:w="1580" w:type="pct"/>
                  <w:vAlign w:val="center"/>
                </w:tcPr>
                <w:p w14:paraId="74D83CB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最大8小时值第90百分位数</w:t>
                  </w:r>
                </w:p>
              </w:tc>
              <w:tc>
                <w:tcPr>
                  <w:tcW w:w="667" w:type="pct"/>
                  <w:vAlign w:val="center"/>
                </w:tcPr>
                <w:p w14:paraId="641A28A5">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108μ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674" w:type="pct"/>
                  <w:vAlign w:val="center"/>
                </w:tcPr>
                <w:p w14:paraId="598B1B67">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160</w:t>
                  </w:r>
                  <w:r>
                    <w:rPr>
                      <w:rFonts w:hint="default" w:ascii="Times New Roman" w:hAnsi="Times New Roman" w:cs="Times New Roman"/>
                      <w:color w:val="auto"/>
                      <w:sz w:val="21"/>
                      <w:szCs w:val="21"/>
                      <w:highlight w:val="none"/>
                      <w:lang w:val="en-US" w:eastAsia="zh-CN"/>
                    </w:rPr>
                    <w:t>μ</w:t>
                  </w:r>
                  <w:r>
                    <w:rPr>
                      <w:rFonts w:hint="default" w:ascii="Times New Roman" w:hAnsi="Times New Roman" w:cs="Times New Roman"/>
                      <w:color w:val="auto"/>
                      <w:sz w:val="21"/>
                      <w:szCs w:val="21"/>
                      <w:highlight w:val="none"/>
                    </w:rPr>
                    <w:t>g/m</w:t>
                  </w:r>
                  <w:r>
                    <w:rPr>
                      <w:rFonts w:hint="default" w:ascii="Times New Roman" w:hAnsi="Times New Roman" w:cs="Times New Roman"/>
                      <w:color w:val="auto"/>
                      <w:sz w:val="21"/>
                      <w:szCs w:val="21"/>
                      <w:highlight w:val="none"/>
                      <w:vertAlign w:val="superscript"/>
                    </w:rPr>
                    <w:t>3</w:t>
                  </w:r>
                </w:p>
              </w:tc>
              <w:tc>
                <w:tcPr>
                  <w:tcW w:w="1274" w:type="dxa"/>
                  <w:vAlign w:val="center"/>
                </w:tcPr>
                <w:p w14:paraId="7F2EB564">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w:t>
                  </w:r>
                  <w:r>
                    <w:rPr>
                      <w:rFonts w:hint="default" w:ascii="Times New Roman" w:hAnsi="Times New Roman" w:cs="Times New Roman"/>
                      <w:i w:val="0"/>
                      <w:iCs w:val="0"/>
                      <w:color w:val="auto"/>
                      <w:kern w:val="0"/>
                      <w:sz w:val="21"/>
                      <w:szCs w:val="21"/>
                      <w:highlight w:val="none"/>
                      <w:u w:val="none"/>
                      <w:lang w:val="en-US" w:eastAsia="zh-CN" w:bidi="ar"/>
                    </w:rPr>
                    <w:t>7.5</w:t>
                  </w:r>
                  <w:r>
                    <w:rPr>
                      <w:rFonts w:hint="default" w:ascii="Times New Roman" w:hAnsi="Times New Roman" w:eastAsia="宋体" w:cs="Times New Roman"/>
                      <w:i w:val="0"/>
                      <w:iCs w:val="0"/>
                      <w:color w:val="auto"/>
                      <w:kern w:val="0"/>
                      <w:sz w:val="21"/>
                      <w:szCs w:val="21"/>
                      <w:highlight w:val="none"/>
                      <w:u w:val="none"/>
                      <w:lang w:val="en-US" w:eastAsia="zh-CN" w:bidi="ar"/>
                    </w:rPr>
                    <w:t>%</w:t>
                  </w:r>
                </w:p>
              </w:tc>
              <w:tc>
                <w:tcPr>
                  <w:tcW w:w="650" w:type="pct"/>
                  <w:vAlign w:val="center"/>
                </w:tcPr>
                <w:p w14:paraId="52E212FF">
                  <w:pPr>
                    <w:keepNext w:val="0"/>
                    <w:keepLines w:val="0"/>
                    <w:pageBreakBefore w:val="0"/>
                    <w:kinsoku/>
                    <w:wordWrap w:val="0"/>
                    <w:overflowPunct/>
                    <w:topLinePunct w:val="0"/>
                    <w:autoSpaceDE w:val="0"/>
                    <w:autoSpaceDN w:val="0"/>
                    <w:bidi w:val="0"/>
                    <w:adjustRightInd w:val="0"/>
                    <w:snapToGrid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r>
          </w:tbl>
          <w:p w14:paraId="13EE5D36">
            <w:pPr>
              <w:pStyle w:val="44"/>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eastAsia="宋体" w:cs="Times New Roman"/>
                <w:bCs/>
                <w:color w:val="auto"/>
                <w:sz w:val="24"/>
                <w:szCs w:val="24"/>
                <w:highlight w:val="none"/>
                <w:lang w:val="en-US" w:eastAsia="zh-CN"/>
              </w:rPr>
              <w:t>由上统计可知，项目所在区域空气环境能满足</w:t>
            </w:r>
            <w:r>
              <w:rPr>
                <w:rFonts w:hint="default" w:ascii="Times New Roman" w:hAnsi="Times New Roman" w:cs="Times New Roman"/>
                <w:color w:val="auto"/>
                <w:highlight w:val="none"/>
                <w:lang w:eastAsia="zh-CN"/>
              </w:rPr>
              <w:t>《环境空气质</w:t>
            </w:r>
            <w:r>
              <w:rPr>
                <w:rFonts w:hint="default" w:ascii="Times New Roman" w:hAnsi="Times New Roman" w:cs="Times New Roman"/>
                <w:color w:val="auto"/>
                <w:highlight w:val="none"/>
                <w:lang w:val="en-US" w:eastAsia="zh-CN"/>
              </w:rPr>
              <w:t>量</w:t>
            </w:r>
            <w:r>
              <w:rPr>
                <w:rFonts w:hint="default" w:ascii="Times New Roman" w:hAnsi="Times New Roman" w:cs="Times New Roman"/>
                <w:color w:val="auto"/>
                <w:highlight w:val="none"/>
                <w:lang w:eastAsia="zh-CN"/>
              </w:rPr>
              <w:t>标准》(GB3095-2026)中表1环境空气污染物基本项目浓度限值过渡阶段的二级标准</w:t>
            </w:r>
            <w:r>
              <w:rPr>
                <w:rFonts w:hint="default" w:ascii="Times New Roman" w:hAnsi="Times New Roman" w:cs="Times New Roman"/>
                <w:color w:val="auto"/>
                <w:highlight w:val="none"/>
              </w:rPr>
              <w:t>。</w:t>
            </w:r>
            <w:r>
              <w:rPr>
                <w:rFonts w:hint="default" w:ascii="Times New Roman" w:hAnsi="Times New Roman" w:eastAsia="宋体" w:cs="Times New Roman"/>
                <w:bCs/>
                <w:color w:val="auto"/>
                <w:sz w:val="24"/>
                <w:szCs w:val="24"/>
                <w:highlight w:val="none"/>
                <w:lang w:val="en-US" w:eastAsia="zh-CN"/>
              </w:rPr>
              <w:t>本项目所在区域属于环境空气达标区。</w:t>
            </w:r>
          </w:p>
          <w:p w14:paraId="4D60CD50">
            <w:pPr>
              <w:keepNext w:val="0"/>
              <w:keepLines w:val="0"/>
              <w:pageBreakBefore w:val="0"/>
              <w:widowControl w:val="0"/>
              <w:kinsoku/>
              <w:wordWrap w:val="0"/>
              <w:overflowPunct/>
              <w:topLinePunct w:val="0"/>
              <w:autoSpaceDE/>
              <w:autoSpaceDN/>
              <w:bidi w:val="0"/>
              <w:adjustRightInd/>
              <w:snapToGrid/>
              <w:spacing w:before="0" w:beforeLines="0"/>
              <w:ind w:firstLine="480" w:firstLineChars="200"/>
              <w:jc w:val="left"/>
              <w:textAlignment w:val="auto"/>
              <w:rPr>
                <w:rFonts w:hint="default" w:ascii="Times New Roman" w:hAnsi="Times New Roman" w:cs="Times New Roman"/>
                <w:color w:val="auto"/>
                <w:highlight w:val="none"/>
              </w:rPr>
            </w:pPr>
            <w:r>
              <w:rPr>
                <w:rFonts w:hint="default" w:ascii="Times New Roman" w:hAnsi="Times New Roman" w:cs="Times New Roman"/>
                <w:b/>
                <w:bCs/>
                <w:color w:val="auto"/>
                <w:highlight w:val="none"/>
              </w:rPr>
              <w:t>（</w:t>
            </w: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）特征因子补充监测</w:t>
            </w:r>
          </w:p>
          <w:p w14:paraId="616E26D5">
            <w:pPr>
              <w:pageBreakBefore w:val="0"/>
              <w:wordWrap w:val="0"/>
              <w:topLinePunct w:val="0"/>
              <w:bidi w:val="0"/>
              <w:spacing w:line="360" w:lineRule="auto"/>
              <w:ind w:firstLine="480" w:firstLineChars="200"/>
              <w:rPr>
                <w:rFonts w:hint="default" w:ascii="Times New Roman" w:hAnsi="Times New Roman" w:cs="Times New Roman"/>
                <w:bCs/>
                <w:color w:val="auto"/>
                <w:szCs w:val="22"/>
                <w:highlight w:val="none"/>
              </w:rPr>
            </w:pPr>
            <w:r>
              <w:rPr>
                <w:rFonts w:hint="default" w:ascii="Times New Roman" w:hAnsi="Times New Roman" w:cs="Times New Roman"/>
                <w:color w:val="auto"/>
                <w:sz w:val="24"/>
                <w:highlight w:val="none"/>
              </w:rPr>
              <w:t>根据《建设项目环境影响报告表编制技术指南（污染影响类）》（试行）：排放国家、地方环境空气质量标准中有标准限值要求的特征污染物时，引用建设项目周边5千米范围内近3年的现有监测数据。本项目需补充监测的其他污染物为TSP。</w:t>
            </w:r>
          </w:p>
          <w:p w14:paraId="004E5134">
            <w:pPr>
              <w:pageBreakBefore w:val="0"/>
              <w:widowControl w:val="0"/>
              <w:kinsoku/>
              <w:wordWrap w:val="0"/>
              <w:overflowPunct/>
              <w:topLinePunct w:val="0"/>
              <w:bidi w:val="0"/>
              <w:ind w:firstLine="480" w:firstLineChars="200"/>
              <w:jc w:val="left"/>
              <w:textAlignment w:val="auto"/>
              <w:outlineLvl w:val="9"/>
              <w:rPr>
                <w:rFonts w:hint="default" w:ascii="Times New Roman" w:hAnsi="Times New Roman" w:cs="Times New Roman"/>
                <w:bCs/>
                <w:color w:val="auto"/>
                <w:szCs w:val="22"/>
                <w:highlight w:val="none"/>
              </w:rPr>
            </w:pPr>
            <w:r>
              <w:rPr>
                <w:rFonts w:hint="default" w:ascii="Times New Roman" w:hAnsi="Times New Roman" w:cs="Times New Roman"/>
                <w:bCs/>
                <w:color w:val="auto"/>
                <w:szCs w:val="22"/>
                <w:highlight w:val="none"/>
              </w:rPr>
              <w:t>本项目引用《2023年度乐昌产业转移工业园环境管理状况评估报告》中的监测数据，用于评价TSP现状：深圳市清华环科检测技术有限公司于2023年12月19日-2023年12月25日，在本项目南侧</w:t>
            </w:r>
            <w:r>
              <w:rPr>
                <w:rFonts w:hint="default" w:ascii="Times New Roman" w:hAnsi="Times New Roman" w:cs="Times New Roman"/>
                <w:bCs/>
                <w:color w:val="auto"/>
                <w:szCs w:val="22"/>
                <w:highlight w:val="none"/>
                <w:lang w:val="en-US" w:eastAsia="zh-CN"/>
              </w:rPr>
              <w:t>3553</w:t>
            </w:r>
            <w:r>
              <w:rPr>
                <w:rFonts w:hint="default" w:ascii="Times New Roman" w:hAnsi="Times New Roman" w:cs="Times New Roman"/>
                <w:bCs/>
                <w:color w:val="auto"/>
                <w:szCs w:val="22"/>
                <w:highlight w:val="none"/>
              </w:rPr>
              <w:t>m处G1和村进行采样监测（引用点位位置图见附图</w:t>
            </w:r>
            <w:r>
              <w:rPr>
                <w:rFonts w:hint="default" w:ascii="Times New Roman" w:hAnsi="Times New Roman" w:cs="Times New Roman"/>
                <w:bCs/>
                <w:color w:val="auto"/>
                <w:szCs w:val="22"/>
                <w:highlight w:val="none"/>
                <w:lang w:val="en-US" w:eastAsia="zh-CN"/>
              </w:rPr>
              <w:t>15</w:t>
            </w:r>
            <w:r>
              <w:rPr>
                <w:rFonts w:hint="default" w:ascii="Times New Roman" w:hAnsi="Times New Roman" w:cs="Times New Roman"/>
                <w:bCs/>
                <w:color w:val="auto"/>
                <w:szCs w:val="22"/>
                <w:highlight w:val="none"/>
              </w:rPr>
              <w:t>），连续监测7天。本项目其他污染物补充监测点位基本信息见表3-2，监测结果见表3-3。</w:t>
            </w:r>
          </w:p>
          <w:p w14:paraId="7BC6DF8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b/>
                <w:bCs/>
                <w:color w:val="auto"/>
                <w:sz w:val="21"/>
                <w:szCs w:val="21"/>
                <w:highlight w:val="none"/>
              </w:rPr>
            </w:pPr>
            <w:bookmarkStart w:id="44" w:name="_Toc20439"/>
            <w:bookmarkStart w:id="45" w:name="_Toc8230"/>
            <w:bookmarkStart w:id="46" w:name="_Toc6616"/>
            <w:bookmarkStart w:id="47" w:name="_Toc8763"/>
            <w:bookmarkStart w:id="48" w:name="_Toc17582"/>
            <w:r>
              <w:rPr>
                <w:rFonts w:hint="default" w:ascii="Times New Roman" w:hAnsi="Times New Roman" w:cs="Times New Roman"/>
                <w:b/>
                <w:bCs/>
                <w:color w:val="auto"/>
                <w:sz w:val="21"/>
                <w:szCs w:val="21"/>
                <w:highlight w:val="none"/>
                <w:lang w:val="en-GB"/>
              </w:rPr>
              <w:t>表</w:t>
            </w:r>
            <w:r>
              <w:rPr>
                <w:rFonts w:hint="default" w:ascii="Times New Roman" w:hAnsi="Times New Roman" w:cs="Times New Roman"/>
                <w:b/>
                <w:bCs/>
                <w:color w:val="auto"/>
                <w:sz w:val="21"/>
                <w:szCs w:val="21"/>
                <w:highlight w:val="none"/>
              </w:rPr>
              <w:t>3-2其他污染物补充监测点位基本信息</w:t>
            </w:r>
            <w:bookmarkEnd w:id="44"/>
            <w:bookmarkEnd w:id="45"/>
            <w:bookmarkEnd w:id="46"/>
            <w:bookmarkEnd w:id="47"/>
            <w:bookmarkEnd w:id="48"/>
          </w:p>
          <w:tbl>
            <w:tblPr>
              <w:tblStyle w:val="38"/>
              <w:tblW w:w="4994" w:type="pct"/>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1091"/>
              <w:gridCol w:w="1065"/>
              <w:gridCol w:w="817"/>
              <w:gridCol w:w="1167"/>
              <w:gridCol w:w="1759"/>
              <w:gridCol w:w="966"/>
              <w:gridCol w:w="1045"/>
            </w:tblGrid>
            <w:tr w14:paraId="7507166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690" w:type="pct"/>
                  <w:vMerge w:val="restart"/>
                  <w:tcBorders>
                    <w:tl2br w:val="nil"/>
                    <w:tr2bl w:val="nil"/>
                  </w:tcBorders>
                  <w:noWrap w:val="0"/>
                  <w:vAlign w:val="center"/>
                </w:tcPr>
                <w:p w14:paraId="5CD12B1B">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bookmarkStart w:id="49" w:name="_Toc21557"/>
                  <w:bookmarkStart w:id="50" w:name="_Toc14154"/>
                  <w:bookmarkStart w:id="51" w:name="_Toc21186"/>
                  <w:bookmarkStart w:id="52" w:name="_Toc698"/>
                  <w:bookmarkStart w:id="53" w:name="_Toc4447"/>
                  <w:r>
                    <w:rPr>
                      <w:rFonts w:hint="default" w:ascii="Times New Roman" w:hAnsi="Times New Roman" w:cs="Times New Roman"/>
                      <w:b/>
                      <w:bCs/>
                      <w:color w:val="auto"/>
                      <w:kern w:val="2"/>
                      <w:sz w:val="21"/>
                      <w:szCs w:val="21"/>
                      <w:highlight w:val="none"/>
                      <w:lang w:eastAsia="zh-CN" w:bidi="zh-CN"/>
                    </w:rPr>
                    <w:t>监测点名称</w:t>
                  </w:r>
                </w:p>
              </w:tc>
              <w:tc>
                <w:tcPr>
                  <w:tcW w:w="1189" w:type="pct"/>
                  <w:gridSpan w:val="2"/>
                  <w:tcBorders>
                    <w:tl2br w:val="nil"/>
                    <w:tr2bl w:val="nil"/>
                  </w:tcBorders>
                  <w:noWrap w:val="0"/>
                  <w:vAlign w:val="center"/>
                </w:tcPr>
                <w:p w14:paraId="640C9F47">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val="en-US" w:eastAsia="zh-CN" w:bidi="zh-CN"/>
                    </w:rPr>
                  </w:pPr>
                  <w:r>
                    <w:rPr>
                      <w:rFonts w:hint="default" w:ascii="Times New Roman" w:hAnsi="Times New Roman" w:cs="Times New Roman"/>
                      <w:b/>
                      <w:bCs/>
                      <w:color w:val="auto"/>
                      <w:kern w:val="2"/>
                      <w:sz w:val="21"/>
                      <w:szCs w:val="21"/>
                      <w:highlight w:val="none"/>
                      <w:lang w:eastAsia="zh-CN" w:bidi="zh-CN"/>
                    </w:rPr>
                    <w:t>监测点坐标</w:t>
                  </w:r>
                  <w:r>
                    <w:rPr>
                      <w:rFonts w:hint="default" w:ascii="Times New Roman" w:hAnsi="Times New Roman" w:cs="Times New Roman"/>
                      <w:b/>
                      <w:bCs/>
                      <w:color w:val="auto"/>
                      <w:kern w:val="2"/>
                      <w:sz w:val="21"/>
                      <w:szCs w:val="21"/>
                      <w:highlight w:val="none"/>
                      <w:lang w:val="en-US" w:eastAsia="zh-CN" w:bidi="zh-CN"/>
                    </w:rPr>
                    <w:t>/m</w:t>
                  </w:r>
                </w:p>
              </w:tc>
              <w:tc>
                <w:tcPr>
                  <w:tcW w:w="737" w:type="pct"/>
                  <w:vMerge w:val="restart"/>
                  <w:tcBorders>
                    <w:tl2br w:val="nil"/>
                    <w:tr2bl w:val="nil"/>
                  </w:tcBorders>
                  <w:noWrap w:val="0"/>
                  <w:vAlign w:val="center"/>
                </w:tcPr>
                <w:p w14:paraId="349688C2">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监测因子</w:t>
                  </w:r>
                </w:p>
              </w:tc>
              <w:tc>
                <w:tcPr>
                  <w:tcW w:w="1111" w:type="pct"/>
                  <w:vMerge w:val="restart"/>
                  <w:tcBorders>
                    <w:tl2br w:val="nil"/>
                    <w:tr2bl w:val="nil"/>
                  </w:tcBorders>
                  <w:noWrap w:val="0"/>
                  <w:vAlign w:val="center"/>
                </w:tcPr>
                <w:p w14:paraId="7D2EE7E0">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监测时段</w:t>
                  </w:r>
                </w:p>
              </w:tc>
              <w:tc>
                <w:tcPr>
                  <w:tcW w:w="610" w:type="pct"/>
                  <w:vMerge w:val="restart"/>
                  <w:tcBorders>
                    <w:tl2br w:val="nil"/>
                    <w:tr2bl w:val="nil"/>
                  </w:tcBorders>
                  <w:noWrap w:val="0"/>
                  <w:vAlign w:val="center"/>
                </w:tcPr>
                <w:p w14:paraId="14F4AB70">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相对厂址方位</w:t>
                  </w:r>
                </w:p>
              </w:tc>
              <w:tc>
                <w:tcPr>
                  <w:tcW w:w="660" w:type="pct"/>
                  <w:vMerge w:val="restart"/>
                  <w:tcBorders>
                    <w:tl2br w:val="nil"/>
                    <w:tr2bl w:val="nil"/>
                  </w:tcBorders>
                  <w:noWrap w:val="0"/>
                  <w:vAlign w:val="center"/>
                </w:tcPr>
                <w:p w14:paraId="4FDD741E">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相对厂界距离/m</w:t>
                  </w:r>
                </w:p>
              </w:tc>
            </w:tr>
            <w:tr w14:paraId="1D807C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690" w:type="pct"/>
                  <w:vMerge w:val="continue"/>
                  <w:tcBorders>
                    <w:tl2br w:val="nil"/>
                    <w:tr2bl w:val="nil"/>
                  </w:tcBorders>
                  <w:noWrap w:val="0"/>
                  <w:vAlign w:val="center"/>
                </w:tcPr>
                <w:p w14:paraId="66244F79">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p>
              </w:tc>
              <w:tc>
                <w:tcPr>
                  <w:tcW w:w="673" w:type="pct"/>
                  <w:tcBorders>
                    <w:tl2br w:val="nil"/>
                    <w:tr2bl w:val="nil"/>
                  </w:tcBorders>
                  <w:noWrap w:val="0"/>
                  <w:vAlign w:val="center"/>
                </w:tcPr>
                <w:p w14:paraId="212B4A1C">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val="en-US" w:eastAsia="zh-CN" w:bidi="zh-CN"/>
                    </w:rPr>
                  </w:pPr>
                  <w:r>
                    <w:rPr>
                      <w:rFonts w:hint="default" w:ascii="Times New Roman" w:hAnsi="Times New Roman" w:cs="Times New Roman"/>
                      <w:b/>
                      <w:bCs/>
                      <w:color w:val="auto"/>
                      <w:kern w:val="2"/>
                      <w:sz w:val="21"/>
                      <w:szCs w:val="21"/>
                      <w:highlight w:val="none"/>
                      <w:lang w:val="en-US" w:eastAsia="zh-CN" w:bidi="zh-CN"/>
                    </w:rPr>
                    <w:t>X</w:t>
                  </w:r>
                </w:p>
              </w:tc>
              <w:tc>
                <w:tcPr>
                  <w:tcW w:w="515" w:type="pct"/>
                  <w:tcBorders>
                    <w:tl2br w:val="nil"/>
                    <w:tr2bl w:val="nil"/>
                  </w:tcBorders>
                  <w:noWrap w:val="0"/>
                  <w:vAlign w:val="center"/>
                </w:tcPr>
                <w:p w14:paraId="105C5422">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val="en-US" w:eastAsia="zh-CN" w:bidi="zh-CN"/>
                    </w:rPr>
                    <w:t>Y</w:t>
                  </w:r>
                </w:p>
              </w:tc>
              <w:tc>
                <w:tcPr>
                  <w:tcW w:w="737" w:type="pct"/>
                  <w:vMerge w:val="continue"/>
                  <w:tcBorders>
                    <w:tl2br w:val="nil"/>
                    <w:tr2bl w:val="nil"/>
                  </w:tcBorders>
                  <w:noWrap w:val="0"/>
                  <w:vAlign w:val="center"/>
                </w:tcPr>
                <w:p w14:paraId="348943C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111" w:type="pct"/>
                  <w:vMerge w:val="continue"/>
                  <w:tcBorders>
                    <w:tl2br w:val="nil"/>
                    <w:tr2bl w:val="nil"/>
                  </w:tcBorders>
                  <w:noWrap w:val="0"/>
                  <w:vAlign w:val="center"/>
                </w:tcPr>
                <w:p w14:paraId="737BC65F">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610" w:type="pct"/>
                  <w:vMerge w:val="continue"/>
                  <w:tcBorders>
                    <w:tl2br w:val="nil"/>
                    <w:tr2bl w:val="nil"/>
                  </w:tcBorders>
                  <w:noWrap w:val="0"/>
                  <w:vAlign w:val="center"/>
                </w:tcPr>
                <w:p w14:paraId="6D9C3EA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660" w:type="pct"/>
                  <w:vMerge w:val="continue"/>
                  <w:tcBorders>
                    <w:tl2br w:val="nil"/>
                    <w:tr2bl w:val="nil"/>
                  </w:tcBorders>
                  <w:noWrap w:val="0"/>
                  <w:vAlign w:val="center"/>
                </w:tcPr>
                <w:p w14:paraId="6F8A54E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r>
            <w:tr w14:paraId="544D5E1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690" w:type="pct"/>
                  <w:tcBorders>
                    <w:tl2br w:val="nil"/>
                    <w:tr2bl w:val="nil"/>
                  </w:tcBorders>
                  <w:noWrap w:val="0"/>
                  <w:vAlign w:val="center"/>
                </w:tcPr>
                <w:p w14:paraId="04F98911">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eastAsia="宋体....."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G1</w:t>
                  </w:r>
                  <w:r>
                    <w:rPr>
                      <w:rFonts w:hint="default" w:ascii="Times New Roman" w:hAnsi="Times New Roman" w:cs="Times New Roman"/>
                      <w:color w:val="auto"/>
                      <w:sz w:val="21"/>
                      <w:szCs w:val="21"/>
                      <w:highlight w:val="none"/>
                      <w:lang w:val="en-US" w:eastAsia="zh-CN"/>
                    </w:rPr>
                    <w:t>和村</w:t>
                  </w:r>
                </w:p>
              </w:tc>
              <w:tc>
                <w:tcPr>
                  <w:tcW w:w="673" w:type="pct"/>
                  <w:tcBorders>
                    <w:tl2br w:val="nil"/>
                    <w:tr2bl w:val="nil"/>
                  </w:tcBorders>
                  <w:noWrap w:val="0"/>
                  <w:vAlign w:val="center"/>
                </w:tcPr>
                <w:p w14:paraId="083C77A0">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kern w:val="2"/>
                      <w:sz w:val="21"/>
                      <w:szCs w:val="21"/>
                      <w:highlight w:val="none"/>
                      <w:lang w:val="en-US" w:eastAsia="zh-CN" w:bidi="zh-CN"/>
                    </w:rPr>
                    <w:t>0</w:t>
                  </w:r>
                </w:p>
              </w:tc>
              <w:tc>
                <w:tcPr>
                  <w:tcW w:w="515" w:type="pct"/>
                  <w:tcBorders>
                    <w:tl2br w:val="nil"/>
                    <w:tr2bl w:val="nil"/>
                  </w:tcBorders>
                  <w:noWrap w:val="0"/>
                  <w:vAlign w:val="center"/>
                </w:tcPr>
                <w:p w14:paraId="7B20D652">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kern w:val="2"/>
                      <w:sz w:val="21"/>
                      <w:szCs w:val="21"/>
                      <w:highlight w:val="none"/>
                      <w:lang w:val="en-US" w:eastAsia="zh-CN" w:bidi="zh-CN"/>
                    </w:rPr>
                    <w:t>-3553</w:t>
                  </w:r>
                </w:p>
              </w:tc>
              <w:tc>
                <w:tcPr>
                  <w:tcW w:w="737" w:type="pct"/>
                  <w:tcBorders>
                    <w:tl2br w:val="nil"/>
                    <w:tr2bl w:val="nil"/>
                  </w:tcBorders>
                  <w:noWrap w:val="0"/>
                  <w:vAlign w:val="center"/>
                </w:tcPr>
                <w:p w14:paraId="032008BC">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TSP</w:t>
                  </w:r>
                </w:p>
              </w:tc>
              <w:tc>
                <w:tcPr>
                  <w:tcW w:w="1111" w:type="pct"/>
                  <w:tcBorders>
                    <w:tl2br w:val="nil"/>
                    <w:tr2bl w:val="nil"/>
                  </w:tcBorders>
                  <w:noWrap w:val="0"/>
                  <w:vAlign w:val="center"/>
                </w:tcPr>
                <w:p w14:paraId="24EAC5D2">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bCs/>
                      <w:color w:val="auto"/>
                      <w:sz w:val="21"/>
                      <w:szCs w:val="21"/>
                      <w:highlight w:val="none"/>
                    </w:rPr>
                    <w:t>202</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default" w:ascii="Times New Roman" w:hAnsi="Times New Roman" w:cs="Times New Roman"/>
                      <w:bCs/>
                      <w:color w:val="auto"/>
                      <w:sz w:val="21"/>
                      <w:szCs w:val="21"/>
                      <w:highlight w:val="none"/>
                      <w:lang w:val="en-US" w:eastAsia="zh-CN"/>
                    </w:rPr>
                    <w:t>19</w:t>
                  </w:r>
                  <w:r>
                    <w:rPr>
                      <w:rFonts w:hint="default" w:ascii="Times New Roman" w:hAnsi="Times New Roman" w:cs="Times New Roman"/>
                      <w:bCs/>
                      <w:color w:val="auto"/>
                      <w:sz w:val="21"/>
                      <w:szCs w:val="21"/>
                      <w:highlight w:val="none"/>
                    </w:rPr>
                    <w:t>日</w:t>
                  </w:r>
                  <w:r>
                    <w:rPr>
                      <w:rFonts w:hint="default" w:ascii="Times New Roman" w:hAnsi="Times New Roman" w:cs="Times New Roman"/>
                      <w:bCs/>
                      <w:color w:val="auto"/>
                      <w:sz w:val="21"/>
                      <w:szCs w:val="21"/>
                      <w:highlight w:val="none"/>
                      <w:lang w:eastAsia="zh-CN"/>
                    </w:rPr>
                    <w:t>～</w:t>
                  </w:r>
                  <w:r>
                    <w:rPr>
                      <w:rFonts w:hint="default" w:ascii="Times New Roman" w:hAnsi="Times New Roman" w:cs="Times New Roman"/>
                      <w:bCs/>
                      <w:color w:val="auto"/>
                      <w:sz w:val="21"/>
                      <w:szCs w:val="21"/>
                      <w:highlight w:val="none"/>
                    </w:rPr>
                    <w:t>202</w:t>
                  </w:r>
                  <w:r>
                    <w:rPr>
                      <w:rFonts w:hint="default" w:ascii="Times New Roman" w:hAnsi="Times New Roman" w:cs="Times New Roman"/>
                      <w:bCs/>
                      <w:color w:val="auto"/>
                      <w:sz w:val="21"/>
                      <w:szCs w:val="21"/>
                      <w:highlight w:val="none"/>
                      <w:lang w:val="en-US" w:eastAsia="zh-CN"/>
                    </w:rPr>
                    <w:t>3</w:t>
                  </w:r>
                  <w:r>
                    <w:rPr>
                      <w:rFonts w:hint="default" w:ascii="Times New Roman" w:hAnsi="Times New Roman" w:cs="Times New Roman"/>
                      <w:bCs/>
                      <w:color w:val="auto"/>
                      <w:sz w:val="21"/>
                      <w:szCs w:val="21"/>
                      <w:highlight w:val="none"/>
                    </w:rPr>
                    <w:t>年12月</w:t>
                  </w:r>
                  <w:r>
                    <w:rPr>
                      <w:rFonts w:hint="default" w:ascii="Times New Roman" w:hAnsi="Times New Roman" w:cs="Times New Roman"/>
                      <w:bCs/>
                      <w:color w:val="auto"/>
                      <w:sz w:val="21"/>
                      <w:szCs w:val="21"/>
                      <w:highlight w:val="none"/>
                      <w:lang w:val="en-US" w:eastAsia="zh-CN"/>
                    </w:rPr>
                    <w:t>25</w:t>
                  </w:r>
                  <w:r>
                    <w:rPr>
                      <w:rFonts w:hint="default" w:ascii="Times New Roman" w:hAnsi="Times New Roman" w:cs="Times New Roman"/>
                      <w:bCs/>
                      <w:color w:val="auto"/>
                      <w:sz w:val="21"/>
                      <w:szCs w:val="21"/>
                      <w:highlight w:val="none"/>
                    </w:rPr>
                    <w:t>日</w:t>
                  </w:r>
                </w:p>
              </w:tc>
              <w:tc>
                <w:tcPr>
                  <w:tcW w:w="610" w:type="pct"/>
                  <w:tcBorders>
                    <w:tl2br w:val="nil"/>
                    <w:tr2bl w:val="nil"/>
                  </w:tcBorders>
                  <w:noWrap w:val="0"/>
                  <w:vAlign w:val="center"/>
                </w:tcPr>
                <w:p w14:paraId="2F3D989D">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eastAsia="宋体....." w:cs="Times New Roman"/>
                      <w:color w:val="auto"/>
                      <w:sz w:val="21"/>
                      <w:szCs w:val="21"/>
                      <w:highlight w:val="none"/>
                      <w:lang w:val="en-US" w:eastAsia="zh-CN" w:bidi="zh-CN"/>
                    </w:rPr>
                  </w:pPr>
                  <w:r>
                    <w:rPr>
                      <w:rFonts w:hint="default" w:ascii="Times New Roman" w:hAnsi="Times New Roman" w:cs="Times New Roman"/>
                      <w:color w:val="auto"/>
                      <w:sz w:val="21"/>
                      <w:szCs w:val="21"/>
                      <w:highlight w:val="none"/>
                      <w:lang w:val="en-US" w:eastAsia="zh-CN"/>
                    </w:rPr>
                    <w:t>南面</w:t>
                  </w:r>
                </w:p>
              </w:tc>
              <w:tc>
                <w:tcPr>
                  <w:tcW w:w="660" w:type="pct"/>
                  <w:tcBorders>
                    <w:tl2br w:val="nil"/>
                    <w:tr2bl w:val="nil"/>
                  </w:tcBorders>
                  <w:noWrap w:val="0"/>
                  <w:vAlign w:val="center"/>
                </w:tcPr>
                <w:p w14:paraId="0C75BDB3">
                  <w:pPr>
                    <w:pStyle w:val="44"/>
                    <w:keepNext w:val="0"/>
                    <w:keepLines w:val="0"/>
                    <w:pageBreakBefore w:val="0"/>
                    <w:widowControl w:val="0"/>
                    <w:suppressLineNumbers w:val="0"/>
                    <w:kinsoku/>
                    <w:wordWrap w:val="0"/>
                    <w:overflowPunct/>
                    <w:topLinePunct w:val="0"/>
                    <w:autoSpaceDE w:val="0"/>
                    <w:autoSpaceDN w:val="0"/>
                    <w:bidi w:val="0"/>
                    <w:adjustRightInd w:val="0"/>
                    <w:snapToGrid/>
                    <w:spacing w:before="0" w:beforeAutospacing="0" w:after="0" w:afterAutospacing="0" w:line="276" w:lineRule="auto"/>
                    <w:ind w:left="0" w:leftChars="0" w:right="0" w:rightChars="0"/>
                    <w:jc w:val="center"/>
                    <w:textAlignment w:val="auto"/>
                    <w:outlineLvl w:val="9"/>
                    <w:rPr>
                      <w:rFonts w:hint="default" w:ascii="Times New Roman" w:hAnsi="Times New Roman" w:cs="Times New Roman"/>
                      <w:color w:val="auto"/>
                      <w:sz w:val="21"/>
                      <w:szCs w:val="21"/>
                      <w:highlight w:val="none"/>
                      <w:lang w:val="en-US" w:bidi="zh-CN"/>
                    </w:rPr>
                  </w:pPr>
                  <w:r>
                    <w:rPr>
                      <w:rFonts w:hint="default" w:ascii="Times New Roman" w:hAnsi="Times New Roman" w:cs="Times New Roman"/>
                      <w:color w:val="auto"/>
                      <w:sz w:val="21"/>
                      <w:szCs w:val="21"/>
                      <w:highlight w:val="none"/>
                      <w:lang w:val="en-US" w:eastAsia="zh-CN"/>
                    </w:rPr>
                    <w:t>3553</w:t>
                  </w:r>
                </w:p>
              </w:tc>
            </w:tr>
            <w:bookmarkEnd w:id="49"/>
            <w:bookmarkEnd w:id="50"/>
            <w:bookmarkEnd w:id="51"/>
            <w:bookmarkEnd w:id="52"/>
            <w:bookmarkEnd w:id="53"/>
          </w:tbl>
          <w:p w14:paraId="6B1DE2FE">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outlineLvl w:val="9"/>
              <w:rPr>
                <w:rFonts w:hint="default" w:ascii="Times New Roman" w:hAnsi="Times New Roman" w:eastAsia="宋体" w:cs="Times New Roman"/>
                <w:b/>
                <w:bCs/>
                <w:color w:val="auto"/>
                <w:sz w:val="21"/>
                <w:szCs w:val="21"/>
                <w:highlight w:val="none"/>
                <w:lang w:val="en-GB"/>
              </w:rPr>
            </w:pPr>
            <w:bookmarkStart w:id="54" w:name="_Toc14846"/>
            <w:bookmarkStart w:id="55" w:name="_Toc13955"/>
            <w:bookmarkStart w:id="56" w:name="_Toc24731"/>
            <w:bookmarkStart w:id="57" w:name="_Toc24683"/>
            <w:bookmarkStart w:id="58" w:name="_Toc8233"/>
            <w:r>
              <w:rPr>
                <w:rFonts w:hint="default" w:ascii="Times New Roman" w:hAnsi="Times New Roman" w:eastAsia="宋体" w:cs="Times New Roman"/>
                <w:b/>
                <w:bCs/>
                <w:color w:val="auto"/>
                <w:sz w:val="21"/>
                <w:szCs w:val="21"/>
                <w:highlight w:val="none"/>
                <w:lang w:val="en-GB"/>
              </w:rPr>
              <w:t>表3-3其他污染物环境质量现状（监测结果）表</w:t>
            </w:r>
            <w:bookmarkEnd w:id="54"/>
            <w:bookmarkEnd w:id="55"/>
            <w:bookmarkEnd w:id="56"/>
            <w:bookmarkEnd w:id="57"/>
            <w:bookmarkEnd w:id="58"/>
          </w:p>
          <w:tbl>
            <w:tblPr>
              <w:tblStyle w:val="38"/>
              <w:tblW w:w="4997" w:type="pct"/>
              <w:tblInd w:w="-2"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808"/>
              <w:gridCol w:w="879"/>
              <w:gridCol w:w="895"/>
              <w:gridCol w:w="1261"/>
              <w:gridCol w:w="1567"/>
              <w:gridCol w:w="1090"/>
              <w:gridCol w:w="642"/>
              <w:gridCol w:w="773"/>
            </w:tblGrid>
            <w:tr w14:paraId="7AEEABE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510" w:type="pct"/>
                  <w:tcBorders>
                    <w:tl2br w:val="nil"/>
                    <w:tr2bl w:val="nil"/>
                  </w:tcBorders>
                  <w:noWrap w:val="0"/>
                  <w:vAlign w:val="center"/>
                </w:tcPr>
                <w:p w14:paraId="2D17948C">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点位名称</w:t>
                  </w:r>
                </w:p>
              </w:tc>
              <w:tc>
                <w:tcPr>
                  <w:tcW w:w="555" w:type="pct"/>
                  <w:tcBorders>
                    <w:tl2br w:val="nil"/>
                    <w:tr2bl w:val="nil"/>
                  </w:tcBorders>
                  <w:noWrap w:val="0"/>
                  <w:vAlign w:val="center"/>
                </w:tcPr>
                <w:p w14:paraId="0A3455C4">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污染物</w:t>
                  </w:r>
                </w:p>
              </w:tc>
              <w:tc>
                <w:tcPr>
                  <w:tcW w:w="565" w:type="pct"/>
                  <w:tcBorders>
                    <w:tl2br w:val="nil"/>
                    <w:tr2bl w:val="nil"/>
                  </w:tcBorders>
                  <w:noWrap w:val="0"/>
                  <w:vAlign w:val="center"/>
                </w:tcPr>
                <w:p w14:paraId="3C8F3D69">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平均时间</w:t>
                  </w:r>
                </w:p>
              </w:tc>
              <w:tc>
                <w:tcPr>
                  <w:tcW w:w="796" w:type="pct"/>
                  <w:tcBorders>
                    <w:tl2br w:val="nil"/>
                    <w:tr2bl w:val="nil"/>
                  </w:tcBorders>
                  <w:noWrap w:val="0"/>
                  <w:vAlign w:val="center"/>
                </w:tcPr>
                <w:p w14:paraId="58359B90">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评价标准</w:t>
                  </w:r>
                </w:p>
                <w:p w14:paraId="550F5794">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w:t>
                  </w:r>
                  <w:r>
                    <w:rPr>
                      <w:rFonts w:hint="default" w:ascii="Times New Roman" w:hAnsi="Times New Roman" w:cs="Times New Roman"/>
                      <w:b/>
                      <w:bCs/>
                      <w:color w:val="auto"/>
                      <w:kern w:val="2"/>
                      <w:sz w:val="21"/>
                      <w:szCs w:val="21"/>
                      <w:highlight w:val="none"/>
                      <w:lang w:val="en-US" w:eastAsia="zh-CN" w:bidi="zh-CN"/>
                    </w:rPr>
                    <w:t>μg</w:t>
                  </w:r>
                  <w:r>
                    <w:rPr>
                      <w:rFonts w:hint="default" w:ascii="Times New Roman" w:hAnsi="Times New Roman" w:cs="Times New Roman"/>
                      <w:b/>
                      <w:bCs/>
                      <w:color w:val="auto"/>
                      <w:kern w:val="2"/>
                      <w:sz w:val="21"/>
                      <w:szCs w:val="21"/>
                      <w:highlight w:val="none"/>
                      <w:lang w:eastAsia="zh-CN" w:bidi="zh-CN"/>
                    </w:rPr>
                    <w:t>/m</w:t>
                  </w:r>
                  <w:r>
                    <w:rPr>
                      <w:rFonts w:hint="default" w:ascii="Times New Roman" w:hAnsi="Times New Roman" w:cs="Times New Roman"/>
                      <w:b/>
                      <w:bCs/>
                      <w:color w:val="auto"/>
                      <w:kern w:val="2"/>
                      <w:sz w:val="21"/>
                      <w:szCs w:val="21"/>
                      <w:highlight w:val="none"/>
                      <w:vertAlign w:val="superscript"/>
                      <w:lang w:eastAsia="zh-CN" w:bidi="zh-CN"/>
                    </w:rPr>
                    <w:t>3)</w:t>
                  </w:r>
                </w:p>
              </w:tc>
              <w:tc>
                <w:tcPr>
                  <w:tcW w:w="989" w:type="pct"/>
                  <w:tcBorders>
                    <w:tl2br w:val="nil"/>
                    <w:tr2bl w:val="nil"/>
                  </w:tcBorders>
                  <w:noWrap w:val="0"/>
                  <w:vAlign w:val="center"/>
                </w:tcPr>
                <w:p w14:paraId="602A3BF2">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现状浓度范围</w:t>
                  </w:r>
                  <w:r>
                    <w:rPr>
                      <w:rFonts w:hint="default" w:ascii="Times New Roman" w:hAnsi="Times New Roman" w:cs="Times New Roman"/>
                      <w:b/>
                      <w:bCs/>
                      <w:color w:val="auto"/>
                      <w:kern w:val="2"/>
                      <w:sz w:val="21"/>
                      <w:szCs w:val="21"/>
                      <w:highlight w:val="none"/>
                      <w:lang w:val="en-US" w:eastAsia="zh-CN" w:bidi="zh-CN"/>
                    </w:rPr>
                    <w:t>μg</w:t>
                  </w:r>
                  <w:r>
                    <w:rPr>
                      <w:rFonts w:hint="default" w:ascii="Times New Roman" w:hAnsi="Times New Roman" w:cs="Times New Roman"/>
                      <w:b/>
                      <w:bCs/>
                      <w:color w:val="auto"/>
                      <w:kern w:val="2"/>
                      <w:sz w:val="21"/>
                      <w:szCs w:val="21"/>
                      <w:highlight w:val="none"/>
                      <w:lang w:eastAsia="zh-CN" w:bidi="zh-CN"/>
                    </w:rPr>
                    <w:t>/m</w:t>
                  </w:r>
                  <w:r>
                    <w:rPr>
                      <w:rFonts w:hint="default" w:ascii="Times New Roman" w:hAnsi="Times New Roman" w:cs="Times New Roman"/>
                      <w:b/>
                      <w:bCs/>
                      <w:color w:val="auto"/>
                      <w:kern w:val="2"/>
                      <w:sz w:val="21"/>
                      <w:szCs w:val="21"/>
                      <w:highlight w:val="none"/>
                      <w:vertAlign w:val="superscript"/>
                      <w:lang w:eastAsia="zh-CN" w:bidi="zh-CN"/>
                    </w:rPr>
                    <w:t>3</w:t>
                  </w:r>
                </w:p>
              </w:tc>
              <w:tc>
                <w:tcPr>
                  <w:tcW w:w="688" w:type="pct"/>
                  <w:tcBorders>
                    <w:tl2br w:val="nil"/>
                    <w:tr2bl w:val="nil"/>
                  </w:tcBorders>
                  <w:noWrap w:val="0"/>
                  <w:vAlign w:val="center"/>
                </w:tcPr>
                <w:p w14:paraId="4A2AC7FF">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最大浓度占标率/%</w:t>
                  </w:r>
                </w:p>
              </w:tc>
              <w:tc>
                <w:tcPr>
                  <w:tcW w:w="405" w:type="pct"/>
                  <w:tcBorders>
                    <w:tl2br w:val="nil"/>
                    <w:tr2bl w:val="nil"/>
                  </w:tcBorders>
                  <w:noWrap w:val="0"/>
                  <w:vAlign w:val="center"/>
                </w:tcPr>
                <w:p w14:paraId="571C01CD">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超标</w:t>
                  </w:r>
                  <w:r>
                    <w:rPr>
                      <w:rFonts w:hint="default" w:ascii="Times New Roman" w:hAnsi="Times New Roman" w:cs="Times New Roman"/>
                      <w:b/>
                      <w:bCs/>
                      <w:color w:val="auto"/>
                      <w:kern w:val="2"/>
                      <w:sz w:val="21"/>
                      <w:szCs w:val="21"/>
                      <w:highlight w:val="none"/>
                      <w:lang w:val="en-US" w:eastAsia="zh-CN" w:bidi="zh-CN"/>
                    </w:rPr>
                    <w:t>倍数</w:t>
                  </w:r>
                </w:p>
              </w:tc>
              <w:tc>
                <w:tcPr>
                  <w:tcW w:w="487" w:type="pct"/>
                  <w:tcBorders>
                    <w:tl2br w:val="nil"/>
                    <w:tr2bl w:val="nil"/>
                  </w:tcBorders>
                  <w:noWrap w:val="0"/>
                  <w:vAlign w:val="center"/>
                </w:tcPr>
                <w:p w14:paraId="026D00C5">
                  <w:pPr>
                    <w:pStyle w:val="114"/>
                    <w:pageBreakBefore w:val="0"/>
                    <w:wordWrap w:val="0"/>
                    <w:topLinePunct w:val="0"/>
                    <w:bidi w:val="0"/>
                    <w:spacing w:line="240" w:lineRule="auto"/>
                    <w:jc w:val="center"/>
                    <w:rPr>
                      <w:rFonts w:hint="default" w:ascii="Times New Roman" w:hAnsi="Times New Roman" w:cs="Times New Roman"/>
                      <w:b/>
                      <w:bCs/>
                      <w:color w:val="auto"/>
                      <w:kern w:val="2"/>
                      <w:sz w:val="21"/>
                      <w:szCs w:val="21"/>
                      <w:highlight w:val="none"/>
                      <w:lang w:eastAsia="zh-CN" w:bidi="zh-CN"/>
                    </w:rPr>
                  </w:pPr>
                  <w:r>
                    <w:rPr>
                      <w:rFonts w:hint="default" w:ascii="Times New Roman" w:hAnsi="Times New Roman" w:cs="Times New Roman"/>
                      <w:b/>
                      <w:bCs/>
                      <w:color w:val="auto"/>
                      <w:kern w:val="2"/>
                      <w:sz w:val="21"/>
                      <w:szCs w:val="21"/>
                      <w:highlight w:val="none"/>
                      <w:lang w:eastAsia="zh-CN" w:bidi="zh-CN"/>
                    </w:rPr>
                    <w:t>达标情况</w:t>
                  </w:r>
                </w:p>
              </w:tc>
            </w:tr>
            <w:tr w14:paraId="32DB48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97" w:hRule="atLeast"/>
              </w:trPr>
              <w:tc>
                <w:tcPr>
                  <w:tcW w:w="510" w:type="pct"/>
                  <w:tcBorders>
                    <w:tl2br w:val="nil"/>
                    <w:tr2bl w:val="nil"/>
                  </w:tcBorders>
                  <w:noWrap w:val="0"/>
                  <w:vAlign w:val="center"/>
                </w:tcPr>
                <w:p w14:paraId="071B6209">
                  <w:pPr>
                    <w:pStyle w:val="114"/>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G1付村</w:t>
                  </w:r>
                </w:p>
              </w:tc>
              <w:tc>
                <w:tcPr>
                  <w:tcW w:w="555" w:type="pct"/>
                  <w:tcBorders>
                    <w:tl2br w:val="nil"/>
                    <w:tr2bl w:val="nil"/>
                  </w:tcBorders>
                  <w:noWrap w:val="0"/>
                  <w:vAlign w:val="center"/>
                </w:tcPr>
                <w:p w14:paraId="00C8B5FB">
                  <w:pPr>
                    <w:pStyle w:val="114"/>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kern w:val="2"/>
                      <w:sz w:val="21"/>
                      <w:szCs w:val="21"/>
                      <w:highlight w:val="none"/>
                      <w:lang w:val="en-US" w:eastAsia="zh-CN" w:bidi="zh-CN"/>
                    </w:rPr>
                    <w:t>TSP</w:t>
                  </w:r>
                </w:p>
              </w:tc>
              <w:tc>
                <w:tcPr>
                  <w:tcW w:w="565" w:type="pct"/>
                  <w:tcBorders>
                    <w:tl2br w:val="nil"/>
                    <w:tr2bl w:val="nil"/>
                  </w:tcBorders>
                  <w:noWrap w:val="0"/>
                  <w:vAlign w:val="center"/>
                </w:tcPr>
                <w:p w14:paraId="381DF212">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bidi="zh-CN"/>
                    </w:rPr>
                  </w:pPr>
                  <w:r>
                    <w:rPr>
                      <w:rFonts w:hint="default" w:ascii="Times New Roman" w:hAnsi="Times New Roman" w:cs="Times New Roman"/>
                      <w:color w:val="auto"/>
                      <w:sz w:val="21"/>
                      <w:szCs w:val="21"/>
                      <w:highlight w:val="none"/>
                      <w:lang w:val="en-US" w:bidi="zh-CN"/>
                    </w:rPr>
                    <w:t>24</w:t>
                  </w:r>
                  <w:r>
                    <w:rPr>
                      <w:rFonts w:hint="default" w:ascii="Times New Roman" w:hAnsi="Times New Roman" w:cs="Times New Roman"/>
                      <w:color w:val="auto"/>
                      <w:sz w:val="21"/>
                      <w:szCs w:val="21"/>
                      <w:highlight w:val="none"/>
                      <w:lang w:bidi="zh-CN"/>
                    </w:rPr>
                    <w:t>h平均</w:t>
                  </w:r>
                </w:p>
              </w:tc>
              <w:tc>
                <w:tcPr>
                  <w:tcW w:w="796" w:type="pct"/>
                  <w:tcBorders>
                    <w:tl2br w:val="nil"/>
                    <w:tr2bl w:val="nil"/>
                  </w:tcBorders>
                  <w:noWrap w:val="0"/>
                  <w:vAlign w:val="center"/>
                </w:tcPr>
                <w:p w14:paraId="34CA0EBC">
                  <w:pPr>
                    <w:pStyle w:val="114"/>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bidi="zh-CN"/>
                    </w:rPr>
                  </w:pPr>
                  <w:r>
                    <w:rPr>
                      <w:rFonts w:hint="default" w:ascii="Times New Roman" w:hAnsi="Times New Roman" w:cs="Times New Roman"/>
                      <w:color w:val="auto"/>
                      <w:kern w:val="2"/>
                      <w:sz w:val="21"/>
                      <w:szCs w:val="21"/>
                      <w:highlight w:val="none"/>
                      <w:lang w:val="en-US" w:eastAsia="zh-CN" w:bidi="zh-CN"/>
                    </w:rPr>
                    <w:t>300</w:t>
                  </w:r>
                </w:p>
              </w:tc>
              <w:tc>
                <w:tcPr>
                  <w:tcW w:w="989" w:type="pct"/>
                  <w:tcBorders>
                    <w:tl2br w:val="nil"/>
                    <w:tr2bl w:val="nil"/>
                  </w:tcBorders>
                  <w:noWrap w:val="0"/>
                  <w:vAlign w:val="center"/>
                </w:tcPr>
                <w:p w14:paraId="749B7910">
                  <w:pPr>
                    <w:pStyle w:val="2"/>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kern w:val="0"/>
                      <w:sz w:val="21"/>
                      <w:szCs w:val="21"/>
                      <w:highlight w:val="none"/>
                      <w:lang w:val="en-US" w:eastAsia="zh-CN"/>
                    </w:rPr>
                    <w:t>100~111</w:t>
                  </w:r>
                </w:p>
              </w:tc>
              <w:tc>
                <w:tcPr>
                  <w:tcW w:w="688" w:type="pct"/>
                  <w:tcBorders>
                    <w:tl2br w:val="nil"/>
                    <w:tr2bl w:val="nil"/>
                  </w:tcBorders>
                  <w:noWrap w:val="0"/>
                  <w:vAlign w:val="center"/>
                </w:tcPr>
                <w:p w14:paraId="059A5103">
                  <w:pPr>
                    <w:pStyle w:val="2"/>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cs="Times New Roman"/>
                      <w:color w:val="auto"/>
                      <w:kern w:val="0"/>
                      <w:sz w:val="21"/>
                      <w:szCs w:val="21"/>
                      <w:highlight w:val="none"/>
                      <w:lang w:val="en-US" w:eastAsia="zh-CN"/>
                    </w:rPr>
                    <w:t>37.0</w:t>
                  </w:r>
                </w:p>
              </w:tc>
              <w:tc>
                <w:tcPr>
                  <w:tcW w:w="405" w:type="pct"/>
                  <w:tcBorders>
                    <w:tl2br w:val="nil"/>
                    <w:tr2bl w:val="nil"/>
                  </w:tcBorders>
                  <w:noWrap w:val="0"/>
                  <w:vAlign w:val="center"/>
                </w:tcPr>
                <w:p w14:paraId="7750735A">
                  <w:pPr>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0</w:t>
                  </w:r>
                </w:p>
              </w:tc>
              <w:tc>
                <w:tcPr>
                  <w:tcW w:w="487" w:type="pct"/>
                  <w:tcBorders>
                    <w:tl2br w:val="nil"/>
                    <w:tr2bl w:val="nil"/>
                  </w:tcBorders>
                  <w:noWrap w:val="0"/>
                  <w:vAlign w:val="center"/>
                </w:tcPr>
                <w:p w14:paraId="2F6AB705">
                  <w:pPr>
                    <w:keepNext w:val="0"/>
                    <w:keepLines w:val="0"/>
                    <w:pageBreakBefore w:val="0"/>
                    <w:widowControl w:val="0"/>
                    <w:suppressLineNumbers w:val="0"/>
                    <w:kinsoku/>
                    <w:wordWrap w:val="0"/>
                    <w:overflowPunct/>
                    <w:topLinePunct w:val="0"/>
                    <w:bidi w:val="0"/>
                    <w:spacing w:before="0" w:beforeAutospacing="0" w:after="0" w:afterAutospacing="0" w:line="240" w:lineRule="auto"/>
                    <w:ind w:left="0" w:leftChars="0" w:right="0" w:rightChars="0"/>
                    <w:jc w:val="center"/>
                    <w:textAlignment w:val="auto"/>
                    <w:outlineLvl w:val="9"/>
                    <w:rPr>
                      <w:rFonts w:hint="default" w:ascii="Times New Roman" w:hAnsi="Times New Roman" w:cs="Times New Roman"/>
                      <w:color w:val="auto"/>
                      <w:kern w:val="2"/>
                      <w:sz w:val="21"/>
                      <w:szCs w:val="21"/>
                      <w:highlight w:val="none"/>
                      <w:lang w:eastAsia="zh-CN" w:bidi="zh-CN"/>
                    </w:rPr>
                  </w:pPr>
                  <w:r>
                    <w:rPr>
                      <w:rFonts w:hint="default" w:ascii="Times New Roman" w:hAnsi="Times New Roman" w:cs="Times New Roman"/>
                      <w:color w:val="auto"/>
                      <w:sz w:val="21"/>
                      <w:szCs w:val="21"/>
                      <w:highlight w:val="none"/>
                    </w:rPr>
                    <w:t>达标</w:t>
                  </w:r>
                </w:p>
              </w:tc>
            </w:tr>
          </w:tbl>
          <w:p w14:paraId="0BBF384B">
            <w:pPr>
              <w:pageBreakBefore w:val="0"/>
              <w:widowControl w:val="0"/>
              <w:kinsoku/>
              <w:wordWrap w:val="0"/>
              <w:overflowPunct/>
              <w:topLinePunct w:val="0"/>
              <w:bidi w:val="0"/>
              <w:ind w:firstLine="480" w:firstLineChars="200"/>
              <w:textAlignment w:val="auto"/>
              <w:outlineLvl w:val="9"/>
              <w:rPr>
                <w:rFonts w:hint="default" w:ascii="Times New Roman" w:hAnsi="Times New Roman" w:cs="Times New Roman"/>
                <w:color w:val="auto"/>
                <w:highlight w:val="none"/>
              </w:rPr>
            </w:pPr>
            <w:r>
              <w:rPr>
                <w:rFonts w:hint="default" w:ascii="Times New Roman" w:hAnsi="Times New Roman" w:cs="Times New Roman"/>
                <w:bCs/>
                <w:color w:val="auto"/>
                <w:szCs w:val="22"/>
                <w:highlight w:val="none"/>
              </w:rPr>
              <w:t>监测结果表明，项目周围区域空气中，特征污染物TSP24小时平均浓度可达到</w:t>
            </w:r>
            <w:r>
              <w:rPr>
                <w:rFonts w:hint="default" w:ascii="Times New Roman" w:hAnsi="Times New Roman" w:cs="Times New Roman"/>
                <w:color w:val="auto"/>
                <w:sz w:val="24"/>
                <w:highlight w:val="none"/>
                <w:lang w:val="en-US" w:eastAsia="zh-CN"/>
              </w:rPr>
              <w:t>《环境空气质量标准》（GB3095-2026）中二级标准限值要求</w:t>
            </w:r>
            <w:r>
              <w:rPr>
                <w:rFonts w:hint="default" w:ascii="Times New Roman" w:hAnsi="Times New Roman" w:cs="Times New Roman"/>
                <w:bCs/>
                <w:color w:val="auto"/>
                <w:szCs w:val="22"/>
                <w:highlight w:val="none"/>
              </w:rPr>
              <w:t>。</w:t>
            </w:r>
          </w:p>
          <w:p w14:paraId="479622F7">
            <w:pPr>
              <w:pageBreakBefore w:val="0"/>
              <w:widowControl w:val="0"/>
              <w:numPr>
                <w:ilvl w:val="2"/>
                <w:numId w:val="0"/>
              </w:numPr>
              <w:tabs>
                <w:tab w:val="left" w:pos="420"/>
              </w:tabs>
              <w:kinsoku/>
              <w:wordWrap w:val="0"/>
              <w:overflowPunct/>
              <w:topLinePunct w:val="0"/>
              <w:bidi w:val="0"/>
              <w:ind w:left="-2" w:firstLine="482"/>
              <w:textAlignment w:val="auto"/>
              <w:outlineLvl w:val="9"/>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二、水环境质量现状</w:t>
            </w:r>
          </w:p>
          <w:p w14:paraId="7A8E2AE6">
            <w:pPr>
              <w:pageBreakBefore w:val="0"/>
              <w:wordWrap w:val="0"/>
              <w:topLinePunct w:val="0"/>
              <w:autoSpaceDE w:val="0"/>
              <w:autoSpaceDN w:val="0"/>
              <w:bidi w:val="0"/>
              <w:adjustRightInd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根据《广东省地表水环境功能区划》（粤环</w:t>
            </w:r>
            <w:r>
              <w:rPr>
                <w:rFonts w:hint="default" w:ascii="Times New Roman" w:hAnsi="Times New Roman" w:cs="Times New Roman"/>
                <w:color w:val="auto"/>
                <w:kern w:val="0"/>
                <w:highlight w:val="none"/>
              </w:rPr>
              <w:t>〔201</w:t>
            </w:r>
            <w:r>
              <w:rPr>
                <w:rFonts w:hint="default" w:ascii="Times New Roman" w:hAnsi="Times New Roman" w:cs="Times New Roman"/>
                <w:color w:val="auto"/>
                <w:kern w:val="0"/>
                <w:highlight w:val="none"/>
                <w:lang w:val="en-US" w:eastAsia="zh-CN"/>
              </w:rPr>
              <w:t>1</w:t>
            </w:r>
            <w:r>
              <w:rPr>
                <w:rFonts w:hint="default" w:ascii="Times New Roman" w:hAnsi="Times New Roman" w:cs="Times New Roman"/>
                <w:color w:val="auto"/>
                <w:kern w:val="0"/>
                <w:highlight w:val="none"/>
              </w:rPr>
              <w:t>〕</w:t>
            </w:r>
            <w:r>
              <w:rPr>
                <w:rFonts w:hint="default" w:ascii="Times New Roman" w:hAnsi="Times New Roman" w:cs="Times New Roman"/>
                <w:color w:val="auto"/>
                <w:highlight w:val="none"/>
              </w:rPr>
              <w:t>14号）</w:t>
            </w:r>
            <w:r>
              <w:rPr>
                <w:rFonts w:hint="default" w:ascii="Times New Roman" w:hAnsi="Times New Roman" w:cs="Times New Roman"/>
                <w:color w:val="auto"/>
                <w:highlight w:val="none"/>
                <w:lang w:eastAsia="zh-CN"/>
              </w:rPr>
              <w:t>和《广东省水利厅关于印发&lt;韶关市部分饮用水水源保护区调整方案&gt;的通知》（粤环函</w:t>
            </w:r>
            <w:r>
              <w:rPr>
                <w:rFonts w:hint="default" w:ascii="Times New Roman" w:hAnsi="Times New Roman" w:cs="Times New Roman"/>
                <w:color w:val="auto"/>
                <w:kern w:val="0"/>
                <w:highlight w:val="none"/>
              </w:rPr>
              <w:t>〔201</w:t>
            </w:r>
            <w:r>
              <w:rPr>
                <w:rFonts w:hint="default" w:ascii="Times New Roman" w:hAnsi="Times New Roman" w:cs="Times New Roman"/>
                <w:color w:val="auto"/>
                <w:kern w:val="0"/>
                <w:highlight w:val="none"/>
                <w:lang w:val="en-US" w:eastAsia="zh-CN"/>
              </w:rPr>
              <w:t>24</w:t>
            </w:r>
            <w:r>
              <w:rPr>
                <w:rFonts w:hint="default" w:ascii="Times New Roman" w:hAnsi="Times New Roman" w:cs="Times New Roman"/>
                <w:color w:val="auto"/>
                <w:kern w:val="0"/>
                <w:highlight w:val="none"/>
              </w:rPr>
              <w:t>〕</w:t>
            </w:r>
            <w:r>
              <w:rPr>
                <w:rFonts w:hint="default" w:ascii="Times New Roman" w:hAnsi="Times New Roman" w:cs="Times New Roman"/>
                <w:color w:val="auto"/>
                <w:highlight w:val="none"/>
                <w:lang w:eastAsia="zh-CN"/>
              </w:rPr>
              <w:t>146号）</w:t>
            </w:r>
            <w:r>
              <w:rPr>
                <w:rFonts w:hint="default" w:ascii="Times New Roman" w:hAnsi="Times New Roman" w:cs="Times New Roman"/>
                <w:color w:val="auto"/>
                <w:highlight w:val="none"/>
              </w:rPr>
              <w:t>，本项目所在区域主要地表水及纳污水体为武江（乐昌城-犁市），为III类水质功能区，执行《地表水环境质量标准》（GB3838-2002）中的III类标准。根据《202</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年韶关市生态环境状况公报》，2024 年，韶关市11条主要江河(北江、武江、浈江、南水河、墨江、锦江、马坝河、滃江、新丰江、横石水和大潭河)34个市考以上手工监测断面水质优良率为100%，故项目所在地地表水环境质量现状良好。</w:t>
            </w:r>
          </w:p>
          <w:p w14:paraId="0C8A41B2">
            <w:pPr>
              <w:pStyle w:val="5"/>
              <w:pageBreakBefore w:val="0"/>
              <w:numPr>
                <w:ilvl w:val="2"/>
                <w:numId w:val="0"/>
              </w:numPr>
              <w:wordWrap w:val="0"/>
              <w:topLinePunct w:val="0"/>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三、声环境质量现状</w:t>
            </w:r>
          </w:p>
          <w:p w14:paraId="78D7BE71">
            <w:pPr>
              <w:pageBreakBefore w:val="0"/>
              <w:wordWrap w:val="0"/>
              <w:topLinePunct w:val="0"/>
              <w:bidi w:val="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项目所在地为工业园区内，执行《声环境质量标准》（GB3096—2008）3类标准（昼间65dB(A)；夜间55dB(A)）。</w:t>
            </w:r>
          </w:p>
          <w:p w14:paraId="1E31279C">
            <w:pPr>
              <w:pageBreakBefore w:val="0"/>
              <w:wordWrap w:val="0"/>
              <w:topLinePunct w:val="0"/>
              <w:bidi w:val="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highlight w:val="none"/>
              </w:rPr>
              <w:t>根据《建设项目环境影响报告表编制技术指南（污染影响类）（试行）》，</w:t>
            </w:r>
            <w:r>
              <w:rPr>
                <w:rFonts w:hint="default" w:ascii="Times New Roman" w:hAnsi="Times New Roman" w:cs="Times New Roman"/>
                <w:color w:val="auto"/>
                <w:kern w:val="0"/>
                <w:highlight w:val="none"/>
              </w:rPr>
              <w:t>本项目周边50米范围内无敏感点，故无需进行声环境质量现状监测与评价。</w:t>
            </w:r>
          </w:p>
          <w:p w14:paraId="63DF99EA">
            <w:pPr>
              <w:pStyle w:val="5"/>
              <w:pageBreakBefore w:val="0"/>
              <w:numPr>
                <w:ilvl w:val="2"/>
                <w:numId w:val="0"/>
              </w:numPr>
              <w:wordWrap w:val="0"/>
              <w:topLinePunct w:val="0"/>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四、地下水、土壤环境质量现状</w:t>
            </w:r>
          </w:p>
          <w:p w14:paraId="0907BCDF">
            <w:pPr>
              <w:pageBreakBefore w:val="0"/>
              <w:wordWrap w:val="0"/>
              <w:topLinePunct w:val="0"/>
              <w:autoSpaceDE w:val="0"/>
              <w:autoSpaceDN w:val="0"/>
              <w:bidi w:val="0"/>
              <w:adjustRightInd w:val="0"/>
              <w:ind w:firstLine="480" w:firstLineChars="200"/>
              <w:jc w:val="left"/>
              <w:rPr>
                <w:rFonts w:hint="default" w:ascii="Times New Roman" w:hAnsi="Times New Roman" w:cs="Times New Roman"/>
                <w:bCs/>
                <w:color w:val="auto"/>
                <w:kern w:val="28"/>
                <w:sz w:val="24"/>
                <w:highlight w:val="none"/>
                <w:lang w:eastAsia="zh-CN"/>
              </w:rPr>
            </w:pPr>
            <w:r>
              <w:rPr>
                <w:rFonts w:hint="default" w:ascii="Times New Roman" w:hAnsi="Times New Roman" w:cs="Times New Roman"/>
                <w:color w:val="auto"/>
                <w:sz w:val="24"/>
                <w:szCs w:val="32"/>
                <w:highlight w:val="none"/>
                <w:lang w:val="en-US" w:eastAsia="zh-CN"/>
              </w:rPr>
              <w:t>根据《建设项目环境影响报告表编制技术指南（污染影响类）（试行）》，原则上不开展地下水、土壤环境质量现状调查。本项目不存在地下水污染途径，无需开展地下水环境影响评价，因此不进行地下水质量现状监测与评价；同时项目也不存在土壤污染途径，无需开展土壤环境影响评价，故不进行土壤环境质量现状调查。</w:t>
            </w:r>
          </w:p>
          <w:p w14:paraId="7E969F53">
            <w:pPr>
              <w:pStyle w:val="5"/>
              <w:pageBreakBefore w:val="0"/>
              <w:numPr>
                <w:ilvl w:val="2"/>
                <w:numId w:val="0"/>
              </w:numPr>
              <w:wordWrap w:val="0"/>
              <w:topLinePunct w:val="0"/>
              <w:bidi w:val="0"/>
              <w:ind w:left="-2" w:firstLine="482"/>
              <w:rPr>
                <w:rFonts w:hint="default" w:ascii="Times New Roman" w:hAnsi="Times New Roman" w:cs="Times New Roman"/>
                <w:color w:val="auto"/>
                <w:highlight w:val="none"/>
              </w:rPr>
            </w:pPr>
            <w:r>
              <w:rPr>
                <w:rFonts w:hint="default" w:ascii="Times New Roman" w:hAnsi="Times New Roman" w:cs="Times New Roman"/>
                <w:color w:val="auto"/>
                <w:highlight w:val="none"/>
              </w:rPr>
              <w:t>五、生态环境质量现状</w:t>
            </w:r>
          </w:p>
          <w:p w14:paraId="1283FAA1">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b w:val="0"/>
                <w:bCs w:val="0"/>
                <w:color w:val="auto"/>
                <w:szCs w:val="32"/>
                <w:highlight w:val="none"/>
              </w:rPr>
              <w:t>本项目位于乐昌市乐昌产业转移工业园内，根据现场勘踏和调查，项目用地范围内不含生态环境保护目标，不需进行生态环境调查。</w:t>
            </w:r>
          </w:p>
        </w:tc>
      </w:tr>
      <w:tr w14:paraId="630D9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10F637A4">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59" w:name="_Toc24022"/>
            <w:bookmarkStart w:id="60" w:name="_Toc31357"/>
            <w:bookmarkStart w:id="61" w:name="_Toc28210"/>
            <w:bookmarkStart w:id="62" w:name="_Toc241"/>
            <w:bookmarkStart w:id="63" w:name="_Toc728"/>
            <w:bookmarkStart w:id="64" w:name="_Toc14552"/>
            <w:bookmarkStart w:id="65" w:name="_Toc7031"/>
            <w:bookmarkStart w:id="66" w:name="_Toc28375"/>
            <w:bookmarkStart w:id="67" w:name="_Toc28582"/>
            <w:bookmarkStart w:id="68" w:name="_Toc461"/>
            <w:r>
              <w:rPr>
                <w:rFonts w:hint="default" w:ascii="Times New Roman" w:hAnsi="Times New Roman" w:cs="Times New Roman"/>
                <w:color w:val="auto"/>
                <w:highlight w:val="none"/>
              </w:rPr>
              <w:t>环境保护目标</w:t>
            </w:r>
            <w:bookmarkEnd w:id="59"/>
            <w:bookmarkEnd w:id="60"/>
            <w:bookmarkEnd w:id="61"/>
            <w:bookmarkEnd w:id="62"/>
            <w:bookmarkEnd w:id="63"/>
            <w:bookmarkEnd w:id="64"/>
            <w:bookmarkEnd w:id="65"/>
            <w:bookmarkEnd w:id="66"/>
            <w:bookmarkEnd w:id="67"/>
            <w:bookmarkEnd w:id="68"/>
          </w:p>
        </w:tc>
        <w:tc>
          <w:tcPr>
            <w:tcW w:w="4737" w:type="pct"/>
          </w:tcPr>
          <w:p w14:paraId="490E2BA2">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一、环境空气保护目标</w:t>
            </w:r>
          </w:p>
          <w:p w14:paraId="2749E666">
            <w:pPr>
              <w:keepNext w:val="0"/>
              <w:keepLines w:val="0"/>
              <w:pageBreakBefore w:val="0"/>
              <w:widowControl w:val="0"/>
              <w:kinsoku/>
              <w:wordWrap w:val="0"/>
              <w:overflowPunct/>
              <w:topLinePunct w:val="0"/>
              <w:autoSpaceDE/>
              <w:autoSpaceDN/>
              <w:bidi w:val="0"/>
              <w:adjustRightInd w:val="0"/>
              <w:snapToGrid w:val="0"/>
              <w:ind w:firstLine="480" w:firstLineChars="200"/>
              <w:textAlignment w:val="auto"/>
              <w:rPr>
                <w:rFonts w:hint="default" w:ascii="Times New Roman" w:hAnsi="Times New Roman" w:eastAsia="宋体" w:cs="Times New Roman"/>
                <w:color w:val="auto"/>
                <w:kern w:val="2"/>
                <w:szCs w:val="32"/>
                <w:highlight w:val="none"/>
                <w:lang w:eastAsia="zh-CN"/>
              </w:rPr>
            </w:pPr>
            <w:r>
              <w:rPr>
                <w:rFonts w:hint="default" w:ascii="Times New Roman" w:hAnsi="Times New Roman" w:eastAsia="宋体" w:cs="Times New Roman"/>
                <w:color w:val="auto"/>
                <w:szCs w:val="32"/>
                <w:highlight w:val="none"/>
              </w:rPr>
              <w:t>根据现场调查</w:t>
            </w:r>
            <w:r>
              <w:rPr>
                <w:rFonts w:hint="default" w:ascii="Times New Roman" w:hAnsi="Times New Roman" w:eastAsia="宋体" w:cs="Times New Roman"/>
                <w:color w:val="auto"/>
                <w:szCs w:val="32"/>
                <w:highlight w:val="none"/>
                <w:lang w:val="en-US" w:eastAsia="zh-CN"/>
              </w:rPr>
              <w:t>，</w:t>
            </w:r>
            <w:r>
              <w:rPr>
                <w:rFonts w:hint="default" w:ascii="Times New Roman" w:hAnsi="Times New Roman" w:eastAsia="宋体" w:cs="Times New Roman"/>
                <w:color w:val="auto"/>
                <w:kern w:val="2"/>
                <w:szCs w:val="32"/>
                <w:highlight w:val="none"/>
              </w:rPr>
              <w:t>本项目厂界外500米范围内不存在自然保护区、风景名胜区、文化区</w:t>
            </w:r>
            <w:r>
              <w:rPr>
                <w:rFonts w:hint="default" w:ascii="Times New Roman" w:hAnsi="Times New Roman" w:eastAsia="宋体" w:cs="Times New Roman"/>
                <w:color w:val="auto"/>
                <w:kern w:val="2"/>
                <w:szCs w:val="32"/>
                <w:highlight w:val="none"/>
                <w:lang w:eastAsia="zh-CN"/>
              </w:rPr>
              <w:t>，</w:t>
            </w:r>
            <w:r>
              <w:rPr>
                <w:rFonts w:hint="default" w:ascii="Times New Roman" w:hAnsi="Times New Roman" w:eastAsia="宋体" w:cs="Times New Roman"/>
                <w:color w:val="auto"/>
                <w:szCs w:val="32"/>
                <w:highlight w:val="none"/>
              </w:rPr>
              <w:t>主要环境敏感目标分布</w:t>
            </w:r>
            <w:r>
              <w:rPr>
                <w:rFonts w:hint="default" w:ascii="Times New Roman" w:hAnsi="Times New Roman" w:eastAsia="宋体" w:cs="Times New Roman"/>
                <w:color w:val="auto"/>
                <w:szCs w:val="32"/>
                <w:highlight w:val="none"/>
                <w:lang w:val="en-US" w:eastAsia="zh-CN"/>
              </w:rPr>
              <w:t>如下</w:t>
            </w:r>
            <w:r>
              <w:rPr>
                <w:rFonts w:hint="default" w:ascii="Times New Roman" w:hAnsi="Times New Roman" w:eastAsia="宋体" w:cs="Times New Roman"/>
                <w:color w:val="auto"/>
                <w:kern w:val="2"/>
                <w:szCs w:val="32"/>
                <w:highlight w:val="none"/>
                <w:lang w:eastAsia="zh-CN"/>
              </w:rPr>
              <w:t>：</w:t>
            </w:r>
          </w:p>
          <w:p w14:paraId="538B476C">
            <w:pPr>
              <w:pStyle w:val="101"/>
              <w:keepNext w:val="0"/>
              <w:keepLines w:val="0"/>
              <w:pageBreakBefore w:val="0"/>
              <w:widowControl w:val="0"/>
              <w:kinsoku/>
              <w:wordWrap w:val="0"/>
              <w:overflowPunct/>
              <w:topLinePunct w:val="0"/>
              <w:autoSpaceDE/>
              <w:autoSpaceDN/>
              <w:bidi w:val="0"/>
              <w:adjustRightInd w:val="0"/>
              <w:snapToGrid/>
              <w:spacing w:before="0" w:beforeLines="0" w:beforeAutospacing="0" w:afterAutospacing="0" w:line="36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w:t>
            </w:r>
            <w:r>
              <w:rPr>
                <w:rFonts w:hint="default" w:ascii="Times New Roman" w:hAnsi="Times New Roman" w:eastAsia="宋体" w:cs="Times New Roman"/>
                <w:b/>
                <w:color w:val="auto"/>
                <w:sz w:val="21"/>
                <w:szCs w:val="21"/>
                <w:highlight w:val="none"/>
                <w:lang w:val="en-US" w:eastAsia="zh-CN"/>
              </w:rPr>
              <w:t>3-4</w:t>
            </w:r>
            <w:r>
              <w:rPr>
                <w:rFonts w:hint="default" w:ascii="Times New Roman" w:hAnsi="Times New Roman" w:eastAsia="宋体" w:cs="Times New Roman"/>
                <w:b/>
                <w:color w:val="auto"/>
                <w:sz w:val="21"/>
                <w:szCs w:val="21"/>
                <w:highlight w:val="none"/>
              </w:rPr>
              <w:t>项目厂址周边环境保护敏感目标一览表</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07"/>
              <w:gridCol w:w="843"/>
              <w:gridCol w:w="564"/>
              <w:gridCol w:w="648"/>
              <w:gridCol w:w="830"/>
              <w:gridCol w:w="903"/>
              <w:gridCol w:w="1058"/>
              <w:gridCol w:w="963"/>
              <w:gridCol w:w="1603"/>
            </w:tblGrid>
            <w:tr w14:paraId="6AD63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1" w:type="pct"/>
                  <w:vMerge w:val="restart"/>
                  <w:noWrap w:val="0"/>
                  <w:vAlign w:val="center"/>
                </w:tcPr>
                <w:p w14:paraId="47E27D09">
                  <w:pPr>
                    <w:pStyle w:val="106"/>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序号</w:t>
                  </w:r>
                </w:p>
              </w:tc>
              <w:tc>
                <w:tcPr>
                  <w:tcW w:w="532" w:type="pct"/>
                  <w:vMerge w:val="restart"/>
                  <w:noWrap w:val="0"/>
                  <w:vAlign w:val="center"/>
                </w:tcPr>
                <w:p w14:paraId="3B2E49E7">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敏感点名称</w:t>
                  </w:r>
                </w:p>
              </w:tc>
              <w:tc>
                <w:tcPr>
                  <w:tcW w:w="765" w:type="pct"/>
                  <w:gridSpan w:val="2"/>
                  <w:noWrap w:val="0"/>
                  <w:vAlign w:val="center"/>
                </w:tcPr>
                <w:p w14:paraId="46554245">
                  <w:pPr>
                    <w:pStyle w:val="107"/>
                    <w:keepNext w:val="0"/>
                    <w:keepLines w:val="0"/>
                    <w:pageBreakBefore w:val="0"/>
                    <w:widowControl w:val="0"/>
                    <w:kinsoku/>
                    <w:wordWrap w:val="0"/>
                    <w:overflowPunct/>
                    <w:topLinePunct w:val="0"/>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sz w:val="21"/>
                      <w:szCs w:val="21"/>
                      <w:highlight w:val="none"/>
                    </w:rPr>
                    <w:t>坐标</w:t>
                  </w:r>
                </w:p>
              </w:tc>
              <w:tc>
                <w:tcPr>
                  <w:tcW w:w="524" w:type="pct"/>
                  <w:vMerge w:val="restart"/>
                  <w:noWrap w:val="0"/>
                  <w:vAlign w:val="center"/>
                </w:tcPr>
                <w:p w14:paraId="0350897E">
                  <w:pPr>
                    <w:pStyle w:val="107"/>
                    <w:keepNext w:val="0"/>
                    <w:keepLines w:val="0"/>
                    <w:pageBreakBefore w:val="0"/>
                    <w:widowControl w:val="0"/>
                    <w:kinsoku/>
                    <w:wordWrap w:val="0"/>
                    <w:overflowPunct/>
                    <w:topLinePunct w:val="0"/>
                    <w:autoSpaceDE/>
                    <w:autoSpaceDN/>
                    <w:bidi w:val="0"/>
                    <w:snapToGrid/>
                    <w:spacing w:beforeAutospacing="0" w:afterAutospacing="0" w:line="240" w:lineRule="auto"/>
                    <w:textAlignment w:val="auto"/>
                    <w:rPr>
                      <w:rFonts w:hint="default" w:ascii="Times New Roman" w:hAnsi="Times New Roman" w:eastAsia="宋体" w:cs="Times New Roman"/>
                      <w:b/>
                      <w:color w:val="auto"/>
                      <w:kern w:val="2"/>
                      <w:sz w:val="21"/>
                      <w:szCs w:val="21"/>
                      <w:highlight w:val="none"/>
                    </w:rPr>
                  </w:pPr>
                  <w:r>
                    <w:rPr>
                      <w:rFonts w:hint="default" w:ascii="Times New Roman" w:hAnsi="Times New Roman" w:eastAsia="宋体" w:cs="Times New Roman"/>
                      <w:b/>
                      <w:color w:val="auto"/>
                      <w:kern w:val="2"/>
                      <w:sz w:val="21"/>
                      <w:szCs w:val="21"/>
                      <w:highlight w:val="none"/>
                    </w:rPr>
                    <w:t>相对厂址方位</w:t>
                  </w:r>
                </w:p>
              </w:tc>
              <w:tc>
                <w:tcPr>
                  <w:tcW w:w="570" w:type="pct"/>
                  <w:vMerge w:val="restart"/>
                  <w:noWrap w:val="0"/>
                  <w:vAlign w:val="center"/>
                </w:tcPr>
                <w:p w14:paraId="05F5FE8C">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最近距离</w:t>
                  </w:r>
                  <w:r>
                    <w:rPr>
                      <w:rFonts w:hint="default" w:ascii="Times New Roman" w:hAnsi="Times New Roman" w:eastAsia="宋体" w:cs="Times New Roman"/>
                      <w:b/>
                      <w:snapToGrid w:val="0"/>
                      <w:color w:val="auto"/>
                      <w:sz w:val="21"/>
                      <w:szCs w:val="21"/>
                      <w:highlight w:val="none"/>
                    </w:rPr>
                    <w:t>（m）</w:t>
                  </w:r>
                </w:p>
              </w:tc>
              <w:tc>
                <w:tcPr>
                  <w:tcW w:w="668" w:type="pct"/>
                  <w:vMerge w:val="restart"/>
                  <w:noWrap w:val="0"/>
                  <w:vAlign w:val="center"/>
                </w:tcPr>
                <w:p w14:paraId="1BCC423F">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snapToGrid w:val="0"/>
                      <w:color w:val="auto"/>
                      <w:sz w:val="21"/>
                      <w:szCs w:val="21"/>
                      <w:highlight w:val="none"/>
                    </w:rPr>
                    <w:t>规模/人口</w:t>
                  </w:r>
                </w:p>
              </w:tc>
              <w:tc>
                <w:tcPr>
                  <w:tcW w:w="608" w:type="pct"/>
                  <w:vMerge w:val="restart"/>
                  <w:noWrap w:val="0"/>
                  <w:vAlign w:val="center"/>
                </w:tcPr>
                <w:p w14:paraId="6DBA9E76">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保护对象</w:t>
                  </w:r>
                </w:p>
              </w:tc>
              <w:tc>
                <w:tcPr>
                  <w:tcW w:w="1010" w:type="pct"/>
                  <w:vMerge w:val="restart"/>
                  <w:noWrap w:val="0"/>
                  <w:vAlign w:val="center"/>
                </w:tcPr>
                <w:p w14:paraId="0346C9C4">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环境功能区</w:t>
                  </w:r>
                </w:p>
              </w:tc>
            </w:tr>
            <w:tr w14:paraId="14AC1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1" w:type="pct"/>
                  <w:vMerge w:val="continue"/>
                  <w:noWrap w:val="0"/>
                  <w:vAlign w:val="center"/>
                </w:tcPr>
                <w:p w14:paraId="2A00A65E">
                  <w:pPr>
                    <w:pStyle w:val="106"/>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532" w:type="pct"/>
                  <w:vMerge w:val="continue"/>
                  <w:noWrap w:val="0"/>
                  <w:vAlign w:val="center"/>
                </w:tcPr>
                <w:p w14:paraId="0E3A2F47">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356" w:type="pct"/>
                  <w:noWrap w:val="0"/>
                  <w:vAlign w:val="center"/>
                </w:tcPr>
                <w:p w14:paraId="311BAE12">
                  <w:pPr>
                    <w:pStyle w:val="108"/>
                    <w:keepNext w:val="0"/>
                    <w:keepLines w:val="0"/>
                    <w:pageBreakBefore w:val="0"/>
                    <w:widowControl w:val="0"/>
                    <w:kinsoku/>
                    <w:wordWrap w:val="0"/>
                    <w:overflowPunct/>
                    <w:topLinePunct w:val="0"/>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X</w:t>
                  </w:r>
                </w:p>
              </w:tc>
              <w:tc>
                <w:tcPr>
                  <w:tcW w:w="409" w:type="pct"/>
                  <w:noWrap w:val="0"/>
                  <w:vAlign w:val="center"/>
                </w:tcPr>
                <w:p w14:paraId="1B6D2A4E">
                  <w:pPr>
                    <w:pStyle w:val="108"/>
                    <w:keepNext w:val="0"/>
                    <w:keepLines w:val="0"/>
                    <w:pageBreakBefore w:val="0"/>
                    <w:widowControl w:val="0"/>
                    <w:kinsoku/>
                    <w:wordWrap w:val="0"/>
                    <w:overflowPunct/>
                    <w:topLinePunct w:val="0"/>
                    <w:bidi w:val="0"/>
                    <w:adjustRightInd w:val="0"/>
                    <w:snapToGrid/>
                    <w:spacing w:beforeAutospacing="0" w:afterAutospacing="0" w:line="240" w:lineRule="auto"/>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Y</w:t>
                  </w:r>
                </w:p>
              </w:tc>
              <w:tc>
                <w:tcPr>
                  <w:tcW w:w="524" w:type="pct"/>
                  <w:vMerge w:val="continue"/>
                  <w:noWrap w:val="0"/>
                  <w:vAlign w:val="center"/>
                </w:tcPr>
                <w:p w14:paraId="455FAD66">
                  <w:pPr>
                    <w:pStyle w:val="107"/>
                    <w:keepNext w:val="0"/>
                    <w:keepLines w:val="0"/>
                    <w:pageBreakBefore w:val="0"/>
                    <w:widowControl w:val="0"/>
                    <w:kinsoku/>
                    <w:wordWrap w:val="0"/>
                    <w:overflowPunct/>
                    <w:topLinePunct w:val="0"/>
                    <w:autoSpaceDE/>
                    <w:autoSpaceDN/>
                    <w:bidi w:val="0"/>
                    <w:snapToGrid/>
                    <w:spacing w:beforeAutospacing="0" w:afterAutospacing="0" w:line="240" w:lineRule="auto"/>
                    <w:textAlignment w:val="auto"/>
                    <w:rPr>
                      <w:rFonts w:hint="default" w:ascii="Times New Roman" w:hAnsi="Times New Roman" w:eastAsia="宋体" w:cs="Times New Roman"/>
                      <w:color w:val="auto"/>
                      <w:kern w:val="2"/>
                      <w:sz w:val="21"/>
                      <w:szCs w:val="21"/>
                      <w:highlight w:val="none"/>
                    </w:rPr>
                  </w:pPr>
                </w:p>
              </w:tc>
              <w:tc>
                <w:tcPr>
                  <w:tcW w:w="570" w:type="pct"/>
                  <w:vMerge w:val="continue"/>
                  <w:noWrap w:val="0"/>
                  <w:vAlign w:val="center"/>
                </w:tcPr>
                <w:p w14:paraId="6F368038">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668" w:type="pct"/>
                  <w:vMerge w:val="continue"/>
                  <w:noWrap w:val="0"/>
                  <w:vAlign w:val="center"/>
                </w:tcPr>
                <w:p w14:paraId="46B7AA7A">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608" w:type="pct"/>
                  <w:vMerge w:val="continue"/>
                  <w:noWrap w:val="0"/>
                  <w:vAlign w:val="center"/>
                </w:tcPr>
                <w:p w14:paraId="4376BB85">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1010" w:type="pct"/>
                  <w:vMerge w:val="continue"/>
                  <w:noWrap w:val="0"/>
                  <w:vAlign w:val="center"/>
                </w:tcPr>
                <w:p w14:paraId="4B2A9C68">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r>
            <w:tr w14:paraId="088DB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4" w:hRule="atLeast"/>
                <w:jc w:val="center"/>
              </w:trPr>
              <w:tc>
                <w:tcPr>
                  <w:tcW w:w="321" w:type="pct"/>
                  <w:vMerge w:val="restart"/>
                  <w:noWrap w:val="0"/>
                  <w:vAlign w:val="center"/>
                </w:tcPr>
                <w:p w14:paraId="30D9BB0A">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532" w:type="pct"/>
                  <w:noWrap w:val="0"/>
                  <w:vAlign w:val="center"/>
                </w:tcPr>
                <w:p w14:paraId="3F4CBE00">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高粱头村1#</w:t>
                  </w:r>
                </w:p>
              </w:tc>
              <w:tc>
                <w:tcPr>
                  <w:tcW w:w="356" w:type="pct"/>
                  <w:noWrap w:val="0"/>
                  <w:vAlign w:val="center"/>
                </w:tcPr>
                <w:p w14:paraId="66AE5E0A">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337</w:t>
                  </w:r>
                </w:p>
              </w:tc>
              <w:tc>
                <w:tcPr>
                  <w:tcW w:w="409" w:type="pct"/>
                  <w:noWrap w:val="0"/>
                  <w:vAlign w:val="center"/>
                </w:tcPr>
                <w:p w14:paraId="01E15384">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40</w:t>
                  </w:r>
                </w:p>
              </w:tc>
              <w:tc>
                <w:tcPr>
                  <w:tcW w:w="524" w:type="pct"/>
                  <w:noWrap w:val="0"/>
                  <w:vAlign w:val="center"/>
                </w:tcPr>
                <w:p w14:paraId="70ED664D">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东北</w:t>
                  </w:r>
                </w:p>
              </w:tc>
              <w:tc>
                <w:tcPr>
                  <w:tcW w:w="570" w:type="pct"/>
                  <w:noWrap w:val="0"/>
                  <w:vAlign w:val="center"/>
                </w:tcPr>
                <w:p w14:paraId="72F03914">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337</w:t>
                  </w:r>
                </w:p>
              </w:tc>
              <w:tc>
                <w:tcPr>
                  <w:tcW w:w="668" w:type="pct"/>
                  <w:noWrap w:val="0"/>
                  <w:vAlign w:val="center"/>
                </w:tcPr>
                <w:p w14:paraId="01FDFD9E">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50</w:t>
                  </w:r>
                </w:p>
              </w:tc>
              <w:tc>
                <w:tcPr>
                  <w:tcW w:w="608" w:type="pct"/>
                  <w:noWrap w:val="0"/>
                  <w:vAlign w:val="center"/>
                </w:tcPr>
                <w:p w14:paraId="1D14AD03">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居民</w:t>
                  </w:r>
                </w:p>
              </w:tc>
              <w:tc>
                <w:tcPr>
                  <w:tcW w:w="1010" w:type="pct"/>
                  <w:vMerge w:val="restart"/>
                  <w:noWrap w:val="0"/>
                  <w:vAlign w:val="center"/>
                </w:tcPr>
                <w:p w14:paraId="5DB7A5BB">
                  <w:pPr>
                    <w:pStyle w:val="109"/>
                    <w:keepNext w:val="0"/>
                    <w:keepLines w:val="0"/>
                    <w:pageBreakBefore w:val="0"/>
                    <w:widowControl w:val="0"/>
                    <w:kinsoku/>
                    <w:wordWrap w:val="0"/>
                    <w:overflowPunct/>
                    <w:topLinePunct w:val="0"/>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r>
                    <w:rPr>
                      <w:rFonts w:hint="default" w:ascii="Times New Roman" w:hAnsi="Times New Roman" w:eastAsia="宋体" w:cs="Times New Roman"/>
                      <w:snapToGrid w:val="0"/>
                      <w:color w:val="auto"/>
                      <w:spacing w:val="-2"/>
                      <w:sz w:val="21"/>
                      <w:szCs w:val="21"/>
                      <w:highlight w:val="none"/>
                      <w:lang w:val="en-US" w:eastAsia="zh-CN"/>
                    </w:rPr>
                    <w:t>大气环境二类功能区、声环境3类功能区</w:t>
                  </w:r>
                </w:p>
              </w:tc>
            </w:tr>
            <w:tr w14:paraId="76B62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4" w:hRule="atLeast"/>
                <w:jc w:val="center"/>
              </w:trPr>
              <w:tc>
                <w:tcPr>
                  <w:tcW w:w="321" w:type="pct"/>
                  <w:vMerge w:val="continue"/>
                  <w:noWrap w:val="0"/>
                  <w:vAlign w:val="center"/>
                </w:tcPr>
                <w:p w14:paraId="0469211F">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532" w:type="pct"/>
                  <w:noWrap w:val="0"/>
                  <w:vAlign w:val="center"/>
                </w:tcPr>
                <w:p w14:paraId="5C5B2D84">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高粱头村2#</w:t>
                  </w:r>
                </w:p>
              </w:tc>
              <w:tc>
                <w:tcPr>
                  <w:tcW w:w="356" w:type="pct"/>
                  <w:noWrap w:val="0"/>
                  <w:vAlign w:val="center"/>
                </w:tcPr>
                <w:p w14:paraId="2818DE54">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490</w:t>
                  </w:r>
                </w:p>
              </w:tc>
              <w:tc>
                <w:tcPr>
                  <w:tcW w:w="409" w:type="pct"/>
                  <w:noWrap w:val="0"/>
                  <w:vAlign w:val="center"/>
                </w:tcPr>
                <w:p w14:paraId="5D702C78">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0</w:t>
                  </w:r>
                </w:p>
              </w:tc>
              <w:tc>
                <w:tcPr>
                  <w:tcW w:w="524" w:type="pct"/>
                  <w:noWrap w:val="0"/>
                  <w:vAlign w:val="center"/>
                </w:tcPr>
                <w:p w14:paraId="7E5F6B91">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东</w:t>
                  </w:r>
                </w:p>
              </w:tc>
              <w:tc>
                <w:tcPr>
                  <w:tcW w:w="570" w:type="pct"/>
                  <w:noWrap w:val="0"/>
                  <w:vAlign w:val="center"/>
                </w:tcPr>
                <w:p w14:paraId="2DB2AA20">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483</w:t>
                  </w:r>
                </w:p>
              </w:tc>
              <w:tc>
                <w:tcPr>
                  <w:tcW w:w="668" w:type="pct"/>
                  <w:noWrap w:val="0"/>
                  <w:vAlign w:val="center"/>
                </w:tcPr>
                <w:p w14:paraId="3C00E156">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8</w:t>
                  </w:r>
                </w:p>
              </w:tc>
              <w:tc>
                <w:tcPr>
                  <w:tcW w:w="608" w:type="pct"/>
                  <w:noWrap w:val="0"/>
                  <w:vAlign w:val="center"/>
                </w:tcPr>
                <w:p w14:paraId="4D824397">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居民</w:t>
                  </w:r>
                </w:p>
              </w:tc>
              <w:tc>
                <w:tcPr>
                  <w:tcW w:w="1010" w:type="pct"/>
                  <w:vMerge w:val="continue"/>
                  <w:noWrap w:val="0"/>
                  <w:vAlign w:val="center"/>
                </w:tcPr>
                <w:p w14:paraId="514E04E8">
                  <w:pPr>
                    <w:pStyle w:val="109"/>
                    <w:keepNext w:val="0"/>
                    <w:keepLines w:val="0"/>
                    <w:pageBreakBefore w:val="0"/>
                    <w:widowControl w:val="0"/>
                    <w:kinsoku/>
                    <w:wordWrap w:val="0"/>
                    <w:overflowPunct/>
                    <w:topLinePunct w:val="0"/>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p>
              </w:tc>
            </w:tr>
            <w:tr w14:paraId="430AEB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jc w:val="center"/>
              </w:trPr>
              <w:tc>
                <w:tcPr>
                  <w:tcW w:w="321" w:type="pct"/>
                  <w:vMerge w:val="continue"/>
                  <w:noWrap w:val="0"/>
                  <w:vAlign w:val="center"/>
                </w:tcPr>
                <w:p w14:paraId="51045113">
                  <w:pPr>
                    <w:keepNext w:val="0"/>
                    <w:keepLines w:val="0"/>
                    <w:pageBreakBefore w:val="0"/>
                    <w:widowControl w:val="0"/>
                    <w:kinsoku/>
                    <w:wordWrap w:val="0"/>
                    <w:overflowPunct/>
                    <w:topLinePunct w:val="0"/>
                    <w:bidi w:val="0"/>
                    <w:adjustRightInd w:val="0"/>
                    <w:snapToGrid/>
                    <w:spacing w:beforeAutospacing="0" w:afterAutospacing="0" w:line="240" w:lineRule="auto"/>
                    <w:jc w:val="center"/>
                    <w:textAlignment w:val="auto"/>
                    <w:rPr>
                      <w:rFonts w:hint="default" w:ascii="Times New Roman" w:hAnsi="Times New Roman" w:eastAsia="宋体" w:cs="Times New Roman"/>
                      <w:color w:val="auto"/>
                      <w:sz w:val="21"/>
                      <w:szCs w:val="21"/>
                      <w:highlight w:val="none"/>
                    </w:rPr>
                  </w:pPr>
                </w:p>
              </w:tc>
              <w:tc>
                <w:tcPr>
                  <w:tcW w:w="532" w:type="pct"/>
                  <w:noWrap w:val="0"/>
                  <w:vAlign w:val="center"/>
                </w:tcPr>
                <w:p w14:paraId="5DF44B7D">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江屋村</w:t>
                  </w:r>
                </w:p>
              </w:tc>
              <w:tc>
                <w:tcPr>
                  <w:tcW w:w="356" w:type="pct"/>
                  <w:noWrap w:val="0"/>
                  <w:vAlign w:val="center"/>
                </w:tcPr>
                <w:p w14:paraId="53900147">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182</w:t>
                  </w:r>
                </w:p>
              </w:tc>
              <w:tc>
                <w:tcPr>
                  <w:tcW w:w="409" w:type="pct"/>
                  <w:noWrap w:val="0"/>
                  <w:vAlign w:val="center"/>
                </w:tcPr>
                <w:p w14:paraId="1305C197">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-203</w:t>
                  </w:r>
                </w:p>
              </w:tc>
              <w:tc>
                <w:tcPr>
                  <w:tcW w:w="524" w:type="pct"/>
                  <w:noWrap w:val="0"/>
                  <w:vAlign w:val="center"/>
                </w:tcPr>
                <w:p w14:paraId="2BC5EA34">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东南</w:t>
                  </w:r>
                </w:p>
              </w:tc>
              <w:tc>
                <w:tcPr>
                  <w:tcW w:w="570" w:type="pct"/>
                  <w:noWrap w:val="0"/>
                  <w:vAlign w:val="center"/>
                </w:tcPr>
                <w:p w14:paraId="14452154">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265</w:t>
                  </w:r>
                </w:p>
              </w:tc>
              <w:tc>
                <w:tcPr>
                  <w:tcW w:w="668" w:type="pct"/>
                  <w:noWrap w:val="0"/>
                  <w:vAlign w:val="center"/>
                </w:tcPr>
                <w:p w14:paraId="0E59DEDA">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12</w:t>
                  </w:r>
                </w:p>
              </w:tc>
              <w:tc>
                <w:tcPr>
                  <w:tcW w:w="608" w:type="pct"/>
                  <w:noWrap w:val="0"/>
                  <w:vAlign w:val="center"/>
                </w:tcPr>
                <w:p w14:paraId="77642011">
                  <w:pPr>
                    <w:keepNext w:val="0"/>
                    <w:keepLines w:val="0"/>
                    <w:pageBreakBefore w:val="0"/>
                    <w:widowControl w:val="0"/>
                    <w:kinsoku/>
                    <w:wordWrap w:val="0"/>
                    <w:overflowPunct/>
                    <w:topLinePunct w:val="0"/>
                    <w:bidi w:val="0"/>
                    <w:snapToGrid/>
                    <w:spacing w:beforeAutospacing="0" w:afterAutospacing="0" w:line="240" w:lineRule="auto"/>
                    <w:jc w:val="center"/>
                    <w:textAlignment w:val="auto"/>
                    <w:rPr>
                      <w:rFonts w:hint="default" w:ascii="Times New Roman" w:hAnsi="Times New Roman" w:cs="Times New Roman"/>
                      <w:color w:val="auto"/>
                      <w:spacing w:val="-2"/>
                      <w:kern w:val="2"/>
                      <w:sz w:val="21"/>
                      <w:szCs w:val="21"/>
                      <w:highlight w:val="none"/>
                      <w:lang w:val="en-US" w:eastAsia="zh-CN" w:bidi="ar-SA"/>
                    </w:rPr>
                  </w:pPr>
                  <w:r>
                    <w:rPr>
                      <w:rFonts w:hint="default" w:ascii="Times New Roman" w:hAnsi="Times New Roman" w:cs="Times New Roman"/>
                      <w:color w:val="auto"/>
                      <w:spacing w:val="-2"/>
                      <w:kern w:val="2"/>
                      <w:sz w:val="21"/>
                      <w:szCs w:val="21"/>
                      <w:highlight w:val="none"/>
                      <w:lang w:val="en-US" w:eastAsia="zh-CN" w:bidi="ar-SA"/>
                    </w:rPr>
                    <w:t>居民</w:t>
                  </w:r>
                </w:p>
              </w:tc>
              <w:tc>
                <w:tcPr>
                  <w:tcW w:w="1010" w:type="pct"/>
                  <w:vMerge w:val="continue"/>
                  <w:noWrap w:val="0"/>
                  <w:vAlign w:val="center"/>
                </w:tcPr>
                <w:p w14:paraId="342563AE">
                  <w:pPr>
                    <w:pStyle w:val="109"/>
                    <w:keepNext w:val="0"/>
                    <w:keepLines w:val="0"/>
                    <w:pageBreakBefore w:val="0"/>
                    <w:widowControl w:val="0"/>
                    <w:kinsoku/>
                    <w:wordWrap w:val="0"/>
                    <w:overflowPunct/>
                    <w:topLinePunct w:val="0"/>
                    <w:bidi w:val="0"/>
                    <w:snapToGrid/>
                    <w:spacing w:beforeAutospacing="0" w:afterAutospacing="0" w:line="240" w:lineRule="auto"/>
                    <w:textAlignment w:val="auto"/>
                    <w:rPr>
                      <w:rFonts w:hint="default" w:ascii="Times New Roman" w:hAnsi="Times New Roman" w:eastAsia="宋体" w:cs="Times New Roman"/>
                      <w:snapToGrid w:val="0"/>
                      <w:color w:val="auto"/>
                      <w:spacing w:val="-2"/>
                      <w:sz w:val="21"/>
                      <w:szCs w:val="21"/>
                      <w:highlight w:val="none"/>
                      <w:lang w:val="en-US" w:eastAsia="zh-CN"/>
                    </w:rPr>
                  </w:pPr>
                </w:p>
              </w:tc>
            </w:tr>
            <w:tr w14:paraId="197BA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9" w:hRule="atLeast"/>
                <w:jc w:val="center"/>
              </w:trPr>
              <w:tc>
                <w:tcPr>
                  <w:tcW w:w="5000" w:type="pct"/>
                  <w:gridSpan w:val="9"/>
                  <w:noWrap w:val="0"/>
                  <w:vAlign w:val="center"/>
                </w:tcPr>
                <w:p w14:paraId="6B545D99">
                  <w:pPr>
                    <w:pStyle w:val="109"/>
                    <w:keepNext w:val="0"/>
                    <w:keepLines w:val="0"/>
                    <w:pageBreakBefore w:val="0"/>
                    <w:widowControl w:val="0"/>
                    <w:kinsoku/>
                    <w:wordWrap w:val="0"/>
                    <w:overflowPunct/>
                    <w:topLinePunct w:val="0"/>
                    <w:bidi w:val="0"/>
                    <w:snapToGrid/>
                    <w:spacing w:beforeAutospacing="0" w:afterAutospacing="0" w:line="240" w:lineRule="auto"/>
                    <w:jc w:val="both"/>
                    <w:textAlignment w:val="auto"/>
                    <w:rPr>
                      <w:rFonts w:hint="default" w:ascii="Times New Roman" w:hAnsi="Times New Roman" w:cs="Times New Roman"/>
                      <w:color w:val="auto"/>
                      <w:szCs w:val="21"/>
                      <w:highlight w:val="none"/>
                    </w:rPr>
                  </w:pPr>
                  <w:r>
                    <w:rPr>
                      <w:rFonts w:hint="default" w:ascii="Times New Roman" w:hAnsi="Times New Roman" w:eastAsia="宋体" w:cs="Times New Roman"/>
                      <w:snapToGrid w:val="0"/>
                      <w:color w:val="auto"/>
                      <w:spacing w:val="-2"/>
                      <w:sz w:val="21"/>
                      <w:szCs w:val="21"/>
                      <w:highlight w:val="none"/>
                      <w:lang w:val="en-US" w:eastAsia="zh-CN"/>
                    </w:rPr>
                    <w:t>注：本项目以厂区几何中心作为坐标原点（0，0）</w:t>
                  </w:r>
                  <w:r>
                    <w:rPr>
                      <w:rFonts w:hint="default" w:ascii="Times New Roman" w:hAnsi="Times New Roman" w:cs="Times New Roman"/>
                      <w:snapToGrid w:val="0"/>
                      <w:color w:val="auto"/>
                      <w:spacing w:val="-2"/>
                      <w:sz w:val="21"/>
                      <w:szCs w:val="21"/>
                      <w:highlight w:val="none"/>
                      <w:lang w:val="en-US" w:eastAsia="zh-CN"/>
                    </w:rPr>
                    <w:t>。</w:t>
                  </w:r>
                </w:p>
              </w:tc>
            </w:tr>
          </w:tbl>
          <w:p w14:paraId="111163BF">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二、声环境保护目标</w:t>
            </w:r>
          </w:p>
          <w:p w14:paraId="71768F3F">
            <w:pPr>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本项目</w:t>
            </w:r>
            <w:r>
              <w:rPr>
                <w:rFonts w:hint="default" w:ascii="Times New Roman" w:hAnsi="Times New Roman" w:cs="Times New Roman"/>
                <w:color w:val="auto"/>
                <w:highlight w:val="none"/>
              </w:rPr>
              <w:t>厂界外50米范围内无声环境保护目标。</w:t>
            </w:r>
          </w:p>
          <w:p w14:paraId="1481AAF6">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三、地下水环境保护目标</w:t>
            </w:r>
          </w:p>
          <w:p w14:paraId="0770F9DB">
            <w:pPr>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color w:val="auto"/>
                <w:szCs w:val="32"/>
                <w:highlight w:val="none"/>
              </w:rPr>
              <w:t>本</w:t>
            </w:r>
            <w:r>
              <w:rPr>
                <w:rFonts w:hint="default" w:ascii="Times New Roman" w:hAnsi="Times New Roman" w:cs="Times New Roman"/>
                <w:color w:val="auto"/>
                <w:highlight w:val="none"/>
              </w:rPr>
              <w:t>项目厂界外500米范围内无地下水集中式饮用水水源和热水、矿泉水、温泉等特殊地下水资源。</w:t>
            </w:r>
          </w:p>
          <w:p w14:paraId="389C54EA">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四、生态环境保护目标</w:t>
            </w:r>
          </w:p>
          <w:p w14:paraId="34F0D43A">
            <w:pPr>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保护本项目建设地块的生态环境，防止水土流失，使其能实现生态环境的良性循环，</w:t>
            </w:r>
            <w:r>
              <w:rPr>
                <w:rFonts w:hint="default" w:ascii="Times New Roman" w:hAnsi="Times New Roman" w:cs="Times New Roman"/>
                <w:color w:val="auto"/>
                <w:szCs w:val="32"/>
                <w:highlight w:val="none"/>
              </w:rPr>
              <w:t>不对现有的生态环境造成大面积的破坏。本项目所在区域</w:t>
            </w:r>
            <w:r>
              <w:rPr>
                <w:rFonts w:hint="default" w:ascii="Times New Roman" w:hAnsi="Times New Roman" w:cs="Times New Roman"/>
                <w:color w:val="auto"/>
                <w:highlight w:val="none"/>
              </w:rPr>
              <w:t>无生态环境保护目标。</w:t>
            </w:r>
          </w:p>
        </w:tc>
      </w:tr>
      <w:tr w14:paraId="0073E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trPr>
        <w:tc>
          <w:tcPr>
            <w:tcW w:w="262" w:type="pct"/>
            <w:vAlign w:val="center"/>
          </w:tcPr>
          <w:p w14:paraId="6B11D2DB">
            <w:pPr>
              <w:keepNext w:val="0"/>
              <w:keepLines w:val="0"/>
              <w:pageBreakBefore w:val="0"/>
              <w:widowControl w:val="0"/>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69" w:name="_Toc14344"/>
            <w:bookmarkStart w:id="70" w:name="_Toc24161"/>
            <w:bookmarkStart w:id="71" w:name="_Toc29246"/>
            <w:bookmarkStart w:id="72" w:name="_Toc2437"/>
            <w:bookmarkStart w:id="73" w:name="_Toc27828"/>
            <w:bookmarkStart w:id="74" w:name="_Toc21959"/>
            <w:bookmarkStart w:id="75" w:name="_Toc32736"/>
            <w:bookmarkStart w:id="76" w:name="_Toc4596"/>
            <w:bookmarkStart w:id="77" w:name="_Toc8874"/>
            <w:bookmarkStart w:id="78" w:name="_Toc10187"/>
            <w:r>
              <w:rPr>
                <w:rFonts w:hint="default" w:ascii="Times New Roman" w:hAnsi="Times New Roman" w:eastAsia="宋体" w:cs="Times New Roman"/>
                <w:color w:val="auto"/>
                <w:kern w:val="2"/>
                <w:sz w:val="24"/>
                <w:szCs w:val="24"/>
                <w:highlight w:val="none"/>
                <w:lang w:val="en-US" w:eastAsia="zh-CN" w:bidi="ar-SA"/>
              </w:rPr>
              <w:t>污染物排放控制标准</w:t>
            </w:r>
            <w:bookmarkEnd w:id="69"/>
            <w:bookmarkEnd w:id="70"/>
            <w:bookmarkEnd w:id="71"/>
            <w:bookmarkEnd w:id="72"/>
            <w:bookmarkEnd w:id="73"/>
            <w:bookmarkEnd w:id="74"/>
            <w:bookmarkEnd w:id="75"/>
            <w:bookmarkEnd w:id="76"/>
            <w:bookmarkEnd w:id="77"/>
            <w:bookmarkEnd w:id="78"/>
          </w:p>
        </w:tc>
        <w:tc>
          <w:tcPr>
            <w:tcW w:w="4737" w:type="pct"/>
          </w:tcPr>
          <w:p w14:paraId="55C66EA9">
            <w:pPr>
              <w:pStyle w:val="5"/>
              <w:pageBreakBefore w:val="0"/>
              <w:wordWrap w:val="0"/>
              <w:topLinePunct w:val="0"/>
              <w:bidi w:val="0"/>
              <w:ind w:firstLine="482"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废气排放标准</w:t>
            </w:r>
          </w:p>
          <w:p w14:paraId="26367FAF">
            <w:pPr>
              <w:pStyle w:val="9"/>
              <w:pageBreakBefore w:val="0"/>
              <w:wordWrap w:val="0"/>
              <w:topLinePunct w:val="0"/>
              <w:bidi w:val="0"/>
              <w:ind w:firstLine="480"/>
              <w:rPr>
                <w:rFonts w:hint="default" w:ascii="Times New Roman" w:hAnsi="Times New Roman" w:cs="Times New Roman"/>
                <w:color w:val="auto"/>
                <w:highlight w:val="none"/>
              </w:rPr>
            </w:pPr>
            <w:bookmarkStart w:id="79" w:name="_Toc7167"/>
            <w:bookmarkStart w:id="80" w:name="_Toc2680"/>
            <w:bookmarkStart w:id="81" w:name="_Ref5700"/>
            <w:bookmarkStart w:id="82" w:name="_Ref26342"/>
            <w:bookmarkStart w:id="83" w:name="_Ref26359"/>
            <w:r>
              <w:rPr>
                <w:rFonts w:hint="default" w:ascii="Times New Roman" w:hAnsi="Times New Roman" w:cs="Times New Roman"/>
                <w:color w:val="auto"/>
                <w:highlight w:val="none"/>
              </w:rPr>
              <w:t>碎料粉尘执行《合成树脂工业污染物排放标准》（GB31572-2015）表9企业边界大气污染物浓度限值。</w:t>
            </w:r>
            <w:bookmarkEnd w:id="79"/>
            <w:bookmarkEnd w:id="80"/>
          </w:p>
          <w:p w14:paraId="00F1182C">
            <w:pPr>
              <w:pStyle w:val="15"/>
              <w:pageBreakBefore w:val="0"/>
              <w:wordWrap w:val="0"/>
              <w:topLinePunct w:val="0"/>
              <w:bidi w:val="0"/>
              <w:spacing w:line="240" w:lineRule="auto"/>
              <w:rPr>
                <w:rFonts w:hint="default" w:ascii="Times New Roman" w:hAnsi="Times New Roman" w:cs="Times New Roman"/>
                <w:color w:val="auto"/>
                <w:highlight w:val="none"/>
              </w:rPr>
            </w:pPr>
            <w:bookmarkStart w:id="84" w:name="_Toc10235"/>
            <w:bookmarkStart w:id="85" w:name="_Toc28296"/>
            <w:r>
              <w:rPr>
                <w:rFonts w:hint="default" w:ascii="Times New Roman" w:hAnsi="Times New Roman" w:cs="Times New Roman"/>
                <w:color w:val="auto"/>
                <w:highlight w:val="none"/>
              </w:rPr>
              <w:t>表3-</w:t>
            </w:r>
            <w:r>
              <w:rPr>
                <w:rFonts w:hint="default" w:ascii="Times New Roman" w:hAnsi="Times New Roman" w:cs="Times New Roman"/>
                <w:color w:val="auto"/>
                <w:highlight w:val="none"/>
                <w:lang w:val="en-US" w:eastAsia="zh-CN"/>
              </w:rPr>
              <w:t>5</w:t>
            </w:r>
            <w:r>
              <w:rPr>
                <w:rFonts w:hint="default" w:ascii="Times New Roman" w:hAnsi="Times New Roman" w:cs="Times New Roman"/>
                <w:color w:val="auto"/>
                <w:highlight w:val="none"/>
              </w:rPr>
              <w:t>颗粒物执行标准</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07"/>
              <w:gridCol w:w="3365"/>
              <w:gridCol w:w="2050"/>
            </w:tblGrid>
            <w:tr w14:paraId="74127B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pct"/>
                  <w:vAlign w:val="center"/>
                </w:tcPr>
                <w:p w14:paraId="60497490">
                  <w:pPr>
                    <w:pageBreakBefore w:val="0"/>
                    <w:wordWrap w:val="0"/>
                    <w:topLinePunct w:val="0"/>
                    <w:bidi w:val="0"/>
                    <w:spacing w:line="240" w:lineRule="auto"/>
                    <w:jc w:val="center"/>
                    <w:rPr>
                      <w:rFonts w:hint="default" w:ascii="Times New Roman" w:hAnsi="Times New Roman" w:cs="Times New Roman"/>
                      <w:b/>
                      <w:bCs/>
                      <w:color w:val="auto"/>
                      <w:sz w:val="21"/>
                      <w:highlight w:val="none"/>
                    </w:rPr>
                  </w:pPr>
                  <w:r>
                    <w:rPr>
                      <w:rFonts w:hint="default" w:ascii="Times New Roman" w:hAnsi="Times New Roman" w:cs="Times New Roman"/>
                      <w:b/>
                      <w:bCs/>
                      <w:color w:val="auto"/>
                      <w:sz w:val="21"/>
                      <w:highlight w:val="none"/>
                    </w:rPr>
                    <w:t>污染物</w:t>
                  </w:r>
                </w:p>
              </w:tc>
              <w:tc>
                <w:tcPr>
                  <w:tcW w:w="2123" w:type="pct"/>
                  <w:vAlign w:val="center"/>
                </w:tcPr>
                <w:p w14:paraId="0AE5EB7D">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企业边界大气污染物浓度限值</w:t>
                  </w:r>
                </w:p>
              </w:tc>
              <w:tc>
                <w:tcPr>
                  <w:tcW w:w="1293" w:type="pct"/>
                  <w:vAlign w:val="center"/>
                </w:tcPr>
                <w:p w14:paraId="3EF14D81">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单位</w:t>
                  </w:r>
                </w:p>
              </w:tc>
            </w:tr>
            <w:tr w14:paraId="1FCF5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82" w:type="pct"/>
                  <w:vAlign w:val="center"/>
                </w:tcPr>
                <w:p w14:paraId="194B4999">
                  <w:pPr>
                    <w:pageBreakBefore w:val="0"/>
                    <w:wordWrap w:val="0"/>
                    <w:topLinePunct w:val="0"/>
                    <w:bidi w:val="0"/>
                    <w:spacing w:line="240" w:lineRule="auto"/>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颗粒物</w:t>
                  </w:r>
                </w:p>
              </w:tc>
              <w:tc>
                <w:tcPr>
                  <w:tcW w:w="2123" w:type="pct"/>
                  <w:vAlign w:val="center"/>
                </w:tcPr>
                <w:p w14:paraId="1028E75E">
                  <w:pPr>
                    <w:pageBreakBefore w:val="0"/>
                    <w:wordWrap w:val="0"/>
                    <w:topLinePunct w:val="0"/>
                    <w:bidi w:val="0"/>
                    <w:spacing w:line="240" w:lineRule="auto"/>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≤1.0</w:t>
                  </w:r>
                </w:p>
              </w:tc>
              <w:tc>
                <w:tcPr>
                  <w:tcW w:w="1293" w:type="pct"/>
                  <w:vAlign w:val="center"/>
                </w:tcPr>
                <w:p w14:paraId="7935E7FB">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mg/m</w:t>
                  </w:r>
                  <w:r>
                    <w:rPr>
                      <w:rFonts w:hint="default" w:ascii="Times New Roman" w:hAnsi="Times New Roman" w:cs="Times New Roman"/>
                      <w:color w:val="auto"/>
                      <w:highlight w:val="none"/>
                      <w:vertAlign w:val="superscript"/>
                    </w:rPr>
                    <w:t>3</w:t>
                  </w:r>
                </w:p>
              </w:tc>
            </w:tr>
            <w:bookmarkEnd w:id="84"/>
            <w:bookmarkEnd w:id="85"/>
          </w:tbl>
          <w:p w14:paraId="7339E330">
            <w:pPr>
              <w:pStyle w:val="9"/>
              <w:pageBreakBefore w:val="0"/>
              <w:numPr>
                <w:ilvl w:val="0"/>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②注塑工序产生的非甲烷总烃有组织排放执行</w:t>
            </w:r>
            <w:r>
              <w:rPr>
                <w:rFonts w:hint="default" w:ascii="Times New Roman" w:hAnsi="Times New Roman" w:cs="Times New Roman"/>
                <w:color w:val="auto"/>
                <w:highlight w:val="none"/>
                <w:lang w:val="en-US" w:eastAsia="zh-CN"/>
              </w:rPr>
              <w:t>《合成树脂工业污染物排放标准》（GB31572-2015，含2024年修改单）</w:t>
            </w:r>
            <w:r>
              <w:rPr>
                <w:rFonts w:hint="default" w:ascii="Times New Roman" w:hAnsi="Times New Roman" w:cs="Times New Roman"/>
                <w:color w:val="auto"/>
                <w:highlight w:val="none"/>
              </w:rPr>
              <w:t>表5大气污染物特别排放限值，非甲烷总烃无组织排放在厂界处执行</w:t>
            </w:r>
            <w:r>
              <w:rPr>
                <w:rFonts w:hint="default" w:ascii="Times New Roman" w:hAnsi="Times New Roman" w:cs="Times New Roman"/>
                <w:color w:val="auto"/>
                <w:highlight w:val="none"/>
                <w:lang w:val="en-US" w:eastAsia="zh-CN"/>
              </w:rPr>
              <w:t>《合成树脂工业污染物排放标准》（GB31572-2015，含2024年修改单）</w:t>
            </w:r>
            <w:r>
              <w:rPr>
                <w:rFonts w:hint="default" w:ascii="Times New Roman" w:hAnsi="Times New Roman" w:cs="Times New Roman"/>
                <w:color w:val="auto"/>
                <w:highlight w:val="none"/>
              </w:rPr>
              <w:t>表 9 企业边界浓度限值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非甲烷总烃</w:t>
            </w:r>
            <w:r>
              <w:rPr>
                <w:rFonts w:hint="default" w:ascii="Times New Roman" w:hAnsi="Times New Roman" w:cs="Times New Roman"/>
                <w:color w:val="auto"/>
                <w:kern w:val="0"/>
                <w:szCs w:val="24"/>
                <w:highlight w:val="none"/>
              </w:rPr>
              <w:t>在厂区内执行广东省《固定污染源挥发性有机物综合排放标准》（DB44/2367-2022）表3厂区内VOCs无组织排放限值要求。</w:t>
            </w:r>
          </w:p>
          <w:p w14:paraId="35BE7B43">
            <w:pPr>
              <w:pStyle w:val="15"/>
              <w:pageBreakBefore w:val="0"/>
              <w:wordWrap w:val="0"/>
              <w:topLinePunct w:val="0"/>
              <w:bidi w:val="0"/>
              <w:spacing w:line="240" w:lineRule="auto"/>
              <w:rPr>
                <w:rFonts w:hint="default" w:ascii="Times New Roman" w:hAnsi="Times New Roman" w:cs="Times New Roman"/>
                <w:color w:val="auto"/>
                <w:highlight w:val="none"/>
              </w:rPr>
            </w:pPr>
            <w:r>
              <w:rPr>
                <w:rFonts w:hint="default" w:ascii="Times New Roman" w:hAnsi="Times New Roman" w:cs="Times New Roman"/>
                <w:color w:val="auto"/>
                <w:highlight w:val="none"/>
              </w:rPr>
              <w:t>表3-</w:t>
            </w:r>
            <w:r>
              <w:rPr>
                <w:rFonts w:hint="default" w:ascii="Times New Roman" w:hAnsi="Times New Roman" w:cs="Times New Roman"/>
                <w:color w:val="auto"/>
                <w:highlight w:val="none"/>
                <w:lang w:val="en-US" w:eastAsia="zh-CN"/>
              </w:rPr>
              <w:t>6</w:t>
            </w:r>
            <w:r>
              <w:rPr>
                <w:rFonts w:hint="default" w:ascii="Times New Roman" w:hAnsi="Times New Roman" w:cs="Times New Roman"/>
                <w:color w:val="auto"/>
                <w:highlight w:val="none"/>
              </w:rPr>
              <w:t xml:space="preserve"> </w:t>
            </w:r>
            <w:r>
              <w:rPr>
                <w:rFonts w:hint="default" w:ascii="Times New Roman" w:hAnsi="Times New Roman" w:cs="Times New Roman"/>
                <w:color w:val="auto"/>
                <w:highlight w:val="none"/>
                <w:lang w:val="en-US" w:eastAsia="zh-CN"/>
              </w:rPr>
              <w:t>有组织</w:t>
            </w:r>
            <w:r>
              <w:rPr>
                <w:rFonts w:hint="default" w:ascii="Times New Roman" w:hAnsi="Times New Roman" w:cs="Times New Roman"/>
                <w:color w:val="auto"/>
                <w:highlight w:val="none"/>
              </w:rPr>
              <w:t>废气排放标准一览表 （排放浓度单位：mg/m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02"/>
              <w:gridCol w:w="2068"/>
              <w:gridCol w:w="1130"/>
              <w:gridCol w:w="1301"/>
              <w:gridCol w:w="1621"/>
            </w:tblGrid>
            <w:tr w14:paraId="5D43F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37" w:type="pct"/>
                  <w:vMerge w:val="restart"/>
                  <w:vAlign w:val="center"/>
                </w:tcPr>
                <w:p w14:paraId="2E5FCC94">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w:t>
                  </w:r>
                </w:p>
              </w:tc>
              <w:tc>
                <w:tcPr>
                  <w:tcW w:w="1305" w:type="pct"/>
                  <w:vMerge w:val="restart"/>
                  <w:vAlign w:val="center"/>
                </w:tcPr>
                <w:p w14:paraId="30323908">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标准</w:t>
                  </w:r>
                </w:p>
              </w:tc>
              <w:tc>
                <w:tcPr>
                  <w:tcW w:w="1534" w:type="pct"/>
                  <w:gridSpan w:val="2"/>
                  <w:vAlign w:val="center"/>
                </w:tcPr>
                <w:p w14:paraId="6AA40B1E">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有组织排放限值</w:t>
                  </w:r>
                </w:p>
              </w:tc>
              <w:tc>
                <w:tcPr>
                  <w:tcW w:w="1023" w:type="pct"/>
                  <w:vMerge w:val="restart"/>
                  <w:vAlign w:val="center"/>
                </w:tcPr>
                <w:p w14:paraId="01AAAAB4">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无组织浓度排放限值</w:t>
                  </w:r>
                </w:p>
              </w:tc>
            </w:tr>
            <w:tr w14:paraId="57EF37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1137" w:type="pct"/>
                  <w:vMerge w:val="continue"/>
                  <w:vAlign w:val="center"/>
                </w:tcPr>
                <w:p w14:paraId="74FB1427">
                  <w:pPr>
                    <w:pStyle w:val="60"/>
                    <w:pageBreakBefore w:val="0"/>
                    <w:wordWrap w:val="0"/>
                    <w:topLinePunct w:val="0"/>
                    <w:bidi w:val="0"/>
                    <w:rPr>
                      <w:rFonts w:hint="default" w:ascii="Times New Roman" w:hAnsi="Times New Roman" w:cs="Times New Roman"/>
                      <w:color w:val="auto"/>
                      <w:highlight w:val="none"/>
                    </w:rPr>
                  </w:pPr>
                </w:p>
              </w:tc>
              <w:tc>
                <w:tcPr>
                  <w:tcW w:w="1305" w:type="pct"/>
                  <w:vMerge w:val="continue"/>
                  <w:vAlign w:val="center"/>
                </w:tcPr>
                <w:p w14:paraId="4BBB82DD">
                  <w:pPr>
                    <w:pStyle w:val="60"/>
                    <w:pageBreakBefore w:val="0"/>
                    <w:wordWrap w:val="0"/>
                    <w:topLinePunct w:val="0"/>
                    <w:bidi w:val="0"/>
                    <w:rPr>
                      <w:rFonts w:hint="default" w:ascii="Times New Roman" w:hAnsi="Times New Roman" w:cs="Times New Roman"/>
                      <w:color w:val="auto"/>
                      <w:highlight w:val="none"/>
                    </w:rPr>
                  </w:pPr>
                </w:p>
              </w:tc>
              <w:tc>
                <w:tcPr>
                  <w:tcW w:w="713" w:type="pct"/>
                  <w:vAlign w:val="center"/>
                </w:tcPr>
                <w:p w14:paraId="39D09A98">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排气筒</w:t>
                  </w:r>
                </w:p>
              </w:tc>
              <w:tc>
                <w:tcPr>
                  <w:tcW w:w="821" w:type="pct"/>
                  <w:vAlign w:val="center"/>
                </w:tcPr>
                <w:p w14:paraId="1E1E93CB">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排放浓度</w:t>
                  </w:r>
                </w:p>
              </w:tc>
              <w:tc>
                <w:tcPr>
                  <w:tcW w:w="1023" w:type="pct"/>
                  <w:vMerge w:val="continue"/>
                  <w:vAlign w:val="center"/>
                </w:tcPr>
                <w:p w14:paraId="4E20CB66">
                  <w:pPr>
                    <w:pStyle w:val="60"/>
                    <w:pageBreakBefore w:val="0"/>
                    <w:wordWrap w:val="0"/>
                    <w:topLinePunct w:val="0"/>
                    <w:bidi w:val="0"/>
                    <w:rPr>
                      <w:rFonts w:hint="default" w:ascii="Times New Roman" w:hAnsi="Times New Roman" w:cs="Times New Roman"/>
                      <w:color w:val="auto"/>
                      <w:highlight w:val="none"/>
                    </w:rPr>
                  </w:pPr>
                </w:p>
              </w:tc>
            </w:tr>
            <w:tr w14:paraId="147DE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24" w:hRule="atLeast"/>
                <w:jc w:val="center"/>
              </w:trPr>
              <w:tc>
                <w:tcPr>
                  <w:tcW w:w="1137" w:type="pct"/>
                  <w:vAlign w:val="center"/>
                </w:tcPr>
                <w:p w14:paraId="54CBFBA7">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1305" w:type="pct"/>
                  <w:vAlign w:val="center"/>
                </w:tcPr>
                <w:p w14:paraId="05550A7A">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《合成树脂工业污染物排放标准》（GB31572-2015，含2024年修改单）</w:t>
                  </w:r>
                </w:p>
              </w:tc>
              <w:tc>
                <w:tcPr>
                  <w:tcW w:w="713" w:type="pct"/>
                  <w:vAlign w:val="center"/>
                </w:tcPr>
                <w:p w14:paraId="2DBEF51E">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m</w:t>
                  </w:r>
                </w:p>
              </w:tc>
              <w:tc>
                <w:tcPr>
                  <w:tcW w:w="821" w:type="pct"/>
                  <w:vAlign w:val="center"/>
                </w:tcPr>
                <w:p w14:paraId="48583A3B">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60</w:t>
                  </w:r>
                </w:p>
              </w:tc>
              <w:tc>
                <w:tcPr>
                  <w:tcW w:w="1023" w:type="pct"/>
                  <w:vAlign w:val="center"/>
                </w:tcPr>
                <w:p w14:paraId="7588AB5C">
                  <w:pPr>
                    <w:pStyle w:val="60"/>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4.0</w:t>
                  </w:r>
                </w:p>
              </w:tc>
            </w:tr>
          </w:tbl>
          <w:p w14:paraId="5A0B9AAD">
            <w:pPr>
              <w:pStyle w:val="15"/>
              <w:pageBreakBefore w:val="0"/>
              <w:wordWrap w:val="0"/>
              <w:topLinePunct w:val="0"/>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表3-7无组织</w:t>
            </w:r>
            <w:r>
              <w:rPr>
                <w:rFonts w:hint="default" w:ascii="Times New Roman" w:hAnsi="Times New Roman" w:eastAsia="宋体" w:cs="Times New Roman"/>
                <w:color w:val="auto"/>
                <w:highlight w:val="none"/>
              </w:rPr>
              <w:t>废气排放标准一览表</w:t>
            </w:r>
          </w:p>
          <w:tbl>
            <w:tblPr>
              <w:tblStyle w:val="38"/>
              <w:tblW w:w="498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9"/>
              <w:gridCol w:w="1018"/>
              <w:gridCol w:w="1048"/>
              <w:gridCol w:w="977"/>
              <w:gridCol w:w="1120"/>
              <w:gridCol w:w="2859"/>
            </w:tblGrid>
            <w:tr w14:paraId="01078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noWrap w:val="0"/>
                  <w:vAlign w:val="center"/>
                </w:tcPr>
                <w:p w14:paraId="7ACEE54F">
                  <w:pPr>
                    <w:pStyle w:val="123"/>
                    <w:pageBreakBefore w:val="0"/>
                    <w:wordWrap w:val="0"/>
                    <w:topLinePunct w:val="0"/>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无组织排放监控点</w:t>
                  </w:r>
                </w:p>
              </w:tc>
              <w:tc>
                <w:tcPr>
                  <w:tcW w:w="644" w:type="pct"/>
                  <w:noWrap w:val="0"/>
                  <w:vAlign w:val="center"/>
                </w:tcPr>
                <w:p w14:paraId="3590DC47">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污染物项目</w:t>
                  </w:r>
                </w:p>
              </w:tc>
              <w:tc>
                <w:tcPr>
                  <w:tcW w:w="663" w:type="pct"/>
                  <w:noWrap w:val="0"/>
                  <w:vAlign w:val="center"/>
                </w:tcPr>
                <w:p w14:paraId="4D1609B6">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排放限值</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rPr>
                    <w:t>mg/</w:t>
                  </w:r>
                  <w:r>
                    <w:rPr>
                      <w:rFonts w:hint="default" w:ascii="Times New Roman" w:hAnsi="Times New Roman" w:eastAsia="Times New Roman" w:cs="Times New Roman"/>
                      <w:b/>
                      <w:bCs/>
                      <w:color w:val="auto"/>
                      <w:highlight w:val="none"/>
                      <w:lang w:eastAsia="zh-CN"/>
                    </w:rPr>
                    <w:t>m³</w:t>
                  </w:r>
                  <w:r>
                    <w:rPr>
                      <w:rFonts w:hint="default" w:ascii="Times New Roman" w:hAnsi="Times New Roman" w:cs="Times New Roman"/>
                      <w:b/>
                      <w:bCs/>
                      <w:color w:val="auto"/>
                      <w:highlight w:val="none"/>
                      <w:lang w:eastAsia="zh-CN"/>
                    </w:rPr>
                    <w:t>）</w:t>
                  </w:r>
                </w:p>
              </w:tc>
              <w:tc>
                <w:tcPr>
                  <w:tcW w:w="618" w:type="pct"/>
                  <w:noWrap w:val="0"/>
                  <w:vAlign w:val="center"/>
                </w:tcPr>
                <w:p w14:paraId="0235C489">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限值含义</w:t>
                  </w:r>
                </w:p>
              </w:tc>
              <w:tc>
                <w:tcPr>
                  <w:tcW w:w="708" w:type="pct"/>
                  <w:noWrap w:val="0"/>
                  <w:vAlign w:val="center"/>
                </w:tcPr>
                <w:p w14:paraId="70EF79BE">
                  <w:pPr>
                    <w:pStyle w:val="123"/>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监测点位布设</w:t>
                  </w:r>
                  <w:r>
                    <w:rPr>
                      <w:rFonts w:hint="default" w:ascii="Times New Roman" w:hAnsi="Times New Roman" w:cs="Times New Roman"/>
                      <w:b/>
                      <w:bCs/>
                      <w:color w:val="auto"/>
                      <w:highlight w:val="none"/>
                    </w:rPr>
                    <w:t>位置</w:t>
                  </w:r>
                </w:p>
              </w:tc>
              <w:tc>
                <w:tcPr>
                  <w:tcW w:w="1807" w:type="pct"/>
                  <w:noWrap w:val="0"/>
                  <w:vAlign w:val="center"/>
                </w:tcPr>
                <w:p w14:paraId="1DC98D0A">
                  <w:pPr>
                    <w:pStyle w:val="123"/>
                    <w:pageBreakBefore w:val="0"/>
                    <w:wordWrap w:val="0"/>
                    <w:topLinePunct w:val="0"/>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执行标准</w:t>
                  </w:r>
                </w:p>
              </w:tc>
            </w:tr>
            <w:tr w14:paraId="7FF3F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vMerge w:val="restart"/>
                  <w:noWrap w:val="0"/>
                  <w:vAlign w:val="center"/>
                </w:tcPr>
                <w:p w14:paraId="3033BF58">
                  <w:pPr>
                    <w:pStyle w:val="123"/>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厂区内</w:t>
                  </w:r>
                </w:p>
              </w:tc>
              <w:tc>
                <w:tcPr>
                  <w:tcW w:w="644" w:type="pct"/>
                  <w:vMerge w:val="restart"/>
                  <w:noWrap w:val="0"/>
                  <w:vAlign w:val="center"/>
                </w:tcPr>
                <w:p w14:paraId="02CEC349">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NMHC</w:t>
                  </w:r>
                </w:p>
              </w:tc>
              <w:tc>
                <w:tcPr>
                  <w:tcW w:w="663" w:type="pct"/>
                  <w:noWrap w:val="0"/>
                  <w:vAlign w:val="center"/>
                </w:tcPr>
                <w:p w14:paraId="78DB76E1">
                  <w:pPr>
                    <w:pStyle w:val="123"/>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618" w:type="pct"/>
                  <w:noWrap w:val="0"/>
                  <w:vAlign w:val="center"/>
                </w:tcPr>
                <w:p w14:paraId="5AE987ED">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监控点处1h平均浓度值</w:t>
                  </w:r>
                </w:p>
              </w:tc>
              <w:tc>
                <w:tcPr>
                  <w:tcW w:w="708" w:type="pct"/>
                  <w:vMerge w:val="restart"/>
                  <w:noWrap w:val="0"/>
                  <w:vAlign w:val="center"/>
                </w:tcPr>
                <w:p w14:paraId="2D3D2209">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在厂房外设置监控点</w:t>
                  </w:r>
                </w:p>
              </w:tc>
              <w:tc>
                <w:tcPr>
                  <w:tcW w:w="1807" w:type="pct"/>
                  <w:vMerge w:val="restart"/>
                  <w:noWrap w:val="0"/>
                  <w:vAlign w:val="center"/>
                </w:tcPr>
                <w:p w14:paraId="017CEC6B">
                  <w:pPr>
                    <w:pStyle w:val="123"/>
                    <w:pageBreakBefore w:val="0"/>
                    <w:wordWrap w:val="0"/>
                    <w:topLinePunct w:val="0"/>
                    <w:bidi w:val="0"/>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eastAsia="zh-CN"/>
                    </w:rPr>
                    <w:t>《固定污染源挥发性有机物综合排放标准》（DB44/2367-2022）表3厂区内VOCs无组织排放限值</w:t>
                  </w:r>
                </w:p>
              </w:tc>
            </w:tr>
            <w:tr w14:paraId="3C08AB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6" w:type="pct"/>
                  <w:vMerge w:val="continue"/>
                  <w:noWrap w:val="0"/>
                  <w:vAlign w:val="center"/>
                </w:tcPr>
                <w:p w14:paraId="11A8B7C7">
                  <w:pPr>
                    <w:pStyle w:val="123"/>
                    <w:pageBreakBefore w:val="0"/>
                    <w:wordWrap w:val="0"/>
                    <w:topLinePunct w:val="0"/>
                    <w:bidi w:val="0"/>
                    <w:rPr>
                      <w:rFonts w:hint="default" w:ascii="Times New Roman" w:hAnsi="Times New Roman" w:cs="Times New Roman"/>
                      <w:color w:val="auto"/>
                      <w:highlight w:val="none"/>
                    </w:rPr>
                  </w:pPr>
                </w:p>
              </w:tc>
              <w:tc>
                <w:tcPr>
                  <w:tcW w:w="644" w:type="pct"/>
                  <w:vMerge w:val="continue"/>
                  <w:noWrap w:val="0"/>
                  <w:vAlign w:val="center"/>
                </w:tcPr>
                <w:p w14:paraId="445ECC72">
                  <w:pPr>
                    <w:pStyle w:val="123"/>
                    <w:pageBreakBefore w:val="0"/>
                    <w:wordWrap w:val="0"/>
                    <w:topLinePunct w:val="0"/>
                    <w:bidi w:val="0"/>
                    <w:rPr>
                      <w:rFonts w:hint="default" w:ascii="Times New Roman" w:hAnsi="Times New Roman" w:cs="Times New Roman"/>
                      <w:color w:val="auto"/>
                      <w:highlight w:val="none"/>
                    </w:rPr>
                  </w:pPr>
                </w:p>
              </w:tc>
              <w:tc>
                <w:tcPr>
                  <w:tcW w:w="663" w:type="pct"/>
                  <w:noWrap w:val="0"/>
                  <w:vAlign w:val="center"/>
                </w:tcPr>
                <w:p w14:paraId="16FDAB8E">
                  <w:pPr>
                    <w:pStyle w:val="123"/>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618" w:type="pct"/>
                  <w:noWrap w:val="0"/>
                  <w:vAlign w:val="center"/>
                </w:tcPr>
                <w:p w14:paraId="7F646D2E">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监控点处任意一次浓度值</w:t>
                  </w:r>
                </w:p>
              </w:tc>
              <w:tc>
                <w:tcPr>
                  <w:tcW w:w="708" w:type="pct"/>
                  <w:vMerge w:val="continue"/>
                  <w:noWrap w:val="0"/>
                  <w:vAlign w:val="center"/>
                </w:tcPr>
                <w:p w14:paraId="60CB36DD">
                  <w:pPr>
                    <w:pStyle w:val="123"/>
                    <w:pageBreakBefore w:val="0"/>
                    <w:wordWrap w:val="0"/>
                    <w:topLinePunct w:val="0"/>
                    <w:bidi w:val="0"/>
                    <w:rPr>
                      <w:rFonts w:hint="default" w:ascii="Times New Roman" w:hAnsi="Times New Roman" w:cs="Times New Roman"/>
                      <w:color w:val="auto"/>
                      <w:highlight w:val="none"/>
                    </w:rPr>
                  </w:pPr>
                </w:p>
              </w:tc>
              <w:tc>
                <w:tcPr>
                  <w:tcW w:w="1807" w:type="pct"/>
                  <w:vMerge w:val="continue"/>
                  <w:noWrap w:val="0"/>
                  <w:vAlign w:val="center"/>
                </w:tcPr>
                <w:p w14:paraId="3272FB74">
                  <w:pPr>
                    <w:pStyle w:val="123"/>
                    <w:pageBreakBefore w:val="0"/>
                    <w:wordWrap w:val="0"/>
                    <w:topLinePunct w:val="0"/>
                    <w:bidi w:val="0"/>
                    <w:rPr>
                      <w:rFonts w:hint="default" w:ascii="Times New Roman" w:hAnsi="Times New Roman" w:cs="Times New Roman"/>
                      <w:color w:val="auto"/>
                      <w:highlight w:val="none"/>
                    </w:rPr>
                  </w:pPr>
                </w:p>
              </w:tc>
            </w:tr>
          </w:tbl>
          <w:p w14:paraId="69FC1891">
            <w:pPr>
              <w:pStyle w:val="9"/>
              <w:pageBreakBefore w:val="0"/>
              <w:numPr>
                <w:ilvl w:val="0"/>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③生产异味臭气浓度排放执行</w:t>
            </w:r>
            <w:r>
              <w:rPr>
                <w:rFonts w:hint="default" w:ascii="Times New Roman" w:hAnsi="Times New Roman" w:cs="Times New Roman"/>
                <w:color w:val="auto"/>
                <w:highlight w:val="none"/>
                <w:lang w:eastAsia="zh-CN"/>
              </w:rPr>
              <w:t>《恶臭污染物排放标准》（GB14554-93）</w:t>
            </w:r>
            <w:r>
              <w:rPr>
                <w:rFonts w:hint="default" w:ascii="Times New Roman" w:hAnsi="Times New Roman" w:cs="Times New Roman"/>
                <w:color w:val="auto"/>
                <w:highlight w:val="none"/>
              </w:rPr>
              <w:t>表2恶臭污染物排放标准及表1新扩改建二级厂界标准值。</w:t>
            </w:r>
          </w:p>
          <w:p w14:paraId="1B4CADF2">
            <w:pPr>
              <w:pStyle w:val="15"/>
              <w:pageBreakBefore w:val="0"/>
              <w:wordWrap w:val="0"/>
              <w:topLinePunct w:val="0"/>
              <w:bidi w:val="0"/>
              <w:spacing w:line="240" w:lineRule="auto"/>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 xml:space="preserve">表3-8 </w:t>
            </w:r>
            <w:r>
              <w:rPr>
                <w:rFonts w:hint="default" w:ascii="Times New Roman" w:hAnsi="Times New Roman" w:cs="Times New Roman"/>
                <w:color w:val="auto"/>
                <w:highlight w:val="none"/>
                <w:lang w:val="en-US" w:eastAsia="zh-CN"/>
              </w:rPr>
              <w:t>《恶臭污染物排放标准》（GB14554-93）</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90"/>
              <w:gridCol w:w="1794"/>
              <w:gridCol w:w="2351"/>
              <w:gridCol w:w="1987"/>
            </w:tblGrid>
            <w:tr w14:paraId="52A26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0" w:type="pct"/>
                  <w:vAlign w:val="center"/>
                </w:tcPr>
                <w:p w14:paraId="3FF15F25">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w:t>
                  </w:r>
                </w:p>
              </w:tc>
              <w:tc>
                <w:tcPr>
                  <w:tcW w:w="1132" w:type="pct"/>
                  <w:vAlign w:val="center"/>
                </w:tcPr>
                <w:p w14:paraId="05D74021">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排气筒高度/m</w:t>
                  </w:r>
                </w:p>
              </w:tc>
              <w:tc>
                <w:tcPr>
                  <w:tcW w:w="1484" w:type="pct"/>
                  <w:vAlign w:val="center"/>
                </w:tcPr>
                <w:p w14:paraId="27585AC5">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表2排气筒排放标准值</w:t>
                  </w:r>
                </w:p>
                <w:p w14:paraId="5154CC32">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kg/h</w:t>
                  </w:r>
                </w:p>
              </w:tc>
              <w:tc>
                <w:tcPr>
                  <w:tcW w:w="1252" w:type="pct"/>
                  <w:vAlign w:val="center"/>
                </w:tcPr>
                <w:p w14:paraId="4969792C">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表1厂界标准值</w:t>
                  </w:r>
                </w:p>
                <w:p w14:paraId="0AC2CA71">
                  <w:pPr>
                    <w:pStyle w:val="60"/>
                    <w:pageBreakBefore w:val="0"/>
                    <w:wordWrap w:val="0"/>
                    <w:topLinePunct w:val="0"/>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mg/m³</w:t>
                  </w:r>
                </w:p>
              </w:tc>
            </w:tr>
            <w:tr w14:paraId="13867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30" w:type="pct"/>
                  <w:tcBorders>
                    <w:top w:val="single" w:color="000000" w:sz="2" w:space="0"/>
                    <w:bottom w:val="single" w:color="000000" w:sz="2" w:space="0"/>
                  </w:tcBorders>
                  <w:vAlign w:val="center"/>
                </w:tcPr>
                <w:p w14:paraId="7B9259E8">
                  <w:pPr>
                    <w:pageBreakBefore w:val="0"/>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spacing w:val="-4"/>
                      <w:sz w:val="21"/>
                      <w:szCs w:val="21"/>
                      <w:highlight w:val="none"/>
                    </w:rPr>
                    <w:t>臭气浓度</w:t>
                  </w:r>
                </w:p>
              </w:tc>
              <w:tc>
                <w:tcPr>
                  <w:tcW w:w="1132" w:type="pct"/>
                  <w:vAlign w:val="center"/>
                </w:tcPr>
                <w:p w14:paraId="5D274782">
                  <w:pPr>
                    <w:pageBreakBefore w:val="0"/>
                    <w:wordWrap w:val="0"/>
                    <w:topLinePunct w:val="0"/>
                    <w:bidi w:val="0"/>
                    <w:spacing w:line="240" w:lineRule="auto"/>
                    <w:jc w:val="center"/>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cs="Times New Roman"/>
                      <w:color w:val="auto"/>
                      <w:spacing w:val="-4"/>
                      <w:sz w:val="21"/>
                      <w:szCs w:val="21"/>
                      <w:highlight w:val="none"/>
                      <w:lang w:val="en-US" w:eastAsia="zh-CN"/>
                    </w:rPr>
                    <w:t>30</w:t>
                  </w:r>
                </w:p>
              </w:tc>
              <w:tc>
                <w:tcPr>
                  <w:tcW w:w="1484" w:type="pct"/>
                  <w:vAlign w:val="center"/>
                </w:tcPr>
                <w:p w14:paraId="0CDC6820">
                  <w:pPr>
                    <w:pageBreakBefore w:val="0"/>
                    <w:wordWrap w:val="0"/>
                    <w:topLinePunct w:val="0"/>
                    <w:bidi w:val="0"/>
                    <w:spacing w:line="240" w:lineRule="auto"/>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000</w:t>
                  </w:r>
                  <w:r>
                    <w:rPr>
                      <w:rFonts w:hint="default" w:ascii="Times New Roman" w:hAnsi="Times New Roman" w:cs="Times New Roman"/>
                      <w:color w:val="auto"/>
                      <w:spacing w:val="-2"/>
                      <w:sz w:val="21"/>
                      <w:szCs w:val="21"/>
                      <w:highlight w:val="none"/>
                    </w:rPr>
                    <w:t>（无量纲）</w:t>
                  </w:r>
                </w:p>
              </w:tc>
              <w:tc>
                <w:tcPr>
                  <w:tcW w:w="1252" w:type="pct"/>
                  <w:vAlign w:val="center"/>
                </w:tcPr>
                <w:p w14:paraId="4943B4A8">
                  <w:pPr>
                    <w:pageBreakBefore w:val="0"/>
                    <w:wordWrap w:val="0"/>
                    <w:topLinePunct w:val="0"/>
                    <w:bidi w:val="0"/>
                    <w:spacing w:line="240" w:lineRule="auto"/>
                    <w:jc w:val="center"/>
                    <w:rPr>
                      <w:rFonts w:hint="default" w:ascii="Times New Roman" w:hAnsi="Times New Roman" w:cs="Times New Roman"/>
                      <w:bCs/>
                      <w:color w:val="auto"/>
                      <w:kern w:val="0"/>
                      <w:sz w:val="21"/>
                      <w:szCs w:val="21"/>
                      <w:highlight w:val="none"/>
                    </w:rPr>
                  </w:pPr>
                  <w:r>
                    <w:rPr>
                      <w:rFonts w:hint="default" w:ascii="Times New Roman" w:hAnsi="Times New Roman" w:cs="Times New Roman"/>
                      <w:bCs/>
                      <w:color w:val="auto"/>
                      <w:kern w:val="0"/>
                      <w:sz w:val="21"/>
                      <w:szCs w:val="21"/>
                      <w:highlight w:val="none"/>
                    </w:rPr>
                    <w:t>20（无量纲）</w:t>
                  </w:r>
                </w:p>
              </w:tc>
            </w:tr>
            <w:tr w14:paraId="4ED203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op w:val="single" w:color="000000" w:sz="2" w:space="0"/>
                    <w:bottom w:val="single" w:color="000000" w:sz="2" w:space="0"/>
                  </w:tcBorders>
                  <w:vAlign w:val="center"/>
                </w:tcPr>
                <w:p w14:paraId="40B6422E">
                  <w:pPr>
                    <w:pageBreakBefore w:val="0"/>
                    <w:wordWrap w:val="0"/>
                    <w:topLinePunct w:val="0"/>
                    <w:bidi w:val="0"/>
                    <w:spacing w:line="240" w:lineRule="auto"/>
                    <w:jc w:val="center"/>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注：根据《恶臭污染物排放标准》（GB 14554-93）中关于排气筒高度“四舍五入”计算方法的规定，当排气筒高度为30米时，应执行35米高度的排放限值。</w:t>
                  </w:r>
                </w:p>
              </w:tc>
            </w:tr>
            <w:bookmarkEnd w:id="81"/>
            <w:bookmarkEnd w:id="82"/>
            <w:bookmarkEnd w:id="83"/>
          </w:tbl>
          <w:p w14:paraId="1AEFEFAE">
            <w:pPr>
              <w:keepNext/>
              <w:keepLines/>
              <w:pageBreakBefore w:val="0"/>
              <w:widowControl w:val="0"/>
              <w:numPr>
                <w:ilvl w:val="2"/>
                <w:numId w:val="0"/>
              </w:numPr>
              <w:wordWrap w:val="0"/>
              <w:topLinePunct w:val="0"/>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二、废水排放标准</w:t>
            </w:r>
          </w:p>
          <w:p w14:paraId="5E872A3A">
            <w:pPr>
              <w:pageBreakBefore w:val="0"/>
              <w:wordWrap w:val="0"/>
              <w:topLinePunct w:val="0"/>
              <w:bidi w:val="0"/>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本项目运营期废水主要为员工生活污水。</w:t>
            </w:r>
          </w:p>
          <w:p w14:paraId="47F5637B">
            <w:pPr>
              <w:pageBreakBefore w:val="0"/>
              <w:wordWrap w:val="0"/>
              <w:topLinePunct w:val="0"/>
              <w:bidi w:val="0"/>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生活污水经三级化粪池处理达到</w:t>
            </w:r>
            <w:r>
              <w:rPr>
                <w:rFonts w:hint="default" w:ascii="Times New Roman" w:hAnsi="Times New Roman" w:eastAsia="宋体" w:cs="Times New Roman"/>
                <w:color w:val="auto"/>
                <w:highlight w:val="none"/>
                <w:lang w:eastAsia="zh-CN"/>
              </w:rPr>
              <w:t>园区污水处理厂接管水质</w:t>
            </w:r>
            <w:r>
              <w:rPr>
                <w:rFonts w:hint="default" w:ascii="Times New Roman" w:hAnsi="Times New Roman" w:eastAsia="宋体" w:cs="Times New Roman"/>
                <w:color w:val="auto"/>
                <w:highlight w:val="none"/>
                <w:lang w:val="en-US" w:eastAsia="zh-CN"/>
              </w:rPr>
              <w:t>要求及广东省《水污染</w:t>
            </w:r>
            <w:r>
              <w:rPr>
                <w:rFonts w:hint="default" w:ascii="Times New Roman" w:hAnsi="Times New Roman" w:cs="Times New Roman"/>
                <w:color w:val="auto"/>
                <w:highlight w:val="none"/>
                <w:lang w:val="en-US" w:eastAsia="zh-CN"/>
              </w:rPr>
              <w:t>物</w:t>
            </w:r>
            <w:r>
              <w:rPr>
                <w:rFonts w:hint="default" w:ascii="Times New Roman" w:hAnsi="Times New Roman" w:eastAsia="宋体" w:cs="Times New Roman"/>
                <w:color w:val="auto"/>
                <w:highlight w:val="none"/>
                <w:lang w:val="en-US" w:eastAsia="zh-CN"/>
              </w:rPr>
              <w:t>排放限值》（DB44/26-2001）第二时段三级标准两者较严值要求</w:t>
            </w:r>
            <w:r>
              <w:rPr>
                <w:rFonts w:hint="default" w:ascii="Times New Roman" w:hAnsi="Times New Roman" w:eastAsia="宋体" w:cs="Times New Roman"/>
                <w:color w:val="auto"/>
                <w:highlight w:val="none"/>
              </w:rPr>
              <w:t>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排入园区污水处理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处理。</w:t>
            </w:r>
          </w:p>
          <w:p w14:paraId="7BE1B1C2">
            <w:pPr>
              <w:pageBreakBefore w:val="0"/>
              <w:wordWrap w:val="0"/>
              <w:topLinePunct w:val="0"/>
              <w:bidi w:val="0"/>
              <w:snapToGrid w:val="0"/>
              <w:ind w:firstLine="480" w:firstLineChars="200"/>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rPr>
              <w:t>园区</w:t>
            </w:r>
            <w:r>
              <w:rPr>
                <w:rFonts w:hint="default" w:ascii="Times New Roman" w:hAnsi="Times New Roman" w:eastAsia="宋体" w:cs="Times New Roman"/>
                <w:color w:val="auto"/>
                <w:highlight w:val="none"/>
                <w:lang w:eastAsia="zh-CN"/>
              </w:rPr>
              <w:t>污水</w:t>
            </w:r>
            <w:r>
              <w:rPr>
                <w:rFonts w:hint="default" w:ascii="Times New Roman" w:hAnsi="Times New Roman" w:eastAsia="宋体" w:cs="Times New Roman"/>
                <w:color w:val="auto"/>
                <w:highlight w:val="none"/>
              </w:rPr>
              <w:t>处理</w:t>
            </w:r>
            <w:r>
              <w:rPr>
                <w:rFonts w:hint="default" w:ascii="Times New Roman" w:hAnsi="Times New Roman" w:eastAsia="宋体" w:cs="Times New Roman"/>
                <w:color w:val="auto"/>
                <w:highlight w:val="none"/>
                <w:lang w:val="en-US" w:eastAsia="zh-CN"/>
              </w:rPr>
              <w:t>厂</w:t>
            </w:r>
            <w:r>
              <w:rPr>
                <w:rFonts w:hint="default" w:ascii="Times New Roman" w:hAnsi="Times New Roman" w:eastAsia="宋体" w:cs="Times New Roman"/>
                <w:color w:val="auto"/>
                <w:highlight w:val="none"/>
              </w:rPr>
              <w:t>出水水质标准执行广东省《水污染</w:t>
            </w:r>
            <w:r>
              <w:rPr>
                <w:rFonts w:hint="default" w:ascii="Times New Roman" w:hAnsi="Times New Roman" w:cs="Times New Roman"/>
                <w:color w:val="auto"/>
                <w:highlight w:val="none"/>
                <w:lang w:val="en-US" w:eastAsia="zh-CN"/>
              </w:rPr>
              <w:t>物</w:t>
            </w:r>
            <w:r>
              <w:rPr>
                <w:rFonts w:hint="default" w:ascii="Times New Roman" w:hAnsi="Times New Roman" w:eastAsia="宋体" w:cs="Times New Roman"/>
                <w:color w:val="auto"/>
                <w:highlight w:val="none"/>
              </w:rPr>
              <w:t>排放限值》（DB44/26-2001）第二时段一级标准和《城镇污水处理厂污染物排放标准》（GB18919-2002）一级</w:t>
            </w:r>
            <w:r>
              <w:rPr>
                <w:rFonts w:hint="default" w:ascii="Times New Roman" w:hAnsi="Times New Roman" w:cs="Times New Roman"/>
                <w:color w:val="auto"/>
                <w:highlight w:val="none"/>
                <w:lang w:val="en-US" w:eastAsia="zh-CN"/>
              </w:rPr>
              <w:t>A</w:t>
            </w:r>
            <w:r>
              <w:rPr>
                <w:rFonts w:hint="default" w:ascii="Times New Roman" w:hAnsi="Times New Roman" w:eastAsia="宋体" w:cs="Times New Roman"/>
                <w:color w:val="auto"/>
                <w:highlight w:val="none"/>
              </w:rPr>
              <w:t>标准中严者。</w:t>
            </w:r>
            <w:r>
              <w:rPr>
                <w:rFonts w:hint="default" w:ascii="Times New Roman" w:hAnsi="Times New Roman" w:eastAsia="宋体" w:cs="Times New Roman"/>
                <w:color w:val="auto"/>
                <w:highlight w:val="none"/>
                <w:lang w:val="zh-CN"/>
              </w:rPr>
              <w:t>相关排放标准情况</w:t>
            </w:r>
            <w:r>
              <w:rPr>
                <w:rFonts w:hint="default" w:ascii="Times New Roman" w:hAnsi="Times New Roman" w:eastAsia="宋体" w:cs="Times New Roman"/>
                <w:color w:val="auto"/>
                <w:highlight w:val="none"/>
              </w:rPr>
              <w:t>见下表</w:t>
            </w:r>
            <w:r>
              <w:rPr>
                <w:rFonts w:hint="default" w:ascii="Times New Roman" w:hAnsi="Times New Roman" w:cs="Times New Roman"/>
                <w:color w:val="auto"/>
                <w:highlight w:val="none"/>
                <w:lang w:eastAsia="zh-CN"/>
              </w:rPr>
              <w:t>。</w:t>
            </w:r>
          </w:p>
          <w:p w14:paraId="45F5FD19">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表3-</w:t>
            </w:r>
            <w:r>
              <w:rPr>
                <w:rFonts w:hint="default" w:ascii="Times New Roman" w:hAnsi="Times New Roman"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eastAsia="zh-CN"/>
              </w:rPr>
              <w:t>园区污水处理厂接管水质</w:t>
            </w:r>
            <w:r>
              <w:rPr>
                <w:rFonts w:hint="default" w:ascii="Times New Roman" w:hAnsi="Times New Roman" w:eastAsia="宋体" w:cs="Times New Roman"/>
                <w:b/>
                <w:bCs/>
                <w:color w:val="auto"/>
                <w:sz w:val="21"/>
                <w:szCs w:val="21"/>
                <w:highlight w:val="none"/>
                <w:lang w:val="en-US" w:eastAsia="zh-CN"/>
              </w:rPr>
              <w:t>要求及广东省《水污染</w:t>
            </w:r>
            <w:r>
              <w:rPr>
                <w:rFonts w:hint="default" w:ascii="Times New Roman" w:hAnsi="Times New Roman" w:cs="Times New Roman"/>
                <w:b/>
                <w:bCs/>
                <w:color w:val="auto"/>
                <w:sz w:val="21"/>
                <w:szCs w:val="21"/>
                <w:highlight w:val="none"/>
                <w:lang w:val="en-US" w:eastAsia="zh-CN"/>
              </w:rPr>
              <w:t>物</w:t>
            </w:r>
            <w:r>
              <w:rPr>
                <w:rFonts w:hint="default" w:ascii="Times New Roman" w:hAnsi="Times New Roman" w:eastAsia="宋体" w:cs="Times New Roman"/>
                <w:b/>
                <w:bCs/>
                <w:color w:val="auto"/>
                <w:sz w:val="21"/>
                <w:szCs w:val="21"/>
                <w:highlight w:val="none"/>
                <w:lang w:val="en-US" w:eastAsia="zh-CN"/>
              </w:rPr>
              <w:t>排放限值》（DB44/26-2001）第二时段三级标准两者较严值</w:t>
            </w:r>
            <w:r>
              <w:rPr>
                <w:rFonts w:hint="default" w:ascii="Times New Roman" w:hAnsi="Times New Roman" w:eastAsia="宋体" w:cs="Times New Roman"/>
                <w:b/>
                <w:bCs/>
                <w:color w:val="auto"/>
                <w:sz w:val="21"/>
                <w:szCs w:val="21"/>
                <w:highlight w:val="none"/>
              </w:rPr>
              <w:t>要求mg/L，pH为无量纲</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41"/>
              <w:gridCol w:w="924"/>
              <w:gridCol w:w="986"/>
              <w:gridCol w:w="1195"/>
              <w:gridCol w:w="735"/>
              <w:gridCol w:w="839"/>
            </w:tblGrid>
            <w:tr w14:paraId="0B2F2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45" w:type="pct"/>
                  <w:tcBorders>
                    <w:tl2br w:val="nil"/>
                    <w:tr2bl w:val="nil"/>
                  </w:tcBorders>
                  <w:noWrap/>
                  <w:tcMar>
                    <w:left w:w="0" w:type="dxa"/>
                    <w:right w:w="0" w:type="dxa"/>
                  </w:tcMar>
                  <w:vAlign w:val="center"/>
                </w:tcPr>
                <w:p w14:paraId="4AD0C589">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583" w:type="pct"/>
                  <w:tcBorders>
                    <w:tl2br w:val="nil"/>
                    <w:tr2bl w:val="nil"/>
                  </w:tcBorders>
                  <w:noWrap/>
                  <w:tcMar>
                    <w:left w:w="0" w:type="dxa"/>
                    <w:right w:w="0" w:type="dxa"/>
                  </w:tcMar>
                  <w:vAlign w:val="center"/>
                </w:tcPr>
                <w:p w14:paraId="377529BF">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622" w:type="pct"/>
                  <w:tcBorders>
                    <w:tl2br w:val="nil"/>
                    <w:tr2bl w:val="nil"/>
                  </w:tcBorders>
                  <w:noWrap/>
                  <w:tcMar>
                    <w:left w:w="0" w:type="dxa"/>
                    <w:right w:w="0" w:type="dxa"/>
                  </w:tcMar>
                  <w:vAlign w:val="center"/>
                </w:tcPr>
                <w:p w14:paraId="4C609574">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754" w:type="pct"/>
                  <w:tcBorders>
                    <w:tl2br w:val="nil"/>
                    <w:tr2bl w:val="nil"/>
                  </w:tcBorders>
                  <w:noWrap/>
                  <w:vAlign w:val="center"/>
                </w:tcPr>
                <w:p w14:paraId="748E25BE">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464" w:type="pct"/>
                  <w:tcBorders>
                    <w:tl2br w:val="nil"/>
                    <w:tr2bl w:val="nil"/>
                  </w:tcBorders>
                  <w:noWrap/>
                  <w:vAlign w:val="center"/>
                </w:tcPr>
                <w:p w14:paraId="5345C311">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529" w:type="pct"/>
                  <w:tcBorders>
                    <w:tl2br w:val="nil"/>
                    <w:tr2bl w:val="nil"/>
                  </w:tcBorders>
                  <w:noWrap/>
                  <w:vAlign w:val="center"/>
                </w:tcPr>
                <w:p w14:paraId="6F591CB5">
                  <w:pPr>
                    <w:keepNext w:val="0"/>
                    <w:keepLines w:val="0"/>
                    <w:pageBreakBefore w:val="0"/>
                    <w:widowControl w:val="0"/>
                    <w:kinsoku/>
                    <w:wordWrap w:val="0"/>
                    <w:overflowPunct/>
                    <w:topLinePunct w:val="0"/>
                    <w:autoSpaceDE/>
                    <w:autoSpaceDN/>
                    <w:bidi w:val="0"/>
                    <w:adjustRightInd/>
                    <w:snapToGrid w:val="0"/>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r>
            <w:tr w14:paraId="554E2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45" w:type="pct"/>
                  <w:tcBorders>
                    <w:tl2br w:val="nil"/>
                    <w:tr2bl w:val="nil"/>
                  </w:tcBorders>
                  <w:noWrap/>
                  <w:tcMar>
                    <w:left w:w="0" w:type="dxa"/>
                    <w:right w:w="0" w:type="dxa"/>
                  </w:tcMar>
                  <w:vAlign w:val="center"/>
                </w:tcPr>
                <w:p w14:paraId="1A714C91">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园区污水处理厂接管水质要求</w:t>
                  </w:r>
                </w:p>
              </w:tc>
              <w:tc>
                <w:tcPr>
                  <w:tcW w:w="583" w:type="pct"/>
                  <w:tcBorders>
                    <w:tl2br w:val="nil"/>
                    <w:tr2bl w:val="nil"/>
                  </w:tcBorders>
                  <w:noWrap/>
                  <w:tcMar>
                    <w:left w:w="0" w:type="dxa"/>
                    <w:right w:w="0" w:type="dxa"/>
                  </w:tcMar>
                  <w:vAlign w:val="center"/>
                </w:tcPr>
                <w:p w14:paraId="6FAA6B36">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622" w:type="pct"/>
                  <w:tcBorders>
                    <w:tl2br w:val="nil"/>
                    <w:tr2bl w:val="nil"/>
                  </w:tcBorders>
                  <w:noWrap/>
                  <w:tcMar>
                    <w:left w:w="0" w:type="dxa"/>
                    <w:right w:w="0" w:type="dxa"/>
                  </w:tcMar>
                  <w:vAlign w:val="center"/>
                </w:tcPr>
                <w:p w14:paraId="709E9FAD">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754" w:type="pct"/>
                  <w:tcBorders>
                    <w:tl2br w:val="nil"/>
                    <w:tr2bl w:val="nil"/>
                  </w:tcBorders>
                  <w:noWrap/>
                  <w:vAlign w:val="center"/>
                </w:tcPr>
                <w:p w14:paraId="17EEB8B4">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464" w:type="pct"/>
                  <w:tcBorders>
                    <w:tl2br w:val="nil"/>
                    <w:tr2bl w:val="nil"/>
                  </w:tcBorders>
                  <w:noWrap/>
                  <w:vAlign w:val="center"/>
                </w:tcPr>
                <w:p w14:paraId="16D8A694">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529" w:type="pct"/>
                  <w:tcBorders>
                    <w:tl2br w:val="nil"/>
                    <w:tr2bl w:val="nil"/>
                  </w:tcBorders>
                  <w:noWrap/>
                  <w:vAlign w:val="center"/>
                </w:tcPr>
                <w:p w14:paraId="1BEF747E">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r>
            <w:tr w14:paraId="776A6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45" w:type="pct"/>
                  <w:tcBorders>
                    <w:tl2br w:val="nil"/>
                    <w:tr2bl w:val="nil"/>
                  </w:tcBorders>
                  <w:noWrap/>
                  <w:tcMar>
                    <w:left w:w="0" w:type="dxa"/>
                    <w:right w:w="0" w:type="dxa"/>
                  </w:tcMar>
                  <w:vAlign w:val="center"/>
                </w:tcPr>
                <w:p w14:paraId="79F076BB">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DB44/26-2001第二时段三级标准</w:t>
                  </w:r>
                </w:p>
              </w:tc>
              <w:tc>
                <w:tcPr>
                  <w:tcW w:w="583" w:type="pct"/>
                  <w:tcBorders>
                    <w:tl2br w:val="nil"/>
                    <w:tr2bl w:val="nil"/>
                  </w:tcBorders>
                  <w:noWrap/>
                  <w:tcMar>
                    <w:left w:w="0" w:type="dxa"/>
                    <w:right w:w="0" w:type="dxa"/>
                  </w:tcMar>
                  <w:vAlign w:val="center"/>
                </w:tcPr>
                <w:p w14:paraId="481B0E2C">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color w:val="auto"/>
                      <w:sz w:val="21"/>
                      <w:szCs w:val="21"/>
                      <w:highlight w:val="none"/>
                    </w:rPr>
                    <w:t>6-9</w:t>
                  </w:r>
                </w:p>
              </w:tc>
              <w:tc>
                <w:tcPr>
                  <w:tcW w:w="622" w:type="pct"/>
                  <w:tcBorders>
                    <w:tl2br w:val="nil"/>
                    <w:tr2bl w:val="nil"/>
                  </w:tcBorders>
                  <w:noWrap/>
                  <w:tcMar>
                    <w:left w:w="0" w:type="dxa"/>
                    <w:right w:w="0" w:type="dxa"/>
                  </w:tcMar>
                  <w:vAlign w:val="center"/>
                </w:tcPr>
                <w:p w14:paraId="1B555410">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w:t>
                  </w:r>
                </w:p>
              </w:tc>
              <w:tc>
                <w:tcPr>
                  <w:tcW w:w="754" w:type="pct"/>
                  <w:tcBorders>
                    <w:tl2br w:val="nil"/>
                    <w:tr2bl w:val="nil"/>
                  </w:tcBorders>
                  <w:noWrap/>
                  <w:vAlign w:val="center"/>
                </w:tcPr>
                <w:p w14:paraId="5E164377">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464" w:type="pct"/>
                  <w:tcBorders>
                    <w:tl2br w:val="nil"/>
                    <w:tr2bl w:val="nil"/>
                  </w:tcBorders>
                  <w:noWrap/>
                  <w:vAlign w:val="center"/>
                </w:tcPr>
                <w:p w14:paraId="71563987">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400</w:t>
                  </w:r>
                </w:p>
              </w:tc>
              <w:tc>
                <w:tcPr>
                  <w:tcW w:w="529" w:type="pct"/>
                  <w:tcBorders>
                    <w:tl2br w:val="nil"/>
                    <w:tr2bl w:val="nil"/>
                  </w:tcBorders>
                  <w:noWrap/>
                  <w:vAlign w:val="center"/>
                </w:tcPr>
                <w:p w14:paraId="54F42AB0">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2857D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2045" w:type="pct"/>
                  <w:tcBorders>
                    <w:tl2br w:val="nil"/>
                    <w:tr2bl w:val="nil"/>
                  </w:tcBorders>
                  <w:noWrap/>
                  <w:tcMar>
                    <w:left w:w="0" w:type="dxa"/>
                    <w:right w:w="0" w:type="dxa"/>
                  </w:tcMar>
                  <w:vAlign w:val="center"/>
                </w:tcPr>
                <w:p w14:paraId="41C2D251">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rPr>
                    <w:t>执行限值</w:t>
                  </w:r>
                </w:p>
              </w:tc>
              <w:tc>
                <w:tcPr>
                  <w:tcW w:w="583" w:type="pct"/>
                  <w:tcBorders>
                    <w:tl2br w:val="nil"/>
                    <w:tr2bl w:val="nil"/>
                  </w:tcBorders>
                  <w:noWrap/>
                  <w:tcMar>
                    <w:left w:w="0" w:type="dxa"/>
                    <w:right w:w="0" w:type="dxa"/>
                  </w:tcMar>
                  <w:vAlign w:val="center"/>
                </w:tcPr>
                <w:p w14:paraId="16553905">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622" w:type="pct"/>
                  <w:tcBorders>
                    <w:tl2br w:val="nil"/>
                    <w:tr2bl w:val="nil"/>
                  </w:tcBorders>
                  <w:noWrap/>
                  <w:tcMar>
                    <w:left w:w="0" w:type="dxa"/>
                    <w:right w:w="0" w:type="dxa"/>
                  </w:tcMar>
                  <w:vAlign w:val="center"/>
                </w:tcPr>
                <w:p w14:paraId="1A431059">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300</w:t>
                  </w:r>
                </w:p>
              </w:tc>
              <w:tc>
                <w:tcPr>
                  <w:tcW w:w="754" w:type="pct"/>
                  <w:tcBorders>
                    <w:tl2br w:val="nil"/>
                    <w:tr2bl w:val="nil"/>
                  </w:tcBorders>
                  <w:noWrap/>
                  <w:vAlign w:val="center"/>
                </w:tcPr>
                <w:p w14:paraId="15FFBD16">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150</w:t>
                  </w:r>
                </w:p>
              </w:tc>
              <w:tc>
                <w:tcPr>
                  <w:tcW w:w="464" w:type="pct"/>
                  <w:tcBorders>
                    <w:tl2br w:val="nil"/>
                    <w:tr2bl w:val="nil"/>
                  </w:tcBorders>
                  <w:noWrap/>
                  <w:vAlign w:val="center"/>
                </w:tcPr>
                <w:p w14:paraId="7CBD0586">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250</w:t>
                  </w:r>
                </w:p>
              </w:tc>
              <w:tc>
                <w:tcPr>
                  <w:tcW w:w="529" w:type="pct"/>
                  <w:tcBorders>
                    <w:tl2br w:val="nil"/>
                    <w:tr2bl w:val="nil"/>
                  </w:tcBorders>
                  <w:noWrap/>
                  <w:vAlign w:val="center"/>
                </w:tcPr>
                <w:p w14:paraId="3ABA1D9D">
                  <w:pPr>
                    <w:keepNext w:val="0"/>
                    <w:keepLines w:val="0"/>
                    <w:pageBreakBefore w:val="0"/>
                    <w:widowControl w:val="0"/>
                    <w:kinsoku/>
                    <w:wordWrap w:val="0"/>
                    <w:overflowPunct/>
                    <w:topLinePunct w:val="0"/>
                    <w:autoSpaceDE/>
                    <w:autoSpaceDN/>
                    <w:bidi w:val="0"/>
                    <w:adjustRightIn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r>
          </w:tbl>
          <w:p w14:paraId="0A3819A7">
            <w:pPr>
              <w:pageBreakBefore w:val="0"/>
              <w:wordWrap w:val="0"/>
              <w:topLinePunct w:val="0"/>
              <w:bidi w:val="0"/>
              <w:spacing w:line="36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b/>
                <w:bCs/>
                <w:color w:val="auto"/>
                <w:sz w:val="21"/>
                <w:szCs w:val="21"/>
                <w:highlight w:val="none"/>
              </w:rPr>
              <w:t>表3</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10</w:t>
            </w:r>
            <w:r>
              <w:rPr>
                <w:rFonts w:hint="default" w:ascii="Times New Roman" w:hAnsi="Times New Roman" w:eastAsia="宋体" w:cs="Times New Roman"/>
                <w:b/>
                <w:bCs/>
                <w:color w:val="auto"/>
                <w:sz w:val="21"/>
                <w:szCs w:val="21"/>
                <w:highlight w:val="none"/>
              </w:rPr>
              <w:t>园区污水处理厂水污染物排放限值（摘录）mg/L</w:t>
            </w:r>
            <w:r>
              <w:rPr>
                <w:rFonts w:hint="default" w:ascii="Times New Roman" w:hAnsi="Times New Roman" w:eastAsia="宋体" w:cs="Times New Roman"/>
                <w:b/>
                <w:bCs/>
                <w:color w:val="auto"/>
                <w:sz w:val="21"/>
                <w:szCs w:val="21"/>
                <w:highlight w:val="none"/>
                <w:lang w:eastAsia="zh-CN"/>
              </w:rPr>
              <w:t>，</w:t>
            </w:r>
            <w:r>
              <w:rPr>
                <w:rFonts w:hint="default" w:ascii="Times New Roman" w:hAnsi="Times New Roman" w:eastAsia="宋体" w:cs="Times New Roman"/>
                <w:b/>
                <w:bCs/>
                <w:color w:val="auto"/>
                <w:sz w:val="21"/>
                <w:szCs w:val="21"/>
                <w:highlight w:val="none"/>
              </w:rPr>
              <w:t>pH为无量纲</w:t>
            </w:r>
          </w:p>
          <w:tbl>
            <w:tblPr>
              <w:tblStyle w:val="3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87"/>
              <w:gridCol w:w="950"/>
              <w:gridCol w:w="777"/>
              <w:gridCol w:w="686"/>
              <w:gridCol w:w="874"/>
              <w:gridCol w:w="1292"/>
              <w:gridCol w:w="1134"/>
              <w:gridCol w:w="25"/>
            </w:tblGrid>
            <w:tr w14:paraId="2D92E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4C3DD3CF">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705" w:type="pct"/>
                  <w:tcBorders>
                    <w:tl2br w:val="nil"/>
                    <w:tr2bl w:val="nil"/>
                  </w:tcBorders>
                  <w:noWrap/>
                  <w:tcMar>
                    <w:left w:w="0" w:type="dxa"/>
                    <w:right w:w="0" w:type="dxa"/>
                  </w:tcMar>
                  <w:vAlign w:val="center"/>
                </w:tcPr>
                <w:p w14:paraId="1A3ED3D9">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COD</w:t>
                  </w:r>
                  <w:r>
                    <w:rPr>
                      <w:rFonts w:hint="default" w:ascii="Times New Roman" w:hAnsi="Times New Roman" w:cs="Times New Roman"/>
                      <w:b/>
                      <w:bCs/>
                      <w:color w:val="auto"/>
                      <w:sz w:val="21"/>
                      <w:szCs w:val="21"/>
                      <w:highlight w:val="none"/>
                      <w:vertAlign w:val="subscript"/>
                    </w:rPr>
                    <w:t>Cr</w:t>
                  </w:r>
                </w:p>
              </w:tc>
              <w:tc>
                <w:tcPr>
                  <w:tcW w:w="527" w:type="pct"/>
                  <w:tcBorders>
                    <w:tl2br w:val="nil"/>
                    <w:tr2bl w:val="nil"/>
                  </w:tcBorders>
                  <w:noWrap/>
                  <w:vAlign w:val="center"/>
                </w:tcPr>
                <w:p w14:paraId="78D97AD4">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vertAlign w:val="subscript"/>
                    </w:rPr>
                  </w:pPr>
                  <w:r>
                    <w:rPr>
                      <w:rFonts w:hint="default" w:ascii="Times New Roman" w:hAnsi="Times New Roman" w:cs="Times New Roman"/>
                      <w:b/>
                      <w:bCs/>
                      <w:color w:val="auto"/>
                      <w:sz w:val="21"/>
                      <w:szCs w:val="21"/>
                      <w:highlight w:val="none"/>
                    </w:rPr>
                    <w:t>BOD</w:t>
                  </w:r>
                  <w:r>
                    <w:rPr>
                      <w:rFonts w:hint="default" w:ascii="Times New Roman" w:hAnsi="Times New Roman" w:cs="Times New Roman"/>
                      <w:b/>
                      <w:bCs/>
                      <w:color w:val="auto"/>
                      <w:sz w:val="21"/>
                      <w:szCs w:val="21"/>
                      <w:highlight w:val="none"/>
                      <w:vertAlign w:val="subscript"/>
                    </w:rPr>
                    <w:t>5</w:t>
                  </w:r>
                </w:p>
              </w:tc>
              <w:tc>
                <w:tcPr>
                  <w:tcW w:w="458" w:type="pct"/>
                  <w:tcBorders>
                    <w:tl2br w:val="nil"/>
                    <w:tr2bl w:val="nil"/>
                  </w:tcBorders>
                  <w:noWrap/>
                  <w:vAlign w:val="center"/>
                </w:tcPr>
                <w:p w14:paraId="5EA2834B">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SS</w:t>
                  </w:r>
                </w:p>
              </w:tc>
              <w:tc>
                <w:tcPr>
                  <w:tcW w:w="600" w:type="pct"/>
                  <w:tcBorders>
                    <w:tl2br w:val="nil"/>
                    <w:tr2bl w:val="nil"/>
                  </w:tcBorders>
                  <w:noWrap/>
                  <w:vAlign w:val="center"/>
                </w:tcPr>
                <w:p w14:paraId="1A706784">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氨氮</w:t>
                  </w:r>
                </w:p>
              </w:tc>
              <w:tc>
                <w:tcPr>
                  <w:tcW w:w="629" w:type="pct"/>
                  <w:tcBorders>
                    <w:tl2br w:val="nil"/>
                    <w:tr2bl w:val="nil"/>
                  </w:tcBorders>
                  <w:noWrap/>
                  <w:vAlign w:val="center"/>
                </w:tcPr>
                <w:p w14:paraId="5B746712">
                  <w:pPr>
                    <w:pageBreakBefore w:val="0"/>
                    <w:wordWrap w:val="0"/>
                    <w:topLinePunct w:val="0"/>
                    <w:bidi w:val="0"/>
                    <w:snapToGrid w:val="0"/>
                    <w:spacing w:line="240" w:lineRule="auto"/>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LAS</w:t>
                  </w:r>
                </w:p>
              </w:tc>
              <w:tc>
                <w:tcPr>
                  <w:tcW w:w="796" w:type="pct"/>
                  <w:tcBorders>
                    <w:tl2br w:val="nil"/>
                    <w:tr2bl w:val="nil"/>
                  </w:tcBorders>
                  <w:noWrap/>
                  <w:vAlign w:val="center"/>
                </w:tcPr>
                <w:p w14:paraId="194F25CD">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动植物油</w:t>
                  </w:r>
                </w:p>
              </w:tc>
            </w:tr>
            <w:tr w14:paraId="4BD53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47EF812D">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705" w:type="pct"/>
                  <w:tcBorders>
                    <w:tl2br w:val="nil"/>
                    <w:tr2bl w:val="nil"/>
                  </w:tcBorders>
                  <w:noWrap/>
                  <w:tcMar>
                    <w:left w:w="0" w:type="dxa"/>
                    <w:right w:w="0" w:type="dxa"/>
                  </w:tcMar>
                  <w:vAlign w:val="center"/>
                </w:tcPr>
                <w:p w14:paraId="00F1B69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527" w:type="pct"/>
                  <w:tcBorders>
                    <w:tl2br w:val="nil"/>
                    <w:tr2bl w:val="nil"/>
                  </w:tcBorders>
                  <w:noWrap/>
                  <w:vAlign w:val="center"/>
                </w:tcPr>
                <w:p w14:paraId="2C7C6A6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458" w:type="pct"/>
                  <w:tcBorders>
                    <w:tl2br w:val="nil"/>
                    <w:tr2bl w:val="nil"/>
                  </w:tcBorders>
                  <w:noWrap/>
                  <w:vAlign w:val="center"/>
                </w:tcPr>
                <w:p w14:paraId="72FB13D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w:t>
                  </w:r>
                </w:p>
              </w:tc>
              <w:tc>
                <w:tcPr>
                  <w:tcW w:w="600" w:type="pct"/>
                  <w:tcBorders>
                    <w:tl2br w:val="nil"/>
                    <w:tr2bl w:val="nil"/>
                  </w:tcBorders>
                  <w:noWrap/>
                  <w:vAlign w:val="center"/>
                </w:tcPr>
                <w:p w14:paraId="2F0D928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c>
                <w:tcPr>
                  <w:tcW w:w="629" w:type="pct"/>
                  <w:tcBorders>
                    <w:tl2br w:val="nil"/>
                    <w:tr2bl w:val="nil"/>
                  </w:tcBorders>
                  <w:noWrap/>
                  <w:vAlign w:val="center"/>
                </w:tcPr>
                <w:p w14:paraId="4FBD8F2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796" w:type="pct"/>
                  <w:tcBorders>
                    <w:tl2br w:val="nil"/>
                    <w:tr2bl w:val="nil"/>
                  </w:tcBorders>
                  <w:noWrap/>
                  <w:vAlign w:val="center"/>
                </w:tcPr>
                <w:p w14:paraId="79FC6AB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w:t>
                  </w:r>
                </w:p>
              </w:tc>
            </w:tr>
            <w:tr w14:paraId="374A2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7B7E81B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w:t>
                  </w:r>
                  <w:r>
                    <w:rPr>
                      <w:rFonts w:hint="default" w:ascii="Times New Roman" w:hAnsi="Times New Roman" w:cs="Times New Roman"/>
                      <w:color w:val="auto"/>
                      <w:sz w:val="21"/>
                      <w:szCs w:val="21"/>
                      <w:highlight w:val="none"/>
                      <w:lang w:val="en-US" w:eastAsia="zh-CN"/>
                    </w:rPr>
                    <w:t>A</w:t>
                  </w:r>
                  <w:r>
                    <w:rPr>
                      <w:rFonts w:hint="default" w:ascii="Times New Roman" w:hAnsi="Times New Roman" w:cs="Times New Roman"/>
                      <w:color w:val="auto"/>
                      <w:sz w:val="21"/>
                      <w:szCs w:val="21"/>
                      <w:highlight w:val="none"/>
                    </w:rPr>
                    <w:t>标准</w:t>
                  </w:r>
                </w:p>
              </w:tc>
              <w:tc>
                <w:tcPr>
                  <w:tcW w:w="705" w:type="pct"/>
                  <w:tcBorders>
                    <w:tl2br w:val="nil"/>
                    <w:tr2bl w:val="nil"/>
                  </w:tcBorders>
                  <w:noWrap/>
                  <w:tcMar>
                    <w:left w:w="0" w:type="dxa"/>
                    <w:right w:w="0" w:type="dxa"/>
                  </w:tcMar>
                  <w:vAlign w:val="center"/>
                </w:tcPr>
                <w:p w14:paraId="666EAFA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527" w:type="pct"/>
                  <w:tcBorders>
                    <w:tl2br w:val="nil"/>
                    <w:tr2bl w:val="nil"/>
                  </w:tcBorders>
                  <w:noWrap/>
                  <w:vAlign w:val="center"/>
                </w:tcPr>
                <w:p w14:paraId="606B64E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458" w:type="pct"/>
                  <w:tcBorders>
                    <w:tl2br w:val="nil"/>
                    <w:tr2bl w:val="nil"/>
                  </w:tcBorders>
                  <w:noWrap/>
                  <w:vAlign w:val="center"/>
                </w:tcPr>
                <w:p w14:paraId="55F1E98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600" w:type="pct"/>
                  <w:tcBorders>
                    <w:tl2br w:val="nil"/>
                    <w:tr2bl w:val="nil"/>
                  </w:tcBorders>
                  <w:noWrap/>
                  <w:vAlign w:val="center"/>
                </w:tcPr>
                <w:p w14:paraId="7EF864F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vertAlign w:val="superscript"/>
                    </w:rPr>
                    <w:t>①</w:t>
                  </w:r>
                  <w:r>
                    <w:rPr>
                      <w:rFonts w:hint="default" w:ascii="Times New Roman" w:hAnsi="Times New Roman" w:cs="Times New Roman"/>
                      <w:color w:val="auto"/>
                      <w:sz w:val="21"/>
                      <w:szCs w:val="21"/>
                      <w:highlight w:val="none"/>
                    </w:rPr>
                    <w:t>)</w:t>
                  </w:r>
                </w:p>
              </w:tc>
              <w:tc>
                <w:tcPr>
                  <w:tcW w:w="629" w:type="pct"/>
                  <w:tcBorders>
                    <w:tl2br w:val="nil"/>
                    <w:tr2bl w:val="nil"/>
                  </w:tcBorders>
                  <w:noWrap/>
                  <w:vAlign w:val="center"/>
                </w:tcPr>
                <w:p w14:paraId="28A72F7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c>
                <w:tcPr>
                  <w:tcW w:w="796" w:type="pct"/>
                  <w:tcBorders>
                    <w:tl2br w:val="nil"/>
                    <w:tr2bl w:val="nil"/>
                  </w:tcBorders>
                  <w:noWrap/>
                  <w:vAlign w:val="center"/>
                </w:tcPr>
                <w:p w14:paraId="64CEB14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r>
            <w:tr w14:paraId="41FC0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3080DC6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705" w:type="pct"/>
                  <w:tcBorders>
                    <w:tl2br w:val="nil"/>
                    <w:tr2bl w:val="nil"/>
                  </w:tcBorders>
                  <w:noWrap/>
                  <w:tcMar>
                    <w:left w:w="0" w:type="dxa"/>
                    <w:right w:w="0" w:type="dxa"/>
                  </w:tcMar>
                  <w:vAlign w:val="center"/>
                </w:tcPr>
                <w:p w14:paraId="6579F4F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527" w:type="pct"/>
                  <w:tcBorders>
                    <w:tl2br w:val="nil"/>
                    <w:tr2bl w:val="nil"/>
                  </w:tcBorders>
                  <w:noWrap/>
                  <w:vAlign w:val="center"/>
                </w:tcPr>
                <w:p w14:paraId="3AFA729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458" w:type="pct"/>
                  <w:tcBorders>
                    <w:tl2br w:val="nil"/>
                    <w:tr2bl w:val="nil"/>
                  </w:tcBorders>
                  <w:noWrap/>
                  <w:vAlign w:val="center"/>
                </w:tcPr>
                <w:p w14:paraId="283F162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600" w:type="pct"/>
                  <w:tcBorders>
                    <w:tl2br w:val="nil"/>
                    <w:tr2bl w:val="nil"/>
                  </w:tcBorders>
                  <w:noWrap/>
                  <w:vAlign w:val="center"/>
                </w:tcPr>
                <w:p w14:paraId="1152DB4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629" w:type="pct"/>
                  <w:tcBorders>
                    <w:tl2br w:val="nil"/>
                    <w:tr2bl w:val="nil"/>
                  </w:tcBorders>
                  <w:noWrap/>
                  <w:vAlign w:val="center"/>
                </w:tcPr>
                <w:p w14:paraId="3A55267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c>
                <w:tcPr>
                  <w:tcW w:w="796" w:type="pct"/>
                  <w:tcBorders>
                    <w:tl2br w:val="nil"/>
                    <w:tr2bl w:val="nil"/>
                  </w:tcBorders>
                  <w:noWrap/>
                  <w:vAlign w:val="center"/>
                </w:tcPr>
                <w:p w14:paraId="2D2210A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r>
            <w:tr w14:paraId="1563F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1CD980F2">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污染物</w:t>
                  </w:r>
                </w:p>
              </w:tc>
              <w:tc>
                <w:tcPr>
                  <w:tcW w:w="705" w:type="pct"/>
                  <w:tcBorders>
                    <w:tl2br w:val="nil"/>
                    <w:tr2bl w:val="nil"/>
                  </w:tcBorders>
                  <w:noWrap/>
                  <w:tcMar>
                    <w:left w:w="0" w:type="dxa"/>
                    <w:right w:w="0" w:type="dxa"/>
                  </w:tcMar>
                  <w:vAlign w:val="center"/>
                </w:tcPr>
                <w:p w14:paraId="6A3078EE">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总氮</w:t>
                  </w:r>
                </w:p>
              </w:tc>
              <w:tc>
                <w:tcPr>
                  <w:tcW w:w="527" w:type="pct"/>
                  <w:tcBorders>
                    <w:tl2br w:val="nil"/>
                    <w:tr2bl w:val="nil"/>
                  </w:tcBorders>
                  <w:noWrap/>
                  <w:vAlign w:val="center"/>
                </w:tcPr>
                <w:p w14:paraId="5986F29F">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总磷</w:t>
                  </w:r>
                </w:p>
              </w:tc>
              <w:tc>
                <w:tcPr>
                  <w:tcW w:w="458" w:type="pct"/>
                  <w:tcBorders>
                    <w:tl2br w:val="nil"/>
                    <w:tr2bl w:val="nil"/>
                  </w:tcBorders>
                  <w:noWrap/>
                  <w:vAlign w:val="center"/>
                </w:tcPr>
                <w:p w14:paraId="474032A0">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pH</w:t>
                  </w:r>
                </w:p>
              </w:tc>
              <w:tc>
                <w:tcPr>
                  <w:tcW w:w="600" w:type="pct"/>
                  <w:tcBorders>
                    <w:tl2br w:val="nil"/>
                    <w:tr2bl w:val="nil"/>
                  </w:tcBorders>
                  <w:noWrap/>
                  <w:vAlign w:val="center"/>
                </w:tcPr>
                <w:p w14:paraId="42B40864">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石油类</w:t>
                  </w:r>
                </w:p>
              </w:tc>
              <w:tc>
                <w:tcPr>
                  <w:tcW w:w="629" w:type="pct"/>
                  <w:tcBorders>
                    <w:tl2br w:val="nil"/>
                    <w:tr2bl w:val="nil"/>
                  </w:tcBorders>
                  <w:noWrap/>
                  <w:vAlign w:val="center"/>
                </w:tcPr>
                <w:p w14:paraId="5832C7EB">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色度（稀释倍数）</w:t>
                  </w:r>
                </w:p>
              </w:tc>
              <w:tc>
                <w:tcPr>
                  <w:tcW w:w="796" w:type="pct"/>
                  <w:tcBorders>
                    <w:tl2br w:val="nil"/>
                    <w:tr2bl w:val="nil"/>
                  </w:tcBorders>
                  <w:noWrap/>
                  <w:vAlign w:val="center"/>
                </w:tcPr>
                <w:p w14:paraId="019628F0">
                  <w:pPr>
                    <w:pageBreakBefore w:val="0"/>
                    <w:wordWrap w:val="0"/>
                    <w:topLinePunct w:val="0"/>
                    <w:bidi w:val="0"/>
                    <w:snapToGrid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粪大肠菌群</w:t>
                  </w:r>
                </w:p>
              </w:tc>
            </w:tr>
            <w:tr w14:paraId="4CAFA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6CA9D04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DB44/26-2001第二时段一级排放标准</w:t>
                  </w:r>
                </w:p>
              </w:tc>
              <w:tc>
                <w:tcPr>
                  <w:tcW w:w="705" w:type="pct"/>
                  <w:tcBorders>
                    <w:tl2br w:val="nil"/>
                    <w:tr2bl w:val="nil"/>
                  </w:tcBorders>
                  <w:noWrap/>
                  <w:tcMar>
                    <w:left w:w="0" w:type="dxa"/>
                    <w:right w:w="0" w:type="dxa"/>
                  </w:tcMar>
                  <w:vAlign w:val="center"/>
                </w:tcPr>
                <w:p w14:paraId="2BC1C51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c>
                <w:tcPr>
                  <w:tcW w:w="527" w:type="pct"/>
                  <w:tcBorders>
                    <w:tl2br w:val="nil"/>
                    <w:tr2bl w:val="nil"/>
                  </w:tcBorders>
                  <w:noWrap/>
                  <w:vAlign w:val="center"/>
                </w:tcPr>
                <w:p w14:paraId="7399690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58" w:type="pct"/>
                  <w:tcBorders>
                    <w:tl2br w:val="nil"/>
                    <w:tr2bl w:val="nil"/>
                  </w:tcBorders>
                  <w:noWrap/>
                  <w:vAlign w:val="center"/>
                </w:tcPr>
                <w:p w14:paraId="622D605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600" w:type="pct"/>
                  <w:tcBorders>
                    <w:tl2br w:val="nil"/>
                    <w:tr2bl w:val="nil"/>
                  </w:tcBorders>
                  <w:noWrap/>
                  <w:vAlign w:val="center"/>
                </w:tcPr>
                <w:p w14:paraId="0E36F3F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c>
                <w:tcPr>
                  <w:tcW w:w="629" w:type="pct"/>
                  <w:tcBorders>
                    <w:tl2br w:val="nil"/>
                    <w:tr2bl w:val="nil"/>
                  </w:tcBorders>
                  <w:noWrap/>
                  <w:vAlign w:val="center"/>
                </w:tcPr>
                <w:p w14:paraId="42FA94E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40</w:t>
                  </w:r>
                </w:p>
              </w:tc>
              <w:tc>
                <w:tcPr>
                  <w:tcW w:w="796" w:type="pct"/>
                  <w:tcBorders>
                    <w:tl2br w:val="nil"/>
                    <w:tr2bl w:val="nil"/>
                  </w:tcBorders>
                  <w:noWrap/>
                  <w:vAlign w:val="center"/>
                </w:tcPr>
                <w:p w14:paraId="433CEED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p>
              </w:tc>
            </w:tr>
            <w:tr w14:paraId="52ED2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4462DE3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GB18918-2002一级</w:t>
                  </w:r>
                  <w:r>
                    <w:rPr>
                      <w:rFonts w:hint="default" w:ascii="Times New Roman" w:hAnsi="Times New Roman" w:cs="Times New Roman"/>
                      <w:color w:val="auto"/>
                      <w:sz w:val="21"/>
                      <w:szCs w:val="21"/>
                      <w:highlight w:val="none"/>
                      <w:lang w:val="en-US" w:eastAsia="zh-CN"/>
                    </w:rPr>
                    <w:t>A</w:t>
                  </w:r>
                  <w:r>
                    <w:rPr>
                      <w:rFonts w:hint="default" w:ascii="Times New Roman" w:hAnsi="Times New Roman" w:cs="Times New Roman"/>
                      <w:color w:val="auto"/>
                      <w:sz w:val="21"/>
                      <w:szCs w:val="21"/>
                      <w:highlight w:val="none"/>
                    </w:rPr>
                    <w:t>标准</w:t>
                  </w:r>
                </w:p>
              </w:tc>
              <w:tc>
                <w:tcPr>
                  <w:tcW w:w="705" w:type="pct"/>
                  <w:tcBorders>
                    <w:tl2br w:val="nil"/>
                    <w:tr2bl w:val="nil"/>
                  </w:tcBorders>
                  <w:noWrap/>
                  <w:tcMar>
                    <w:left w:w="0" w:type="dxa"/>
                    <w:right w:w="0" w:type="dxa"/>
                  </w:tcMar>
                  <w:vAlign w:val="center"/>
                </w:tcPr>
                <w:p w14:paraId="2AE3CE8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527" w:type="pct"/>
                  <w:tcBorders>
                    <w:tl2br w:val="nil"/>
                    <w:tr2bl w:val="nil"/>
                  </w:tcBorders>
                  <w:noWrap/>
                  <w:vAlign w:val="center"/>
                </w:tcPr>
                <w:p w14:paraId="031CF48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p>
              </w:tc>
              <w:tc>
                <w:tcPr>
                  <w:tcW w:w="458" w:type="pct"/>
                  <w:tcBorders>
                    <w:tl2br w:val="nil"/>
                    <w:tr2bl w:val="nil"/>
                  </w:tcBorders>
                  <w:noWrap/>
                  <w:vAlign w:val="center"/>
                </w:tcPr>
                <w:p w14:paraId="213B673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600" w:type="pct"/>
                  <w:tcBorders>
                    <w:tl2br w:val="nil"/>
                    <w:tr2bl w:val="nil"/>
                  </w:tcBorders>
                  <w:noWrap/>
                  <w:vAlign w:val="center"/>
                </w:tcPr>
                <w:p w14:paraId="4C425D3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629" w:type="pct"/>
                  <w:tcBorders>
                    <w:tl2br w:val="nil"/>
                    <w:tr2bl w:val="nil"/>
                  </w:tcBorders>
                  <w:noWrap/>
                  <w:vAlign w:val="center"/>
                </w:tcPr>
                <w:p w14:paraId="2BBDCDD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796" w:type="pct"/>
                  <w:tcBorders>
                    <w:tl2br w:val="nil"/>
                    <w:tr2bl w:val="nil"/>
                  </w:tcBorders>
                  <w:noWrap/>
                  <w:vAlign w:val="center"/>
                </w:tcPr>
                <w:p w14:paraId="490AD87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1000个/L</w:t>
                  </w:r>
                </w:p>
              </w:tc>
            </w:tr>
            <w:tr w14:paraId="75D16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pct"/>
                <w:cantSplit/>
                <w:trHeight w:val="482" w:hRule="atLeast"/>
                <w:jc w:val="center"/>
              </w:trPr>
              <w:tc>
                <w:tcPr>
                  <w:tcW w:w="1266" w:type="pct"/>
                  <w:tcBorders>
                    <w:tl2br w:val="nil"/>
                    <w:tr2bl w:val="nil"/>
                  </w:tcBorders>
                  <w:noWrap/>
                  <w:tcMar>
                    <w:left w:w="0" w:type="dxa"/>
                    <w:right w:w="0" w:type="dxa"/>
                  </w:tcMar>
                  <w:vAlign w:val="center"/>
                </w:tcPr>
                <w:p w14:paraId="742A2D3F">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执行限值</w:t>
                  </w:r>
                </w:p>
              </w:tc>
              <w:tc>
                <w:tcPr>
                  <w:tcW w:w="705" w:type="pct"/>
                  <w:tcBorders>
                    <w:tl2br w:val="nil"/>
                    <w:tr2bl w:val="nil"/>
                  </w:tcBorders>
                  <w:noWrap/>
                  <w:tcMar>
                    <w:left w:w="0" w:type="dxa"/>
                    <w:right w:w="0" w:type="dxa"/>
                  </w:tcMar>
                  <w:vAlign w:val="center"/>
                </w:tcPr>
                <w:p w14:paraId="07D5F87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527" w:type="pct"/>
                  <w:tcBorders>
                    <w:tl2br w:val="nil"/>
                    <w:tr2bl w:val="nil"/>
                  </w:tcBorders>
                  <w:noWrap/>
                  <w:vAlign w:val="center"/>
                </w:tcPr>
                <w:p w14:paraId="0EC9495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w:t>
                  </w:r>
                </w:p>
              </w:tc>
              <w:tc>
                <w:tcPr>
                  <w:tcW w:w="458" w:type="pct"/>
                  <w:tcBorders>
                    <w:tl2br w:val="nil"/>
                    <w:tr2bl w:val="nil"/>
                  </w:tcBorders>
                  <w:noWrap/>
                  <w:vAlign w:val="center"/>
                </w:tcPr>
                <w:p w14:paraId="34ED4C03">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w:t>
                  </w:r>
                </w:p>
              </w:tc>
              <w:tc>
                <w:tcPr>
                  <w:tcW w:w="600" w:type="pct"/>
                  <w:tcBorders>
                    <w:tl2br w:val="nil"/>
                    <w:tr2bl w:val="nil"/>
                  </w:tcBorders>
                  <w:noWrap/>
                  <w:vAlign w:val="center"/>
                </w:tcPr>
                <w:p w14:paraId="6CE19B2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629" w:type="pct"/>
                  <w:tcBorders>
                    <w:tl2br w:val="nil"/>
                    <w:tr2bl w:val="nil"/>
                  </w:tcBorders>
                  <w:noWrap/>
                  <w:vAlign w:val="center"/>
                </w:tcPr>
                <w:p w14:paraId="6FCA063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796" w:type="pct"/>
                  <w:tcBorders>
                    <w:tl2br w:val="nil"/>
                    <w:tr2bl w:val="nil"/>
                  </w:tcBorders>
                  <w:noWrap/>
                  <w:vAlign w:val="center"/>
                </w:tcPr>
                <w:p w14:paraId="69583AB8">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1000个/L</w:t>
                  </w:r>
                </w:p>
              </w:tc>
            </w:tr>
            <w:tr w14:paraId="2126A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1266" w:type="pct"/>
                  <w:tcBorders>
                    <w:tl2br w:val="nil"/>
                    <w:tr2bl w:val="nil"/>
                  </w:tcBorders>
                  <w:noWrap/>
                  <w:tcMar>
                    <w:left w:w="0" w:type="dxa"/>
                    <w:right w:w="0" w:type="dxa"/>
                  </w:tcMar>
                  <w:vAlign w:val="center"/>
                </w:tcPr>
                <w:p w14:paraId="0AE98BD8">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备注</w:t>
                  </w:r>
                </w:p>
              </w:tc>
              <w:tc>
                <w:tcPr>
                  <w:tcW w:w="3733" w:type="pct"/>
                  <w:gridSpan w:val="7"/>
                  <w:tcBorders>
                    <w:tl2br w:val="nil"/>
                    <w:tr2bl w:val="nil"/>
                  </w:tcBorders>
                  <w:noWrap/>
                  <w:vAlign w:val="center"/>
                </w:tcPr>
                <w:p w14:paraId="4E7DA137">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lang w:eastAsia="ja-JP"/>
                    </w:rPr>
                  </w:pPr>
                  <w:r>
                    <w:rPr>
                      <w:rFonts w:hint="default" w:ascii="Times New Roman" w:hAnsi="Times New Roman" w:cs="Times New Roman"/>
                      <w:color w:val="auto"/>
                      <w:sz w:val="21"/>
                      <w:szCs w:val="21"/>
                      <w:highlight w:val="none"/>
                      <w:lang w:eastAsia="ja-JP"/>
                    </w:rPr>
                    <w:t>①</w:t>
                  </w:r>
                  <w:r>
                    <w:rPr>
                      <w:rFonts w:hint="default" w:ascii="Times New Roman" w:hAnsi="Times New Roman" w:eastAsia="宋体" w:cs="Times New Roman"/>
                      <w:color w:val="auto"/>
                      <w:spacing w:val="-2"/>
                      <w:kern w:val="0"/>
                      <w:sz w:val="21"/>
                      <w:szCs w:val="21"/>
                      <w:highlight w:val="none"/>
                      <w:lang w:val="en-US" w:eastAsia="zh-CN" w:bidi="ar"/>
                    </w:rPr>
                    <w:t>括号外数值为水温</w:t>
                  </w:r>
                  <w:r>
                    <w:rPr>
                      <w:rFonts w:hint="default" w:ascii="Times New Roman" w:hAnsi="Times New Roman" w:cs="Times New Roman"/>
                      <w:color w:val="auto"/>
                      <w:spacing w:val="-2"/>
                      <w:kern w:val="0"/>
                      <w:sz w:val="21"/>
                      <w:szCs w:val="21"/>
                      <w:highlight w:val="none"/>
                      <w:lang w:val="en-US" w:eastAsia="zh-CN" w:bidi="ar"/>
                    </w:rPr>
                    <w:t>＞</w:t>
                  </w:r>
                  <w:r>
                    <w:rPr>
                      <w:rFonts w:hint="default" w:ascii="Times New Roman" w:hAnsi="Times New Roman" w:eastAsia="宋体" w:cs="Times New Roman"/>
                      <w:color w:val="auto"/>
                      <w:spacing w:val="-2"/>
                      <w:kern w:val="0"/>
                      <w:sz w:val="21"/>
                      <w:szCs w:val="21"/>
                      <w:highlight w:val="none"/>
                      <w:lang w:val="en-US" w:eastAsia="zh-CN" w:bidi="ar"/>
                    </w:rPr>
                    <w:t>12℃时的控制指标，括号内数值为水温≤12℃时的控制指标。</w:t>
                  </w:r>
                </w:p>
              </w:tc>
            </w:tr>
          </w:tbl>
          <w:p w14:paraId="5DC5D58D">
            <w:pPr>
              <w:keepNext/>
              <w:keepLines/>
              <w:pageBreakBefore w:val="0"/>
              <w:widowControl w:val="0"/>
              <w:numPr>
                <w:ilvl w:val="2"/>
                <w:numId w:val="0"/>
              </w:numPr>
              <w:wordWrap w:val="0"/>
              <w:topLinePunct w:val="0"/>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三、噪声排放标准</w:t>
            </w:r>
          </w:p>
          <w:p w14:paraId="73F7603C">
            <w:pPr>
              <w:pageBreakBefore w:val="0"/>
              <w:wordWrap w:val="0"/>
              <w:topLinePunct w:val="0"/>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本项目厂界噪声排放执行《工业企业厂界环境噪声排放标准》（GB12348-2008）3类标准。</w:t>
            </w:r>
          </w:p>
          <w:p w14:paraId="312ED3A7">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3</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11</w:t>
            </w:r>
            <w:r>
              <w:rPr>
                <w:rFonts w:hint="default" w:ascii="Times New Roman" w:hAnsi="Times New Roman" w:eastAsia="宋体" w:cs="Times New Roman"/>
                <w:b/>
                <w:bCs/>
                <w:color w:val="auto"/>
                <w:kern w:val="2"/>
                <w:sz w:val="21"/>
                <w:szCs w:val="21"/>
                <w:highlight w:val="none"/>
                <w:lang w:val="en-US" w:eastAsia="zh-CN" w:bidi="ar-SA"/>
              </w:rPr>
              <w:t>工业企业厂界环境噪声排放标准</w:t>
            </w:r>
          </w:p>
          <w:tbl>
            <w:tblPr>
              <w:tblStyle w:val="38"/>
              <w:tblW w:w="499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980"/>
              <w:gridCol w:w="1980"/>
              <w:gridCol w:w="1980"/>
              <w:gridCol w:w="1982"/>
            </w:tblGrid>
            <w:tr w14:paraId="7882AA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78B2C4F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w:t>
                  </w:r>
                </w:p>
              </w:tc>
              <w:tc>
                <w:tcPr>
                  <w:tcW w:w="1249" w:type="pct"/>
                  <w:tcBorders>
                    <w:right w:val="single" w:color="auto" w:sz="4" w:space="0"/>
                  </w:tcBorders>
                  <w:noWrap/>
                  <w:vAlign w:val="center"/>
                </w:tcPr>
                <w:p w14:paraId="2B48776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昼间</w:t>
                  </w:r>
                </w:p>
              </w:tc>
              <w:tc>
                <w:tcPr>
                  <w:tcW w:w="1249" w:type="pct"/>
                  <w:tcBorders>
                    <w:left w:val="single" w:color="auto" w:sz="4" w:space="0"/>
                  </w:tcBorders>
                  <w:noWrap/>
                  <w:vAlign w:val="center"/>
                </w:tcPr>
                <w:p w14:paraId="5140567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夜间</w:t>
                  </w:r>
                </w:p>
              </w:tc>
              <w:tc>
                <w:tcPr>
                  <w:tcW w:w="1250" w:type="pct"/>
                  <w:tcBorders>
                    <w:left w:val="single" w:color="auto" w:sz="4" w:space="0"/>
                  </w:tcBorders>
                  <w:noWrap/>
                  <w:vAlign w:val="center"/>
                </w:tcPr>
                <w:p w14:paraId="40E9975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单位</w:t>
                  </w:r>
                </w:p>
              </w:tc>
            </w:tr>
            <w:tr w14:paraId="658C68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249" w:type="pct"/>
                  <w:noWrap/>
                  <w:vAlign w:val="center"/>
                </w:tcPr>
                <w:p w14:paraId="684CE63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厂界噪声</w:t>
                  </w:r>
                </w:p>
              </w:tc>
              <w:tc>
                <w:tcPr>
                  <w:tcW w:w="1249" w:type="pct"/>
                  <w:noWrap/>
                  <w:vAlign w:val="center"/>
                </w:tcPr>
                <w:p w14:paraId="4844B03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65</w:t>
                  </w:r>
                </w:p>
              </w:tc>
              <w:tc>
                <w:tcPr>
                  <w:tcW w:w="1249" w:type="pct"/>
                  <w:noWrap/>
                  <w:vAlign w:val="center"/>
                </w:tcPr>
                <w:p w14:paraId="0442681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55</w:t>
                  </w:r>
                </w:p>
              </w:tc>
              <w:tc>
                <w:tcPr>
                  <w:tcW w:w="1250" w:type="pct"/>
                  <w:noWrap/>
                  <w:vAlign w:val="center"/>
                </w:tcPr>
                <w:p w14:paraId="78BE6F6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dB（A）</w:t>
                  </w:r>
                </w:p>
              </w:tc>
            </w:tr>
          </w:tbl>
          <w:p w14:paraId="42640C08">
            <w:pPr>
              <w:keepNext/>
              <w:keepLines/>
              <w:pageBreakBefore w:val="0"/>
              <w:widowControl w:val="0"/>
              <w:numPr>
                <w:ilvl w:val="2"/>
                <w:numId w:val="0"/>
              </w:numPr>
              <w:wordWrap w:val="0"/>
              <w:topLinePunct w:val="0"/>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四、固体废物污染控制标准</w:t>
            </w:r>
          </w:p>
          <w:p w14:paraId="790614B4">
            <w:pPr>
              <w:keepNext w:val="0"/>
              <w:keepLines w:val="0"/>
              <w:pageBreakBefore w:val="0"/>
              <w:widowControl/>
              <w:suppressLineNumbers w:val="0"/>
              <w:kinsoku/>
              <w:wordWrap w:val="0"/>
              <w:overflowPunct/>
              <w:topLinePunct w:val="0"/>
              <w:autoSpaceDE/>
              <w:autoSpaceDN/>
              <w:bidi w:val="0"/>
              <w:adjustRightInd/>
              <w:snapToGrid/>
              <w:ind w:firstLine="456" w:firstLineChars="200"/>
              <w:jc w:val="both"/>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pacing w:val="-6"/>
                <w:highlight w:val="none"/>
              </w:rPr>
              <w:t>一般工业固体废物在厂内采用库房或包装工具贮存，贮存过程应满足相应防渗漏、防雨淋、防扬尘等环境保护要求；危险废物贮存过程执行《危险废物贮存污染控制标准》（GB18597-2023）</w:t>
            </w:r>
            <w:r>
              <w:rPr>
                <w:rFonts w:hint="default" w:ascii="Times New Roman" w:hAnsi="Times New Roman" w:eastAsia="宋体" w:cs="Times New Roman"/>
                <w:color w:val="auto"/>
                <w:spacing w:val="-6"/>
                <w:highlight w:val="none"/>
                <w:lang w:eastAsia="zh-CN"/>
              </w:rPr>
              <w:t>和《危险废物收集贮存运输技术规范》（HJ2025-2012）</w:t>
            </w:r>
            <w:r>
              <w:rPr>
                <w:rFonts w:hint="default" w:ascii="Times New Roman" w:hAnsi="Times New Roman" w:eastAsia="宋体" w:cs="Times New Roman"/>
                <w:color w:val="auto"/>
                <w:spacing w:val="-6"/>
                <w:highlight w:val="none"/>
              </w:rPr>
              <w:t>。</w:t>
            </w:r>
          </w:p>
        </w:tc>
      </w:tr>
      <w:tr w14:paraId="508B5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2" w:type="pct"/>
            <w:vAlign w:val="center"/>
          </w:tcPr>
          <w:p w14:paraId="342DFADA">
            <w:pPr>
              <w:keepNext/>
              <w:keepLines w:val="0"/>
              <w:pageBreakBefore w:val="0"/>
              <w:widowControl/>
              <w:numPr>
                <w:ilvl w:val="1"/>
                <w:numId w:val="0"/>
              </w:numPr>
              <w:tabs>
                <w:tab w:val="left" w:pos="420"/>
              </w:tabs>
              <w:kinsoku/>
              <w:wordWrap w:val="0"/>
              <w:overflowPunct/>
              <w:topLinePunct w:val="0"/>
              <w:autoSpaceDE/>
              <w:autoSpaceDN/>
              <w:bidi w:val="0"/>
              <w:adjustRightInd/>
              <w:snapToGrid/>
              <w:spacing w:line="240" w:lineRule="auto"/>
              <w:textAlignment w:val="auto"/>
              <w:outlineLvl w:val="9"/>
              <w:rPr>
                <w:rFonts w:hint="default" w:ascii="Times New Roman" w:hAnsi="Times New Roman" w:cs="Times New Roman"/>
                <w:color w:val="auto"/>
                <w:highlight w:val="none"/>
              </w:rPr>
            </w:pPr>
            <w:bookmarkStart w:id="86" w:name="_Toc3077"/>
            <w:bookmarkStart w:id="87" w:name="_Toc4557"/>
            <w:bookmarkStart w:id="88" w:name="_Toc18024"/>
            <w:bookmarkStart w:id="89" w:name="_Toc8863"/>
            <w:bookmarkStart w:id="90" w:name="_Toc7590"/>
            <w:bookmarkStart w:id="91" w:name="_Toc10891"/>
            <w:bookmarkStart w:id="92" w:name="_Toc8540"/>
            <w:bookmarkStart w:id="93" w:name="_Toc23450"/>
            <w:bookmarkStart w:id="94" w:name="_Toc9431"/>
            <w:bookmarkStart w:id="95" w:name="_Toc31892"/>
            <w:r>
              <w:rPr>
                <w:rFonts w:hint="default" w:ascii="Times New Roman" w:hAnsi="Times New Roman" w:cs="Times New Roman"/>
                <w:color w:val="auto"/>
                <w:highlight w:val="none"/>
              </w:rPr>
              <w:t>总量控制指标</w:t>
            </w:r>
            <w:bookmarkEnd w:id="86"/>
            <w:bookmarkEnd w:id="87"/>
            <w:bookmarkEnd w:id="88"/>
            <w:bookmarkEnd w:id="89"/>
            <w:bookmarkEnd w:id="90"/>
            <w:bookmarkEnd w:id="91"/>
            <w:bookmarkEnd w:id="92"/>
            <w:bookmarkEnd w:id="93"/>
            <w:bookmarkEnd w:id="94"/>
            <w:bookmarkEnd w:id="95"/>
          </w:p>
        </w:tc>
        <w:tc>
          <w:tcPr>
            <w:tcW w:w="4737" w:type="pct"/>
          </w:tcPr>
          <w:p w14:paraId="59C8A07C">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一、水污染物排放总量控制指标</w:t>
            </w:r>
          </w:p>
          <w:p w14:paraId="09CF30FB">
            <w:pPr>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建设单位应根据本项目的废水和废气等污染物的排放量，向上级主管部门和环保部门申请各项目污染物排放总量控制指标。</w:t>
            </w:r>
          </w:p>
          <w:p w14:paraId="12728518">
            <w:pPr>
              <w:pStyle w:val="93"/>
              <w:pageBreakBefore w:val="0"/>
              <w:widowControl/>
              <w:wordWrap w:val="0"/>
              <w:topLinePunct w:val="0"/>
              <w:bidi w:val="0"/>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（1）废水总量控制指标</w:t>
            </w:r>
          </w:p>
          <w:p w14:paraId="1274CE13">
            <w:pPr>
              <w:pageBreakBefore w:val="0"/>
              <w:widowControl/>
              <w:wordWrap w:val="0"/>
              <w:topLinePunct w:val="0"/>
              <w:bidi w:val="0"/>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生活污水排放量为</w:t>
            </w:r>
            <w:r>
              <w:rPr>
                <w:rFonts w:hint="default" w:ascii="Times New Roman" w:hAnsi="Times New Roman" w:cs="Times New Roman"/>
                <w:color w:val="auto"/>
                <w:highlight w:val="none"/>
                <w:lang w:val="en-US" w:eastAsia="zh-CN"/>
              </w:rPr>
              <w:t>720t</w:t>
            </w:r>
            <w:r>
              <w:rPr>
                <w:rFonts w:hint="default" w:ascii="Times New Roman" w:hAnsi="Times New Roman" w:cs="Times New Roman"/>
                <w:color w:val="auto"/>
                <w:highlight w:val="none"/>
              </w:rPr>
              <w:t>/a，经</w:t>
            </w:r>
            <w:r>
              <w:rPr>
                <w:rFonts w:hint="default" w:ascii="Times New Roman" w:hAnsi="Times New Roman" w:cs="Times New Roman"/>
                <w:color w:val="auto"/>
                <w:highlight w:val="none"/>
                <w:lang w:eastAsia="zh-CN"/>
              </w:rPr>
              <w:t>三级化粪池</w:t>
            </w:r>
            <w:r>
              <w:rPr>
                <w:rFonts w:hint="default" w:ascii="Times New Roman" w:hAnsi="Times New Roman" w:cs="Times New Roman"/>
                <w:color w:val="auto"/>
                <w:highlight w:val="none"/>
              </w:rPr>
              <w:t>预处理后排入园区污水处理厂进行处理，</w:t>
            </w:r>
            <w:r>
              <w:rPr>
                <w:rFonts w:hint="default" w:ascii="Times New Roman" w:hAnsi="Times New Roman" w:cs="Times New Roman"/>
                <w:color w:val="auto"/>
                <w:kern w:val="0"/>
                <w:highlight w:val="none"/>
                <w:lang w:bidi="ar"/>
              </w:rPr>
              <w:t>因此，CODcr</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val="en-US" w:eastAsia="zh-CN" w:bidi="ar"/>
              </w:rPr>
              <w:t>0.144t/a）</w:t>
            </w:r>
            <w:r>
              <w:rPr>
                <w:rFonts w:hint="default" w:ascii="Times New Roman" w:hAnsi="Times New Roman" w:cs="Times New Roman"/>
                <w:color w:val="auto"/>
                <w:kern w:val="0"/>
                <w:highlight w:val="none"/>
                <w:lang w:bidi="ar"/>
              </w:rPr>
              <w:t>、NH</w:t>
            </w:r>
            <w:r>
              <w:rPr>
                <w:rFonts w:hint="default" w:ascii="Times New Roman" w:hAnsi="Times New Roman" w:cs="Times New Roman"/>
                <w:color w:val="auto"/>
                <w:kern w:val="0"/>
                <w:highlight w:val="none"/>
                <w:vertAlign w:val="subscript"/>
                <w:lang w:val="en-US" w:eastAsia="zh-CN" w:bidi="ar"/>
              </w:rPr>
              <w:t>3</w:t>
            </w:r>
            <w:r>
              <w:rPr>
                <w:rFonts w:hint="default" w:ascii="Times New Roman" w:hAnsi="Times New Roman" w:cs="Times New Roman"/>
                <w:color w:val="auto"/>
                <w:kern w:val="0"/>
                <w:highlight w:val="none"/>
                <w:lang w:val="en-US" w:eastAsia="zh-CN" w:bidi="ar"/>
              </w:rPr>
              <w:t>-</w:t>
            </w:r>
            <w:r>
              <w:rPr>
                <w:rFonts w:hint="default" w:ascii="Times New Roman" w:hAnsi="Times New Roman" w:cs="Times New Roman"/>
                <w:color w:val="auto"/>
                <w:kern w:val="0"/>
                <w:highlight w:val="none"/>
                <w:lang w:bidi="ar"/>
              </w:rPr>
              <w:t>N</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i w:val="0"/>
                <w:iCs w:val="0"/>
                <w:color w:val="auto"/>
                <w:kern w:val="0"/>
                <w:sz w:val="24"/>
                <w:szCs w:val="24"/>
                <w:highlight w:val="none"/>
                <w:u w:val="none"/>
                <w:lang w:val="en-US" w:eastAsia="zh-CN" w:bidi="ar"/>
              </w:rPr>
              <w:t>0.0097</w:t>
            </w:r>
            <w:r>
              <w:rPr>
                <w:rFonts w:hint="default" w:ascii="Times New Roman" w:hAnsi="Times New Roman" w:cs="Times New Roman"/>
                <w:color w:val="auto"/>
                <w:kern w:val="0"/>
                <w:highlight w:val="none"/>
                <w:lang w:val="en-US" w:eastAsia="zh-CN" w:bidi="ar"/>
              </w:rPr>
              <w:t>t/a）</w:t>
            </w:r>
            <w:r>
              <w:rPr>
                <w:rFonts w:hint="default" w:ascii="Times New Roman" w:hAnsi="Times New Roman" w:cs="Times New Roman"/>
                <w:color w:val="auto"/>
                <w:kern w:val="0"/>
                <w:highlight w:val="none"/>
                <w:lang w:bidi="ar"/>
              </w:rPr>
              <w:t>纳入园区污水处理厂的总量控制指标，不需再增加新的总量分配指标</w:t>
            </w:r>
            <w:r>
              <w:rPr>
                <w:rFonts w:hint="default" w:ascii="Times New Roman" w:hAnsi="Times New Roman" w:cs="Times New Roman"/>
                <w:color w:val="auto"/>
                <w:highlight w:val="none"/>
              </w:rPr>
              <w:t>。</w:t>
            </w:r>
          </w:p>
          <w:p w14:paraId="558ED5D5">
            <w:pPr>
              <w:pStyle w:val="93"/>
              <w:pageBreakBefore w:val="0"/>
              <w:widowControl/>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（2）废气总量控制指标</w:t>
            </w:r>
          </w:p>
          <w:p w14:paraId="3219ABCD">
            <w:pPr>
              <w:pStyle w:val="2"/>
              <w:pageBreakBefore w:val="0"/>
              <w:wordWrap w:val="0"/>
              <w:topLinePunct w:val="0"/>
              <w:bidi w:val="0"/>
              <w:spacing w:before="0" w:after="0"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sz w:val="24"/>
                <w:szCs w:val="24"/>
                <w:highlight w:val="none"/>
              </w:rPr>
              <w:t>废气量：</w:t>
            </w:r>
            <w:r>
              <w:rPr>
                <w:rFonts w:hint="eastAsia" w:ascii="Times New Roman" w:hAnsi="Times New Roman" w:cs="Times New Roman"/>
                <w:color w:val="auto"/>
                <w:sz w:val="24"/>
                <w:szCs w:val="24"/>
                <w:highlight w:val="none"/>
                <w:lang w:val="en-US" w:eastAsia="zh-CN"/>
              </w:rPr>
              <w:t>16070.4</w:t>
            </w:r>
            <w:r>
              <w:rPr>
                <w:rFonts w:hint="default" w:ascii="Times New Roman" w:hAnsi="Times New Roman" w:cs="Times New Roman"/>
                <w:color w:val="auto"/>
                <w:sz w:val="24"/>
                <w:szCs w:val="24"/>
                <w:highlight w:val="none"/>
                <w:lang w:val="en-US" w:eastAsia="zh-CN"/>
              </w:rPr>
              <w:t>万</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p>
          <w:p w14:paraId="431C2EF0">
            <w:pPr>
              <w:pageBreakBefore w:val="0"/>
              <w:widowControl/>
              <w:wordWrap w:val="0"/>
              <w:topLinePunct w:val="0"/>
              <w:bidi w:val="0"/>
              <w:ind w:firstLine="480" w:firstLineChars="200"/>
              <w:jc w:val="both"/>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kern w:val="0"/>
                <w:highlight w:val="none"/>
                <w:lang w:bidi="ar"/>
              </w:rPr>
              <w:t>本项目建成后</w:t>
            </w:r>
            <w:r>
              <w:rPr>
                <w:rFonts w:hint="default" w:ascii="Times New Roman" w:hAnsi="Times New Roman" w:cs="Times New Roman"/>
                <w:color w:val="auto"/>
                <w:kern w:val="0"/>
                <w:highlight w:val="none"/>
                <w:lang w:val="en-US" w:eastAsia="zh-CN" w:bidi="ar"/>
              </w:rPr>
              <w:t>VOCs</w:t>
            </w:r>
            <w:r>
              <w:rPr>
                <w:rFonts w:hint="default" w:ascii="Times New Roman" w:hAnsi="Times New Roman" w:cs="Times New Roman"/>
                <w:color w:val="auto"/>
                <w:kern w:val="0"/>
                <w:highlight w:val="none"/>
                <w:lang w:bidi="ar"/>
              </w:rPr>
              <w:t>总排放量为</w:t>
            </w:r>
            <w:r>
              <w:rPr>
                <w:rFonts w:hint="eastAsia" w:ascii="Times New Roman" w:hAnsi="Times New Roman" w:cs="Times New Roman"/>
                <w:color w:val="auto"/>
                <w:kern w:val="0"/>
                <w:highlight w:val="none"/>
                <w:lang w:val="en-US" w:eastAsia="zh-CN" w:bidi="ar"/>
              </w:rPr>
              <w:t>0.6186</w:t>
            </w:r>
            <w:r>
              <w:rPr>
                <w:rFonts w:hint="default" w:ascii="Times New Roman" w:hAnsi="Times New Roman" w:cs="Times New Roman"/>
                <w:color w:val="auto"/>
                <w:kern w:val="0"/>
                <w:highlight w:val="none"/>
                <w:lang w:bidi="ar"/>
              </w:rPr>
              <w:t>t/a</w:t>
            </w:r>
            <w:r>
              <w:rPr>
                <w:rFonts w:hint="default" w:ascii="Times New Roman" w:hAnsi="Times New Roman" w:cs="Times New Roman"/>
                <w:color w:val="auto"/>
                <w:kern w:val="0"/>
                <w:highlight w:val="none"/>
                <w:lang w:eastAsia="zh-CN" w:bidi="ar"/>
              </w:rPr>
              <w:t>（</w:t>
            </w:r>
            <w:r>
              <w:rPr>
                <w:rFonts w:hint="default" w:ascii="Times New Roman" w:hAnsi="Times New Roman" w:cs="Times New Roman"/>
                <w:color w:val="auto"/>
                <w:kern w:val="0"/>
                <w:highlight w:val="none"/>
                <w:lang w:bidi="ar"/>
              </w:rPr>
              <w:t>其中</w:t>
            </w:r>
            <w:r>
              <w:rPr>
                <w:rFonts w:hint="default" w:ascii="Times New Roman" w:hAnsi="Times New Roman" w:cs="Times New Roman"/>
                <w:color w:val="auto"/>
                <w:kern w:val="0"/>
                <w:highlight w:val="none"/>
                <w:lang w:val="en-US" w:eastAsia="zh-CN" w:bidi="ar"/>
              </w:rPr>
              <w:t>VOCs</w:t>
            </w:r>
            <w:r>
              <w:rPr>
                <w:rFonts w:hint="default" w:ascii="Times New Roman" w:hAnsi="Times New Roman" w:cs="Times New Roman"/>
                <w:color w:val="auto"/>
                <w:kern w:val="0"/>
                <w:highlight w:val="none"/>
                <w:lang w:bidi="ar"/>
              </w:rPr>
              <w:t>有组织排放</w:t>
            </w:r>
            <w:r>
              <w:rPr>
                <w:rFonts w:hint="default" w:ascii="Times New Roman" w:hAnsi="Times New Roman" w:cs="Times New Roman"/>
                <w:color w:val="auto"/>
                <w:kern w:val="0"/>
                <w:highlight w:val="none"/>
                <w:lang w:val="en-US" w:eastAsia="zh-CN" w:bidi="ar"/>
              </w:rPr>
              <w:t>量</w:t>
            </w:r>
            <w:r>
              <w:rPr>
                <w:rFonts w:hint="default" w:ascii="Times New Roman" w:hAnsi="Times New Roman" w:cs="Times New Roman"/>
                <w:color w:val="auto"/>
                <w:kern w:val="0"/>
                <w:highlight w:val="none"/>
                <w:lang w:bidi="ar"/>
              </w:rPr>
              <w:t>：</w:t>
            </w:r>
            <w:r>
              <w:rPr>
                <w:rFonts w:hint="eastAsia" w:ascii="Times New Roman" w:hAnsi="Times New Roman" w:cs="Times New Roman"/>
                <w:color w:val="auto"/>
                <w:kern w:val="0"/>
                <w:highlight w:val="none"/>
                <w:lang w:val="en-US" w:eastAsia="zh-CN" w:bidi="ar"/>
              </w:rPr>
              <w:t>0.275</w:t>
            </w:r>
            <w:r>
              <w:rPr>
                <w:rFonts w:hint="default" w:ascii="Times New Roman" w:hAnsi="Times New Roman" w:cs="Times New Roman"/>
                <w:color w:val="auto"/>
                <w:kern w:val="0"/>
                <w:highlight w:val="none"/>
                <w:lang w:val="en-US" w:eastAsia="zh-CN" w:bidi="ar"/>
              </w:rPr>
              <w:t>t</w:t>
            </w:r>
            <w:r>
              <w:rPr>
                <w:rFonts w:hint="default" w:ascii="Times New Roman" w:hAnsi="Times New Roman" w:cs="Times New Roman"/>
                <w:color w:val="auto"/>
                <w:kern w:val="0"/>
                <w:highlight w:val="none"/>
                <w:lang w:bidi="ar"/>
              </w:rPr>
              <w:t>/a，</w:t>
            </w:r>
            <w:r>
              <w:rPr>
                <w:rFonts w:hint="default" w:ascii="Times New Roman" w:hAnsi="Times New Roman" w:cs="Times New Roman"/>
                <w:color w:val="auto"/>
                <w:kern w:val="0"/>
                <w:highlight w:val="none"/>
                <w:lang w:val="en-US" w:eastAsia="zh-CN" w:bidi="ar"/>
              </w:rPr>
              <w:t>VOCs</w:t>
            </w:r>
            <w:r>
              <w:rPr>
                <w:rFonts w:hint="default" w:ascii="Times New Roman" w:hAnsi="Times New Roman" w:cs="Times New Roman"/>
                <w:color w:val="auto"/>
                <w:kern w:val="0"/>
                <w:highlight w:val="none"/>
                <w:lang w:bidi="ar"/>
              </w:rPr>
              <w:t>无组织排放</w:t>
            </w:r>
            <w:r>
              <w:rPr>
                <w:rFonts w:hint="default" w:ascii="Times New Roman" w:hAnsi="Times New Roman" w:cs="Times New Roman"/>
                <w:color w:val="auto"/>
                <w:kern w:val="0"/>
                <w:highlight w:val="none"/>
                <w:lang w:val="en-US" w:eastAsia="zh-CN" w:bidi="ar"/>
              </w:rPr>
              <w:t>量</w:t>
            </w:r>
            <w:r>
              <w:rPr>
                <w:rFonts w:hint="default" w:ascii="Times New Roman" w:hAnsi="Times New Roman" w:cs="Times New Roman"/>
                <w:color w:val="auto"/>
                <w:kern w:val="0"/>
                <w:highlight w:val="none"/>
                <w:lang w:bidi="ar"/>
              </w:rPr>
              <w:t>：</w:t>
            </w:r>
            <w:r>
              <w:rPr>
                <w:rFonts w:hint="eastAsia" w:ascii="Times New Roman" w:hAnsi="Times New Roman" w:cs="Times New Roman"/>
                <w:color w:val="auto"/>
                <w:kern w:val="0"/>
                <w:highlight w:val="none"/>
                <w:lang w:val="en-US" w:eastAsia="zh-CN" w:bidi="ar"/>
              </w:rPr>
              <w:t>0.3436</w:t>
            </w:r>
            <w:r>
              <w:rPr>
                <w:rFonts w:hint="default" w:ascii="Times New Roman" w:hAnsi="Times New Roman" w:cs="Times New Roman"/>
                <w:color w:val="auto"/>
                <w:kern w:val="0"/>
                <w:highlight w:val="none"/>
                <w:lang w:bidi="ar"/>
              </w:rPr>
              <w:t>t/a</w:t>
            </w:r>
            <w:r>
              <w:rPr>
                <w:rFonts w:hint="default" w:ascii="Times New Roman" w:hAnsi="Times New Roman" w:cs="Times New Roman"/>
                <w:color w:val="auto"/>
                <w:kern w:val="0"/>
                <w:highlight w:val="none"/>
                <w:lang w:eastAsia="zh-CN" w:bidi="ar"/>
              </w:rPr>
              <w:t>）。</w:t>
            </w:r>
          </w:p>
          <w:p w14:paraId="300B4BA7">
            <w:pPr>
              <w:pageBreakBefore w:val="0"/>
              <w:widowControl/>
              <w:wordWrap w:val="0"/>
              <w:topLinePunct w:val="0"/>
              <w:bidi w:val="0"/>
              <w:ind w:firstLine="480" w:firstLineChars="200"/>
              <w:jc w:val="left"/>
              <w:rPr>
                <w:rFonts w:hint="default" w:ascii="Times New Roman" w:hAnsi="Times New Roman" w:cs="Times New Roman"/>
                <w:color w:val="auto"/>
                <w:highlight w:val="none"/>
              </w:rPr>
            </w:pPr>
            <w:r>
              <w:rPr>
                <w:rFonts w:hint="default" w:ascii="Times New Roman" w:hAnsi="Times New Roman" w:eastAsia="宋体" w:cs="Times New Roman"/>
                <w:color w:val="auto"/>
                <w:kern w:val="2"/>
                <w:sz w:val="24"/>
                <w:szCs w:val="32"/>
                <w:highlight w:val="none"/>
                <w:lang w:bidi="ar"/>
              </w:rPr>
              <w:t>根据《广东省生态环境厅关于做好重点行业建设项目挥发性有机物总量指标管理工作的通知》（粤环发〔2019〕2号），新、改、扩建排放VOCs的重点行业建设项目应当执行总量替代制度，重点行业包括炼油与石化、化学原料和化学制品制造、化学药品原料药制造、合成纤维制造、表面涂装、印刷、制鞋、家具制造、人造板制造、电子元件制造、纺织印染、塑料制造及塑料制品等12个行业。对VOCs排放量大于300公斤/年的新、改、扩建项目，进行总量替代。</w:t>
            </w:r>
          </w:p>
          <w:p w14:paraId="27730EB8">
            <w:pPr>
              <w:pStyle w:val="5"/>
              <w:pageBreakBefore w:val="0"/>
              <w:numPr>
                <w:ilvl w:val="2"/>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三、固体废物排放总量控制指标</w:t>
            </w:r>
          </w:p>
          <w:p w14:paraId="12AF6324">
            <w:pPr>
              <w:pStyle w:val="5"/>
              <w:pageBreakBefore w:val="0"/>
              <w:numPr>
                <w:ilvl w:val="2"/>
                <w:numId w:val="0"/>
              </w:numPr>
              <w:wordWrap w:val="0"/>
              <w:topLinePunct w:val="0"/>
              <w:bidi w:val="0"/>
              <w:ind w:firstLine="480" w:firstLineChars="200"/>
              <w:rPr>
                <w:rFonts w:hint="default" w:ascii="Times New Roman" w:hAnsi="Times New Roman" w:eastAsia="宋体" w:cs="Times New Roman"/>
                <w:b w:val="0"/>
                <w:bCs w:val="0"/>
                <w:color w:val="auto"/>
                <w:highlight w:val="none"/>
                <w:lang w:eastAsia="zh-CN"/>
              </w:rPr>
            </w:pPr>
            <w:r>
              <w:rPr>
                <w:rFonts w:hint="default" w:ascii="Times New Roman" w:hAnsi="Times New Roman" w:cs="Times New Roman"/>
                <w:b w:val="0"/>
                <w:bCs w:val="0"/>
                <w:color w:val="auto"/>
                <w:highlight w:val="none"/>
              </w:rPr>
              <w:t>本项目固体废物不自行处理排放，不设置固体废物总量控制指标。</w:t>
            </w:r>
          </w:p>
        </w:tc>
      </w:tr>
    </w:tbl>
    <w:p w14:paraId="09D4B0D3">
      <w:pPr>
        <w:pageBreakBefore w:val="0"/>
        <w:wordWrap w:val="0"/>
        <w:topLinePunct w:val="0"/>
        <w:bidi w:val="0"/>
        <w:rPr>
          <w:rFonts w:hint="default" w:ascii="Times New Roman" w:hAnsi="Times New Roman" w:cs="Times New Roman"/>
          <w:color w:val="auto"/>
          <w:highlight w:val="none"/>
        </w:rPr>
        <w:sectPr>
          <w:footerReference r:id="rId6" w:type="default"/>
          <w:pgSz w:w="11906" w:h="16838"/>
          <w:pgMar w:top="1440" w:right="1797" w:bottom="1440" w:left="1797" w:header="851" w:footer="680" w:gutter="0"/>
          <w:pgBorders>
            <w:top w:val="none" w:sz="0" w:space="0"/>
            <w:left w:val="none" w:sz="0" w:space="0"/>
            <w:bottom w:val="none" w:sz="0" w:space="0"/>
            <w:right w:val="none" w:sz="0" w:space="0"/>
          </w:pgBorders>
          <w:pgNumType w:fmt="numberInDash" w:start="1"/>
          <w:cols w:space="720" w:num="1"/>
          <w:docGrid w:type="linesAndChars" w:linePitch="312" w:charSpace="0"/>
        </w:sectPr>
      </w:pPr>
    </w:p>
    <w:p w14:paraId="68F7E799">
      <w:pPr>
        <w:pStyle w:val="3"/>
        <w:pageBreakBefore w:val="0"/>
        <w:numPr>
          <w:ilvl w:val="0"/>
          <w:numId w:val="0"/>
        </w:numPr>
        <w:wordWrap w:val="0"/>
        <w:topLinePunct w:val="0"/>
        <w:bidi w:val="0"/>
        <w:rPr>
          <w:rFonts w:hint="default" w:ascii="Times New Roman" w:hAnsi="Times New Roman" w:cs="Times New Roman"/>
          <w:color w:val="auto"/>
          <w:highlight w:val="none"/>
        </w:rPr>
      </w:pPr>
      <w:bookmarkStart w:id="96" w:name="_Toc22698"/>
      <w:bookmarkStart w:id="97" w:name="_Toc22008"/>
      <w:bookmarkStart w:id="98" w:name="_Toc32008"/>
      <w:r>
        <w:rPr>
          <w:rFonts w:hint="default" w:ascii="Times New Roman" w:hAnsi="Times New Roman" w:cs="Times New Roman"/>
          <w:color w:val="auto"/>
          <w:highlight w:val="none"/>
        </w:rPr>
        <w:t>四、主要环境影响和保护措施</w:t>
      </w:r>
      <w:bookmarkEnd w:id="96"/>
      <w:bookmarkEnd w:id="97"/>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2"/>
        <w:gridCol w:w="8046"/>
      </w:tblGrid>
      <w:tr w14:paraId="25C2E7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30" w:hRule="atLeast"/>
        </w:trPr>
        <w:tc>
          <w:tcPr>
            <w:tcW w:w="482" w:type="dxa"/>
            <w:vAlign w:val="center"/>
          </w:tcPr>
          <w:p w14:paraId="5AB375AC">
            <w:pPr>
              <w:pageBreakBefore w:val="0"/>
              <w:numPr>
                <w:ilvl w:val="1"/>
                <w:numId w:val="0"/>
              </w:numPr>
              <w:tabs>
                <w:tab w:val="left" w:pos="420"/>
              </w:tabs>
              <w:wordWrap w:val="0"/>
              <w:topLinePunct w:val="0"/>
              <w:bidi w:val="0"/>
              <w:outlineLvl w:val="9"/>
              <w:rPr>
                <w:rFonts w:hint="default" w:ascii="Times New Roman" w:hAnsi="Times New Roman" w:cs="Times New Roman"/>
                <w:color w:val="auto"/>
                <w:highlight w:val="none"/>
              </w:rPr>
            </w:pPr>
            <w:bookmarkStart w:id="99" w:name="_Toc25142"/>
            <w:bookmarkStart w:id="100" w:name="_Toc18588"/>
            <w:bookmarkStart w:id="101" w:name="_Toc30266"/>
            <w:bookmarkStart w:id="102" w:name="_Toc7895"/>
            <w:bookmarkStart w:id="103" w:name="_Toc3227"/>
            <w:bookmarkStart w:id="104" w:name="_Toc25331"/>
            <w:bookmarkStart w:id="105" w:name="_Toc22339"/>
            <w:r>
              <w:rPr>
                <w:rFonts w:hint="default" w:ascii="Times New Roman" w:hAnsi="Times New Roman" w:cs="Times New Roman"/>
                <w:color w:val="auto"/>
                <w:highlight w:val="none"/>
              </w:rPr>
              <w:t>施工期环境保护措施</w:t>
            </w:r>
            <w:bookmarkEnd w:id="99"/>
            <w:bookmarkEnd w:id="100"/>
            <w:bookmarkEnd w:id="101"/>
            <w:bookmarkEnd w:id="102"/>
            <w:bookmarkEnd w:id="103"/>
            <w:bookmarkEnd w:id="104"/>
            <w:bookmarkEnd w:id="105"/>
          </w:p>
        </w:tc>
        <w:tc>
          <w:tcPr>
            <w:tcW w:w="8046" w:type="dxa"/>
            <w:vAlign w:val="center"/>
          </w:tcPr>
          <w:p w14:paraId="4467FED7">
            <w:pPr>
              <w:pStyle w:val="2"/>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本项目租赁已建成的工业厂房进行生产，不涉及土建工程，只需在原有厂房内进行简单的装修及设备安装，施工期间施工人员食宿等生活问题依托周边设施解决。故施工期产生的污染源主要为</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施工过程产生的少量装修废气</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车间装修、设备安装施工时产生的少量建筑垃圾、包装垃圾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装修设备和设备调试产生的噪声等。施工过程对环境会带来短暂性的影响，其影响在施工结束后消除。因此，只需要加强施工期间的管理，本项目施工期产生的污染对周围环境的影响在可接受的范围内。</w:t>
            </w:r>
          </w:p>
        </w:tc>
      </w:tr>
    </w:tbl>
    <w:p w14:paraId="46E9E338">
      <w:pPr>
        <w:pageBreakBefore w:val="0"/>
        <w:wordWrap w:val="0"/>
        <w:topLinePunct w:val="0"/>
        <w:bidi w:val="0"/>
        <w:rPr>
          <w:rFonts w:hint="default" w:ascii="Times New Roman" w:hAnsi="Times New Roman" w:eastAsia="宋体" w:cs="Times New Roman"/>
          <w:color w:val="auto"/>
          <w:highlight w:val="none"/>
        </w:rPr>
      </w:pPr>
    </w:p>
    <w:p w14:paraId="363ABA24">
      <w:pPr>
        <w:pageBreakBefore w:val="0"/>
        <w:wordWrap w:val="0"/>
        <w:topLinePunct w:val="0"/>
        <w:bidi w:val="0"/>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13720"/>
      </w:tblGrid>
      <w:tr w14:paraId="6A1D0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42" w:hRule="atLeast"/>
        </w:trPr>
        <w:tc>
          <w:tcPr>
            <w:tcW w:w="133" w:type="pct"/>
            <w:vAlign w:val="center"/>
          </w:tcPr>
          <w:p w14:paraId="0AD5EABB">
            <w:pPr>
              <w:pageBreakBefore w:val="0"/>
              <w:numPr>
                <w:ilvl w:val="1"/>
                <w:numId w:val="0"/>
              </w:numPr>
              <w:tabs>
                <w:tab w:val="left" w:pos="420"/>
              </w:tabs>
              <w:wordWrap w:val="0"/>
              <w:topLinePunct w:val="0"/>
              <w:bidi w:val="0"/>
              <w:outlineLvl w:val="9"/>
              <w:rPr>
                <w:rFonts w:hint="default" w:ascii="Times New Roman" w:hAnsi="Times New Roman" w:cs="Times New Roman"/>
                <w:color w:val="auto"/>
                <w:highlight w:val="none"/>
              </w:rPr>
            </w:pPr>
            <w:bookmarkStart w:id="106" w:name="_Toc15252"/>
            <w:bookmarkStart w:id="107" w:name="_Toc665"/>
            <w:bookmarkStart w:id="108" w:name="_Toc12228"/>
            <w:bookmarkStart w:id="109" w:name="_Toc8375"/>
            <w:bookmarkStart w:id="110" w:name="_Toc20905"/>
            <w:bookmarkStart w:id="111" w:name="_Toc14651"/>
            <w:bookmarkStart w:id="112" w:name="_Toc29600"/>
            <w:r>
              <w:rPr>
                <w:rFonts w:hint="default" w:ascii="Times New Roman" w:hAnsi="Times New Roman" w:cs="Times New Roman"/>
                <w:color w:val="auto"/>
                <w:highlight w:val="none"/>
              </w:rPr>
              <w:t>运营期环境影响和保护措施</w:t>
            </w:r>
            <w:bookmarkEnd w:id="106"/>
            <w:bookmarkEnd w:id="107"/>
            <w:bookmarkEnd w:id="108"/>
            <w:bookmarkEnd w:id="109"/>
            <w:bookmarkEnd w:id="110"/>
            <w:bookmarkEnd w:id="111"/>
            <w:bookmarkEnd w:id="112"/>
          </w:p>
        </w:tc>
        <w:tc>
          <w:tcPr>
            <w:tcW w:w="4866" w:type="pct"/>
            <w:vAlign w:val="center"/>
          </w:tcPr>
          <w:p w14:paraId="21D70578">
            <w:pPr>
              <w:pStyle w:val="6"/>
              <w:pageBreakBefore w:val="0"/>
              <w:numPr>
                <w:ilvl w:val="3"/>
                <w:numId w:val="0"/>
              </w:numPr>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一、废气</w:t>
            </w:r>
          </w:p>
          <w:p w14:paraId="6A54D718">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1、污染源排放汇总</w:t>
            </w:r>
          </w:p>
          <w:p w14:paraId="6F72238B">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项目废气污染物排放情况、污染源源强核算结果及相关参数见下列一览表</w:t>
            </w:r>
            <w:r>
              <w:rPr>
                <w:rFonts w:hint="default" w:ascii="Times New Roman" w:hAnsi="Times New Roman" w:cs="Times New Roman"/>
                <w:b w:val="0"/>
                <w:bCs w:val="0"/>
                <w:color w:val="auto"/>
                <w:kern w:val="2"/>
                <w:sz w:val="24"/>
                <w:szCs w:val="24"/>
                <w:highlight w:val="none"/>
                <w:lang w:val="en-US" w:eastAsia="zh-CN" w:bidi="ar-SA"/>
              </w:rPr>
              <w:t>。</w:t>
            </w:r>
          </w:p>
          <w:p w14:paraId="4C844619">
            <w:pPr>
              <w:keepNext w:val="0"/>
              <w:keepLines w:val="0"/>
              <w:pageBreakBefore w:val="0"/>
              <w:widowControl w:val="0"/>
              <w:kinsoku/>
              <w:wordWrap w:val="0"/>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default" w:ascii="Times New Roman" w:hAnsi="Times New Roman" w:cs="Times New Roman"/>
                <w:b/>
                <w:color w:val="auto"/>
                <w:sz w:val="21"/>
                <w:szCs w:val="21"/>
                <w:highlight w:val="none"/>
                <w:lang w:val="en-US" w:eastAsia="zh-CN"/>
              </w:rPr>
              <w:t>1</w:t>
            </w:r>
            <w:r>
              <w:rPr>
                <w:rFonts w:hint="default" w:ascii="Times New Roman" w:hAnsi="Times New Roman" w:cs="Times New Roman"/>
                <w:b/>
                <w:color w:val="auto"/>
                <w:sz w:val="21"/>
                <w:szCs w:val="21"/>
                <w:highlight w:val="none"/>
              </w:rPr>
              <w:t>废气污染源源强核算结果及相关参数一览表</w:t>
            </w:r>
          </w:p>
          <w:tbl>
            <w:tblPr>
              <w:tblStyle w:val="3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584"/>
              <w:gridCol w:w="740"/>
              <w:gridCol w:w="763"/>
              <w:gridCol w:w="583"/>
              <w:gridCol w:w="427"/>
              <w:gridCol w:w="561"/>
              <w:gridCol w:w="895"/>
              <w:gridCol w:w="877"/>
              <w:gridCol w:w="811"/>
              <w:gridCol w:w="671"/>
              <w:gridCol w:w="896"/>
              <w:gridCol w:w="549"/>
              <w:gridCol w:w="549"/>
              <w:gridCol w:w="740"/>
              <w:gridCol w:w="741"/>
              <w:gridCol w:w="877"/>
              <w:gridCol w:w="812"/>
              <w:gridCol w:w="689"/>
              <w:gridCol w:w="729"/>
            </w:tblGrid>
            <w:tr w14:paraId="62CE2E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17" w:hRule="atLeast"/>
                <w:jc w:val="center"/>
              </w:trPr>
              <w:tc>
                <w:tcPr>
                  <w:tcW w:w="0" w:type="auto"/>
                  <w:vMerge w:val="restart"/>
                  <w:tcBorders>
                    <w:left w:val="single" w:color="auto" w:sz="4" w:space="0"/>
                  </w:tcBorders>
                  <w:noWrap w:val="0"/>
                  <w:vAlign w:val="center"/>
                </w:tcPr>
                <w:p w14:paraId="4BA9F87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污染源</w:t>
                  </w:r>
                </w:p>
              </w:tc>
              <w:tc>
                <w:tcPr>
                  <w:tcW w:w="0" w:type="auto"/>
                  <w:vMerge w:val="restart"/>
                  <w:tcBorders>
                    <w:left w:val="single" w:color="auto" w:sz="4" w:space="0"/>
                  </w:tcBorders>
                  <w:noWrap w:val="0"/>
                  <w:vAlign w:val="center"/>
                </w:tcPr>
                <w:p w14:paraId="1496257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p>
              </w:tc>
              <w:tc>
                <w:tcPr>
                  <w:tcW w:w="0" w:type="auto"/>
                  <w:vMerge w:val="restart"/>
                  <w:tcBorders>
                    <w:left w:val="single" w:color="auto" w:sz="4" w:space="0"/>
                  </w:tcBorders>
                  <w:noWrap w:val="0"/>
                  <w:vAlign w:val="center"/>
                </w:tcPr>
                <w:p w14:paraId="410000D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工序/生产线</w:t>
                  </w:r>
                </w:p>
              </w:tc>
              <w:tc>
                <w:tcPr>
                  <w:tcW w:w="0" w:type="auto"/>
                  <w:vMerge w:val="restart"/>
                  <w:tcBorders>
                    <w:left w:val="single" w:color="auto" w:sz="4" w:space="0"/>
                  </w:tcBorders>
                  <w:noWrap w:val="0"/>
                  <w:vAlign w:val="center"/>
                </w:tcPr>
                <w:p w14:paraId="58B8097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装置</w:t>
                  </w:r>
                </w:p>
              </w:tc>
              <w:tc>
                <w:tcPr>
                  <w:tcW w:w="403" w:type="dxa"/>
                  <w:vMerge w:val="restart"/>
                  <w:tcBorders>
                    <w:right w:val="single" w:color="auto" w:sz="4" w:space="0"/>
                  </w:tcBorders>
                  <w:noWrap w:val="0"/>
                  <w:vAlign w:val="center"/>
                </w:tcPr>
                <w:p w14:paraId="7CDD93A4">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产生量</w:t>
                  </w:r>
                </w:p>
              </w:tc>
              <w:tc>
                <w:tcPr>
                  <w:tcW w:w="3828" w:type="dxa"/>
                  <w:gridSpan w:val="5"/>
                  <w:tcBorders>
                    <w:bottom w:val="single" w:color="auto" w:sz="4" w:space="0"/>
                    <w:right w:val="single" w:color="auto" w:sz="4" w:space="0"/>
                  </w:tcBorders>
                  <w:noWrap w:val="0"/>
                  <w:vAlign w:val="center"/>
                </w:tcPr>
                <w:p w14:paraId="461CF4A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w:t>
                  </w:r>
                  <w:r>
                    <w:rPr>
                      <w:rFonts w:hint="default" w:ascii="Times New Roman" w:hAnsi="Times New Roman" w:cs="Times New Roman"/>
                      <w:b/>
                      <w:bCs/>
                      <w:color w:val="auto"/>
                      <w:sz w:val="21"/>
                      <w:szCs w:val="21"/>
                      <w:highlight w:val="none"/>
                      <w:lang w:val="en-US" w:eastAsia="zh-CN"/>
                    </w:rPr>
                    <w:t>有组织</w:t>
                  </w:r>
                  <w:r>
                    <w:rPr>
                      <w:rFonts w:hint="default" w:ascii="Times New Roman" w:hAnsi="Times New Roman" w:eastAsia="宋体" w:cs="Times New Roman"/>
                      <w:b/>
                      <w:bCs/>
                      <w:color w:val="auto"/>
                      <w:sz w:val="21"/>
                      <w:szCs w:val="21"/>
                      <w:highlight w:val="none"/>
                    </w:rPr>
                    <w:t>产生</w:t>
                  </w:r>
                </w:p>
              </w:tc>
              <w:tc>
                <w:tcPr>
                  <w:tcW w:w="0" w:type="auto"/>
                  <w:gridSpan w:val="3"/>
                  <w:tcBorders>
                    <w:right w:val="single" w:color="auto" w:sz="4" w:space="0"/>
                  </w:tcBorders>
                  <w:noWrap w:val="0"/>
                  <w:vAlign w:val="center"/>
                </w:tcPr>
                <w:p w14:paraId="14ACC87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治理措施</w:t>
                  </w:r>
                </w:p>
              </w:tc>
              <w:tc>
                <w:tcPr>
                  <w:tcW w:w="0" w:type="auto"/>
                  <w:gridSpan w:val="5"/>
                  <w:tcBorders>
                    <w:left w:val="single" w:color="auto" w:sz="4" w:space="0"/>
                  </w:tcBorders>
                  <w:noWrap w:val="0"/>
                  <w:vAlign w:val="center"/>
                </w:tcPr>
                <w:p w14:paraId="405C564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w:t>
                  </w:r>
                </w:p>
              </w:tc>
              <w:tc>
                <w:tcPr>
                  <w:tcW w:w="0" w:type="auto"/>
                  <w:vMerge w:val="restart"/>
                  <w:tcBorders>
                    <w:left w:val="single" w:color="auto" w:sz="4" w:space="0"/>
                  </w:tcBorders>
                  <w:noWrap w:val="0"/>
                  <w:vAlign w:val="center"/>
                </w:tcPr>
                <w:p w14:paraId="602BC49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排放时间</w:t>
                  </w:r>
                  <w:r>
                    <w:rPr>
                      <w:rFonts w:hint="default" w:ascii="Times New Roman" w:hAnsi="Times New Roman" w:eastAsia="宋体" w:cs="Times New Roman"/>
                      <w:b/>
                      <w:bCs/>
                      <w:color w:val="auto"/>
                      <w:sz w:val="21"/>
                      <w:szCs w:val="21"/>
                      <w:highlight w:val="none"/>
                      <w:lang w:val="en-US" w:eastAsia="zh-CN"/>
                    </w:rPr>
                    <w:t>/h</w:t>
                  </w:r>
                </w:p>
              </w:tc>
            </w:tr>
            <w:tr w14:paraId="63F033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57" w:hRule="atLeast"/>
                <w:jc w:val="center"/>
              </w:trPr>
              <w:tc>
                <w:tcPr>
                  <w:tcW w:w="0" w:type="auto"/>
                  <w:vMerge w:val="continue"/>
                  <w:tcBorders>
                    <w:left w:val="single" w:color="auto" w:sz="4" w:space="0"/>
                  </w:tcBorders>
                  <w:noWrap w:val="0"/>
                  <w:vAlign w:val="center"/>
                </w:tcPr>
                <w:p w14:paraId="758C7B5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p>
              </w:tc>
              <w:tc>
                <w:tcPr>
                  <w:tcW w:w="0" w:type="auto"/>
                  <w:vMerge w:val="continue"/>
                  <w:tcBorders>
                    <w:left w:val="single" w:color="auto" w:sz="4" w:space="0"/>
                  </w:tcBorders>
                  <w:noWrap w:val="0"/>
                  <w:vAlign w:val="center"/>
                </w:tcPr>
                <w:p w14:paraId="6BDEFB0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p>
              </w:tc>
              <w:tc>
                <w:tcPr>
                  <w:tcW w:w="0" w:type="auto"/>
                  <w:vMerge w:val="continue"/>
                  <w:tcBorders>
                    <w:left w:val="single" w:color="auto" w:sz="4" w:space="0"/>
                  </w:tcBorders>
                  <w:noWrap w:val="0"/>
                  <w:vAlign w:val="center"/>
                </w:tcPr>
                <w:p w14:paraId="0189627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p>
              </w:tc>
              <w:tc>
                <w:tcPr>
                  <w:tcW w:w="0" w:type="auto"/>
                  <w:vMerge w:val="continue"/>
                  <w:tcBorders>
                    <w:left w:val="single" w:color="auto" w:sz="4" w:space="0"/>
                  </w:tcBorders>
                  <w:noWrap w:val="0"/>
                  <w:vAlign w:val="center"/>
                </w:tcPr>
                <w:p w14:paraId="748ECC6E">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p>
              </w:tc>
              <w:tc>
                <w:tcPr>
                  <w:tcW w:w="403" w:type="dxa"/>
                  <w:vMerge w:val="continue"/>
                  <w:tcBorders>
                    <w:right w:val="single" w:color="auto" w:sz="4" w:space="0"/>
                  </w:tcBorders>
                  <w:noWrap w:val="0"/>
                  <w:vAlign w:val="center"/>
                </w:tcPr>
                <w:p w14:paraId="06ACB0B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p>
              </w:tc>
              <w:tc>
                <w:tcPr>
                  <w:tcW w:w="561" w:type="dxa"/>
                  <w:tcBorders>
                    <w:top w:val="single" w:color="auto" w:sz="4" w:space="0"/>
                    <w:right w:val="single" w:color="auto" w:sz="4" w:space="0"/>
                  </w:tcBorders>
                  <w:noWrap w:val="0"/>
                  <w:vAlign w:val="center"/>
                </w:tcPr>
                <w:p w14:paraId="3BBEA9B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核算方法</w:t>
                  </w:r>
                </w:p>
              </w:tc>
              <w:tc>
                <w:tcPr>
                  <w:tcW w:w="0" w:type="auto"/>
                  <w:tcBorders>
                    <w:top w:val="single" w:color="auto" w:sz="4" w:space="0"/>
                    <w:left w:val="single" w:color="auto" w:sz="4" w:space="0"/>
                    <w:right w:val="single" w:color="auto" w:sz="4" w:space="0"/>
                  </w:tcBorders>
                  <w:noWrap w:val="0"/>
                  <w:vAlign w:val="center"/>
                </w:tcPr>
                <w:p w14:paraId="1C6BE1E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废气产生量m³/h</w:t>
                  </w:r>
                </w:p>
              </w:tc>
              <w:tc>
                <w:tcPr>
                  <w:tcW w:w="0" w:type="auto"/>
                  <w:tcBorders>
                    <w:top w:val="single" w:color="auto" w:sz="4" w:space="0"/>
                    <w:left w:val="single" w:color="auto" w:sz="4" w:space="0"/>
                    <w:right w:val="single" w:color="auto" w:sz="4" w:space="0"/>
                  </w:tcBorders>
                  <w:noWrap w:val="0"/>
                  <w:vAlign w:val="center"/>
                </w:tcPr>
                <w:p w14:paraId="5F076943">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产生浓度mg/m³</w:t>
                  </w:r>
                </w:p>
              </w:tc>
              <w:tc>
                <w:tcPr>
                  <w:tcW w:w="0" w:type="auto"/>
                  <w:tcBorders>
                    <w:top w:val="single" w:color="auto" w:sz="4" w:space="0"/>
                    <w:left w:val="single" w:color="auto" w:sz="4" w:space="0"/>
                  </w:tcBorders>
                  <w:noWrap w:val="0"/>
                  <w:vAlign w:val="center"/>
                </w:tcPr>
                <w:p w14:paraId="37BBD1EF">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产生速率kg/h</w:t>
                  </w:r>
                </w:p>
              </w:tc>
              <w:tc>
                <w:tcPr>
                  <w:tcW w:w="0" w:type="auto"/>
                  <w:tcBorders>
                    <w:right w:val="single" w:color="auto" w:sz="4" w:space="0"/>
                  </w:tcBorders>
                  <w:noWrap w:val="0"/>
                  <w:vAlign w:val="center"/>
                </w:tcPr>
                <w:p w14:paraId="432E1256">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val="en-US" w:eastAsia="zh-CN"/>
                    </w:rPr>
                    <w:t>产生量t/a</w:t>
                  </w:r>
                </w:p>
              </w:tc>
              <w:tc>
                <w:tcPr>
                  <w:tcW w:w="0" w:type="auto"/>
                  <w:tcBorders>
                    <w:right w:val="single" w:color="auto" w:sz="4" w:space="0"/>
                  </w:tcBorders>
                  <w:noWrap w:val="0"/>
                  <w:vAlign w:val="center"/>
                </w:tcPr>
                <w:p w14:paraId="4733ED65">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工艺</w:t>
                  </w:r>
                </w:p>
              </w:tc>
              <w:tc>
                <w:tcPr>
                  <w:tcW w:w="0" w:type="auto"/>
                  <w:tcBorders>
                    <w:left w:val="single" w:color="auto" w:sz="4" w:space="0"/>
                  </w:tcBorders>
                  <w:noWrap w:val="0"/>
                  <w:vAlign w:val="center"/>
                </w:tcPr>
                <w:p w14:paraId="5F83F05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收集</w:t>
                  </w:r>
                </w:p>
                <w:p w14:paraId="3F71A95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效率</w:t>
                  </w:r>
                </w:p>
              </w:tc>
              <w:tc>
                <w:tcPr>
                  <w:tcW w:w="0" w:type="auto"/>
                  <w:tcBorders>
                    <w:right w:val="single" w:color="auto" w:sz="4" w:space="0"/>
                  </w:tcBorders>
                  <w:noWrap w:val="0"/>
                  <w:vAlign w:val="center"/>
                </w:tcPr>
                <w:p w14:paraId="47DD3DB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处理</w:t>
                  </w:r>
                </w:p>
                <w:p w14:paraId="6FBDCBBC">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效率</w:t>
                  </w:r>
                </w:p>
              </w:tc>
              <w:tc>
                <w:tcPr>
                  <w:tcW w:w="0" w:type="auto"/>
                  <w:tcBorders>
                    <w:left w:val="single" w:color="auto" w:sz="4" w:space="0"/>
                    <w:right w:val="single" w:color="auto" w:sz="4" w:space="0"/>
                  </w:tcBorders>
                  <w:noWrap w:val="0"/>
                  <w:vAlign w:val="center"/>
                </w:tcPr>
                <w:p w14:paraId="6102D6E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核算方法</w:t>
                  </w:r>
                </w:p>
              </w:tc>
              <w:tc>
                <w:tcPr>
                  <w:tcW w:w="0" w:type="auto"/>
                  <w:tcBorders>
                    <w:left w:val="single" w:color="auto" w:sz="4" w:space="0"/>
                    <w:right w:val="single" w:color="auto" w:sz="4" w:space="0"/>
                  </w:tcBorders>
                  <w:noWrap w:val="0"/>
                  <w:vAlign w:val="center"/>
                </w:tcPr>
                <w:p w14:paraId="17527A6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废气排放量</w:t>
                  </w:r>
                </w:p>
                <w:p w14:paraId="15C51F4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m³/h</w:t>
                  </w:r>
                </w:p>
              </w:tc>
              <w:tc>
                <w:tcPr>
                  <w:tcW w:w="0" w:type="auto"/>
                  <w:tcBorders>
                    <w:left w:val="single" w:color="auto" w:sz="4" w:space="0"/>
                    <w:right w:val="single" w:color="auto" w:sz="4" w:space="0"/>
                  </w:tcBorders>
                  <w:noWrap w:val="0"/>
                  <w:vAlign w:val="center"/>
                </w:tcPr>
                <w:p w14:paraId="5FCC1321">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排放</w:t>
                  </w:r>
                  <w:r>
                    <w:rPr>
                      <w:rFonts w:hint="default" w:ascii="Times New Roman" w:hAnsi="Times New Roman" w:eastAsia="宋体" w:cs="Times New Roman"/>
                      <w:b/>
                      <w:bCs/>
                      <w:color w:val="auto"/>
                      <w:sz w:val="21"/>
                      <w:szCs w:val="21"/>
                      <w:highlight w:val="none"/>
                    </w:rPr>
                    <w:t>浓度mg/m³</w:t>
                  </w:r>
                </w:p>
              </w:tc>
              <w:tc>
                <w:tcPr>
                  <w:tcW w:w="0" w:type="auto"/>
                  <w:tcBorders>
                    <w:left w:val="single" w:color="auto" w:sz="4" w:space="0"/>
                  </w:tcBorders>
                  <w:noWrap w:val="0"/>
                  <w:vAlign w:val="center"/>
                </w:tcPr>
                <w:p w14:paraId="58A9CDD1">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排放</w:t>
                  </w:r>
                  <w:r>
                    <w:rPr>
                      <w:rFonts w:hint="default" w:ascii="Times New Roman" w:hAnsi="Times New Roman" w:eastAsia="宋体" w:cs="Times New Roman"/>
                      <w:b/>
                      <w:bCs/>
                      <w:color w:val="auto"/>
                      <w:sz w:val="21"/>
                      <w:szCs w:val="21"/>
                      <w:highlight w:val="none"/>
                    </w:rPr>
                    <w:t>速率kg/h</w:t>
                  </w:r>
                </w:p>
              </w:tc>
              <w:tc>
                <w:tcPr>
                  <w:tcW w:w="0" w:type="auto"/>
                  <w:tcBorders>
                    <w:left w:val="single" w:color="auto" w:sz="4" w:space="0"/>
                  </w:tcBorders>
                  <w:noWrap w:val="0"/>
                  <w:vAlign w:val="center"/>
                </w:tcPr>
                <w:p w14:paraId="5F819547">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排放</w:t>
                  </w:r>
                  <w:r>
                    <w:rPr>
                      <w:rFonts w:hint="default" w:ascii="Times New Roman" w:hAnsi="Times New Roman" w:eastAsia="宋体" w:cs="Times New Roman"/>
                      <w:b/>
                      <w:bCs/>
                      <w:color w:val="auto"/>
                      <w:sz w:val="21"/>
                      <w:szCs w:val="21"/>
                      <w:highlight w:val="none"/>
                      <w:lang w:val="en-US" w:eastAsia="zh-CN"/>
                    </w:rPr>
                    <w:t>量t/a</w:t>
                  </w:r>
                </w:p>
              </w:tc>
              <w:tc>
                <w:tcPr>
                  <w:tcW w:w="0" w:type="auto"/>
                  <w:vMerge w:val="continue"/>
                  <w:tcBorders>
                    <w:left w:val="single" w:color="auto" w:sz="4" w:space="0"/>
                  </w:tcBorders>
                  <w:noWrap w:val="0"/>
                  <w:vAlign w:val="center"/>
                </w:tcPr>
                <w:p w14:paraId="0551CA69">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cs="Times New Roman"/>
                      <w:b/>
                      <w:bCs/>
                      <w:color w:val="auto"/>
                      <w:sz w:val="21"/>
                      <w:szCs w:val="21"/>
                      <w:highlight w:val="none"/>
                      <w:lang w:eastAsia="zh-CN"/>
                    </w:rPr>
                  </w:pPr>
                </w:p>
              </w:tc>
            </w:tr>
            <w:tr w14:paraId="0B8F9E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59" w:hRule="atLeast"/>
                <w:jc w:val="center"/>
              </w:trPr>
              <w:tc>
                <w:tcPr>
                  <w:tcW w:w="0" w:type="auto"/>
                  <w:vMerge w:val="restart"/>
                  <w:tcBorders>
                    <w:left w:val="single" w:color="auto" w:sz="4" w:space="0"/>
                  </w:tcBorders>
                  <w:noWrap w:val="0"/>
                  <w:vAlign w:val="center"/>
                </w:tcPr>
                <w:p w14:paraId="3256D099">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DA001</w:t>
                  </w:r>
                </w:p>
              </w:tc>
              <w:tc>
                <w:tcPr>
                  <w:tcW w:w="0" w:type="auto"/>
                  <w:tcBorders>
                    <w:left w:val="single" w:color="auto" w:sz="4" w:space="0"/>
                  </w:tcBorders>
                  <w:noWrap w:val="0"/>
                  <w:vAlign w:val="center"/>
                </w:tcPr>
                <w:p w14:paraId="312E3913">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非甲烷总烃</w:t>
                  </w:r>
                </w:p>
              </w:tc>
              <w:tc>
                <w:tcPr>
                  <w:tcW w:w="0" w:type="auto"/>
                  <w:tcBorders>
                    <w:left w:val="single" w:color="auto" w:sz="4" w:space="0"/>
                  </w:tcBorders>
                  <w:noWrap w:val="0"/>
                  <w:vAlign w:val="center"/>
                </w:tcPr>
                <w:p w14:paraId="6AAE7DA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注塑</w:t>
                  </w:r>
                </w:p>
              </w:tc>
              <w:tc>
                <w:tcPr>
                  <w:tcW w:w="0" w:type="auto"/>
                  <w:tcBorders>
                    <w:left w:val="single" w:color="auto" w:sz="4" w:space="0"/>
                  </w:tcBorders>
                  <w:noWrap w:val="0"/>
                  <w:vAlign w:val="center"/>
                </w:tcPr>
                <w:p w14:paraId="61679F8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注塑机</w:t>
                  </w:r>
                </w:p>
              </w:tc>
              <w:tc>
                <w:tcPr>
                  <w:tcW w:w="403" w:type="dxa"/>
                  <w:tcBorders>
                    <w:right w:val="single" w:color="auto" w:sz="4" w:space="0"/>
                  </w:tcBorders>
                  <w:noWrap w:val="0"/>
                  <w:vAlign w:val="center"/>
                </w:tcPr>
                <w:p w14:paraId="7CA17DD9">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1.718</w:t>
                  </w:r>
                </w:p>
              </w:tc>
              <w:tc>
                <w:tcPr>
                  <w:tcW w:w="561" w:type="dxa"/>
                  <w:vMerge w:val="restart"/>
                  <w:tcBorders>
                    <w:right w:val="single" w:color="auto" w:sz="4" w:space="0"/>
                  </w:tcBorders>
                  <w:noWrap w:val="0"/>
                  <w:vAlign w:val="center"/>
                </w:tcPr>
                <w:p w14:paraId="454B70CA">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产污系数法</w:t>
                  </w:r>
                </w:p>
              </w:tc>
              <w:tc>
                <w:tcPr>
                  <w:tcW w:w="0" w:type="auto"/>
                  <w:vMerge w:val="restart"/>
                  <w:tcBorders>
                    <w:left w:val="single" w:color="auto" w:sz="4" w:space="0"/>
                    <w:right w:val="single" w:color="auto" w:sz="4" w:space="0"/>
                  </w:tcBorders>
                  <w:noWrap w:val="0"/>
                  <w:vAlign w:val="center"/>
                </w:tcPr>
                <w:p w14:paraId="7A181176">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21600</w:t>
                  </w:r>
                </w:p>
              </w:tc>
              <w:tc>
                <w:tcPr>
                  <w:tcW w:w="0" w:type="auto"/>
                  <w:tcBorders>
                    <w:left w:val="single" w:color="auto" w:sz="4" w:space="0"/>
                    <w:right w:val="single" w:color="auto" w:sz="4" w:space="0"/>
                  </w:tcBorders>
                  <w:noWrap w:val="0"/>
                  <w:vAlign w:val="center"/>
                </w:tcPr>
                <w:p w14:paraId="09336D6A">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8.55</w:t>
                  </w:r>
                </w:p>
              </w:tc>
              <w:tc>
                <w:tcPr>
                  <w:tcW w:w="0" w:type="auto"/>
                  <w:tcBorders>
                    <w:top w:val="single" w:color="auto" w:sz="4" w:space="0"/>
                    <w:left w:val="single" w:color="auto" w:sz="4" w:space="0"/>
                    <w:bottom w:val="single" w:color="auto" w:sz="4" w:space="0"/>
                  </w:tcBorders>
                  <w:noWrap w:val="0"/>
                  <w:vAlign w:val="center"/>
                </w:tcPr>
                <w:p w14:paraId="61E7E4B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0.18</w:t>
                  </w:r>
                </w:p>
              </w:tc>
              <w:tc>
                <w:tcPr>
                  <w:tcW w:w="0" w:type="auto"/>
                  <w:tcBorders>
                    <w:right w:val="single" w:color="auto" w:sz="4" w:space="0"/>
                  </w:tcBorders>
                  <w:noWrap w:val="0"/>
                  <w:vAlign w:val="center"/>
                </w:tcPr>
                <w:p w14:paraId="4567D98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1.3744</w:t>
                  </w:r>
                </w:p>
              </w:tc>
              <w:tc>
                <w:tcPr>
                  <w:tcW w:w="0" w:type="auto"/>
                  <w:vMerge w:val="restart"/>
                  <w:tcBorders>
                    <w:right w:val="single" w:color="auto" w:sz="4" w:space="0"/>
                  </w:tcBorders>
                  <w:noWrap w:val="0"/>
                  <w:vAlign w:val="center"/>
                </w:tcPr>
                <w:p w14:paraId="19EAF30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二级活性炭吸附</w:t>
                  </w:r>
                </w:p>
              </w:tc>
              <w:tc>
                <w:tcPr>
                  <w:tcW w:w="0" w:type="auto"/>
                  <w:vMerge w:val="restart"/>
                  <w:tcBorders>
                    <w:left w:val="single" w:color="auto" w:sz="4" w:space="0"/>
                  </w:tcBorders>
                  <w:noWrap w:val="0"/>
                  <w:vAlign w:val="center"/>
                </w:tcPr>
                <w:p w14:paraId="34D9675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80</w:t>
                  </w:r>
                  <w:r>
                    <w:rPr>
                      <w:rFonts w:hint="default" w:ascii="Times New Roman" w:hAnsi="Times New Roman" w:eastAsia="宋体" w:cs="Times New Roman"/>
                      <w:color w:val="auto"/>
                      <w:sz w:val="21"/>
                      <w:szCs w:val="21"/>
                      <w:highlight w:val="none"/>
                      <w:lang w:val="en-US" w:eastAsia="zh-CN"/>
                    </w:rPr>
                    <w:t>%</w:t>
                  </w:r>
                </w:p>
              </w:tc>
              <w:tc>
                <w:tcPr>
                  <w:tcW w:w="0" w:type="auto"/>
                  <w:vMerge w:val="restart"/>
                  <w:noWrap w:val="0"/>
                  <w:vAlign w:val="center"/>
                </w:tcPr>
                <w:p w14:paraId="27C8BBBC">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w:t>
                  </w:r>
                </w:p>
              </w:tc>
              <w:tc>
                <w:tcPr>
                  <w:tcW w:w="0" w:type="auto"/>
                  <w:vMerge w:val="restart"/>
                  <w:tcBorders>
                    <w:right w:val="single" w:color="auto" w:sz="4" w:space="0"/>
                  </w:tcBorders>
                  <w:noWrap w:val="0"/>
                  <w:vAlign w:val="center"/>
                </w:tcPr>
                <w:p w14:paraId="3A67014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产污系数法</w:t>
                  </w:r>
                </w:p>
              </w:tc>
              <w:tc>
                <w:tcPr>
                  <w:tcW w:w="0" w:type="auto"/>
                  <w:vMerge w:val="restart"/>
                  <w:tcBorders>
                    <w:left w:val="single" w:color="auto" w:sz="4" w:space="0"/>
                    <w:right w:val="single" w:color="auto" w:sz="4" w:space="0"/>
                  </w:tcBorders>
                  <w:noWrap w:val="0"/>
                  <w:vAlign w:val="center"/>
                </w:tcPr>
                <w:p w14:paraId="3E5C1E6F">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21600</w:t>
                  </w:r>
                </w:p>
              </w:tc>
              <w:tc>
                <w:tcPr>
                  <w:tcW w:w="0" w:type="auto"/>
                  <w:tcBorders>
                    <w:left w:val="single" w:color="auto" w:sz="4" w:space="0"/>
                    <w:right w:val="single" w:color="auto" w:sz="4" w:space="0"/>
                  </w:tcBorders>
                  <w:noWrap w:val="0"/>
                  <w:vAlign w:val="center"/>
                </w:tcPr>
                <w:p w14:paraId="571ED744">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1.71</w:t>
                  </w:r>
                </w:p>
              </w:tc>
              <w:tc>
                <w:tcPr>
                  <w:tcW w:w="0" w:type="auto"/>
                  <w:tcBorders>
                    <w:top w:val="single" w:color="auto" w:sz="4" w:space="0"/>
                    <w:left w:val="single" w:color="auto" w:sz="4" w:space="0"/>
                    <w:bottom w:val="single" w:color="auto" w:sz="4" w:space="0"/>
                  </w:tcBorders>
                  <w:noWrap w:val="0"/>
                  <w:vAlign w:val="center"/>
                </w:tcPr>
                <w:p w14:paraId="27261583">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0.04</w:t>
                  </w:r>
                </w:p>
              </w:tc>
              <w:tc>
                <w:tcPr>
                  <w:tcW w:w="0" w:type="auto"/>
                  <w:tcBorders>
                    <w:top w:val="single" w:color="auto" w:sz="4" w:space="0"/>
                    <w:left w:val="single" w:color="auto" w:sz="4" w:space="0"/>
                    <w:bottom w:val="single" w:color="auto" w:sz="4" w:space="0"/>
                  </w:tcBorders>
                  <w:noWrap w:val="0"/>
                  <w:vAlign w:val="center"/>
                </w:tcPr>
                <w:p w14:paraId="78CE65D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0.275</w:t>
                  </w:r>
                </w:p>
              </w:tc>
              <w:tc>
                <w:tcPr>
                  <w:tcW w:w="0" w:type="auto"/>
                  <w:vMerge w:val="restart"/>
                  <w:tcBorders>
                    <w:top w:val="single" w:color="auto" w:sz="4" w:space="0"/>
                    <w:left w:val="single" w:color="auto" w:sz="4" w:space="0"/>
                  </w:tcBorders>
                  <w:noWrap w:val="0"/>
                  <w:vAlign w:val="center"/>
                </w:tcPr>
                <w:p w14:paraId="4EC21458">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7440</w:t>
                  </w:r>
                </w:p>
              </w:tc>
            </w:tr>
            <w:tr w14:paraId="587E4F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08" w:hRule="atLeast"/>
                <w:jc w:val="center"/>
              </w:trPr>
              <w:tc>
                <w:tcPr>
                  <w:tcW w:w="0" w:type="auto"/>
                  <w:vMerge w:val="continue"/>
                  <w:tcBorders>
                    <w:left w:val="single" w:color="auto" w:sz="4" w:space="0"/>
                  </w:tcBorders>
                  <w:noWrap w:val="0"/>
                  <w:vAlign w:val="center"/>
                </w:tcPr>
                <w:p w14:paraId="4A31DB7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left w:val="single" w:color="auto" w:sz="4" w:space="0"/>
                  </w:tcBorders>
                  <w:noWrap w:val="0"/>
                  <w:vAlign w:val="center"/>
                </w:tcPr>
                <w:p w14:paraId="4EAC556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臭气浓度</w:t>
                  </w:r>
                </w:p>
              </w:tc>
              <w:tc>
                <w:tcPr>
                  <w:tcW w:w="0" w:type="auto"/>
                  <w:tcBorders>
                    <w:left w:val="single" w:color="auto" w:sz="4" w:space="0"/>
                  </w:tcBorders>
                  <w:noWrap w:val="0"/>
                  <w:vAlign w:val="center"/>
                </w:tcPr>
                <w:p w14:paraId="750E9C7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注塑</w:t>
                  </w:r>
                </w:p>
              </w:tc>
              <w:tc>
                <w:tcPr>
                  <w:tcW w:w="0" w:type="auto"/>
                  <w:tcBorders>
                    <w:left w:val="single" w:color="auto" w:sz="4" w:space="0"/>
                  </w:tcBorders>
                  <w:noWrap w:val="0"/>
                  <w:vAlign w:val="center"/>
                </w:tcPr>
                <w:p w14:paraId="6D59F87A">
                  <w:pPr>
                    <w:pStyle w:val="60"/>
                    <w:keepNext w:val="0"/>
                    <w:keepLines w:val="0"/>
                    <w:pageBreakBefore w:val="0"/>
                    <w:suppressLineNumbers w:val="0"/>
                    <w:wordWrap w:val="0"/>
                    <w:topLinePunct w:val="0"/>
                    <w:bidi w:val="0"/>
                    <w:spacing w:before="0" w:beforeAutospacing="0" w:after="0" w:afterAutospacing="0"/>
                    <w:ind w:left="-120" w:leftChars="-50" w:right="-120" w:rightChars="-5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注塑机</w:t>
                  </w:r>
                </w:p>
              </w:tc>
              <w:tc>
                <w:tcPr>
                  <w:tcW w:w="403" w:type="dxa"/>
                  <w:tcBorders>
                    <w:right w:val="single" w:color="auto" w:sz="4" w:space="0"/>
                  </w:tcBorders>
                  <w:noWrap w:val="0"/>
                  <w:vAlign w:val="center"/>
                </w:tcPr>
                <w:p w14:paraId="6CB6366D">
                  <w:pPr>
                    <w:pStyle w:val="60"/>
                    <w:keepNext w:val="0"/>
                    <w:keepLines w:val="0"/>
                    <w:pageBreakBefore w:val="0"/>
                    <w:suppressLineNumbers w:val="0"/>
                    <w:wordWrap w:val="0"/>
                    <w:topLinePunct w:val="0"/>
                    <w:bidi w:val="0"/>
                    <w:spacing w:before="0" w:beforeAutospacing="0" w:after="0" w:afterAutospacing="0"/>
                    <w:ind w:left="-120" w:leftChars="-50" w:right="-120" w:rightChars="-5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少量</w:t>
                  </w:r>
                </w:p>
              </w:tc>
              <w:tc>
                <w:tcPr>
                  <w:tcW w:w="561" w:type="dxa"/>
                  <w:vMerge w:val="continue"/>
                  <w:tcBorders>
                    <w:right w:val="single" w:color="auto" w:sz="4" w:space="0"/>
                  </w:tcBorders>
                  <w:noWrap w:val="0"/>
                  <w:vAlign w:val="center"/>
                </w:tcPr>
                <w:p w14:paraId="5AEC9406">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vMerge w:val="continue"/>
                  <w:tcBorders>
                    <w:left w:val="single" w:color="auto" w:sz="4" w:space="0"/>
                    <w:right w:val="single" w:color="auto" w:sz="4" w:space="0"/>
                  </w:tcBorders>
                  <w:noWrap w:val="0"/>
                  <w:vAlign w:val="center"/>
                </w:tcPr>
                <w:p w14:paraId="06F03EC4">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left w:val="single" w:color="auto" w:sz="4" w:space="0"/>
                    <w:right w:val="single" w:color="auto" w:sz="4" w:space="0"/>
                  </w:tcBorders>
                  <w:noWrap w:val="0"/>
                  <w:vAlign w:val="center"/>
                </w:tcPr>
                <w:p w14:paraId="453A4AB6">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少量</w:t>
                  </w:r>
                </w:p>
              </w:tc>
              <w:tc>
                <w:tcPr>
                  <w:tcW w:w="0" w:type="auto"/>
                  <w:tcBorders>
                    <w:top w:val="single" w:color="auto" w:sz="4" w:space="0"/>
                    <w:left w:val="single" w:color="auto" w:sz="4" w:space="0"/>
                  </w:tcBorders>
                  <w:noWrap w:val="0"/>
                  <w:vAlign w:val="center"/>
                </w:tcPr>
                <w:p w14:paraId="04C70FB3">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少量</w:t>
                  </w:r>
                </w:p>
              </w:tc>
              <w:tc>
                <w:tcPr>
                  <w:tcW w:w="0" w:type="auto"/>
                  <w:tcBorders>
                    <w:right w:val="single" w:color="auto" w:sz="4" w:space="0"/>
                  </w:tcBorders>
                  <w:noWrap w:val="0"/>
                  <w:vAlign w:val="center"/>
                </w:tcPr>
                <w:p w14:paraId="3132DC6C">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少量</w:t>
                  </w:r>
                </w:p>
              </w:tc>
              <w:tc>
                <w:tcPr>
                  <w:tcW w:w="0" w:type="auto"/>
                  <w:vMerge w:val="continue"/>
                  <w:tcBorders>
                    <w:right w:val="single" w:color="auto" w:sz="4" w:space="0"/>
                  </w:tcBorders>
                  <w:noWrap w:val="0"/>
                  <w:vAlign w:val="center"/>
                </w:tcPr>
                <w:p w14:paraId="297D116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vMerge w:val="continue"/>
                  <w:tcBorders>
                    <w:left w:val="single" w:color="auto" w:sz="4" w:space="0"/>
                  </w:tcBorders>
                  <w:noWrap w:val="0"/>
                  <w:vAlign w:val="center"/>
                </w:tcPr>
                <w:p w14:paraId="54F4879E">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vMerge w:val="continue"/>
                  <w:noWrap w:val="0"/>
                  <w:vAlign w:val="center"/>
                </w:tcPr>
                <w:p w14:paraId="3F69E11F">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c>
                <w:tcPr>
                  <w:tcW w:w="0" w:type="auto"/>
                  <w:vMerge w:val="continue"/>
                  <w:tcBorders>
                    <w:right w:val="single" w:color="auto" w:sz="4" w:space="0"/>
                  </w:tcBorders>
                  <w:noWrap w:val="0"/>
                  <w:vAlign w:val="center"/>
                </w:tcPr>
                <w:p w14:paraId="422414AE">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vMerge w:val="continue"/>
                  <w:tcBorders>
                    <w:left w:val="single" w:color="auto" w:sz="4" w:space="0"/>
                    <w:right w:val="single" w:color="auto" w:sz="4" w:space="0"/>
                  </w:tcBorders>
                  <w:noWrap w:val="0"/>
                  <w:vAlign w:val="center"/>
                </w:tcPr>
                <w:p w14:paraId="17D2937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left w:val="single" w:color="auto" w:sz="4" w:space="0"/>
                    <w:right w:val="single" w:color="auto" w:sz="4" w:space="0"/>
                  </w:tcBorders>
                  <w:noWrap w:val="0"/>
                  <w:vAlign w:val="center"/>
                </w:tcPr>
                <w:p w14:paraId="5C15F0FB">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少量</w:t>
                  </w:r>
                </w:p>
              </w:tc>
              <w:tc>
                <w:tcPr>
                  <w:tcW w:w="0" w:type="auto"/>
                  <w:tcBorders>
                    <w:top w:val="single" w:color="auto" w:sz="4" w:space="0"/>
                    <w:left w:val="single" w:color="auto" w:sz="4" w:space="0"/>
                    <w:bottom w:val="single" w:color="auto" w:sz="4" w:space="0"/>
                  </w:tcBorders>
                  <w:noWrap w:val="0"/>
                  <w:vAlign w:val="center"/>
                </w:tcPr>
                <w:p w14:paraId="18DF1E53">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少量</w:t>
                  </w:r>
                </w:p>
              </w:tc>
              <w:tc>
                <w:tcPr>
                  <w:tcW w:w="0" w:type="auto"/>
                  <w:tcBorders>
                    <w:top w:val="single" w:color="auto" w:sz="4" w:space="0"/>
                    <w:left w:val="single" w:color="auto" w:sz="4" w:space="0"/>
                    <w:bottom w:val="single" w:color="auto" w:sz="4" w:space="0"/>
                  </w:tcBorders>
                  <w:noWrap w:val="0"/>
                  <w:vAlign w:val="center"/>
                </w:tcPr>
                <w:p w14:paraId="662E05DA">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少量</w:t>
                  </w:r>
                </w:p>
              </w:tc>
              <w:tc>
                <w:tcPr>
                  <w:tcW w:w="0" w:type="auto"/>
                  <w:vMerge w:val="continue"/>
                  <w:tcBorders>
                    <w:left w:val="single" w:color="auto" w:sz="4" w:space="0"/>
                    <w:bottom w:val="single" w:color="auto" w:sz="4" w:space="0"/>
                  </w:tcBorders>
                  <w:noWrap w:val="0"/>
                  <w:vAlign w:val="center"/>
                </w:tcPr>
                <w:p w14:paraId="6A0F8B7F">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p>
              </w:tc>
            </w:tr>
            <w:tr w14:paraId="6B35FD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822" w:hRule="atLeast"/>
                <w:jc w:val="center"/>
              </w:trPr>
              <w:tc>
                <w:tcPr>
                  <w:tcW w:w="0" w:type="auto"/>
                  <w:vMerge w:val="restart"/>
                  <w:tcBorders>
                    <w:left w:val="single" w:color="auto" w:sz="4" w:space="0"/>
                  </w:tcBorders>
                  <w:noWrap w:val="0"/>
                  <w:vAlign w:val="center"/>
                </w:tcPr>
                <w:p w14:paraId="6F359FCC">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无组织</w:t>
                  </w:r>
                </w:p>
              </w:tc>
              <w:tc>
                <w:tcPr>
                  <w:tcW w:w="0" w:type="auto"/>
                  <w:tcBorders>
                    <w:left w:val="single" w:color="auto" w:sz="4" w:space="0"/>
                    <w:bottom w:val="single" w:color="auto" w:sz="4" w:space="0"/>
                  </w:tcBorders>
                  <w:noWrap w:val="0"/>
                  <w:vAlign w:val="center"/>
                </w:tcPr>
                <w:p w14:paraId="18EEDB2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非甲烷总烃</w:t>
                  </w:r>
                </w:p>
              </w:tc>
              <w:tc>
                <w:tcPr>
                  <w:tcW w:w="0" w:type="auto"/>
                  <w:tcBorders>
                    <w:left w:val="single" w:color="auto" w:sz="4" w:space="0"/>
                    <w:bottom w:val="single" w:color="auto" w:sz="4" w:space="0"/>
                  </w:tcBorders>
                  <w:noWrap w:val="0"/>
                  <w:vAlign w:val="center"/>
                </w:tcPr>
                <w:p w14:paraId="638C276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注塑</w:t>
                  </w:r>
                </w:p>
              </w:tc>
              <w:tc>
                <w:tcPr>
                  <w:tcW w:w="0" w:type="auto"/>
                  <w:tcBorders>
                    <w:left w:val="single" w:color="auto" w:sz="4" w:space="0"/>
                  </w:tcBorders>
                  <w:noWrap w:val="0"/>
                  <w:vAlign w:val="center"/>
                </w:tcPr>
                <w:p w14:paraId="7672D4EE">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注塑机</w:t>
                  </w:r>
                </w:p>
              </w:tc>
              <w:tc>
                <w:tcPr>
                  <w:tcW w:w="403" w:type="dxa"/>
                  <w:tcBorders>
                    <w:right w:val="single" w:color="auto" w:sz="4" w:space="0"/>
                  </w:tcBorders>
                  <w:noWrap w:val="0"/>
                  <w:vAlign w:val="center"/>
                </w:tcPr>
                <w:p w14:paraId="138D84AC">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0.3436</w:t>
                  </w:r>
                </w:p>
              </w:tc>
              <w:tc>
                <w:tcPr>
                  <w:tcW w:w="561" w:type="dxa"/>
                  <w:vMerge w:val="continue"/>
                  <w:tcBorders>
                    <w:right w:val="single" w:color="auto" w:sz="4" w:space="0"/>
                  </w:tcBorders>
                  <w:noWrap w:val="0"/>
                  <w:vAlign w:val="center"/>
                </w:tcPr>
                <w:p w14:paraId="31524A8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vMerge w:val="restart"/>
                  <w:tcBorders>
                    <w:top w:val="single" w:color="auto" w:sz="4" w:space="0"/>
                    <w:left w:val="single" w:color="auto" w:sz="4" w:space="0"/>
                    <w:right w:val="single" w:color="auto" w:sz="4" w:space="0"/>
                  </w:tcBorders>
                  <w:noWrap w:val="0"/>
                  <w:vAlign w:val="center"/>
                </w:tcPr>
                <w:p w14:paraId="13F81C9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E150779">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tcBorders>
                    <w:top w:val="single" w:color="auto" w:sz="4" w:space="0"/>
                    <w:left w:val="single" w:color="auto" w:sz="4" w:space="0"/>
                    <w:bottom w:val="single" w:color="auto" w:sz="4" w:space="0"/>
                  </w:tcBorders>
                  <w:noWrap w:val="0"/>
                  <w:vAlign w:val="center"/>
                </w:tcPr>
                <w:p w14:paraId="35903C26">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w:t>
                  </w:r>
                </w:p>
              </w:tc>
              <w:tc>
                <w:tcPr>
                  <w:tcW w:w="0" w:type="auto"/>
                  <w:tcBorders>
                    <w:bottom w:val="single" w:color="auto" w:sz="4" w:space="0"/>
                    <w:right w:val="single" w:color="auto" w:sz="4" w:space="0"/>
                  </w:tcBorders>
                  <w:noWrap w:val="0"/>
                  <w:vAlign w:val="center"/>
                </w:tcPr>
                <w:p w14:paraId="2F3B4D5E">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0.3436</w:t>
                  </w:r>
                </w:p>
              </w:tc>
              <w:tc>
                <w:tcPr>
                  <w:tcW w:w="0" w:type="auto"/>
                  <w:tcBorders>
                    <w:bottom w:val="single" w:color="auto" w:sz="4" w:space="0"/>
                    <w:right w:val="single" w:color="auto" w:sz="4" w:space="0"/>
                  </w:tcBorders>
                  <w:noWrap w:val="0"/>
                  <w:vAlign w:val="center"/>
                </w:tcPr>
                <w:p w14:paraId="30E3EDD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加强厂房通风</w:t>
                  </w:r>
                </w:p>
              </w:tc>
              <w:tc>
                <w:tcPr>
                  <w:tcW w:w="0" w:type="auto"/>
                  <w:tcBorders>
                    <w:left w:val="single" w:color="auto" w:sz="4" w:space="0"/>
                    <w:bottom w:val="single" w:color="auto" w:sz="4" w:space="0"/>
                  </w:tcBorders>
                  <w:noWrap w:val="0"/>
                  <w:vAlign w:val="center"/>
                </w:tcPr>
                <w:p w14:paraId="33F8FA8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tcBorders>
                    <w:top w:val="single" w:color="auto" w:sz="4" w:space="0"/>
                    <w:bottom w:val="single" w:color="auto" w:sz="4" w:space="0"/>
                  </w:tcBorders>
                  <w:noWrap w:val="0"/>
                  <w:vAlign w:val="center"/>
                </w:tcPr>
                <w:p w14:paraId="3654C57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Merge w:val="continue"/>
                  <w:tcBorders>
                    <w:right w:val="single" w:color="auto" w:sz="4" w:space="0"/>
                  </w:tcBorders>
                  <w:noWrap w:val="0"/>
                  <w:vAlign w:val="center"/>
                </w:tcPr>
                <w:p w14:paraId="13F8B6E1">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38555F6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41F96E78">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c>
                <w:tcPr>
                  <w:tcW w:w="812" w:type="dxa"/>
                  <w:tcBorders>
                    <w:top w:val="single" w:color="auto" w:sz="4" w:space="0"/>
                    <w:left w:val="single" w:color="auto" w:sz="4" w:space="0"/>
                    <w:bottom w:val="single" w:color="auto" w:sz="4" w:space="0"/>
                  </w:tcBorders>
                  <w:noWrap w:val="0"/>
                  <w:vAlign w:val="center"/>
                </w:tcPr>
                <w:p w14:paraId="435E39D1">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0.05</w:t>
                  </w:r>
                </w:p>
              </w:tc>
              <w:tc>
                <w:tcPr>
                  <w:tcW w:w="672" w:type="dxa"/>
                  <w:tcBorders>
                    <w:top w:val="single" w:color="auto" w:sz="4" w:space="0"/>
                    <w:left w:val="single" w:color="auto" w:sz="4" w:space="0"/>
                    <w:bottom w:val="single" w:color="auto" w:sz="4" w:space="0"/>
                  </w:tcBorders>
                  <w:noWrap w:val="0"/>
                  <w:vAlign w:val="center"/>
                </w:tcPr>
                <w:p w14:paraId="6770C6F6">
                  <w:pPr>
                    <w:pStyle w:val="60"/>
                    <w:keepNext w:val="0"/>
                    <w:keepLines w:val="0"/>
                    <w:pageBreakBefore w:val="0"/>
                    <w:suppressLineNumbers w:val="0"/>
                    <w:wordWrap w:val="0"/>
                    <w:topLinePunct w:val="0"/>
                    <w:bidi w:val="0"/>
                    <w:spacing w:before="0" w:beforeAutospacing="0" w:after="0" w:afterAutospacing="0"/>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0.3436</w:t>
                  </w:r>
                </w:p>
              </w:tc>
              <w:tc>
                <w:tcPr>
                  <w:tcW w:w="0" w:type="auto"/>
                  <w:tcBorders>
                    <w:top w:val="single" w:color="auto" w:sz="4" w:space="0"/>
                    <w:left w:val="single" w:color="auto" w:sz="4" w:space="0"/>
                    <w:bottom w:val="single" w:color="auto" w:sz="4" w:space="0"/>
                  </w:tcBorders>
                  <w:noWrap w:val="0"/>
                  <w:vAlign w:val="center"/>
                </w:tcPr>
                <w:p w14:paraId="507E8E2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7440</w:t>
                  </w:r>
                </w:p>
              </w:tc>
            </w:tr>
            <w:tr w14:paraId="21E625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8" w:hRule="atLeast"/>
                <w:jc w:val="center"/>
              </w:trPr>
              <w:tc>
                <w:tcPr>
                  <w:tcW w:w="0" w:type="auto"/>
                  <w:vMerge w:val="continue"/>
                  <w:tcBorders>
                    <w:left w:val="single" w:color="auto" w:sz="4" w:space="0"/>
                  </w:tcBorders>
                  <w:noWrap w:val="0"/>
                  <w:vAlign w:val="center"/>
                </w:tcPr>
                <w:p w14:paraId="337512D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top w:val="single" w:color="auto" w:sz="4" w:space="0"/>
                    <w:left w:val="single" w:color="auto" w:sz="4" w:space="0"/>
                  </w:tcBorders>
                  <w:noWrap w:val="0"/>
                  <w:vAlign w:val="center"/>
                </w:tcPr>
                <w:p w14:paraId="78B2FF18">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p>
              </w:tc>
              <w:tc>
                <w:tcPr>
                  <w:tcW w:w="0" w:type="auto"/>
                  <w:tcBorders>
                    <w:top w:val="single" w:color="auto" w:sz="4" w:space="0"/>
                    <w:left w:val="single" w:color="auto" w:sz="4" w:space="0"/>
                  </w:tcBorders>
                  <w:noWrap w:val="0"/>
                  <w:vAlign w:val="center"/>
                </w:tcPr>
                <w:p w14:paraId="24EB8FD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破碎</w:t>
                  </w:r>
                </w:p>
              </w:tc>
              <w:tc>
                <w:tcPr>
                  <w:tcW w:w="0" w:type="auto"/>
                  <w:tcBorders>
                    <w:left w:val="single" w:color="auto" w:sz="4" w:space="0"/>
                  </w:tcBorders>
                  <w:noWrap w:val="0"/>
                  <w:vAlign w:val="center"/>
                </w:tcPr>
                <w:p w14:paraId="0D5156C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碎料机</w:t>
                  </w:r>
                </w:p>
              </w:tc>
              <w:tc>
                <w:tcPr>
                  <w:tcW w:w="403" w:type="dxa"/>
                  <w:tcBorders>
                    <w:right w:val="single" w:color="auto" w:sz="4" w:space="0"/>
                  </w:tcBorders>
                  <w:noWrap w:val="0"/>
                  <w:vAlign w:val="center"/>
                </w:tcPr>
                <w:p w14:paraId="2EC8B555">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0.003</w:t>
                  </w:r>
                </w:p>
              </w:tc>
              <w:tc>
                <w:tcPr>
                  <w:tcW w:w="561" w:type="dxa"/>
                  <w:vMerge w:val="continue"/>
                  <w:tcBorders>
                    <w:right w:val="single" w:color="auto" w:sz="4" w:space="0"/>
                  </w:tcBorders>
                  <w:noWrap w:val="0"/>
                  <w:vAlign w:val="center"/>
                </w:tcPr>
                <w:p w14:paraId="62D12FE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vMerge w:val="continue"/>
                  <w:tcBorders>
                    <w:left w:val="single" w:color="auto" w:sz="4" w:space="0"/>
                    <w:right w:val="single" w:color="auto" w:sz="4" w:space="0"/>
                  </w:tcBorders>
                  <w:noWrap w:val="0"/>
                  <w:vAlign w:val="center"/>
                </w:tcPr>
                <w:p w14:paraId="1D785FB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top w:val="single" w:color="auto" w:sz="4" w:space="0"/>
                    <w:left w:val="single" w:color="auto" w:sz="4" w:space="0"/>
                    <w:right w:val="single" w:color="auto" w:sz="4" w:space="0"/>
                  </w:tcBorders>
                  <w:noWrap w:val="0"/>
                  <w:vAlign w:val="center"/>
                </w:tcPr>
                <w:p w14:paraId="7D8DB81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tcBorders>
                    <w:top w:val="single" w:color="auto" w:sz="4" w:space="0"/>
                    <w:left w:val="single" w:color="auto" w:sz="4" w:space="0"/>
                    <w:bottom w:val="single" w:color="auto" w:sz="4" w:space="0"/>
                  </w:tcBorders>
                  <w:noWrap w:val="0"/>
                  <w:vAlign w:val="center"/>
                </w:tcPr>
                <w:p w14:paraId="4AD0D077">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0.002</w:t>
                  </w:r>
                </w:p>
              </w:tc>
              <w:tc>
                <w:tcPr>
                  <w:tcW w:w="0" w:type="auto"/>
                  <w:tcBorders>
                    <w:top w:val="single" w:color="auto" w:sz="4" w:space="0"/>
                    <w:right w:val="single" w:color="auto" w:sz="4" w:space="0"/>
                  </w:tcBorders>
                  <w:noWrap w:val="0"/>
                  <w:vAlign w:val="center"/>
                </w:tcPr>
                <w:p w14:paraId="3638813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0.003</w:t>
                  </w:r>
                </w:p>
              </w:tc>
              <w:tc>
                <w:tcPr>
                  <w:tcW w:w="0" w:type="auto"/>
                  <w:tcBorders>
                    <w:top w:val="single" w:color="auto" w:sz="4" w:space="0"/>
                    <w:right w:val="single" w:color="auto" w:sz="4" w:space="0"/>
                  </w:tcBorders>
                  <w:noWrap w:val="0"/>
                  <w:vAlign w:val="center"/>
                </w:tcPr>
                <w:p w14:paraId="2AF590A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自然沉降</w:t>
                  </w:r>
                </w:p>
              </w:tc>
              <w:tc>
                <w:tcPr>
                  <w:tcW w:w="0" w:type="auto"/>
                  <w:tcBorders>
                    <w:top w:val="single" w:color="auto" w:sz="4" w:space="0"/>
                    <w:left w:val="single" w:color="auto" w:sz="4" w:space="0"/>
                  </w:tcBorders>
                  <w:noWrap w:val="0"/>
                  <w:vAlign w:val="center"/>
                </w:tcPr>
                <w:p w14:paraId="1DBA3B7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tcBorders>
                    <w:top w:val="single" w:color="auto" w:sz="4" w:space="0"/>
                  </w:tcBorders>
                  <w:noWrap w:val="0"/>
                  <w:vAlign w:val="center"/>
                </w:tcPr>
                <w:p w14:paraId="31E24E2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vMerge w:val="continue"/>
                  <w:tcBorders>
                    <w:right w:val="single" w:color="auto" w:sz="4" w:space="0"/>
                  </w:tcBorders>
                  <w:noWrap w:val="0"/>
                  <w:vAlign w:val="center"/>
                </w:tcPr>
                <w:p w14:paraId="3139D443">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rPr>
                  </w:pPr>
                </w:p>
              </w:tc>
              <w:tc>
                <w:tcPr>
                  <w:tcW w:w="0" w:type="auto"/>
                  <w:tcBorders>
                    <w:top w:val="single" w:color="auto" w:sz="4" w:space="0"/>
                    <w:left w:val="single" w:color="auto" w:sz="4" w:space="0"/>
                    <w:right w:val="single" w:color="auto" w:sz="4" w:space="0"/>
                  </w:tcBorders>
                  <w:noWrap w:val="0"/>
                  <w:vAlign w:val="center"/>
                </w:tcPr>
                <w:p w14:paraId="791C7A5D">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tcBorders>
                    <w:top w:val="single" w:color="auto" w:sz="4" w:space="0"/>
                    <w:left w:val="single" w:color="auto" w:sz="4" w:space="0"/>
                    <w:right w:val="single" w:color="auto" w:sz="4" w:space="0"/>
                  </w:tcBorders>
                  <w:noWrap w:val="0"/>
                  <w:vAlign w:val="center"/>
                </w:tcPr>
                <w:p w14:paraId="546AC070">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c>
                <w:tcPr>
                  <w:tcW w:w="0" w:type="auto"/>
                  <w:tcBorders>
                    <w:top w:val="single" w:color="auto" w:sz="4" w:space="0"/>
                    <w:left w:val="single" w:color="auto" w:sz="4" w:space="0"/>
                    <w:bottom w:val="single" w:color="auto" w:sz="4" w:space="0"/>
                  </w:tcBorders>
                  <w:noWrap w:val="0"/>
                  <w:vAlign w:val="center"/>
                </w:tcPr>
                <w:p w14:paraId="68BE0AD2">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default" w:ascii="Times New Roman" w:hAnsi="Times New Roman" w:cs="Times New Roman"/>
                      <w:color w:val="auto"/>
                      <w:sz w:val="21"/>
                      <w:szCs w:val="21"/>
                      <w:highlight w:val="none"/>
                      <w:lang w:val="en-US" w:eastAsia="zh-CN"/>
                    </w:rPr>
                    <w:t>2</w:t>
                  </w:r>
                </w:p>
              </w:tc>
              <w:tc>
                <w:tcPr>
                  <w:tcW w:w="0" w:type="auto"/>
                  <w:tcBorders>
                    <w:top w:val="single" w:color="auto" w:sz="4" w:space="0"/>
                    <w:left w:val="single" w:color="auto" w:sz="4" w:space="0"/>
                    <w:bottom w:val="single" w:color="auto" w:sz="4" w:space="0"/>
                  </w:tcBorders>
                  <w:noWrap w:val="0"/>
                  <w:vAlign w:val="center"/>
                </w:tcPr>
                <w:p w14:paraId="289C356A">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default" w:ascii="Times New Roman" w:hAnsi="Times New Roman" w:cs="Times New Roman"/>
                      <w:color w:val="auto"/>
                      <w:sz w:val="21"/>
                      <w:szCs w:val="21"/>
                      <w:highlight w:val="none"/>
                      <w:lang w:val="en-US" w:eastAsia="zh-CN"/>
                    </w:rPr>
                    <w:t>3</w:t>
                  </w:r>
                </w:p>
              </w:tc>
              <w:tc>
                <w:tcPr>
                  <w:tcW w:w="0" w:type="auto"/>
                  <w:tcBorders>
                    <w:top w:val="single" w:color="auto" w:sz="4" w:space="0"/>
                    <w:left w:val="single" w:color="auto" w:sz="4" w:space="0"/>
                    <w:bottom w:val="single" w:color="auto" w:sz="4" w:space="0"/>
                  </w:tcBorders>
                  <w:noWrap w:val="0"/>
                  <w:vAlign w:val="center"/>
                </w:tcPr>
                <w:p w14:paraId="6A09B658">
                  <w:pPr>
                    <w:pStyle w:val="60"/>
                    <w:keepNext w:val="0"/>
                    <w:keepLines w:val="0"/>
                    <w:pageBreakBefore w:val="0"/>
                    <w:suppressLineNumbers w:val="0"/>
                    <w:wordWrap w:val="0"/>
                    <w:topLinePunct w:val="0"/>
                    <w:bidi w:val="0"/>
                    <w:spacing w:before="0" w:beforeAutospacing="0" w:after="0" w:afterAutospacing="0"/>
                    <w:ind w:left="0" w:right="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1240</w:t>
                  </w:r>
                </w:p>
              </w:tc>
            </w:tr>
          </w:tbl>
          <w:p w14:paraId="4DE8B136">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技术可行性依据判断：参照</w:t>
            </w:r>
            <w:r>
              <w:rPr>
                <w:rFonts w:hint="default" w:ascii="Times New Roman" w:hAnsi="Times New Roman" w:cs="Times New Roman"/>
                <w:color w:val="auto"/>
                <w:highlight w:val="none"/>
              </w:rPr>
              <w:t>《排</w:t>
            </w:r>
            <w:r>
              <w:rPr>
                <w:rFonts w:hint="default" w:ascii="Times New Roman" w:hAnsi="Times New Roman" w:cs="Times New Roman"/>
                <w:color w:val="auto"/>
                <w:highlight w:val="none"/>
                <w:lang w:eastAsia="zh-CN"/>
              </w:rPr>
              <w:t>污许可</w:t>
            </w:r>
            <w:r>
              <w:rPr>
                <w:rFonts w:hint="default" w:ascii="Times New Roman" w:hAnsi="Times New Roman" w:cs="Times New Roman"/>
                <w:color w:val="auto"/>
                <w:highlight w:val="none"/>
                <w:lang w:val="en-US" w:eastAsia="zh-CN"/>
              </w:rPr>
              <w:t>证</w:t>
            </w:r>
            <w:r>
              <w:rPr>
                <w:rFonts w:hint="default" w:ascii="Times New Roman" w:hAnsi="Times New Roman" w:cs="Times New Roman"/>
                <w:color w:val="auto"/>
                <w:highlight w:val="none"/>
                <w:lang w:eastAsia="zh-CN"/>
              </w:rPr>
              <w:t>申请与核发技术规范 橡胶和塑料制品工业》（HJ 1122-2020）</w:t>
            </w:r>
            <w:r>
              <w:rPr>
                <w:rFonts w:hint="default" w:ascii="Times New Roman" w:hAnsi="Times New Roman" w:eastAsia="宋体" w:cs="Times New Roman"/>
                <w:b w:val="0"/>
                <w:bCs w:val="0"/>
                <w:color w:val="auto"/>
                <w:kern w:val="2"/>
                <w:sz w:val="24"/>
                <w:szCs w:val="24"/>
                <w:highlight w:val="none"/>
                <w:lang w:val="en-US" w:eastAsia="zh-CN" w:bidi="ar-SA"/>
              </w:rPr>
              <w:t>中表 A.2 塑料制品工业排污单位废气污染防治可行技术参考表可知，项目</w:t>
            </w:r>
            <w:r>
              <w:rPr>
                <w:rFonts w:hint="default" w:ascii="Times New Roman" w:hAnsi="Times New Roman" w:cs="Times New Roman"/>
                <w:b w:val="0"/>
                <w:bCs w:val="0"/>
                <w:color w:val="auto"/>
                <w:kern w:val="2"/>
                <w:sz w:val="24"/>
                <w:szCs w:val="24"/>
                <w:highlight w:val="none"/>
                <w:lang w:val="en-US" w:eastAsia="zh-CN" w:bidi="ar-SA"/>
              </w:rPr>
              <w:t>注塑工序</w:t>
            </w:r>
            <w:r>
              <w:rPr>
                <w:rFonts w:hint="default" w:ascii="Times New Roman" w:hAnsi="Times New Roman" w:cs="Times New Roman"/>
                <w:color w:val="auto"/>
                <w:sz w:val="24"/>
                <w:szCs w:val="24"/>
                <w:highlight w:val="none"/>
                <w:lang w:val="en-US" w:eastAsia="zh-CN"/>
              </w:rPr>
              <w:t>产生的有机废气采取的</w:t>
            </w:r>
            <w:r>
              <w:rPr>
                <w:rFonts w:hint="default" w:ascii="Times New Roman" w:hAnsi="Times New Roman" w:cs="Times New Roman"/>
                <w:b w:val="0"/>
                <w:bCs w:val="0"/>
                <w:color w:val="auto"/>
                <w:kern w:val="2"/>
                <w:sz w:val="24"/>
                <w:szCs w:val="24"/>
                <w:highlight w:val="none"/>
                <w:lang w:val="en-US" w:eastAsia="zh-CN" w:bidi="ar-SA"/>
              </w:rPr>
              <w:t>二级活性炭吸附装置技术</w:t>
            </w:r>
            <w:r>
              <w:rPr>
                <w:rFonts w:hint="default" w:ascii="Times New Roman" w:hAnsi="Times New Roman" w:eastAsia="宋体" w:cs="Times New Roman"/>
                <w:b w:val="0"/>
                <w:bCs w:val="0"/>
                <w:color w:val="auto"/>
                <w:kern w:val="2"/>
                <w:sz w:val="24"/>
                <w:szCs w:val="24"/>
                <w:highlight w:val="none"/>
                <w:lang w:val="en-US" w:eastAsia="zh-CN" w:bidi="ar-SA"/>
              </w:rPr>
              <w:t>属于可行技术。</w:t>
            </w:r>
          </w:p>
          <w:p w14:paraId="1FB9403E">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2、监测要求</w:t>
            </w:r>
          </w:p>
          <w:p w14:paraId="63ADD8A9">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按照《固定污染源排污许可分类管理名录》（2019年版），本项目属于简化管理。本项目参照《排污单位自行监测技术指南涂装》（HJ1086-2020）中的简化管理要求及结合项目运营期间污染物排放特点，制定本项目的污染源监测计划，建设单位需保证按监测计划实施。监测分析方法按照现行国家、部颁标准和有关规定执行</w:t>
            </w:r>
            <w:r>
              <w:rPr>
                <w:rFonts w:hint="default" w:ascii="Times New Roman" w:hAnsi="Times New Roman" w:cs="Times New Roman"/>
                <w:b w:val="0"/>
                <w:bCs w:val="0"/>
                <w:color w:val="auto"/>
                <w:kern w:val="2"/>
                <w:sz w:val="24"/>
                <w:szCs w:val="24"/>
                <w:highlight w:val="none"/>
                <w:lang w:val="en-US" w:eastAsia="zh-CN" w:bidi="ar-SA"/>
              </w:rPr>
              <w:t>。</w:t>
            </w:r>
          </w:p>
          <w:p w14:paraId="49BC88ED">
            <w:pPr>
              <w:keepNext w:val="0"/>
              <w:keepLines w:val="0"/>
              <w:pageBreakBefore w:val="0"/>
              <w:widowControl w:val="0"/>
              <w:kinsoku/>
              <w:wordWrap w:val="0"/>
              <w:overflowPunct/>
              <w:topLinePunct w:val="0"/>
              <w:autoSpaceDE/>
              <w:autoSpaceDN/>
              <w:bidi w:val="0"/>
              <w:adjustRightInd/>
              <w:snapToGrid/>
              <w:spacing w:line="36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default" w:ascii="Times New Roman" w:hAnsi="Times New Roman"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rPr>
              <w:t>废气监测计划表</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1279"/>
              <w:gridCol w:w="1676"/>
              <w:gridCol w:w="1077"/>
              <w:gridCol w:w="1889"/>
              <w:gridCol w:w="1541"/>
              <w:gridCol w:w="5143"/>
            </w:tblGrid>
            <w:tr w14:paraId="12AD6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restart"/>
                  <w:noWrap w:val="0"/>
                  <w:vAlign w:val="center"/>
                </w:tcPr>
                <w:p w14:paraId="13E149FF">
                  <w:pPr>
                    <w:pStyle w:val="123"/>
                    <w:pageBreakBefore w:val="0"/>
                    <w:wordWrap w:val="0"/>
                    <w:topLinePunct w:val="0"/>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项目</w:t>
                  </w:r>
                </w:p>
              </w:tc>
              <w:tc>
                <w:tcPr>
                  <w:tcW w:w="474" w:type="pct"/>
                  <w:vMerge w:val="restart"/>
                  <w:noWrap w:val="0"/>
                  <w:vAlign w:val="center"/>
                </w:tcPr>
                <w:p w14:paraId="6F3E76A4">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监测点位</w:t>
                  </w:r>
                </w:p>
              </w:tc>
              <w:tc>
                <w:tcPr>
                  <w:tcW w:w="621" w:type="pct"/>
                  <w:vMerge w:val="restart"/>
                  <w:noWrap w:val="0"/>
                  <w:vAlign w:val="center"/>
                </w:tcPr>
                <w:p w14:paraId="5535CBAB">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监测因子</w:t>
                  </w:r>
                </w:p>
              </w:tc>
              <w:tc>
                <w:tcPr>
                  <w:tcW w:w="399" w:type="pct"/>
                  <w:vMerge w:val="restart"/>
                  <w:noWrap w:val="0"/>
                  <w:vAlign w:val="center"/>
                </w:tcPr>
                <w:p w14:paraId="67578C36">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监测频次</w:t>
                  </w:r>
                </w:p>
              </w:tc>
              <w:tc>
                <w:tcPr>
                  <w:tcW w:w="3177" w:type="pct"/>
                  <w:gridSpan w:val="3"/>
                  <w:noWrap w:val="0"/>
                  <w:vAlign w:val="center"/>
                </w:tcPr>
                <w:p w14:paraId="6C8E4BDA">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执行标准</w:t>
                  </w:r>
                </w:p>
              </w:tc>
            </w:tr>
            <w:tr w14:paraId="31795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continue"/>
                  <w:noWrap w:val="0"/>
                  <w:vAlign w:val="center"/>
                </w:tcPr>
                <w:p w14:paraId="31480C37">
                  <w:pPr>
                    <w:pStyle w:val="123"/>
                    <w:pageBreakBefore w:val="0"/>
                    <w:wordWrap w:val="0"/>
                    <w:topLinePunct w:val="0"/>
                    <w:bidi w:val="0"/>
                    <w:rPr>
                      <w:rFonts w:hint="default" w:ascii="Times New Roman" w:hAnsi="Times New Roman" w:cs="Times New Roman"/>
                      <w:b/>
                      <w:bCs/>
                      <w:color w:val="auto"/>
                      <w:highlight w:val="none"/>
                      <w:lang w:eastAsia="zh-CN"/>
                    </w:rPr>
                  </w:pPr>
                </w:p>
              </w:tc>
              <w:tc>
                <w:tcPr>
                  <w:tcW w:w="474" w:type="pct"/>
                  <w:vMerge w:val="continue"/>
                  <w:noWrap w:val="0"/>
                  <w:vAlign w:val="center"/>
                </w:tcPr>
                <w:p w14:paraId="62A94522">
                  <w:pPr>
                    <w:pStyle w:val="123"/>
                    <w:pageBreakBefore w:val="0"/>
                    <w:wordWrap w:val="0"/>
                    <w:topLinePunct w:val="0"/>
                    <w:bidi w:val="0"/>
                    <w:rPr>
                      <w:rFonts w:hint="default" w:ascii="Times New Roman" w:hAnsi="Times New Roman" w:cs="Times New Roman"/>
                      <w:b/>
                      <w:bCs/>
                      <w:color w:val="auto"/>
                      <w:highlight w:val="none"/>
                      <w:lang w:eastAsia="zh-CN"/>
                    </w:rPr>
                  </w:pPr>
                </w:p>
              </w:tc>
              <w:tc>
                <w:tcPr>
                  <w:tcW w:w="621" w:type="pct"/>
                  <w:vMerge w:val="continue"/>
                  <w:noWrap w:val="0"/>
                  <w:vAlign w:val="center"/>
                </w:tcPr>
                <w:p w14:paraId="0CBF4F46">
                  <w:pPr>
                    <w:pStyle w:val="123"/>
                    <w:pageBreakBefore w:val="0"/>
                    <w:wordWrap w:val="0"/>
                    <w:topLinePunct w:val="0"/>
                    <w:bidi w:val="0"/>
                    <w:rPr>
                      <w:rFonts w:hint="default" w:ascii="Times New Roman" w:hAnsi="Times New Roman" w:cs="Times New Roman"/>
                      <w:b/>
                      <w:bCs/>
                      <w:color w:val="auto"/>
                      <w:highlight w:val="none"/>
                      <w:lang w:eastAsia="zh-CN"/>
                    </w:rPr>
                  </w:pPr>
                </w:p>
              </w:tc>
              <w:tc>
                <w:tcPr>
                  <w:tcW w:w="399" w:type="pct"/>
                  <w:vMerge w:val="continue"/>
                  <w:noWrap w:val="0"/>
                  <w:vAlign w:val="center"/>
                </w:tcPr>
                <w:p w14:paraId="1ACD0270">
                  <w:pPr>
                    <w:pStyle w:val="123"/>
                    <w:pageBreakBefore w:val="0"/>
                    <w:wordWrap w:val="0"/>
                    <w:topLinePunct w:val="0"/>
                    <w:bidi w:val="0"/>
                    <w:rPr>
                      <w:rFonts w:hint="default" w:ascii="Times New Roman" w:hAnsi="Times New Roman" w:cs="Times New Roman"/>
                      <w:b/>
                      <w:bCs/>
                      <w:color w:val="auto"/>
                      <w:highlight w:val="none"/>
                      <w:lang w:eastAsia="zh-CN"/>
                    </w:rPr>
                  </w:pPr>
                </w:p>
              </w:tc>
              <w:tc>
                <w:tcPr>
                  <w:tcW w:w="700" w:type="pct"/>
                  <w:noWrap w:val="0"/>
                  <w:vAlign w:val="center"/>
                </w:tcPr>
                <w:p w14:paraId="79A99636">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排放浓度（mg/</w:t>
                  </w:r>
                  <w:r>
                    <w:rPr>
                      <w:rFonts w:hint="default" w:ascii="Times New Roman" w:hAnsi="Times New Roman" w:eastAsia="Times New Roman" w:cs="Times New Roman"/>
                      <w:b/>
                      <w:bCs/>
                      <w:color w:val="auto"/>
                      <w:highlight w:val="none"/>
                      <w:lang w:eastAsia="zh-CN"/>
                    </w:rPr>
                    <w:t>m³</w:t>
                  </w:r>
                  <w:r>
                    <w:rPr>
                      <w:rFonts w:hint="default" w:ascii="Times New Roman" w:hAnsi="Times New Roman" w:cs="Times New Roman"/>
                      <w:b/>
                      <w:bCs/>
                      <w:color w:val="auto"/>
                      <w:highlight w:val="none"/>
                      <w:lang w:eastAsia="zh-CN"/>
                    </w:rPr>
                    <w:t>）</w:t>
                  </w:r>
                </w:p>
              </w:tc>
              <w:tc>
                <w:tcPr>
                  <w:tcW w:w="571" w:type="pct"/>
                  <w:noWrap w:val="0"/>
                  <w:vAlign w:val="center"/>
                </w:tcPr>
                <w:p w14:paraId="31A03FF7">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最高允许排放速率（kg/h）</w:t>
                  </w:r>
                </w:p>
              </w:tc>
              <w:tc>
                <w:tcPr>
                  <w:tcW w:w="1905" w:type="pct"/>
                  <w:noWrap w:val="0"/>
                  <w:vAlign w:val="center"/>
                </w:tcPr>
                <w:p w14:paraId="080CD388">
                  <w:pPr>
                    <w:pStyle w:val="123"/>
                    <w:pageBreakBefore w:val="0"/>
                    <w:wordWrap w:val="0"/>
                    <w:topLinePunct w:val="0"/>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eastAsia="zh-CN"/>
                    </w:rPr>
                    <w:t>标准名称</w:t>
                  </w:r>
                </w:p>
              </w:tc>
            </w:tr>
            <w:tr w14:paraId="08675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328" w:type="pct"/>
                  <w:vMerge w:val="restart"/>
                  <w:noWrap w:val="0"/>
                  <w:vAlign w:val="center"/>
                </w:tcPr>
                <w:p w14:paraId="2B1C72D8">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有组织废气</w:t>
                  </w:r>
                </w:p>
              </w:tc>
              <w:tc>
                <w:tcPr>
                  <w:tcW w:w="474" w:type="pct"/>
                  <w:vMerge w:val="restart"/>
                  <w:noWrap w:val="0"/>
                  <w:vAlign w:val="center"/>
                </w:tcPr>
                <w:p w14:paraId="39C4373C">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DA001废气排放口</w:t>
                  </w:r>
                </w:p>
              </w:tc>
              <w:tc>
                <w:tcPr>
                  <w:tcW w:w="621" w:type="pct"/>
                  <w:noWrap w:val="0"/>
                  <w:vAlign w:val="center"/>
                </w:tcPr>
                <w:p w14:paraId="7E120D3D">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非甲烷总烃</w:t>
                  </w:r>
                </w:p>
              </w:tc>
              <w:tc>
                <w:tcPr>
                  <w:tcW w:w="399" w:type="pct"/>
                  <w:noWrap w:val="0"/>
                  <w:vAlign w:val="center"/>
                </w:tcPr>
                <w:p w14:paraId="669EF529">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1次/半年</w:t>
                  </w:r>
                </w:p>
              </w:tc>
              <w:tc>
                <w:tcPr>
                  <w:tcW w:w="700" w:type="pct"/>
                  <w:noWrap w:val="0"/>
                  <w:vAlign w:val="center"/>
                </w:tcPr>
                <w:p w14:paraId="0AB4BD5A">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60</w:t>
                  </w:r>
                </w:p>
              </w:tc>
              <w:tc>
                <w:tcPr>
                  <w:tcW w:w="571" w:type="pct"/>
                  <w:noWrap w:val="0"/>
                  <w:vAlign w:val="center"/>
                </w:tcPr>
                <w:p w14:paraId="32F59B97">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905" w:type="pct"/>
                  <w:noWrap w:val="0"/>
                  <w:vAlign w:val="center"/>
                </w:tcPr>
                <w:p w14:paraId="6CBF3890">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《合成树脂工业污染物排放标准》（GB31572-2015，含2024年修改单）中表5大气污染物特别排放限值</w:t>
                  </w:r>
                </w:p>
              </w:tc>
            </w:tr>
            <w:tr w14:paraId="3EE7B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6" w:hRule="atLeast"/>
                <w:jc w:val="center"/>
              </w:trPr>
              <w:tc>
                <w:tcPr>
                  <w:tcW w:w="328" w:type="pct"/>
                  <w:vMerge w:val="continue"/>
                  <w:noWrap w:val="0"/>
                  <w:vAlign w:val="center"/>
                </w:tcPr>
                <w:p w14:paraId="399E61F5">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474" w:type="pct"/>
                  <w:vMerge w:val="continue"/>
                  <w:noWrap w:val="0"/>
                  <w:vAlign w:val="center"/>
                </w:tcPr>
                <w:p w14:paraId="39EC5560">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621" w:type="pct"/>
                  <w:noWrap w:val="0"/>
                  <w:vAlign w:val="center"/>
                </w:tcPr>
                <w:p w14:paraId="7802137D">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臭气浓度</w:t>
                  </w:r>
                </w:p>
              </w:tc>
              <w:tc>
                <w:tcPr>
                  <w:tcW w:w="399" w:type="pct"/>
                  <w:noWrap w:val="0"/>
                  <w:vAlign w:val="center"/>
                </w:tcPr>
                <w:p w14:paraId="785EC905">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rPr>
                    <w:t>1次/年</w:t>
                  </w:r>
                </w:p>
              </w:tc>
              <w:tc>
                <w:tcPr>
                  <w:tcW w:w="700" w:type="pct"/>
                  <w:noWrap w:val="0"/>
                  <w:vAlign w:val="center"/>
                </w:tcPr>
                <w:p w14:paraId="1EA51192">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15000（无量纲）</w:t>
                  </w:r>
                </w:p>
              </w:tc>
              <w:tc>
                <w:tcPr>
                  <w:tcW w:w="571" w:type="pct"/>
                  <w:noWrap w:val="0"/>
                  <w:vAlign w:val="center"/>
                </w:tcPr>
                <w:p w14:paraId="104FEE2D">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highlight w:val="none"/>
                      <w:lang w:val="en-US" w:eastAsia="zh-CN"/>
                    </w:rPr>
                    <w:t>/</w:t>
                  </w:r>
                </w:p>
              </w:tc>
              <w:tc>
                <w:tcPr>
                  <w:tcW w:w="1905" w:type="pct"/>
                  <w:noWrap w:val="0"/>
                  <w:vAlign w:val="center"/>
                </w:tcPr>
                <w:p w14:paraId="6EC8DDA0">
                  <w:pPr>
                    <w:pStyle w:val="123"/>
                    <w:pageBreakBefore w:val="0"/>
                    <w:wordWrap w:val="0"/>
                    <w:topLinePunct w:val="0"/>
                    <w:bidi w:val="0"/>
                    <w:ind w:firstLine="0" w:firstLineChars="0"/>
                    <w:rPr>
                      <w:rFonts w:hint="default" w:ascii="Times New Roman" w:hAnsi="Times New Roman" w:eastAsia="宋体" w:cs="Times New Roman"/>
                      <w:color w:val="auto"/>
                      <w:sz w:val="21"/>
                      <w:szCs w:val="21"/>
                      <w:highlight w:val="none"/>
                      <w:lang w:eastAsia="zh-CN"/>
                    </w:rPr>
                  </w:pPr>
                  <w:r>
                    <w:rPr>
                      <w:rFonts w:hint="default" w:ascii="Times New Roman" w:hAnsi="Times New Roman" w:eastAsia="Times New Roman" w:cs="Times New Roman"/>
                      <w:color w:val="auto"/>
                      <w:highlight w:val="none"/>
                      <w:lang w:val="en-US" w:eastAsia="zh-CN"/>
                    </w:rPr>
                    <w:t>《恶臭污染物排放标准》（GB 14554-93）表2</w:t>
                  </w:r>
                  <w:r>
                    <w:rPr>
                      <w:rFonts w:hint="default" w:ascii="Times New Roman" w:hAnsi="Times New Roman" w:eastAsia="Times New Roman" w:cs="Times New Roman"/>
                      <w:color w:val="auto"/>
                      <w:highlight w:val="none"/>
                      <w:lang w:eastAsia="zh-CN"/>
                    </w:rPr>
                    <w:t>恶臭污染物排放标准值</w:t>
                  </w:r>
                </w:p>
              </w:tc>
            </w:tr>
            <w:tr w14:paraId="5EC78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restart"/>
                  <w:noWrap w:val="0"/>
                  <w:vAlign w:val="center"/>
                </w:tcPr>
                <w:p w14:paraId="5EAC2C31">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无组织废气</w:t>
                  </w:r>
                </w:p>
              </w:tc>
              <w:tc>
                <w:tcPr>
                  <w:tcW w:w="474" w:type="pct"/>
                  <w:vMerge w:val="restart"/>
                  <w:noWrap w:val="0"/>
                  <w:vAlign w:val="center"/>
                </w:tcPr>
                <w:p w14:paraId="73BF6678">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厂界</w:t>
                  </w:r>
                </w:p>
              </w:tc>
              <w:tc>
                <w:tcPr>
                  <w:tcW w:w="621" w:type="pct"/>
                  <w:noWrap w:val="0"/>
                  <w:vAlign w:val="center"/>
                </w:tcPr>
                <w:p w14:paraId="417913B5">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非甲烷总烃</w:t>
                  </w:r>
                </w:p>
              </w:tc>
              <w:tc>
                <w:tcPr>
                  <w:tcW w:w="399" w:type="pct"/>
                  <w:noWrap w:val="0"/>
                  <w:vAlign w:val="center"/>
                </w:tcPr>
                <w:p w14:paraId="69543588">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1次/年</w:t>
                  </w:r>
                </w:p>
              </w:tc>
              <w:tc>
                <w:tcPr>
                  <w:tcW w:w="700" w:type="pct"/>
                  <w:noWrap w:val="0"/>
                  <w:vAlign w:val="center"/>
                </w:tcPr>
                <w:p w14:paraId="4C379301">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4.0</w:t>
                  </w:r>
                </w:p>
              </w:tc>
              <w:tc>
                <w:tcPr>
                  <w:tcW w:w="571" w:type="pct"/>
                  <w:noWrap w:val="0"/>
                  <w:vAlign w:val="center"/>
                </w:tcPr>
                <w:p w14:paraId="00C33B31">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val="en-US" w:eastAsia="zh-CN"/>
                    </w:rPr>
                    <w:t>/</w:t>
                  </w:r>
                </w:p>
              </w:tc>
              <w:tc>
                <w:tcPr>
                  <w:tcW w:w="1905" w:type="pct"/>
                  <w:vMerge w:val="restart"/>
                  <w:noWrap w:val="0"/>
                  <w:vAlign w:val="center"/>
                </w:tcPr>
                <w:p w14:paraId="53ACE966">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《合成树脂工业污染物排放标准》（GB31572-2015，含2024年修改单）中表9企业边界大气污染物浓度限值</w:t>
                  </w:r>
                </w:p>
              </w:tc>
            </w:tr>
            <w:tr w14:paraId="43099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continue"/>
                  <w:noWrap w:val="0"/>
                  <w:vAlign w:val="center"/>
                </w:tcPr>
                <w:p w14:paraId="1191C541">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474" w:type="pct"/>
                  <w:vMerge w:val="continue"/>
                  <w:noWrap w:val="0"/>
                  <w:vAlign w:val="center"/>
                </w:tcPr>
                <w:p w14:paraId="4DFC277A">
                  <w:pPr>
                    <w:pStyle w:val="123"/>
                    <w:pageBreakBefore w:val="0"/>
                    <w:wordWrap w:val="0"/>
                    <w:topLinePunct w:val="0"/>
                    <w:bidi w:val="0"/>
                    <w:rPr>
                      <w:rFonts w:hint="default" w:ascii="Times New Roman" w:hAnsi="Times New Roman" w:cs="Times New Roman"/>
                      <w:color w:val="auto"/>
                      <w:highlight w:val="none"/>
                      <w:lang w:eastAsia="zh-CN"/>
                    </w:rPr>
                  </w:pPr>
                </w:p>
              </w:tc>
              <w:tc>
                <w:tcPr>
                  <w:tcW w:w="621" w:type="pct"/>
                  <w:noWrap w:val="0"/>
                  <w:vAlign w:val="center"/>
                </w:tcPr>
                <w:p w14:paraId="01A1E08D">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颗粒物</w:t>
                  </w:r>
                </w:p>
              </w:tc>
              <w:tc>
                <w:tcPr>
                  <w:tcW w:w="399" w:type="pct"/>
                  <w:noWrap w:val="0"/>
                  <w:vAlign w:val="center"/>
                </w:tcPr>
                <w:p w14:paraId="4C077C83">
                  <w:pPr>
                    <w:pStyle w:val="123"/>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1次/年</w:t>
                  </w:r>
                </w:p>
              </w:tc>
              <w:tc>
                <w:tcPr>
                  <w:tcW w:w="700" w:type="pct"/>
                  <w:noWrap w:val="0"/>
                  <w:vAlign w:val="center"/>
                </w:tcPr>
                <w:p w14:paraId="6F26F364">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571" w:type="pct"/>
                  <w:noWrap w:val="0"/>
                  <w:vAlign w:val="center"/>
                </w:tcPr>
                <w:p w14:paraId="6137A5ED">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905" w:type="pct"/>
                  <w:vMerge w:val="continue"/>
                  <w:noWrap w:val="0"/>
                  <w:vAlign w:val="center"/>
                </w:tcPr>
                <w:p w14:paraId="104A7503">
                  <w:pPr>
                    <w:pStyle w:val="123"/>
                    <w:pageBreakBefore w:val="0"/>
                    <w:wordWrap w:val="0"/>
                    <w:topLinePunct w:val="0"/>
                    <w:bidi w:val="0"/>
                    <w:rPr>
                      <w:rFonts w:hint="default" w:ascii="Times New Roman" w:hAnsi="Times New Roman" w:cs="Times New Roman"/>
                      <w:color w:val="auto"/>
                      <w:highlight w:val="none"/>
                      <w:lang w:val="en-US" w:eastAsia="zh-CN"/>
                    </w:rPr>
                  </w:pPr>
                </w:p>
              </w:tc>
            </w:tr>
            <w:tr w14:paraId="7398C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continue"/>
                  <w:noWrap w:val="0"/>
                  <w:vAlign w:val="center"/>
                </w:tcPr>
                <w:p w14:paraId="65C10DCA">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474" w:type="pct"/>
                  <w:vMerge w:val="continue"/>
                  <w:noWrap w:val="0"/>
                  <w:vAlign w:val="center"/>
                </w:tcPr>
                <w:p w14:paraId="7B91D363">
                  <w:pPr>
                    <w:pStyle w:val="123"/>
                    <w:pageBreakBefore w:val="0"/>
                    <w:wordWrap w:val="0"/>
                    <w:topLinePunct w:val="0"/>
                    <w:bidi w:val="0"/>
                    <w:rPr>
                      <w:rFonts w:hint="default" w:ascii="Times New Roman" w:hAnsi="Times New Roman" w:cs="Times New Roman"/>
                      <w:color w:val="auto"/>
                      <w:highlight w:val="none"/>
                      <w:lang w:eastAsia="zh-CN"/>
                    </w:rPr>
                  </w:pPr>
                </w:p>
              </w:tc>
              <w:tc>
                <w:tcPr>
                  <w:tcW w:w="621" w:type="pct"/>
                  <w:noWrap w:val="0"/>
                  <w:vAlign w:val="center"/>
                </w:tcPr>
                <w:p w14:paraId="090F45F2">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臭气浓度</w:t>
                  </w:r>
                </w:p>
              </w:tc>
              <w:tc>
                <w:tcPr>
                  <w:tcW w:w="399" w:type="pct"/>
                  <w:noWrap w:val="0"/>
                  <w:vAlign w:val="center"/>
                </w:tcPr>
                <w:p w14:paraId="06C0E524">
                  <w:pPr>
                    <w:pStyle w:val="123"/>
                    <w:pageBreakBefore w:val="0"/>
                    <w:wordWrap w:val="0"/>
                    <w:topLinePunct w:val="0"/>
                    <w:bidi w:val="0"/>
                    <w:ind w:firstLine="0" w:firstLineChars="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1次/年</w:t>
                  </w:r>
                </w:p>
              </w:tc>
              <w:tc>
                <w:tcPr>
                  <w:tcW w:w="700" w:type="pct"/>
                  <w:noWrap w:val="0"/>
                  <w:vAlign w:val="center"/>
                </w:tcPr>
                <w:p w14:paraId="2F1BAAF0">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20（无量纲）</w:t>
                  </w:r>
                </w:p>
              </w:tc>
              <w:tc>
                <w:tcPr>
                  <w:tcW w:w="571" w:type="pct"/>
                  <w:noWrap w:val="0"/>
                  <w:vAlign w:val="center"/>
                </w:tcPr>
                <w:p w14:paraId="37789ED8">
                  <w:pPr>
                    <w:pStyle w:val="123"/>
                    <w:pageBreakBefore w:val="0"/>
                    <w:wordWrap w:val="0"/>
                    <w:topLinePunct w:val="0"/>
                    <w:bidi w:val="0"/>
                    <w:ind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905" w:type="pct"/>
                  <w:noWrap w:val="0"/>
                  <w:vAlign w:val="center"/>
                </w:tcPr>
                <w:p w14:paraId="27585BAB">
                  <w:pPr>
                    <w:pStyle w:val="123"/>
                    <w:pageBreakBefore w:val="0"/>
                    <w:wordWrap w:val="0"/>
                    <w:topLinePunct w:val="0"/>
                    <w:bidi w:val="0"/>
                    <w:ind w:firstLine="0" w:firstLineChars="0"/>
                    <w:rPr>
                      <w:rFonts w:hint="default" w:ascii="Times New Roman" w:hAnsi="Times New Roman" w:cs="Times New Roman"/>
                      <w:color w:val="auto"/>
                      <w:highlight w:val="none"/>
                      <w:lang w:eastAsia="zh-CN"/>
                    </w:rPr>
                  </w:pPr>
                  <w:r>
                    <w:rPr>
                      <w:rFonts w:hint="default" w:ascii="Times New Roman" w:hAnsi="Times New Roman" w:eastAsia="Times New Roman" w:cs="Times New Roman"/>
                      <w:color w:val="auto"/>
                      <w:highlight w:val="none"/>
                      <w:lang w:val="en-US" w:eastAsia="zh-CN"/>
                    </w:rPr>
                    <w:t>《恶臭污染物排放标准》（GB 14554-93）表1二级标准中的新扩改建标准</w:t>
                  </w:r>
                </w:p>
              </w:tc>
            </w:tr>
            <w:tr w14:paraId="6EA09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continue"/>
                  <w:noWrap w:val="0"/>
                  <w:vAlign w:val="center"/>
                </w:tcPr>
                <w:p w14:paraId="2C927357">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474" w:type="pct"/>
                  <w:vMerge w:val="restart"/>
                  <w:noWrap w:val="0"/>
                  <w:vAlign w:val="center"/>
                </w:tcPr>
                <w:p w14:paraId="6AEABF72">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厂内</w:t>
                  </w:r>
                </w:p>
              </w:tc>
              <w:tc>
                <w:tcPr>
                  <w:tcW w:w="621" w:type="pct"/>
                  <w:vMerge w:val="restart"/>
                  <w:noWrap w:val="0"/>
                  <w:vAlign w:val="center"/>
                </w:tcPr>
                <w:p w14:paraId="451360CB">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非甲烷总烃</w:t>
                  </w:r>
                </w:p>
              </w:tc>
              <w:tc>
                <w:tcPr>
                  <w:tcW w:w="399" w:type="pct"/>
                  <w:noWrap w:val="0"/>
                  <w:vAlign w:val="center"/>
                </w:tcPr>
                <w:p w14:paraId="569B002C">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1次/年</w:t>
                  </w:r>
                </w:p>
              </w:tc>
              <w:tc>
                <w:tcPr>
                  <w:tcW w:w="700" w:type="pct"/>
                  <w:noWrap w:val="0"/>
                  <w:vAlign w:val="center"/>
                </w:tcPr>
                <w:p w14:paraId="65073046">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p w14:paraId="380B1402">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监控点处1h平均浓度值</w:t>
                  </w:r>
                  <w:r>
                    <w:rPr>
                      <w:rFonts w:hint="default" w:ascii="Times New Roman" w:hAnsi="Times New Roman" w:cs="Times New Roman"/>
                      <w:color w:val="auto"/>
                      <w:highlight w:val="none"/>
                      <w:lang w:val="en-US" w:eastAsia="zh-CN"/>
                    </w:rPr>
                    <w:t>）</w:t>
                  </w:r>
                </w:p>
              </w:tc>
              <w:tc>
                <w:tcPr>
                  <w:tcW w:w="571" w:type="pct"/>
                  <w:noWrap w:val="0"/>
                  <w:vAlign w:val="center"/>
                </w:tcPr>
                <w:p w14:paraId="3280FB99">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905" w:type="pct"/>
                  <w:vMerge w:val="restart"/>
                  <w:noWrap w:val="0"/>
                  <w:vAlign w:val="center"/>
                </w:tcPr>
                <w:p w14:paraId="77E4E0BE">
                  <w:pPr>
                    <w:pStyle w:val="123"/>
                    <w:pageBreakBefore w:val="0"/>
                    <w:wordWrap w:val="0"/>
                    <w:topLinePunct w:val="0"/>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eastAsia="zh-CN"/>
                    </w:rPr>
                    <w:t>《固定污染源挥发性有机物综合排放标准》（DB44/2367-2022）表3厂区内VOCs无组织排放限值</w:t>
                  </w:r>
                </w:p>
              </w:tc>
            </w:tr>
            <w:tr w14:paraId="57431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28" w:type="pct"/>
                  <w:vMerge w:val="continue"/>
                  <w:noWrap w:val="0"/>
                  <w:vAlign w:val="center"/>
                </w:tcPr>
                <w:p w14:paraId="75B5435E">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474" w:type="pct"/>
                  <w:vMerge w:val="continue"/>
                  <w:noWrap w:val="0"/>
                  <w:vAlign w:val="center"/>
                </w:tcPr>
                <w:p w14:paraId="4B75A269">
                  <w:pPr>
                    <w:pStyle w:val="123"/>
                    <w:pageBreakBefore w:val="0"/>
                    <w:wordWrap w:val="0"/>
                    <w:topLinePunct w:val="0"/>
                    <w:bidi w:val="0"/>
                    <w:rPr>
                      <w:rFonts w:hint="default" w:ascii="Times New Roman" w:hAnsi="Times New Roman" w:cs="Times New Roman"/>
                      <w:color w:val="auto"/>
                      <w:highlight w:val="none"/>
                      <w:lang w:val="en-US" w:eastAsia="zh-CN"/>
                    </w:rPr>
                  </w:pPr>
                </w:p>
              </w:tc>
              <w:tc>
                <w:tcPr>
                  <w:tcW w:w="621" w:type="pct"/>
                  <w:vMerge w:val="continue"/>
                  <w:noWrap w:val="0"/>
                  <w:vAlign w:val="center"/>
                </w:tcPr>
                <w:p w14:paraId="4D8A1736">
                  <w:pPr>
                    <w:pStyle w:val="123"/>
                    <w:pageBreakBefore w:val="0"/>
                    <w:wordWrap w:val="0"/>
                    <w:topLinePunct w:val="0"/>
                    <w:bidi w:val="0"/>
                    <w:rPr>
                      <w:rFonts w:hint="default" w:ascii="Times New Roman" w:hAnsi="Times New Roman" w:cs="Times New Roman"/>
                      <w:color w:val="auto"/>
                      <w:highlight w:val="none"/>
                      <w:lang w:eastAsia="zh-CN"/>
                    </w:rPr>
                  </w:pPr>
                </w:p>
              </w:tc>
              <w:tc>
                <w:tcPr>
                  <w:tcW w:w="399" w:type="pct"/>
                  <w:noWrap w:val="0"/>
                  <w:vAlign w:val="center"/>
                </w:tcPr>
                <w:p w14:paraId="206F794A">
                  <w:pPr>
                    <w:pStyle w:val="123"/>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1次/年</w:t>
                  </w:r>
                </w:p>
              </w:tc>
              <w:tc>
                <w:tcPr>
                  <w:tcW w:w="700" w:type="pct"/>
                  <w:noWrap w:val="0"/>
                  <w:vAlign w:val="center"/>
                </w:tcPr>
                <w:p w14:paraId="444618B8">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p w14:paraId="37EC823C">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监控点处</w:t>
                  </w:r>
                  <w:r>
                    <w:rPr>
                      <w:rFonts w:hint="default" w:ascii="Times New Roman" w:hAnsi="Times New Roman" w:cs="Times New Roman"/>
                      <w:color w:val="auto"/>
                      <w:highlight w:val="none"/>
                      <w:lang w:val="en-US" w:eastAsia="zh-CN"/>
                    </w:rPr>
                    <w:t>任意一次浓度值）</w:t>
                  </w:r>
                </w:p>
              </w:tc>
              <w:tc>
                <w:tcPr>
                  <w:tcW w:w="571" w:type="pct"/>
                  <w:noWrap w:val="0"/>
                  <w:vAlign w:val="center"/>
                </w:tcPr>
                <w:p w14:paraId="6A2EBA92">
                  <w:pPr>
                    <w:pStyle w:val="123"/>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w:t>
                  </w:r>
                </w:p>
              </w:tc>
              <w:tc>
                <w:tcPr>
                  <w:tcW w:w="1905" w:type="pct"/>
                  <w:vMerge w:val="continue"/>
                  <w:noWrap w:val="0"/>
                  <w:vAlign w:val="center"/>
                </w:tcPr>
                <w:p w14:paraId="7163B8D3">
                  <w:pPr>
                    <w:pStyle w:val="123"/>
                    <w:pageBreakBefore w:val="0"/>
                    <w:wordWrap w:val="0"/>
                    <w:topLinePunct w:val="0"/>
                    <w:bidi w:val="0"/>
                    <w:rPr>
                      <w:rFonts w:hint="default" w:ascii="Times New Roman" w:hAnsi="Times New Roman" w:cs="Times New Roman"/>
                      <w:color w:val="auto"/>
                      <w:highlight w:val="none"/>
                      <w:lang w:eastAsia="zh-CN"/>
                    </w:rPr>
                  </w:pPr>
                </w:p>
              </w:tc>
            </w:tr>
          </w:tbl>
          <w:p w14:paraId="4D075DAB">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3、废气排放口基本情况</w:t>
            </w:r>
          </w:p>
          <w:p w14:paraId="488A615F">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default" w:ascii="Times New Roman" w:hAnsi="Times New Roman" w:cs="Times New Roman"/>
                <w:b/>
                <w:color w:val="auto"/>
                <w:sz w:val="21"/>
                <w:szCs w:val="21"/>
                <w:highlight w:val="none"/>
                <w:lang w:val="en-US" w:eastAsia="zh-CN"/>
              </w:rPr>
              <w:t>3</w:t>
            </w:r>
            <w:r>
              <w:rPr>
                <w:rFonts w:hint="default" w:ascii="Times New Roman" w:hAnsi="Times New Roman" w:cs="Times New Roman"/>
                <w:b/>
                <w:color w:val="auto"/>
                <w:sz w:val="21"/>
                <w:szCs w:val="21"/>
                <w:highlight w:val="none"/>
              </w:rPr>
              <w:t>废气排放口基本情况一览表</w:t>
            </w:r>
          </w:p>
          <w:tbl>
            <w:tblPr>
              <w:tblStyle w:val="39"/>
              <w:tblW w:w="1359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781"/>
              <w:gridCol w:w="923"/>
              <w:gridCol w:w="966"/>
              <w:gridCol w:w="868"/>
              <w:gridCol w:w="1168"/>
              <w:gridCol w:w="1652"/>
              <w:gridCol w:w="1650"/>
              <w:gridCol w:w="795"/>
              <w:gridCol w:w="784"/>
              <w:gridCol w:w="501"/>
              <w:gridCol w:w="738"/>
              <w:gridCol w:w="2771"/>
            </w:tblGrid>
            <w:tr w14:paraId="3A1022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7" w:type="pct"/>
                  <w:vMerge w:val="restart"/>
                  <w:vAlign w:val="center"/>
                </w:tcPr>
                <w:p w14:paraId="321BB6ED">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排放口类型</w:t>
                  </w:r>
                </w:p>
              </w:tc>
              <w:tc>
                <w:tcPr>
                  <w:tcW w:w="339" w:type="pct"/>
                  <w:vMerge w:val="restart"/>
                  <w:vAlign w:val="center"/>
                </w:tcPr>
                <w:p w14:paraId="678E7258">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产污环节</w:t>
                  </w:r>
                </w:p>
              </w:tc>
              <w:tc>
                <w:tcPr>
                  <w:tcW w:w="355" w:type="pct"/>
                  <w:vMerge w:val="restart"/>
                  <w:vAlign w:val="center"/>
                </w:tcPr>
                <w:p w14:paraId="7608E2C9">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排放口名称及编号</w:t>
                  </w:r>
                </w:p>
              </w:tc>
              <w:tc>
                <w:tcPr>
                  <w:tcW w:w="319" w:type="pct"/>
                  <w:vMerge w:val="restart"/>
                  <w:vAlign w:val="center"/>
                </w:tcPr>
                <w:p w14:paraId="772BCD98">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设计风量</w:t>
                  </w:r>
                </w:p>
                <w:p w14:paraId="1F2AD624">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val="en-US" w:eastAsia="zh-CN"/>
                    </w:rPr>
                    <w:t>m</w:t>
                  </w:r>
                  <w:r>
                    <w:rPr>
                      <w:rFonts w:hint="default" w:ascii="Times New Roman" w:hAnsi="Times New Roman" w:cs="Times New Roman"/>
                      <w:b/>
                      <w:color w:val="auto"/>
                      <w:sz w:val="21"/>
                      <w:szCs w:val="21"/>
                      <w:highlight w:val="none"/>
                      <w:vertAlign w:val="superscript"/>
                      <w:lang w:val="en-US" w:eastAsia="zh-CN"/>
                    </w:rPr>
                    <w:t>3</w:t>
                  </w:r>
                  <w:r>
                    <w:rPr>
                      <w:rFonts w:hint="default" w:ascii="Times New Roman" w:hAnsi="Times New Roman" w:cs="Times New Roman"/>
                      <w:b/>
                      <w:color w:val="auto"/>
                      <w:sz w:val="21"/>
                      <w:szCs w:val="21"/>
                      <w:highlight w:val="none"/>
                      <w:lang w:val="en-US" w:eastAsia="zh-CN"/>
                    </w:rPr>
                    <w:t>/h</w:t>
                  </w:r>
                </w:p>
              </w:tc>
              <w:tc>
                <w:tcPr>
                  <w:tcW w:w="429" w:type="pct"/>
                  <w:vMerge w:val="restart"/>
                  <w:vAlign w:val="center"/>
                </w:tcPr>
                <w:p w14:paraId="7EF8169D">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污染物</w:t>
                  </w:r>
                </w:p>
              </w:tc>
              <w:tc>
                <w:tcPr>
                  <w:tcW w:w="1213" w:type="pct"/>
                  <w:gridSpan w:val="2"/>
                  <w:vAlign w:val="center"/>
                </w:tcPr>
                <w:p w14:paraId="03D9E9D8">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排放口地理坐标</w:t>
                  </w:r>
                </w:p>
              </w:tc>
              <w:tc>
                <w:tcPr>
                  <w:tcW w:w="292" w:type="pct"/>
                  <w:vMerge w:val="restart"/>
                  <w:vAlign w:val="center"/>
                </w:tcPr>
                <w:p w14:paraId="4E19AE29">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rPr>
                    <w:t>高度</w:t>
                  </w:r>
                  <w:r>
                    <w:rPr>
                      <w:rFonts w:hint="default" w:ascii="Times New Roman" w:hAnsi="Times New Roman" w:cs="Times New Roman"/>
                      <w:b/>
                      <w:color w:val="auto"/>
                      <w:sz w:val="21"/>
                      <w:szCs w:val="21"/>
                      <w:highlight w:val="none"/>
                      <w:lang w:val="en-US" w:eastAsia="zh-CN"/>
                    </w:rPr>
                    <w:t>/</w:t>
                  </w:r>
                </w:p>
                <w:p w14:paraId="2545A613">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m</w:t>
                  </w:r>
                </w:p>
              </w:tc>
              <w:tc>
                <w:tcPr>
                  <w:tcW w:w="288" w:type="pct"/>
                  <w:vMerge w:val="restart"/>
                  <w:vAlign w:val="center"/>
                </w:tcPr>
                <w:p w14:paraId="49E10A61">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流速</w:t>
                  </w:r>
                </w:p>
                <w:p w14:paraId="4E065EA2">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val="en-US" w:eastAsia="zh-CN"/>
                    </w:rPr>
                    <w:t>m/s</w:t>
                  </w:r>
                </w:p>
              </w:tc>
              <w:tc>
                <w:tcPr>
                  <w:tcW w:w="184" w:type="pct"/>
                  <w:vMerge w:val="restart"/>
                  <w:vAlign w:val="center"/>
                </w:tcPr>
                <w:p w14:paraId="68022105">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eastAsia="宋体" w:cs="Times New Roman"/>
                      <w:b/>
                      <w:color w:val="auto"/>
                      <w:sz w:val="21"/>
                      <w:szCs w:val="21"/>
                      <w:highlight w:val="none"/>
                      <w:lang w:eastAsia="zh-CN"/>
                    </w:rPr>
                    <w:t>内径m</w:t>
                  </w:r>
                </w:p>
              </w:tc>
              <w:tc>
                <w:tcPr>
                  <w:tcW w:w="271" w:type="pct"/>
                  <w:vMerge w:val="restart"/>
                  <w:vAlign w:val="center"/>
                </w:tcPr>
                <w:p w14:paraId="258821D6">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温度</w:t>
                  </w:r>
                </w:p>
                <w:p w14:paraId="5F982564">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w:t>
                  </w:r>
                </w:p>
              </w:tc>
              <w:tc>
                <w:tcPr>
                  <w:tcW w:w="1018" w:type="pct"/>
                  <w:vMerge w:val="restart"/>
                  <w:vAlign w:val="center"/>
                </w:tcPr>
                <w:p w14:paraId="2BFBAFC3">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执行标准</w:t>
                  </w:r>
                </w:p>
              </w:tc>
            </w:tr>
            <w:tr w14:paraId="140EA4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97" w:hRule="atLeast"/>
                <w:jc w:val="center"/>
              </w:trPr>
              <w:tc>
                <w:tcPr>
                  <w:tcW w:w="287" w:type="pct"/>
                  <w:vMerge w:val="continue"/>
                  <w:vAlign w:val="center"/>
                </w:tcPr>
                <w:p w14:paraId="14A2A928">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339" w:type="pct"/>
                  <w:vMerge w:val="continue"/>
                  <w:vAlign w:val="center"/>
                </w:tcPr>
                <w:p w14:paraId="478F06F6">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355" w:type="pct"/>
                  <w:vMerge w:val="continue"/>
                  <w:vAlign w:val="center"/>
                </w:tcPr>
                <w:p w14:paraId="2735F9E3">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319" w:type="pct"/>
                  <w:vMerge w:val="continue"/>
                  <w:vAlign w:val="center"/>
                </w:tcPr>
                <w:p w14:paraId="2D64F270">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429" w:type="pct"/>
                  <w:vMerge w:val="continue"/>
                  <w:vAlign w:val="center"/>
                </w:tcPr>
                <w:p w14:paraId="59F3296E">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607" w:type="pct"/>
                  <w:vAlign w:val="center"/>
                </w:tcPr>
                <w:p w14:paraId="5243DD40">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经度</w:t>
                  </w:r>
                </w:p>
              </w:tc>
              <w:tc>
                <w:tcPr>
                  <w:tcW w:w="605" w:type="pct"/>
                  <w:vAlign w:val="center"/>
                </w:tcPr>
                <w:p w14:paraId="304157DA">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val="en-US" w:eastAsia="zh-CN"/>
                    </w:rPr>
                  </w:pPr>
                  <w:r>
                    <w:rPr>
                      <w:rFonts w:hint="default" w:ascii="Times New Roman" w:hAnsi="Times New Roman" w:cs="Times New Roman"/>
                      <w:b/>
                      <w:color w:val="auto"/>
                      <w:sz w:val="21"/>
                      <w:szCs w:val="21"/>
                      <w:highlight w:val="none"/>
                      <w:lang w:eastAsia="zh-CN"/>
                    </w:rPr>
                    <w:t>纬度</w:t>
                  </w:r>
                </w:p>
              </w:tc>
              <w:tc>
                <w:tcPr>
                  <w:tcW w:w="292" w:type="pct"/>
                  <w:vMerge w:val="continue"/>
                  <w:vAlign w:val="center"/>
                </w:tcPr>
                <w:p w14:paraId="7CB421F7">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288" w:type="pct"/>
                  <w:vMerge w:val="continue"/>
                  <w:vAlign w:val="center"/>
                </w:tcPr>
                <w:p w14:paraId="7E0C67C3">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184" w:type="pct"/>
                  <w:vMerge w:val="continue"/>
                  <w:vAlign w:val="center"/>
                </w:tcPr>
                <w:p w14:paraId="20829864">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271" w:type="pct"/>
                  <w:vMerge w:val="continue"/>
                  <w:vAlign w:val="center"/>
                </w:tcPr>
                <w:p w14:paraId="546740E0">
                  <w:pPr>
                    <w:pageBreakBefore w:val="0"/>
                    <w:wordWrap w:val="0"/>
                    <w:topLinePunct w:val="0"/>
                    <w:bidi w:val="0"/>
                    <w:spacing w:line="240" w:lineRule="auto"/>
                    <w:jc w:val="center"/>
                    <w:rPr>
                      <w:rFonts w:hint="default" w:ascii="Times New Roman" w:hAnsi="Times New Roman" w:cs="Times New Roman"/>
                      <w:b/>
                      <w:color w:val="auto"/>
                      <w:sz w:val="21"/>
                      <w:szCs w:val="21"/>
                      <w:highlight w:val="none"/>
                      <w:lang w:eastAsia="zh-CN"/>
                    </w:rPr>
                  </w:pPr>
                </w:p>
              </w:tc>
              <w:tc>
                <w:tcPr>
                  <w:tcW w:w="1018" w:type="pct"/>
                  <w:vMerge w:val="continue"/>
                  <w:vAlign w:val="center"/>
                </w:tcPr>
                <w:p w14:paraId="1022A9F5">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p>
              </w:tc>
            </w:tr>
            <w:tr w14:paraId="026181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865" w:hRule="atLeast"/>
                <w:jc w:val="center"/>
              </w:trPr>
              <w:tc>
                <w:tcPr>
                  <w:tcW w:w="287" w:type="pct"/>
                  <w:vAlign w:val="center"/>
                </w:tcPr>
                <w:p w14:paraId="01087FEA">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eastAsia="zh-CN"/>
                    </w:rPr>
                    <w:t>一般排放口</w:t>
                  </w:r>
                </w:p>
              </w:tc>
              <w:tc>
                <w:tcPr>
                  <w:tcW w:w="339" w:type="pct"/>
                  <w:vAlign w:val="center"/>
                </w:tcPr>
                <w:p w14:paraId="36968E72">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eastAsia="zh-CN"/>
                    </w:rPr>
                  </w:pPr>
                  <w:r>
                    <w:rPr>
                      <w:rFonts w:hint="default" w:ascii="Times New Roman" w:hAnsi="Times New Roman" w:cs="Times New Roman"/>
                      <w:b w:val="0"/>
                      <w:bCs/>
                      <w:color w:val="auto"/>
                      <w:sz w:val="21"/>
                      <w:szCs w:val="21"/>
                      <w:highlight w:val="none"/>
                      <w:lang w:val="en-US" w:eastAsia="zh-CN"/>
                    </w:rPr>
                    <w:t>注塑</w:t>
                  </w:r>
                </w:p>
              </w:tc>
              <w:tc>
                <w:tcPr>
                  <w:tcW w:w="355" w:type="pct"/>
                  <w:vAlign w:val="center"/>
                </w:tcPr>
                <w:p w14:paraId="16B80C51">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DA001</w:t>
                  </w:r>
                </w:p>
              </w:tc>
              <w:tc>
                <w:tcPr>
                  <w:tcW w:w="319" w:type="pct"/>
                  <w:vAlign w:val="center"/>
                </w:tcPr>
                <w:p w14:paraId="34A4BD8D">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21600</w:t>
                  </w:r>
                </w:p>
              </w:tc>
              <w:tc>
                <w:tcPr>
                  <w:tcW w:w="429" w:type="pct"/>
                  <w:vAlign w:val="center"/>
                </w:tcPr>
                <w:p w14:paraId="5CB900BD">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eastAsia="zh-CN"/>
                    </w:rPr>
                    <w:t>非甲烷总烃、</w:t>
                  </w:r>
                  <w:r>
                    <w:rPr>
                      <w:rFonts w:hint="default" w:ascii="Times New Roman" w:hAnsi="Times New Roman" w:cs="Times New Roman"/>
                      <w:b w:val="0"/>
                      <w:bCs/>
                      <w:color w:val="auto"/>
                      <w:sz w:val="21"/>
                      <w:szCs w:val="21"/>
                      <w:highlight w:val="none"/>
                      <w:lang w:val="en-US" w:eastAsia="zh-CN"/>
                    </w:rPr>
                    <w:t>臭气浓度</w:t>
                  </w:r>
                </w:p>
              </w:tc>
              <w:tc>
                <w:tcPr>
                  <w:tcW w:w="607" w:type="pct"/>
                  <w:vAlign w:val="center"/>
                </w:tcPr>
                <w:p w14:paraId="322FAC5B">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113°24′20.48″</w:t>
                  </w:r>
                </w:p>
              </w:tc>
              <w:tc>
                <w:tcPr>
                  <w:tcW w:w="605" w:type="pct"/>
                  <w:vAlign w:val="center"/>
                </w:tcPr>
                <w:p w14:paraId="6C373DEE">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25°8′48.60″</w:t>
                  </w:r>
                </w:p>
              </w:tc>
              <w:tc>
                <w:tcPr>
                  <w:tcW w:w="292" w:type="pct"/>
                  <w:vAlign w:val="center"/>
                </w:tcPr>
                <w:p w14:paraId="5E5B495F">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30</w:t>
                  </w:r>
                </w:p>
              </w:tc>
              <w:tc>
                <w:tcPr>
                  <w:tcW w:w="288" w:type="pct"/>
                  <w:vAlign w:val="center"/>
                </w:tcPr>
                <w:p w14:paraId="4631C882">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15.16</w:t>
                  </w:r>
                </w:p>
              </w:tc>
              <w:tc>
                <w:tcPr>
                  <w:tcW w:w="184" w:type="pct"/>
                  <w:vAlign w:val="center"/>
                </w:tcPr>
                <w:p w14:paraId="20295930">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0.7</w:t>
                  </w:r>
                </w:p>
              </w:tc>
              <w:tc>
                <w:tcPr>
                  <w:tcW w:w="271" w:type="pct"/>
                  <w:vAlign w:val="center"/>
                </w:tcPr>
                <w:p w14:paraId="7C675791">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25</w:t>
                  </w:r>
                </w:p>
              </w:tc>
              <w:tc>
                <w:tcPr>
                  <w:tcW w:w="1018" w:type="pct"/>
                  <w:vAlign w:val="center"/>
                </w:tcPr>
                <w:p w14:paraId="089EFB43">
                  <w:pPr>
                    <w:pageBreakBefore w:val="0"/>
                    <w:wordWrap w:val="0"/>
                    <w:topLinePunct w:val="0"/>
                    <w:bidi w:val="0"/>
                    <w:spacing w:line="240" w:lineRule="auto"/>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《合成树脂工业污染物排放标准》（GB31572-2015，含2024年修改单）中表5大气污染物特别排放限值）</w:t>
                  </w:r>
                  <w:r>
                    <w:rPr>
                      <w:rFonts w:hint="default" w:ascii="Times New Roman" w:hAnsi="Times New Roman" w:eastAsia="宋体" w:cs="Times New Roman"/>
                      <w:b w:val="0"/>
                      <w:bCs/>
                      <w:color w:val="auto"/>
                      <w:sz w:val="21"/>
                      <w:szCs w:val="21"/>
                      <w:highlight w:val="none"/>
                      <w:lang w:val="en-US" w:eastAsia="zh-CN"/>
                    </w:rPr>
                    <w:t>、《恶臭污染物排放标准》（GB 14554-93）表2恶臭污染物排放标准值</w:t>
                  </w:r>
                </w:p>
              </w:tc>
            </w:tr>
          </w:tbl>
          <w:p w14:paraId="6077E021">
            <w:pPr>
              <w:pStyle w:val="2"/>
              <w:pageBreakBefore w:val="0"/>
              <w:wordWrap w:val="0"/>
              <w:topLinePunct w:val="0"/>
              <w:bidi w:val="0"/>
              <w:ind w:firstLine="480"/>
              <w:rPr>
                <w:rFonts w:hint="default" w:ascii="Times New Roman" w:hAnsi="Times New Roman" w:eastAsia="宋体" w:cs="Times New Roman"/>
                <w:color w:val="auto"/>
                <w:kern w:val="0"/>
                <w:highlight w:val="none"/>
                <w:lang w:val="en-US" w:eastAsia="zh-CN" w:bidi="ar"/>
              </w:rPr>
            </w:pPr>
          </w:p>
        </w:tc>
      </w:tr>
    </w:tbl>
    <w:p w14:paraId="6E3161C1">
      <w:pPr>
        <w:pageBreakBefore w:val="0"/>
        <w:wordWrap w:val="0"/>
        <w:topLinePunct w:val="0"/>
        <w:bidi w:val="0"/>
        <w:rPr>
          <w:rFonts w:hint="default" w:ascii="Times New Roman" w:hAnsi="Times New Roman" w:eastAsia="宋体" w:cs="Times New Roman"/>
          <w:color w:val="auto"/>
          <w:highlight w:val="none"/>
        </w:rPr>
        <w:sectPr>
          <w:pgSz w:w="16838" w:h="11906" w:orient="landscape"/>
          <w:pgMar w:top="1797" w:right="1440" w:bottom="1797"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9"/>
        <w:gridCol w:w="8079"/>
      </w:tblGrid>
      <w:tr w14:paraId="07C1B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54" w:hRule="atLeast"/>
        </w:trPr>
        <w:tc>
          <w:tcPr>
            <w:tcW w:w="249" w:type="pct"/>
            <w:vAlign w:val="center"/>
          </w:tcPr>
          <w:p w14:paraId="746C9628">
            <w:pPr>
              <w:pageBreakBefore w:val="0"/>
              <w:numPr>
                <w:ilvl w:val="1"/>
                <w:numId w:val="0"/>
              </w:numPr>
              <w:tabs>
                <w:tab w:val="left" w:pos="420"/>
              </w:tabs>
              <w:wordWrap w:val="0"/>
              <w:topLinePunct w:val="0"/>
              <w:bidi w:val="0"/>
              <w:outlineLvl w:val="9"/>
              <w:rPr>
                <w:rFonts w:hint="default" w:ascii="Times New Roman" w:hAnsi="Times New Roman" w:cs="Times New Roman"/>
                <w:color w:val="auto"/>
                <w:highlight w:val="none"/>
              </w:rPr>
            </w:pPr>
            <w:r>
              <w:rPr>
                <w:rFonts w:hint="default" w:ascii="Times New Roman" w:hAnsi="Times New Roman" w:cs="Times New Roman"/>
                <w:color w:val="auto"/>
                <w:highlight w:val="none"/>
              </w:rPr>
              <w:t>运营期环境影响和保护措施</w:t>
            </w:r>
          </w:p>
        </w:tc>
        <w:tc>
          <w:tcPr>
            <w:tcW w:w="4750" w:type="pct"/>
            <w:vAlign w:val="center"/>
          </w:tcPr>
          <w:p w14:paraId="1BB173E9">
            <w:pPr>
              <w:pStyle w:val="26"/>
              <w:pageBreakBefore w:val="0"/>
              <w:numPr>
                <w:ilvl w:val="0"/>
                <w:numId w:val="0"/>
              </w:numPr>
              <w:tabs>
                <w:tab w:val="left" w:pos="0"/>
              </w:tabs>
              <w:wordWrap w:val="0"/>
              <w:topLinePunct w:val="0"/>
              <w:bidi w:val="0"/>
              <w:spacing w:after="0" w:line="360" w:lineRule="auto"/>
              <w:ind w:left="0" w:leftChars="0" w:firstLine="420" w:firstLineChars="0"/>
              <w:rPr>
                <w:rFonts w:hint="default" w:ascii="Times New Roman" w:hAnsi="Times New Roman" w:cs="Times New Roman"/>
                <w:b/>
                <w:bCs/>
                <w:color w:val="auto"/>
                <w:sz w:val="24"/>
                <w:highlight w:val="none"/>
              </w:rPr>
            </w:pPr>
            <w:r>
              <w:rPr>
                <w:rFonts w:hint="default" w:ascii="Times New Roman" w:hAnsi="Times New Roman" w:cs="Times New Roman"/>
                <w:b/>
                <w:bCs/>
                <w:color w:val="auto"/>
                <w:kern w:val="2"/>
                <w:sz w:val="24"/>
                <w:szCs w:val="24"/>
                <w:highlight w:val="none"/>
                <w:lang w:val="en-US" w:eastAsia="zh-CN" w:bidi="ar-SA"/>
              </w:rPr>
              <w:t>4</w:t>
            </w:r>
            <w:r>
              <w:rPr>
                <w:rFonts w:hint="default" w:ascii="Times New Roman" w:hAnsi="Times New Roman" w:eastAsia="宋体" w:cs="Times New Roman"/>
                <w:b/>
                <w:bCs/>
                <w:color w:val="auto"/>
                <w:kern w:val="2"/>
                <w:sz w:val="24"/>
                <w:szCs w:val="24"/>
                <w:highlight w:val="none"/>
                <w:lang w:val="en-US" w:eastAsia="zh-CN" w:bidi="ar-SA"/>
              </w:rPr>
              <w:t>、</w:t>
            </w:r>
            <w:r>
              <w:rPr>
                <w:rFonts w:hint="default" w:ascii="Times New Roman" w:hAnsi="Times New Roman" w:cs="Times New Roman"/>
                <w:b/>
                <w:bCs/>
                <w:color w:val="auto"/>
                <w:sz w:val="24"/>
                <w:highlight w:val="none"/>
              </w:rPr>
              <w:t>废气污染源源强核算分析</w:t>
            </w:r>
          </w:p>
          <w:p w14:paraId="49D72B81">
            <w:pPr>
              <w:pageBreakBefore w:val="0"/>
              <w:wordWrap w:val="0"/>
              <w:topLinePunct w:val="0"/>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4"/>
                <w:szCs w:val="24"/>
                <w:highlight w:val="none"/>
                <w:lang w:eastAsia="zh-CN"/>
              </w:rPr>
              <w:t>项目废气主要为</w:t>
            </w:r>
            <w:r>
              <w:rPr>
                <w:rFonts w:hint="default" w:ascii="Times New Roman" w:hAnsi="Times New Roman" w:cs="Times New Roman"/>
                <w:color w:val="auto"/>
                <w:sz w:val="24"/>
                <w:szCs w:val="24"/>
                <w:highlight w:val="none"/>
                <w:lang w:val="en-US" w:eastAsia="zh-CN"/>
              </w:rPr>
              <w:t>注塑有机废气及臭气浓度</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破碎工序产生的粉尘。</w:t>
            </w:r>
          </w:p>
          <w:p w14:paraId="1B44DAC5">
            <w:pPr>
              <w:pStyle w:val="2"/>
              <w:pageBreakBefore w:val="0"/>
              <w:wordWrap w:val="0"/>
              <w:topLinePunct w:val="0"/>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A.非甲烷总烃</w:t>
            </w:r>
          </w:p>
          <w:p w14:paraId="5BD7521B">
            <w:pPr>
              <w:pStyle w:val="2"/>
              <w:pageBreakBefore w:val="0"/>
              <w:wordWrap w:val="0"/>
              <w:topLinePunct w:val="0"/>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①产生情况</w:t>
            </w:r>
          </w:p>
          <w:p w14:paraId="7C836221">
            <w:pPr>
              <w:keepNext w:val="0"/>
              <w:keepLines w:val="0"/>
              <w:pageBreakBefore w:val="0"/>
              <w:widowControl w:val="0"/>
              <w:numPr>
                <w:ilvl w:val="0"/>
                <w:numId w:val="0"/>
              </w:numPr>
              <w:kinsoku/>
              <w:wordWrap w:val="0"/>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cs="Times New Roman"/>
                <w:b w:val="0"/>
                <w:color w:val="auto"/>
                <w:kern w:val="2"/>
                <w:sz w:val="24"/>
                <w:szCs w:val="24"/>
                <w:highlight w:val="none"/>
                <w:lang w:val="en-US" w:eastAsia="zh-CN" w:bidi="ar-SA"/>
              </w:rPr>
            </w:pPr>
            <w:r>
              <w:rPr>
                <w:rFonts w:hint="default" w:ascii="Times New Roman" w:hAnsi="Times New Roman" w:cs="Times New Roman"/>
                <w:color w:val="auto"/>
                <w:highlight w:val="none"/>
                <w:lang w:val="en-US" w:eastAsia="zh-CN"/>
              </w:rPr>
              <w:t>本项目注塑工序使</w:t>
            </w:r>
            <w:r>
              <w:rPr>
                <w:rFonts w:hint="default" w:ascii="Times New Roman" w:hAnsi="Times New Roman" w:eastAsia="宋体" w:cs="Times New Roman"/>
                <w:color w:val="auto"/>
                <w:highlight w:val="none"/>
                <w:lang w:val="en-US" w:eastAsia="zh-CN"/>
              </w:rPr>
              <w:t>用的原辅材料为尼龙料PA6、</w:t>
            </w:r>
            <w:r>
              <w:rPr>
                <w:rFonts w:hint="default" w:ascii="Times New Roman" w:hAnsi="Times New Roman" w:cs="Times New Roman"/>
                <w:color w:val="auto"/>
                <w:highlight w:val="none"/>
                <w:lang w:val="en-US" w:eastAsia="zh-CN"/>
              </w:rPr>
              <w:t>PP</w:t>
            </w:r>
            <w:r>
              <w:rPr>
                <w:rFonts w:hint="default" w:ascii="Times New Roman" w:hAnsi="Times New Roman" w:eastAsia="宋体" w:cs="Times New Roman"/>
                <w:color w:val="auto"/>
                <w:highlight w:val="none"/>
                <w:lang w:val="en-US" w:eastAsia="zh-CN"/>
              </w:rPr>
              <w:t>塑胶粒</w:t>
            </w:r>
            <w:r>
              <w:rPr>
                <w:rFonts w:hint="default" w:ascii="Times New Roman" w:hAnsi="Times New Roman" w:cs="Times New Roman"/>
                <w:color w:val="auto"/>
                <w:highlight w:val="none"/>
                <w:lang w:val="en-US" w:eastAsia="zh-CN"/>
              </w:rPr>
              <w:t>，塑胶粒原料通过注塑机注塑成型，加热温度控制在200℃左右，尼龙料PA6、PP塑胶粒分解温度分别为：310℃、350℃，因此无裂解废气产生，但是各塑胶粒加热熔融过程中，可能会有部分未完成聚合反应的游离单体产生，尼龙料PA6、PP塑胶粒受热可能挥发少量有机废气（以非甲烷总烃表征）</w:t>
            </w:r>
            <w:r>
              <w:rPr>
                <w:rFonts w:hint="default" w:ascii="Times New Roman" w:hAnsi="Times New Roman" w:cs="Times New Roman"/>
                <w:b w:val="0"/>
                <w:color w:val="auto"/>
                <w:kern w:val="2"/>
                <w:sz w:val="24"/>
                <w:szCs w:val="24"/>
                <w:highlight w:val="none"/>
                <w:lang w:val="en-US" w:eastAsia="zh-CN" w:bidi="ar-SA"/>
              </w:rPr>
              <w:t>。</w:t>
            </w:r>
          </w:p>
          <w:p w14:paraId="356E2C95">
            <w:pPr>
              <w:pStyle w:val="2"/>
              <w:pageBreakBefore w:val="0"/>
              <w:wordWrap w:val="0"/>
              <w:topLinePunct w:val="0"/>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本项目注塑产生的有机废气以非甲烷总烃表征，根据《排放源统计调查产排污核算方法和系数手册》（公告2021年第24号）292塑料制品业系数手册中2929 塑料零件及其他塑料制品制造行业系数表，注塑、吹塑工序产污系数参考“塑料零件-注塑工艺--2.7千克/吨-产品”，“对于生产过程原料损失量较少的工段，可以直接以塑料制品所用的树脂及助剂原料量代替产品产量进行产污量核算”，本次按原料用量计。项目塑胶新料总用量为630t/a，塑胶碎料回用量6.3t/a，则注塑成型工序非甲烷总烃产生量为1.718t/a，年工作时间以7440h计，则产生速率为0.23kg/h。</w:t>
            </w:r>
          </w:p>
          <w:p w14:paraId="51FE6277">
            <w:pPr>
              <w:pageBreakBefore w:val="0"/>
              <w:wordWrap w:val="0"/>
              <w:topLinePunct w:val="0"/>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②收集情况</w:t>
            </w:r>
          </w:p>
          <w:p w14:paraId="728F2754">
            <w:pPr>
              <w:pageBreakBefore w:val="0"/>
              <w:wordWrap w:val="0"/>
              <w:topLinePunct w:val="0"/>
              <w:bidi w:val="0"/>
              <w:spacing w:line="360" w:lineRule="auto"/>
              <w:ind w:firstLine="480" w:firstLineChars="200"/>
              <w:rPr>
                <w:rFonts w:hint="eastAsia" w:ascii="Times New Roman" w:hAnsi="Times New Roman" w:eastAsia="宋体" w:cs="Times New Roman"/>
                <w:bCs/>
                <w:color w:val="auto"/>
                <w:sz w:val="24"/>
                <w:szCs w:val="24"/>
                <w:highlight w:val="none"/>
                <w:lang w:eastAsia="zh-CN"/>
              </w:rPr>
            </w:pPr>
            <w:r>
              <w:rPr>
                <w:rFonts w:hint="default" w:ascii="Times New Roman" w:hAnsi="Times New Roman" w:cs="Times New Roman"/>
                <w:bCs/>
                <w:color w:val="auto"/>
                <w:sz w:val="24"/>
                <w:szCs w:val="24"/>
                <w:highlight w:val="none"/>
                <w:lang w:val="en-US" w:eastAsia="zh-CN"/>
              </w:rPr>
              <w:t>项目注塑车间为密闭空间，</w:t>
            </w:r>
            <w:r>
              <w:rPr>
                <w:rFonts w:hint="default" w:ascii="Times New Roman" w:hAnsi="Times New Roman" w:cs="Times New Roman"/>
                <w:bCs/>
                <w:color w:val="auto"/>
                <w:sz w:val="24"/>
                <w:szCs w:val="24"/>
                <w:highlight w:val="none"/>
              </w:rPr>
              <w:t>项目</w:t>
            </w:r>
            <w:r>
              <w:rPr>
                <w:rFonts w:hint="default" w:ascii="Times New Roman" w:hAnsi="Times New Roman" w:cs="Times New Roman"/>
                <w:bCs/>
                <w:color w:val="auto"/>
                <w:sz w:val="24"/>
                <w:szCs w:val="24"/>
                <w:highlight w:val="none"/>
                <w:lang w:eastAsia="zh-CN"/>
              </w:rPr>
              <w:t>拟在</w:t>
            </w:r>
            <w:r>
              <w:rPr>
                <w:rFonts w:hint="default" w:ascii="Times New Roman" w:hAnsi="Times New Roman" w:cs="Times New Roman"/>
                <w:color w:val="auto"/>
                <w:sz w:val="24"/>
                <w:szCs w:val="24"/>
                <w:highlight w:val="none"/>
                <w:lang w:val="en-US" w:eastAsia="zh-CN"/>
              </w:rPr>
              <w:t>密闭车间整体换风收集</w:t>
            </w:r>
            <w:r>
              <w:rPr>
                <w:rFonts w:hint="eastAsia" w:ascii="Times New Roman" w:hAnsi="Times New Roman" w:cs="Times New Roman"/>
                <w:color w:val="auto"/>
                <w:sz w:val="24"/>
                <w:szCs w:val="24"/>
                <w:highlight w:val="none"/>
                <w:lang w:val="en-US" w:eastAsia="zh-CN"/>
              </w:rPr>
              <w:t>有机废气</w:t>
            </w:r>
            <w:r>
              <w:rPr>
                <w:rFonts w:hint="default" w:ascii="Times New Roman" w:hAnsi="Times New Roman" w:cs="Times New Roman"/>
                <w:bCs/>
                <w:color w:val="auto"/>
                <w:sz w:val="24"/>
                <w:szCs w:val="24"/>
                <w:highlight w:val="none"/>
              </w:rPr>
              <w:t>，</w:t>
            </w:r>
            <w:r>
              <w:rPr>
                <w:rFonts w:hint="default" w:ascii="Times New Roman" w:hAnsi="Times New Roman" w:cs="Times New Roman"/>
                <w:color w:val="auto"/>
                <w:sz w:val="24"/>
                <w:szCs w:val="24"/>
                <w:highlight w:val="none"/>
                <w:shd w:val="clear" w:color="auto" w:fill="auto"/>
                <w:lang w:eastAsia="zh-CN"/>
              </w:rPr>
              <w:t>根据</w:t>
            </w:r>
            <w:r>
              <w:rPr>
                <w:rFonts w:hint="default" w:ascii="Times New Roman" w:hAnsi="Times New Roman" w:cs="Times New Roman"/>
                <w:color w:val="auto"/>
                <w:sz w:val="24"/>
                <w:szCs w:val="24"/>
                <w:highlight w:val="none"/>
              </w:rPr>
              <w:t>《广东省生态环境厅关于印发工业源挥发性有机物和氮氧化物减排量核算方法的通知》（</w:t>
            </w:r>
            <w:r>
              <w:rPr>
                <w:rFonts w:hint="default" w:ascii="Times New Roman" w:hAnsi="Times New Roman" w:eastAsia="宋体" w:cs="Times New Roman"/>
                <w:color w:val="auto"/>
                <w:sz w:val="24"/>
                <w:szCs w:val="24"/>
                <w:highlight w:val="none"/>
              </w:rPr>
              <w:t>粤环函〔2023〕538号</w:t>
            </w:r>
            <w:r>
              <w:rPr>
                <w:rFonts w:hint="default" w:ascii="Times New Roman" w:hAnsi="Times New Roman" w:cs="Times New Roman"/>
                <w:color w:val="auto"/>
                <w:sz w:val="24"/>
                <w:szCs w:val="24"/>
                <w:highlight w:val="none"/>
              </w:rPr>
              <w:t>）中全密封设备/空间</w:t>
            </w:r>
            <w:r>
              <w:rPr>
                <w:rFonts w:hint="eastAsia" w:ascii="Times New Roman" w:hAnsi="Times New Roman"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单层密闭正压收集方式的</w:t>
            </w:r>
            <w:r>
              <w:rPr>
                <w:rFonts w:hint="default" w:ascii="Times New Roman" w:hAnsi="Times New Roman" w:cs="Times New Roman"/>
                <w:color w:val="auto"/>
                <w:sz w:val="24"/>
                <w:szCs w:val="24"/>
                <w:highlight w:val="none"/>
              </w:rPr>
              <w:t>集气效率</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bCs/>
                <w:color w:val="auto"/>
                <w:sz w:val="24"/>
                <w:szCs w:val="24"/>
                <w:highlight w:val="none"/>
                <w:lang w:eastAsia="zh-CN"/>
              </w:rPr>
              <w:t>根据</w:t>
            </w:r>
            <w:r>
              <w:rPr>
                <w:rFonts w:hint="default" w:ascii="Times New Roman" w:hAnsi="Times New Roman" w:cs="Times New Roman"/>
                <w:bCs/>
                <w:color w:val="auto"/>
                <w:sz w:val="24"/>
                <w:szCs w:val="24"/>
                <w:highlight w:val="none"/>
              </w:rPr>
              <w:t>该收集方式的收集效率可达</w:t>
            </w:r>
            <w:r>
              <w:rPr>
                <w:rFonts w:hint="eastAsia" w:ascii="Times New Roman" w:hAnsi="Times New Roman" w:cs="Times New Roman"/>
                <w:bCs/>
                <w:color w:val="auto"/>
                <w:sz w:val="24"/>
                <w:szCs w:val="24"/>
                <w:highlight w:val="none"/>
                <w:lang w:val="en-US" w:eastAsia="zh-CN"/>
              </w:rPr>
              <w:t>80</w:t>
            </w:r>
            <w:r>
              <w:rPr>
                <w:rFonts w:hint="default" w:ascii="Times New Roman" w:hAnsi="Times New Roman" w:cs="Times New Roman"/>
                <w:bCs/>
                <w:color w:val="auto"/>
                <w:sz w:val="24"/>
                <w:szCs w:val="24"/>
                <w:highlight w:val="none"/>
              </w:rPr>
              <w:t>%。VOCs 产生源设置在密闭车间内，所有开口处，包括人员或物料进出口处呈正压，且无明显泄漏点</w:t>
            </w:r>
            <w:r>
              <w:rPr>
                <w:rFonts w:hint="eastAsia" w:ascii="Times New Roman" w:hAnsi="Times New Roman" w:cs="Times New Roman"/>
                <w:bCs/>
                <w:color w:val="auto"/>
                <w:sz w:val="24"/>
                <w:szCs w:val="24"/>
                <w:highlight w:val="none"/>
                <w:lang w:eastAsia="zh-CN"/>
              </w:rPr>
              <w:t>。</w:t>
            </w:r>
          </w:p>
          <w:p w14:paraId="6B0A36EF">
            <w:pPr>
              <w:pageBreakBefore w:val="0"/>
              <w:wordWrap w:val="0"/>
              <w:topLinePunct w:val="0"/>
              <w:bidi w:val="0"/>
              <w:spacing w:line="360" w:lineRule="auto"/>
              <w:ind w:firstLine="480" w:firstLineChars="200"/>
              <w:rPr>
                <w:rFonts w:hint="default" w:ascii="Times New Roman" w:hAnsi="Times New Roman" w:eastAsia="宋体" w:cs="Times New Roman"/>
                <w:color w:val="auto"/>
                <w:sz w:val="24"/>
                <w:szCs w:val="24"/>
                <w:highlight w:val="none"/>
                <w:lang w:val="en-US"/>
              </w:rPr>
            </w:pPr>
            <w:r>
              <w:rPr>
                <w:rFonts w:hint="eastAsia"/>
                <w:color w:val="auto"/>
                <w:highlight w:val="none"/>
                <w:lang w:eastAsia="zh-CN"/>
              </w:rPr>
              <w:t>根据《三废处理工程技术手册 废气卷》第十七章净化系统设计中表</w:t>
            </w:r>
            <w:r>
              <w:rPr>
                <w:rFonts w:hint="eastAsia"/>
                <w:color w:val="auto"/>
                <w:highlight w:val="none"/>
                <w:lang w:val="en-US" w:eastAsia="zh-CN"/>
              </w:rPr>
              <w:t>17-1</w:t>
            </w:r>
            <w:r>
              <w:rPr>
                <w:rFonts w:hint="eastAsia"/>
                <w:color w:val="auto"/>
                <w:highlight w:val="none"/>
                <w:lang w:eastAsia="zh-CN"/>
              </w:rPr>
              <w:t>可知，有害气体尘埃发出地，换气次数在</w:t>
            </w:r>
            <w:r>
              <w:rPr>
                <w:rFonts w:hint="eastAsia"/>
                <w:color w:val="auto"/>
                <w:highlight w:val="none"/>
                <w:lang w:val="en-US" w:eastAsia="zh-CN"/>
              </w:rPr>
              <w:t>20次/h以上，本次评价换气次数取20次/h。</w:t>
            </w:r>
            <w:r>
              <w:rPr>
                <w:rFonts w:hint="eastAsia" w:ascii="Times New Roman" w:hAnsi="Times New Roman" w:cs="Times New Roman"/>
                <w:color w:val="auto"/>
                <w:sz w:val="24"/>
                <w:szCs w:val="24"/>
                <w:highlight w:val="none"/>
                <w:lang w:val="en-US" w:eastAsia="zh-CN"/>
              </w:rPr>
              <w:t>本项目注塑机所在密闭车间体积规格为60m×5m×3m（长、宽、高），</w:t>
            </w:r>
            <w:r>
              <w:rPr>
                <w:rFonts w:hint="eastAsia"/>
                <w:color w:val="auto"/>
                <w:highlight w:val="none"/>
                <w:lang w:val="en-US" w:eastAsia="zh-CN"/>
              </w:rPr>
              <w:t>车间整体抽风量=车间体积×换气次数=</w:t>
            </w:r>
            <w:r>
              <w:rPr>
                <w:rFonts w:hint="eastAsia" w:ascii="Times New Roman" w:hAnsi="Times New Roman" w:cs="Times New Roman"/>
                <w:color w:val="auto"/>
                <w:sz w:val="24"/>
                <w:szCs w:val="24"/>
                <w:highlight w:val="none"/>
                <w:lang w:val="en-US" w:eastAsia="zh-CN"/>
              </w:rPr>
              <w:t>60m×5m×3m×</w:t>
            </w:r>
            <w:r>
              <w:rPr>
                <w:rFonts w:hint="eastAsia"/>
                <w:color w:val="auto"/>
                <w:highlight w:val="none"/>
                <w:lang w:val="en-US" w:eastAsia="zh-CN"/>
              </w:rPr>
              <w:t>20次/h=18000</w:t>
            </w:r>
            <w:r>
              <w:rPr>
                <w:rFonts w:hint="default" w:ascii="Times New Roman" w:hAnsi="Times New Roman" w:cs="Times New Roman"/>
                <w:b w:val="0"/>
                <w:bCs/>
                <w:color w:val="auto"/>
                <w:sz w:val="24"/>
                <w:szCs w:val="24"/>
                <w:highlight w:val="none"/>
              </w:rPr>
              <w:t>m</w:t>
            </w:r>
            <w:r>
              <w:rPr>
                <w:rFonts w:hint="default" w:ascii="Times New Roman" w:hAnsi="Times New Roman" w:cs="Times New Roman"/>
                <w:b w:val="0"/>
                <w:bCs/>
                <w:color w:val="auto"/>
                <w:sz w:val="24"/>
                <w:szCs w:val="24"/>
                <w:highlight w:val="none"/>
                <w:vertAlign w:val="superscript"/>
              </w:rPr>
              <w:t>3</w:t>
            </w:r>
            <w:r>
              <w:rPr>
                <w:rFonts w:hint="default" w:ascii="Times New Roman" w:hAnsi="Times New Roman" w:cs="Times New Roman"/>
                <w:b w:val="0"/>
                <w:bCs/>
                <w:color w:val="auto"/>
                <w:sz w:val="24"/>
                <w:szCs w:val="24"/>
                <w:highlight w:val="none"/>
              </w:rPr>
              <w:t>/h</w:t>
            </w:r>
            <w:r>
              <w:rPr>
                <w:rFonts w:hint="eastAsia" w:ascii="Times New Roman" w:hAnsi="Times New Roman" w:cs="Times New Roman"/>
                <w:color w:val="auto"/>
                <w:sz w:val="24"/>
                <w:szCs w:val="24"/>
                <w:highlight w:val="none"/>
                <w:lang w:val="en-US" w:eastAsia="zh-CN"/>
              </w:rPr>
              <w:t>。</w:t>
            </w:r>
          </w:p>
          <w:p w14:paraId="45C524D8">
            <w:pPr>
              <w:pageBreakBefore w:val="0"/>
              <w:wordWrap w:val="0"/>
              <w:topLinePunct w:val="0"/>
              <w:bidi w:val="0"/>
              <w:spacing w:line="360" w:lineRule="auto"/>
              <w:jc w:val="center"/>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eastAsia="宋体" w:cs="Times New Roman"/>
                <w:b/>
                <w:bCs w:val="0"/>
                <w:color w:val="auto"/>
                <w:sz w:val="24"/>
                <w:szCs w:val="24"/>
                <w:highlight w:val="none"/>
              </w:rPr>
              <w:t>表4-</w:t>
            </w:r>
            <w:r>
              <w:rPr>
                <w:rFonts w:hint="default" w:ascii="Times New Roman" w:hAnsi="Times New Roman" w:eastAsia="宋体" w:cs="Times New Roman"/>
                <w:b/>
                <w:bCs w:val="0"/>
                <w:color w:val="auto"/>
                <w:sz w:val="24"/>
                <w:szCs w:val="24"/>
                <w:highlight w:val="none"/>
                <w:lang w:val="en-US" w:eastAsia="zh-CN"/>
              </w:rPr>
              <w:t>4</w:t>
            </w:r>
            <w:r>
              <w:rPr>
                <w:rFonts w:hint="default" w:ascii="Times New Roman" w:hAnsi="Times New Roman" w:cs="Times New Roman"/>
                <w:b/>
                <w:bCs w:val="0"/>
                <w:color w:val="auto"/>
                <w:sz w:val="24"/>
                <w:szCs w:val="24"/>
                <w:highlight w:val="none"/>
                <w:lang w:bidi="ar"/>
              </w:rPr>
              <w:t>项目</w:t>
            </w:r>
            <w:r>
              <w:rPr>
                <w:rFonts w:hint="default" w:ascii="Times New Roman" w:hAnsi="Times New Roman" w:cs="Times New Roman"/>
                <w:b/>
                <w:bCs w:val="0"/>
                <w:color w:val="auto"/>
                <w:sz w:val="24"/>
                <w:szCs w:val="24"/>
                <w:highlight w:val="none"/>
                <w:lang w:val="en-US" w:eastAsia="zh-CN" w:bidi="ar"/>
              </w:rPr>
              <w:t>DA001</w:t>
            </w:r>
            <w:r>
              <w:rPr>
                <w:rFonts w:hint="default" w:ascii="Times New Roman" w:hAnsi="Times New Roman" w:cs="Times New Roman"/>
                <w:b/>
                <w:bCs w:val="0"/>
                <w:color w:val="auto"/>
                <w:sz w:val="24"/>
                <w:szCs w:val="24"/>
                <w:highlight w:val="none"/>
                <w:lang w:eastAsia="zh-CN" w:bidi="ar"/>
              </w:rPr>
              <w:t>风量核算结果</w:t>
            </w:r>
            <w:r>
              <w:rPr>
                <w:rFonts w:hint="default" w:ascii="Times New Roman" w:hAnsi="Times New Roman" w:cs="Times New Roman"/>
                <w:b/>
                <w:bCs w:val="0"/>
                <w:color w:val="auto"/>
                <w:sz w:val="24"/>
                <w:szCs w:val="24"/>
                <w:highlight w:val="none"/>
                <w:lang w:bidi="ar"/>
              </w:rPr>
              <w:t>一览表</w:t>
            </w:r>
          </w:p>
          <w:tbl>
            <w:tblPr>
              <w:tblStyle w:val="38"/>
              <w:tblW w:w="4996" w:type="pct"/>
              <w:tblInd w:w="0" w:type="dxa"/>
              <w:tblBorders>
                <w:top w:val="single" w:color="auto" w:sz="18" w:space="0"/>
                <w:left w:val="single" w:color="auto" w:sz="4" w:space="0"/>
                <w:bottom w:val="single" w:color="auto" w:sz="18"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1"/>
              <w:gridCol w:w="935"/>
              <w:gridCol w:w="896"/>
              <w:gridCol w:w="896"/>
              <w:gridCol w:w="896"/>
              <w:gridCol w:w="675"/>
              <w:gridCol w:w="742"/>
              <w:gridCol w:w="1164"/>
              <w:gridCol w:w="1172"/>
            </w:tblGrid>
            <w:tr w14:paraId="44828118">
              <w:tblPrEx>
                <w:tblBorders>
                  <w:top w:val="single" w:color="auto" w:sz="18" w:space="0"/>
                  <w:left w:val="single" w:color="auto" w:sz="4" w:space="0"/>
                  <w:bottom w:val="single" w:color="auto" w:sz="1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14:paraId="4FF00DC1">
                  <w:pPr>
                    <w:pageBreakBefore w:val="0"/>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设备名称</w:t>
                  </w:r>
                </w:p>
              </w:tc>
              <w:tc>
                <w:tcPr>
                  <w:tcW w:w="596" w:type="pct"/>
                  <w:noWrap w:val="0"/>
                  <w:vAlign w:val="center"/>
                </w:tcPr>
                <w:p w14:paraId="4F70AD06">
                  <w:pPr>
                    <w:pageBreakBefore w:val="0"/>
                    <w:wordWrap w:val="0"/>
                    <w:topLinePunct w:val="0"/>
                    <w:bidi w:val="0"/>
                    <w:spacing w:line="240" w:lineRule="auto"/>
                    <w:jc w:val="center"/>
                    <w:rPr>
                      <w:rFonts w:hint="default" w:ascii="Times New Roman" w:hAnsi="Times New Roman" w:eastAsia="宋体" w:cs="Times New Roman"/>
                      <w:b/>
                      <w:color w:val="auto"/>
                      <w:sz w:val="21"/>
                      <w:szCs w:val="21"/>
                      <w:highlight w:val="none"/>
                      <w:lang w:eastAsia="zh-CN"/>
                    </w:rPr>
                  </w:pPr>
                  <w:r>
                    <w:rPr>
                      <w:rFonts w:hint="default" w:ascii="Times New Roman" w:hAnsi="Times New Roman" w:cs="Times New Roman"/>
                      <w:b/>
                      <w:color w:val="auto"/>
                      <w:sz w:val="21"/>
                      <w:szCs w:val="21"/>
                      <w:highlight w:val="none"/>
                    </w:rPr>
                    <w:t>设备数量</w:t>
                  </w:r>
                  <w:r>
                    <w:rPr>
                      <w:rFonts w:hint="default" w:ascii="Times New Roman" w:hAnsi="Times New Roman" w:cs="Times New Roman"/>
                      <w:b/>
                      <w:color w:val="auto"/>
                      <w:sz w:val="21"/>
                      <w:szCs w:val="21"/>
                      <w:highlight w:val="none"/>
                      <w:lang w:eastAsia="zh-CN"/>
                    </w:rPr>
                    <w:t>（台）</w:t>
                  </w:r>
                </w:p>
              </w:tc>
              <w:tc>
                <w:tcPr>
                  <w:tcW w:w="571" w:type="pct"/>
                  <w:noWrap w:val="0"/>
                  <w:vAlign w:val="center"/>
                </w:tcPr>
                <w:p w14:paraId="66072F18">
                  <w:pPr>
                    <w:pStyle w:val="126"/>
                    <w:pageBreakBefore w:val="0"/>
                    <w:wordWrap w:val="0"/>
                    <w:topLinePunct w:val="0"/>
                    <w:bidi w:val="0"/>
                    <w:spacing w:line="240" w:lineRule="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长度（m）</w:t>
                  </w:r>
                </w:p>
              </w:tc>
              <w:tc>
                <w:tcPr>
                  <w:tcW w:w="571" w:type="pct"/>
                  <w:noWrap w:val="0"/>
                  <w:vAlign w:val="center"/>
                </w:tcPr>
                <w:p w14:paraId="116A544A">
                  <w:pPr>
                    <w:pStyle w:val="126"/>
                    <w:pageBreakBefore w:val="0"/>
                    <w:wordWrap w:val="0"/>
                    <w:topLinePunct w:val="0"/>
                    <w:bidi w:val="0"/>
                    <w:spacing w:line="240" w:lineRule="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宽度（m）</w:t>
                  </w:r>
                </w:p>
              </w:tc>
              <w:tc>
                <w:tcPr>
                  <w:tcW w:w="571" w:type="pct"/>
                  <w:noWrap w:val="0"/>
                  <w:vAlign w:val="center"/>
                </w:tcPr>
                <w:p w14:paraId="1195218E">
                  <w:pPr>
                    <w:pStyle w:val="126"/>
                    <w:pageBreakBefore w:val="0"/>
                    <w:wordWrap w:val="0"/>
                    <w:topLinePunct w:val="0"/>
                    <w:bidi w:val="0"/>
                    <w:spacing w:line="240" w:lineRule="auto"/>
                    <w:rPr>
                      <w:rFonts w:hint="eastAsia" w:ascii="Times New Roman" w:hAnsi="Times New Roman" w:eastAsia="宋体"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高度（m）</w:t>
                  </w:r>
                </w:p>
              </w:tc>
              <w:tc>
                <w:tcPr>
                  <w:tcW w:w="430" w:type="pct"/>
                  <w:noWrap w:val="0"/>
                  <w:vAlign w:val="center"/>
                </w:tcPr>
                <w:p w14:paraId="466E09AF">
                  <w:pPr>
                    <w:pStyle w:val="126"/>
                    <w:pageBreakBefore w:val="0"/>
                    <w:wordWrap w:val="0"/>
                    <w:topLinePunct w:val="0"/>
                    <w:bidi w:val="0"/>
                    <w:spacing w:line="240" w:lineRule="auto"/>
                    <w:rPr>
                      <w:rFonts w:hint="default" w:ascii="Times New Roman" w:hAnsi="Times New Roman" w:cs="Times New Roman"/>
                      <w:b/>
                      <w:color w:val="auto"/>
                      <w:sz w:val="21"/>
                      <w:szCs w:val="21"/>
                      <w:highlight w:val="none"/>
                    </w:rPr>
                  </w:pPr>
                  <w:r>
                    <w:rPr>
                      <w:rFonts w:hint="eastAsia" w:ascii="Times New Roman" w:hAnsi="Times New Roman" w:cs="Times New Roman"/>
                      <w:b/>
                      <w:color w:val="auto"/>
                      <w:sz w:val="21"/>
                      <w:szCs w:val="21"/>
                      <w:highlight w:val="none"/>
                      <w:lang w:val="en-US" w:eastAsia="zh-CN"/>
                    </w:rPr>
                    <w:t>车间体积</w:t>
                  </w:r>
                  <w:r>
                    <w:rPr>
                      <w:rFonts w:hint="default" w:ascii="Times New Roman" w:hAnsi="Times New Roman" w:cs="Times New Roman"/>
                      <w:b/>
                      <w:color w:val="auto"/>
                      <w:sz w:val="21"/>
                      <w:szCs w:val="21"/>
                      <w:highlight w:val="none"/>
                    </w:rPr>
                    <w:t>（m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w:t>
                  </w:r>
                </w:p>
              </w:tc>
              <w:tc>
                <w:tcPr>
                  <w:tcW w:w="473" w:type="pct"/>
                  <w:noWrap w:val="0"/>
                  <w:vAlign w:val="center"/>
                </w:tcPr>
                <w:p w14:paraId="40B1A087">
                  <w:pPr>
                    <w:pageBreakBefore w:val="0"/>
                    <w:wordWrap w:val="0"/>
                    <w:topLinePunct w:val="0"/>
                    <w:bidi w:val="0"/>
                    <w:snapToGrid w:val="0"/>
                    <w:spacing w:line="240" w:lineRule="auto"/>
                    <w:jc w:val="center"/>
                    <w:rPr>
                      <w:rFonts w:hint="default" w:ascii="Times New Roman" w:hAnsi="Times New Roman" w:cs="Times New Roman"/>
                      <w:b/>
                      <w:color w:val="auto"/>
                      <w:sz w:val="21"/>
                      <w:szCs w:val="21"/>
                      <w:highlight w:val="none"/>
                    </w:rPr>
                  </w:pPr>
                  <w:r>
                    <w:rPr>
                      <w:rFonts w:hint="eastAsia" w:ascii="Times New Roman" w:hAnsi="Times New Roman" w:cs="Times New Roman"/>
                      <w:b/>
                      <w:color w:val="auto"/>
                      <w:sz w:val="21"/>
                      <w:szCs w:val="21"/>
                      <w:highlight w:val="none"/>
                      <w:lang w:val="en-US" w:eastAsia="zh-CN"/>
                    </w:rPr>
                    <w:t>换气次数</w:t>
                  </w:r>
                  <w:r>
                    <w:rPr>
                      <w:rFonts w:hint="default" w:ascii="Times New Roman" w:hAnsi="Times New Roman" w:cs="Times New Roman"/>
                      <w:b/>
                      <w:color w:val="auto"/>
                      <w:sz w:val="21"/>
                      <w:szCs w:val="21"/>
                      <w:highlight w:val="none"/>
                    </w:rPr>
                    <w:t>（</w:t>
                  </w:r>
                  <w:r>
                    <w:rPr>
                      <w:rFonts w:hint="eastAsia" w:ascii="Times New Roman" w:hAnsi="Times New Roman" w:cs="Times New Roman"/>
                      <w:b/>
                      <w:color w:val="auto"/>
                      <w:sz w:val="21"/>
                      <w:szCs w:val="21"/>
                      <w:highlight w:val="none"/>
                      <w:lang w:val="en-US" w:eastAsia="zh-CN"/>
                    </w:rPr>
                    <w:t>次/h</w:t>
                  </w:r>
                  <w:r>
                    <w:rPr>
                      <w:rFonts w:hint="default" w:ascii="Times New Roman" w:hAnsi="Times New Roman" w:cs="Times New Roman"/>
                      <w:b/>
                      <w:color w:val="auto"/>
                      <w:sz w:val="21"/>
                      <w:szCs w:val="21"/>
                      <w:highlight w:val="none"/>
                    </w:rPr>
                    <w:t>）</w:t>
                  </w:r>
                </w:p>
              </w:tc>
              <w:tc>
                <w:tcPr>
                  <w:tcW w:w="742" w:type="pct"/>
                  <w:noWrap w:val="0"/>
                  <w:vAlign w:val="center"/>
                </w:tcPr>
                <w:p w14:paraId="06C70F2A">
                  <w:pPr>
                    <w:pageBreakBefore w:val="0"/>
                    <w:wordWrap w:val="0"/>
                    <w:topLinePunct w:val="0"/>
                    <w:bidi w:val="0"/>
                    <w:snapToGrid w:val="0"/>
                    <w:spacing w:line="240" w:lineRule="auto"/>
                    <w:jc w:val="center"/>
                    <w:rPr>
                      <w:rFonts w:hint="default" w:ascii="Times New Roman" w:hAnsi="Times New Roman" w:cs="Times New Roman"/>
                      <w:b/>
                      <w:color w:val="auto"/>
                      <w:sz w:val="21"/>
                      <w:szCs w:val="21"/>
                      <w:highlight w:val="none"/>
                      <w:lang w:bidi="ar"/>
                    </w:rPr>
                  </w:pPr>
                  <w:r>
                    <w:rPr>
                      <w:rFonts w:hint="eastAsia" w:ascii="Times New Roman" w:hAnsi="Times New Roman" w:cs="Times New Roman"/>
                      <w:b/>
                      <w:color w:val="auto"/>
                      <w:sz w:val="21"/>
                      <w:szCs w:val="21"/>
                      <w:highlight w:val="none"/>
                      <w:lang w:val="en-US" w:eastAsia="zh-CN"/>
                    </w:rPr>
                    <w:t>抽风量</w:t>
                  </w:r>
                  <w:r>
                    <w:rPr>
                      <w:rFonts w:hint="default" w:ascii="Times New Roman" w:hAnsi="Times New Roman" w:cs="Times New Roman"/>
                      <w:b/>
                      <w:color w:val="auto"/>
                      <w:sz w:val="21"/>
                      <w:szCs w:val="21"/>
                      <w:highlight w:val="none"/>
                    </w:rPr>
                    <w:t>风量（m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/h）</w:t>
                  </w:r>
                </w:p>
              </w:tc>
              <w:tc>
                <w:tcPr>
                  <w:tcW w:w="742" w:type="pct"/>
                  <w:noWrap w:val="0"/>
                  <w:vAlign w:val="center"/>
                </w:tcPr>
                <w:p w14:paraId="58BE13A3">
                  <w:pPr>
                    <w:pageBreakBefore w:val="0"/>
                    <w:wordWrap w:val="0"/>
                    <w:topLinePunct w:val="0"/>
                    <w:bidi w:val="0"/>
                    <w:snapToGrid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设计总</w:t>
                  </w:r>
                  <w:r>
                    <w:rPr>
                      <w:rFonts w:hint="eastAsia" w:ascii="Times New Roman" w:hAnsi="Times New Roman" w:cs="Times New Roman"/>
                      <w:b/>
                      <w:color w:val="auto"/>
                      <w:sz w:val="21"/>
                      <w:szCs w:val="21"/>
                      <w:highlight w:val="none"/>
                      <w:lang w:val="en-US" w:eastAsia="zh-CN"/>
                    </w:rPr>
                    <w:t>风机</w:t>
                  </w:r>
                  <w:r>
                    <w:rPr>
                      <w:rFonts w:hint="default" w:ascii="Times New Roman" w:hAnsi="Times New Roman" w:cs="Times New Roman"/>
                      <w:b/>
                      <w:color w:val="auto"/>
                      <w:sz w:val="21"/>
                      <w:szCs w:val="21"/>
                      <w:highlight w:val="none"/>
                    </w:rPr>
                    <w:t>风量（m</w:t>
                  </w:r>
                  <w:r>
                    <w:rPr>
                      <w:rFonts w:hint="default" w:ascii="Times New Roman" w:hAnsi="Times New Roman" w:cs="Times New Roman"/>
                      <w:b/>
                      <w:color w:val="auto"/>
                      <w:sz w:val="21"/>
                      <w:szCs w:val="21"/>
                      <w:highlight w:val="none"/>
                      <w:vertAlign w:val="superscript"/>
                    </w:rPr>
                    <w:t>3</w:t>
                  </w:r>
                  <w:r>
                    <w:rPr>
                      <w:rFonts w:hint="default" w:ascii="Times New Roman" w:hAnsi="Times New Roman" w:cs="Times New Roman"/>
                      <w:b/>
                      <w:color w:val="auto"/>
                      <w:sz w:val="21"/>
                      <w:szCs w:val="21"/>
                      <w:highlight w:val="none"/>
                    </w:rPr>
                    <w:t>/h）</w:t>
                  </w:r>
                </w:p>
              </w:tc>
            </w:tr>
            <w:tr w14:paraId="25C12627">
              <w:tblPrEx>
                <w:tblBorders>
                  <w:top w:val="single" w:color="auto" w:sz="18" w:space="0"/>
                  <w:left w:val="single" w:color="auto" w:sz="4" w:space="0"/>
                  <w:bottom w:val="single" w:color="auto" w:sz="1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00" w:type="pct"/>
                  <w:noWrap w:val="0"/>
                  <w:vAlign w:val="center"/>
                </w:tcPr>
                <w:p w14:paraId="0168F3D0">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注塑机</w:t>
                  </w:r>
                </w:p>
              </w:tc>
              <w:tc>
                <w:tcPr>
                  <w:tcW w:w="596" w:type="pct"/>
                  <w:noWrap w:val="0"/>
                  <w:vAlign w:val="center"/>
                </w:tcPr>
                <w:p w14:paraId="59251CF8">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34</w:t>
                  </w:r>
                </w:p>
              </w:tc>
              <w:tc>
                <w:tcPr>
                  <w:tcW w:w="571" w:type="pct"/>
                  <w:noWrap w:val="0"/>
                  <w:vAlign w:val="center"/>
                </w:tcPr>
                <w:p w14:paraId="7876FBDD">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kern w:val="2"/>
                      <w:sz w:val="21"/>
                      <w:szCs w:val="21"/>
                      <w:highlight w:val="none"/>
                      <w:lang w:val="en-US" w:eastAsia="zh-CN" w:bidi="ar-SA"/>
                    </w:rPr>
                  </w:pPr>
                  <w:r>
                    <w:rPr>
                      <w:rFonts w:hint="eastAsia" w:ascii="Times New Roman" w:hAnsi="Times New Roman" w:cs="Times New Roman"/>
                      <w:bCs/>
                      <w:color w:val="auto"/>
                      <w:sz w:val="21"/>
                      <w:szCs w:val="21"/>
                      <w:highlight w:val="none"/>
                      <w:lang w:val="en-US" w:eastAsia="zh-CN"/>
                    </w:rPr>
                    <w:t>60</w:t>
                  </w:r>
                </w:p>
              </w:tc>
              <w:tc>
                <w:tcPr>
                  <w:tcW w:w="571" w:type="pct"/>
                  <w:noWrap w:val="0"/>
                  <w:vAlign w:val="center"/>
                </w:tcPr>
                <w:p w14:paraId="4DF6DB8D">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5</w:t>
                  </w:r>
                </w:p>
              </w:tc>
              <w:tc>
                <w:tcPr>
                  <w:tcW w:w="571" w:type="pct"/>
                  <w:noWrap w:val="0"/>
                  <w:vAlign w:val="center"/>
                </w:tcPr>
                <w:p w14:paraId="751432FD">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3</w:t>
                  </w:r>
                </w:p>
              </w:tc>
              <w:tc>
                <w:tcPr>
                  <w:tcW w:w="430" w:type="pct"/>
                  <w:noWrap w:val="0"/>
                  <w:vAlign w:val="center"/>
                </w:tcPr>
                <w:p w14:paraId="5FF13B55">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900</w:t>
                  </w:r>
                </w:p>
              </w:tc>
              <w:tc>
                <w:tcPr>
                  <w:tcW w:w="473" w:type="pct"/>
                  <w:noWrap w:val="0"/>
                  <w:vAlign w:val="center"/>
                </w:tcPr>
                <w:p w14:paraId="304805A1">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20</w:t>
                  </w:r>
                </w:p>
              </w:tc>
              <w:tc>
                <w:tcPr>
                  <w:tcW w:w="742" w:type="pct"/>
                  <w:noWrap w:val="0"/>
                  <w:vAlign w:val="center"/>
                </w:tcPr>
                <w:p w14:paraId="000DB84B">
                  <w:pPr>
                    <w:pageBreakBefore w:val="0"/>
                    <w:wordWrap w:val="0"/>
                    <w:topLinePunct w:val="0"/>
                    <w:bidi w:val="0"/>
                    <w:adjustRightInd w:val="0"/>
                    <w:snapToGrid w:val="0"/>
                    <w:spacing w:line="240" w:lineRule="auto"/>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18000</w:t>
                  </w:r>
                </w:p>
              </w:tc>
              <w:tc>
                <w:tcPr>
                  <w:tcW w:w="742" w:type="pct"/>
                  <w:noWrap w:val="0"/>
                  <w:vAlign w:val="center"/>
                </w:tcPr>
                <w:p w14:paraId="43760BC6">
                  <w:pPr>
                    <w:keepNext w:val="0"/>
                    <w:keepLines w:val="0"/>
                    <w:pageBreakBefore w:val="0"/>
                    <w:widowControl/>
                    <w:suppressLineNumbers w:val="0"/>
                    <w:wordWrap w:val="0"/>
                    <w:topLinePunct w:val="0"/>
                    <w:bidi w:val="0"/>
                    <w:spacing w:line="240" w:lineRule="auto"/>
                    <w:jc w:val="center"/>
                    <w:textAlignment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21600</w:t>
                  </w:r>
                </w:p>
              </w:tc>
            </w:tr>
            <w:tr w14:paraId="53C4FA64">
              <w:tblPrEx>
                <w:tblBorders>
                  <w:top w:val="single" w:color="auto" w:sz="18" w:space="0"/>
                  <w:left w:val="single" w:color="auto" w:sz="4" w:space="0"/>
                  <w:bottom w:val="single" w:color="auto" w:sz="18"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9"/>
                  <w:noWrap w:val="0"/>
                  <w:vAlign w:val="center"/>
                </w:tcPr>
                <w:p w14:paraId="09560208">
                  <w:pPr>
                    <w:pageBreakBefore w:val="0"/>
                    <w:widowControl/>
                    <w:tabs>
                      <w:tab w:val="left" w:pos="8880"/>
                    </w:tabs>
                    <w:wordWrap w:val="0"/>
                    <w:topLinePunct w:val="0"/>
                    <w:bidi w:val="0"/>
                    <w:ind w:right="-28" w:rightChars="-12" w:firstLine="420" w:firstLineChars="200"/>
                    <w:jc w:val="left"/>
                    <w:rPr>
                      <w:rFonts w:hint="eastAsia" w:ascii="Times New Roman" w:hAnsi="Times New Roman" w:cs="Times New Roman"/>
                      <w:bCs/>
                      <w:color w:val="auto"/>
                      <w:sz w:val="21"/>
                      <w:szCs w:val="21"/>
                      <w:highlight w:val="none"/>
                      <w:lang w:val="en-US" w:eastAsia="zh-CN"/>
                    </w:rPr>
                  </w:pPr>
                  <w:r>
                    <w:rPr>
                      <w:rFonts w:hint="eastAsia" w:ascii="Times New Roman" w:hAnsi="Times New Roman" w:cs="Times New Roman"/>
                      <w:color w:val="auto"/>
                      <w:sz w:val="21"/>
                      <w:szCs w:val="21"/>
                      <w:highlight w:val="none"/>
                      <w:shd w:val="clear" w:color="auto" w:fill="auto"/>
                      <w:lang w:val="en-US" w:eastAsia="zh-CN"/>
                    </w:rPr>
                    <w:t>注：</w:t>
                  </w:r>
                  <w:r>
                    <w:rPr>
                      <w:rFonts w:hint="default" w:ascii="Times New Roman" w:hAnsi="Times New Roman" w:cs="Times New Roman"/>
                      <w:color w:val="auto"/>
                      <w:sz w:val="21"/>
                      <w:szCs w:val="21"/>
                      <w:highlight w:val="none"/>
                      <w:shd w:val="clear" w:color="auto" w:fill="auto"/>
                    </w:rPr>
                    <w:t>根据《吸附法工业有机废气治理工程技术规范》（HJ2026-2013）中6.1.2，治理工程的处理能力应根据废气的处理量确定，设计风量宜按照最大废气排放量的120%进行设计</w:t>
                  </w:r>
                  <w:r>
                    <w:rPr>
                      <w:rFonts w:hint="default" w:ascii="Times New Roman" w:hAnsi="Times New Roman" w:eastAsia="宋体" w:cs="Times New Roman"/>
                      <w:color w:val="auto"/>
                      <w:sz w:val="21"/>
                      <w:szCs w:val="21"/>
                      <w:highlight w:val="none"/>
                      <w:lang w:val="en-US" w:eastAsia="zh-CN"/>
                    </w:rPr>
                    <w:t>，本环评取21</w:t>
                  </w:r>
                  <w:r>
                    <w:rPr>
                      <w:rFonts w:hint="eastAsia" w:ascii="Times New Roman" w:hAnsi="Times New Roman" w:eastAsia="宋体" w:cs="Times New Roman"/>
                      <w:color w:val="auto"/>
                      <w:sz w:val="21"/>
                      <w:szCs w:val="21"/>
                      <w:highlight w:val="none"/>
                      <w:lang w:val="en-US" w:eastAsia="zh-CN"/>
                    </w:rPr>
                    <w:t>6</w:t>
                  </w:r>
                  <w:r>
                    <w:rPr>
                      <w:rFonts w:hint="default" w:ascii="Times New Roman" w:hAnsi="Times New Roman" w:cs="Times New Roman"/>
                      <w:color w:val="auto"/>
                      <w:sz w:val="21"/>
                      <w:szCs w:val="21"/>
                      <w:highlight w:val="none"/>
                      <w:lang w:val="en-US" w:eastAsia="zh-CN"/>
                    </w:rPr>
                    <w:t>00</w:t>
                  </w:r>
                  <w:r>
                    <w:rPr>
                      <w:rFonts w:hint="default" w:ascii="Times New Roman" w:hAnsi="Times New Roman" w:eastAsia="宋体"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cs="Times New Roman"/>
                      <w:color w:val="auto"/>
                      <w:sz w:val="21"/>
                      <w:szCs w:val="21"/>
                      <w:highlight w:val="none"/>
                    </w:rPr>
                    <w:t>。</w:t>
                  </w:r>
                </w:p>
              </w:tc>
            </w:tr>
          </w:tbl>
          <w:p w14:paraId="200EEBEA">
            <w:pPr>
              <w:pageBreakBefore w:val="0"/>
              <w:widowControl/>
              <w:tabs>
                <w:tab w:val="left" w:pos="8880"/>
              </w:tabs>
              <w:wordWrap w:val="0"/>
              <w:topLinePunct w:val="0"/>
              <w:bidi w:val="0"/>
              <w:spacing w:before="156" w:beforeLines="50"/>
              <w:ind w:firstLine="480" w:firstLineChars="200"/>
              <w:jc w:val="left"/>
              <w:rPr>
                <w:rFonts w:hint="default" w:ascii="Times New Roman" w:hAnsi="Times New Roman" w:cs="Times New Roman"/>
                <w:color w:val="auto"/>
                <w:kern w:val="0"/>
                <w:highlight w:val="none"/>
              </w:rPr>
            </w:pPr>
            <w:r>
              <w:rPr>
                <w:rFonts w:hint="default" w:ascii="Times New Roman" w:hAnsi="Times New Roman" w:cs="Times New Roman"/>
                <w:b/>
                <w:bCs/>
                <w:color w:val="auto"/>
                <w:kern w:val="0"/>
                <w:highlight w:val="none"/>
                <w:lang w:eastAsia="zh-CN"/>
              </w:rPr>
              <w:t>（</w:t>
            </w:r>
            <w:r>
              <w:rPr>
                <w:rFonts w:hint="default" w:ascii="Times New Roman" w:hAnsi="Times New Roman" w:cs="Times New Roman"/>
                <w:b/>
                <w:bCs/>
                <w:color w:val="auto"/>
                <w:kern w:val="0"/>
                <w:highlight w:val="none"/>
                <w:lang w:val="en-US" w:eastAsia="zh-CN"/>
              </w:rPr>
              <w:t>3</w:t>
            </w:r>
            <w:r>
              <w:rPr>
                <w:rFonts w:hint="default" w:ascii="Times New Roman" w:hAnsi="Times New Roman" w:cs="Times New Roman"/>
                <w:b/>
                <w:bCs/>
                <w:color w:val="auto"/>
                <w:kern w:val="0"/>
                <w:highlight w:val="none"/>
                <w:lang w:eastAsia="zh-CN"/>
              </w:rPr>
              <w:t>）</w:t>
            </w:r>
            <w:r>
              <w:rPr>
                <w:rFonts w:hint="default" w:ascii="Times New Roman" w:hAnsi="Times New Roman" w:cs="Times New Roman"/>
                <w:b/>
                <w:bCs/>
                <w:color w:val="auto"/>
                <w:kern w:val="0"/>
                <w:highlight w:val="none"/>
              </w:rPr>
              <w:t>处理情况</w:t>
            </w:r>
          </w:p>
          <w:p w14:paraId="45E06FE1">
            <w:pPr>
              <w:pageBreakBefore w:val="0"/>
              <w:widowControl/>
              <w:wordWrap w:val="0"/>
              <w:topLinePunct w:val="0"/>
              <w:bidi w:val="0"/>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有机废气经</w:t>
            </w:r>
            <w:r>
              <w:rPr>
                <w:rFonts w:hint="eastAsia" w:ascii="Times New Roman" w:hAnsi="Times New Roman" w:cs="Times New Roman"/>
                <w:color w:val="auto"/>
                <w:highlight w:val="none"/>
                <w:lang w:val="en-US" w:eastAsia="zh-CN"/>
              </w:rPr>
              <w:t>密闭车间整体换风</w:t>
            </w:r>
            <w:r>
              <w:rPr>
                <w:rFonts w:hint="default" w:ascii="Times New Roman" w:hAnsi="Times New Roman" w:cs="Times New Roman"/>
                <w:color w:val="auto"/>
                <w:highlight w:val="none"/>
              </w:rPr>
              <w:t>收集后，通过抽风管道，进入“二级活性炭吸附装置”进行处理后，经排气筒排放，排放高度</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m。</w:t>
            </w:r>
          </w:p>
          <w:p w14:paraId="2DBA8C57">
            <w:pPr>
              <w:pageBreakBefore w:val="0"/>
              <w:widowControl/>
              <w:wordWrap w:val="0"/>
              <w:topLinePunct w:val="0"/>
              <w:bidi w:val="0"/>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当存在两种或两种以上治理设施联合治理时，治理效率可按照以下公式计算：</w:t>
            </w:r>
          </w:p>
          <w:p w14:paraId="011C63B0">
            <w:pPr>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η</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=1-（1-η</w:t>
            </w:r>
            <w:r>
              <w:rPr>
                <w:rFonts w:hint="default" w:ascii="Times New Roman" w:hAnsi="Times New Roman" w:cs="Times New Roman"/>
                <w:color w:val="auto"/>
                <w:highlight w:val="none"/>
                <w:vertAlign w:val="subscript"/>
              </w:rPr>
              <w:t>1</w:t>
            </w:r>
            <w:r>
              <w:rPr>
                <w:rFonts w:hint="default" w:ascii="Times New Roman" w:hAnsi="Times New Roman" w:cs="Times New Roman"/>
                <w:color w:val="auto"/>
                <w:highlight w:val="none"/>
              </w:rPr>
              <w:t>）×（1-η</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）…（1-η</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w:t>
            </w:r>
          </w:p>
          <w:p w14:paraId="4682E851">
            <w:pPr>
              <w:pageBreakBefore w:val="0"/>
              <w:wordWrap w:val="0"/>
              <w:topLinePunct w:val="0"/>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式中：η</w:t>
            </w:r>
            <w:r>
              <w:rPr>
                <w:rFonts w:hint="default" w:ascii="Times New Roman" w:hAnsi="Times New Roman" w:cs="Times New Roman"/>
                <w:color w:val="auto"/>
                <w:highlight w:val="none"/>
                <w:vertAlign w:val="subscript"/>
              </w:rPr>
              <w:t>i</w:t>
            </w:r>
            <w:r>
              <w:rPr>
                <w:rFonts w:hint="default" w:ascii="Times New Roman" w:hAnsi="Times New Roman" w:cs="Times New Roman"/>
                <w:color w:val="auto"/>
                <w:highlight w:val="none"/>
              </w:rPr>
              <w:t>——某种治理设施的治理效率。</w:t>
            </w:r>
          </w:p>
          <w:p w14:paraId="5CBE0613">
            <w:pPr>
              <w:pageBreakBefore w:val="0"/>
              <w:wordWrap w:val="0"/>
              <w:topLinePunct w:val="0"/>
              <w:bidi w:val="0"/>
              <w:spacing w:line="360" w:lineRule="auto"/>
              <w:ind w:firstLine="480" w:firstLineChars="20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根据《广东省表面涂装（汽车制造）挥发性有机废气治理技术指南》，典型治理技术中，吸附法可达治理效率为50%～90%，本项目单级活性炭的处理效率取60%，本项目采用二级活性炭串联处理，即串联后二级活性炭的处理效率为1-（1-60%）×（1-60%）=84%，本项目按80%计</w:t>
            </w:r>
            <w:r>
              <w:rPr>
                <w:rFonts w:hint="default" w:ascii="Times New Roman" w:hAnsi="Times New Roman" w:cs="Times New Roman"/>
                <w:color w:val="auto"/>
                <w:highlight w:val="none"/>
                <w:lang w:eastAsia="zh-CN"/>
              </w:rPr>
              <w:t>。</w:t>
            </w:r>
          </w:p>
          <w:p w14:paraId="48952801">
            <w:pPr>
              <w:pageBreakBefore w:val="0"/>
              <w:widowControl/>
              <w:tabs>
                <w:tab w:val="left" w:pos="8880"/>
              </w:tabs>
              <w:wordWrap w:val="0"/>
              <w:topLinePunct w:val="0"/>
              <w:bidi w:val="0"/>
              <w:ind w:right="-28" w:rightChars="-12"/>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表4-</w:t>
            </w:r>
            <w:r>
              <w:rPr>
                <w:rFonts w:hint="default" w:ascii="Times New Roman" w:hAnsi="Times New Roman" w:cs="Times New Roman"/>
                <w:b/>
                <w:bCs/>
                <w:color w:val="auto"/>
                <w:kern w:val="0"/>
                <w:sz w:val="21"/>
                <w:szCs w:val="21"/>
                <w:highlight w:val="none"/>
                <w:lang w:val="en-US" w:eastAsia="zh-CN"/>
              </w:rPr>
              <w:t>5</w:t>
            </w:r>
            <w:r>
              <w:rPr>
                <w:rFonts w:hint="default" w:ascii="Times New Roman" w:hAnsi="Times New Roman" w:cs="Times New Roman"/>
                <w:b/>
                <w:bCs/>
                <w:color w:val="auto"/>
                <w:kern w:val="0"/>
                <w:sz w:val="21"/>
                <w:szCs w:val="21"/>
                <w:highlight w:val="none"/>
              </w:rPr>
              <w:t>项目有机废气排放情况一览表</w:t>
            </w:r>
          </w:p>
          <w:tbl>
            <w:tblPr>
              <w:tblStyle w:val="3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672"/>
              <w:gridCol w:w="706"/>
              <w:gridCol w:w="1251"/>
              <w:gridCol w:w="893"/>
              <w:gridCol w:w="1284"/>
              <w:gridCol w:w="1282"/>
              <w:gridCol w:w="935"/>
            </w:tblGrid>
            <w:tr w14:paraId="6EB31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1398" w:type="pct"/>
                  <w:gridSpan w:val="3"/>
                  <w:vAlign w:val="center"/>
                </w:tcPr>
                <w:p w14:paraId="281F1D5C">
                  <w:pPr>
                    <w:pageBreakBefore w:val="0"/>
                    <w:wordWrap w:val="0"/>
                    <w:topLinePunct w:val="0"/>
                    <w:bidi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污染物</w:t>
                  </w:r>
                </w:p>
              </w:tc>
              <w:tc>
                <w:tcPr>
                  <w:tcW w:w="1368" w:type="pct"/>
                  <w:gridSpan w:val="2"/>
                  <w:vAlign w:val="center"/>
                </w:tcPr>
                <w:p w14:paraId="50DC2B32">
                  <w:pPr>
                    <w:pageBreakBefore w:val="0"/>
                    <w:wordWrap w:val="0"/>
                    <w:topLinePunct w:val="0"/>
                    <w:bidi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产生情况</w:t>
                  </w:r>
                </w:p>
              </w:tc>
              <w:tc>
                <w:tcPr>
                  <w:tcW w:w="819" w:type="pct"/>
                  <w:vAlign w:val="center"/>
                </w:tcPr>
                <w:p w14:paraId="036EB7CB">
                  <w:pPr>
                    <w:pageBreakBefore w:val="0"/>
                    <w:wordWrap w:val="0"/>
                    <w:topLinePunct w:val="0"/>
                    <w:bidi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处理方式</w:t>
                  </w:r>
                </w:p>
              </w:tc>
              <w:tc>
                <w:tcPr>
                  <w:tcW w:w="1413" w:type="pct"/>
                  <w:gridSpan w:val="2"/>
                  <w:vAlign w:val="center"/>
                </w:tcPr>
                <w:p w14:paraId="2B44F247">
                  <w:pPr>
                    <w:pageBreakBefore w:val="0"/>
                    <w:wordWrap w:val="0"/>
                    <w:topLinePunct w:val="0"/>
                    <w:bidi w:val="0"/>
                    <w:spacing w:line="240" w:lineRule="auto"/>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排放情况</w:t>
                  </w:r>
                </w:p>
              </w:tc>
            </w:tr>
            <w:tr w14:paraId="13C42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528" w:type="pct"/>
                  <w:vMerge w:val="restart"/>
                  <w:vAlign w:val="center"/>
                </w:tcPr>
                <w:p w14:paraId="1FD40B4B">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NMHC</w:t>
                  </w:r>
                </w:p>
              </w:tc>
              <w:tc>
                <w:tcPr>
                  <w:tcW w:w="429" w:type="pct"/>
                  <w:vMerge w:val="restart"/>
                  <w:vAlign w:val="center"/>
                </w:tcPr>
                <w:p w14:paraId="52C7CCE0">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总产生量1.718</w:t>
                  </w:r>
                </w:p>
              </w:tc>
              <w:tc>
                <w:tcPr>
                  <w:tcW w:w="440" w:type="pct"/>
                  <w:vMerge w:val="restart"/>
                  <w:vAlign w:val="center"/>
                </w:tcPr>
                <w:p w14:paraId="31693F40">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有组织</w:t>
                  </w:r>
                </w:p>
                <w:p w14:paraId="3188D29E">
                  <w:pPr>
                    <w:keepNext/>
                    <w:keepLines/>
                    <w:pageBreakBefore w:val="0"/>
                    <w:widowControl/>
                    <w:numPr>
                      <w:ilvl w:val="2"/>
                      <w:numId w:val="0"/>
                    </w:numPr>
                    <w:tabs>
                      <w:tab w:val="left" w:pos="420"/>
                    </w:tabs>
                    <w:wordWrap w:val="0"/>
                    <w:topLinePunct w:val="0"/>
                    <w:bidi w:val="0"/>
                    <w:spacing w:line="240" w:lineRule="auto"/>
                    <w:ind w:left="0" w:lef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（收集效率</w:t>
                  </w:r>
                  <w:r>
                    <w:rPr>
                      <w:rFonts w:hint="eastAsia" w:ascii="Times New Roman" w:hAnsi="Times New Roman" w:cs="Times New Roman"/>
                      <w:color w:val="auto"/>
                      <w:kern w:val="0"/>
                      <w:sz w:val="21"/>
                      <w:szCs w:val="21"/>
                      <w:highlight w:val="none"/>
                      <w:lang w:val="en-US" w:eastAsia="zh-CN"/>
                    </w:rPr>
                    <w:t>80</w:t>
                  </w:r>
                  <w:r>
                    <w:rPr>
                      <w:rFonts w:hint="default" w:ascii="Times New Roman" w:hAnsi="Times New Roman" w:cs="Times New Roman"/>
                      <w:color w:val="auto"/>
                      <w:kern w:val="0"/>
                      <w:sz w:val="21"/>
                      <w:szCs w:val="21"/>
                      <w:highlight w:val="none"/>
                    </w:rPr>
                    <w:t>%）</w:t>
                  </w:r>
                </w:p>
              </w:tc>
              <w:tc>
                <w:tcPr>
                  <w:tcW w:w="798" w:type="pct"/>
                  <w:vAlign w:val="center"/>
                </w:tcPr>
                <w:p w14:paraId="731E9BBB">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产生浓度</w:t>
                  </w:r>
                </w:p>
                <w:p w14:paraId="3ADEE9BD">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（mg/m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570" w:type="pct"/>
                  <w:vAlign w:val="center"/>
                </w:tcPr>
                <w:p w14:paraId="52E2A01C">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8.55</w:t>
                  </w:r>
                </w:p>
              </w:tc>
              <w:tc>
                <w:tcPr>
                  <w:tcW w:w="819" w:type="pct"/>
                  <w:vMerge w:val="restart"/>
                  <w:vAlign w:val="center"/>
                </w:tcPr>
                <w:p w14:paraId="4DD23215">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经收集后引入“二级活性炭吸附”处理后经</w:t>
                  </w:r>
                  <w:r>
                    <w:rPr>
                      <w:rFonts w:hint="default" w:ascii="Times New Roman" w:hAnsi="Times New Roman" w:cs="Times New Roman"/>
                      <w:color w:val="auto"/>
                      <w:kern w:val="0"/>
                      <w:sz w:val="21"/>
                      <w:szCs w:val="21"/>
                      <w:highlight w:val="none"/>
                      <w:lang w:val="en-US" w:eastAsia="zh-CN"/>
                    </w:rPr>
                    <w:t>30</w:t>
                  </w:r>
                  <w:r>
                    <w:rPr>
                      <w:rFonts w:hint="default" w:ascii="Times New Roman" w:hAnsi="Times New Roman" w:cs="Times New Roman"/>
                      <w:color w:val="auto"/>
                      <w:kern w:val="0"/>
                      <w:sz w:val="21"/>
                      <w:szCs w:val="21"/>
                      <w:highlight w:val="none"/>
                    </w:rPr>
                    <w:t>m高排气筒排放（处理效率80%）</w:t>
                  </w:r>
                </w:p>
              </w:tc>
              <w:tc>
                <w:tcPr>
                  <w:tcW w:w="817" w:type="pct"/>
                  <w:vAlign w:val="center"/>
                </w:tcPr>
                <w:p w14:paraId="548F4ED5">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排放浓度</w:t>
                  </w:r>
                </w:p>
                <w:p w14:paraId="36BF64A4">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（mg/m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595" w:type="pct"/>
                  <w:vAlign w:val="center"/>
                </w:tcPr>
                <w:p w14:paraId="257BFEEC">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1.71</w:t>
                  </w:r>
                </w:p>
              </w:tc>
            </w:tr>
            <w:tr w14:paraId="58B8D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528" w:type="pct"/>
                  <w:vMerge w:val="continue"/>
                  <w:vAlign w:val="center"/>
                </w:tcPr>
                <w:p w14:paraId="75DA70FE">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29" w:type="pct"/>
                  <w:vMerge w:val="continue"/>
                  <w:vAlign w:val="center"/>
                </w:tcPr>
                <w:p w14:paraId="094A1722">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40" w:type="pct"/>
                  <w:vMerge w:val="continue"/>
                  <w:vAlign w:val="center"/>
                </w:tcPr>
                <w:p w14:paraId="1EF57DC9">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798" w:type="pct"/>
                  <w:vAlign w:val="center"/>
                </w:tcPr>
                <w:p w14:paraId="59AAA0E9">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产生速率</w:t>
                  </w:r>
                </w:p>
                <w:p w14:paraId="456C7774">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(kg/h)</w:t>
                  </w:r>
                </w:p>
              </w:tc>
              <w:tc>
                <w:tcPr>
                  <w:tcW w:w="570" w:type="pct"/>
                  <w:vAlign w:val="center"/>
                </w:tcPr>
                <w:p w14:paraId="36DE3DED">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0.18</w:t>
                  </w:r>
                </w:p>
              </w:tc>
              <w:tc>
                <w:tcPr>
                  <w:tcW w:w="819" w:type="pct"/>
                  <w:vMerge w:val="continue"/>
                  <w:vAlign w:val="center"/>
                </w:tcPr>
                <w:p w14:paraId="296544D0">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817" w:type="pct"/>
                  <w:vAlign w:val="center"/>
                </w:tcPr>
                <w:p w14:paraId="06070259">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排放速率</w:t>
                  </w:r>
                </w:p>
                <w:p w14:paraId="1B8E1C98">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(kg/h)</w:t>
                  </w:r>
                </w:p>
              </w:tc>
              <w:tc>
                <w:tcPr>
                  <w:tcW w:w="595" w:type="pct"/>
                  <w:vAlign w:val="center"/>
                </w:tcPr>
                <w:p w14:paraId="234DB5DE">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0.04</w:t>
                  </w:r>
                </w:p>
              </w:tc>
            </w:tr>
            <w:tr w14:paraId="42B24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528" w:type="pct"/>
                  <w:vMerge w:val="continue"/>
                  <w:vAlign w:val="center"/>
                </w:tcPr>
                <w:p w14:paraId="5813009A">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29" w:type="pct"/>
                  <w:vMerge w:val="continue"/>
                  <w:vAlign w:val="center"/>
                </w:tcPr>
                <w:p w14:paraId="3D543E09">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40" w:type="pct"/>
                  <w:vMerge w:val="continue"/>
                  <w:vAlign w:val="center"/>
                </w:tcPr>
                <w:p w14:paraId="6A8C46F9">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798" w:type="pct"/>
                  <w:vAlign w:val="center"/>
                </w:tcPr>
                <w:p w14:paraId="14C5FF6F">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产生量</w:t>
                  </w:r>
                </w:p>
                <w:p w14:paraId="46ED01B5">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(t/a)</w:t>
                  </w:r>
                </w:p>
              </w:tc>
              <w:tc>
                <w:tcPr>
                  <w:tcW w:w="570" w:type="pct"/>
                  <w:vAlign w:val="center"/>
                </w:tcPr>
                <w:p w14:paraId="23632487">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val="en-US"/>
                    </w:rPr>
                  </w:pPr>
                  <w:r>
                    <w:rPr>
                      <w:rFonts w:hint="eastAsia" w:ascii="Times New Roman" w:hAnsi="Times New Roman" w:cs="Times New Roman"/>
                      <w:i w:val="0"/>
                      <w:iCs w:val="0"/>
                      <w:color w:val="auto"/>
                      <w:kern w:val="0"/>
                      <w:sz w:val="21"/>
                      <w:szCs w:val="21"/>
                      <w:highlight w:val="none"/>
                      <w:u w:val="none"/>
                      <w:lang w:val="en-US" w:eastAsia="zh-CN" w:bidi="ar"/>
                    </w:rPr>
                    <w:t>1.3744</w:t>
                  </w:r>
                </w:p>
              </w:tc>
              <w:tc>
                <w:tcPr>
                  <w:tcW w:w="819" w:type="pct"/>
                  <w:vMerge w:val="continue"/>
                  <w:vAlign w:val="center"/>
                </w:tcPr>
                <w:p w14:paraId="4BD60B71">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817" w:type="pct"/>
                  <w:vAlign w:val="center"/>
                </w:tcPr>
                <w:p w14:paraId="61D9E2E4">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排放量(t/a)</w:t>
                  </w:r>
                </w:p>
              </w:tc>
              <w:tc>
                <w:tcPr>
                  <w:tcW w:w="595" w:type="pct"/>
                  <w:vAlign w:val="center"/>
                </w:tcPr>
                <w:p w14:paraId="2037FC84">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0.275</w:t>
                  </w:r>
                </w:p>
              </w:tc>
            </w:tr>
            <w:tr w14:paraId="2BFC2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28" w:type="pct"/>
                  <w:vMerge w:val="continue"/>
                  <w:vAlign w:val="center"/>
                </w:tcPr>
                <w:p w14:paraId="60FB647D">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29" w:type="pct"/>
                  <w:vMerge w:val="continue"/>
                  <w:vAlign w:val="center"/>
                </w:tcPr>
                <w:p w14:paraId="4A7385E3">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40" w:type="pct"/>
                  <w:vMerge w:val="restart"/>
                  <w:vAlign w:val="center"/>
                </w:tcPr>
                <w:p w14:paraId="2CBAA881">
                  <w:pPr>
                    <w:keepNext/>
                    <w:keepLines/>
                    <w:pageBreakBefore w:val="0"/>
                    <w:widowControl/>
                    <w:numPr>
                      <w:ilvl w:val="2"/>
                      <w:numId w:val="0"/>
                    </w:numPr>
                    <w:tabs>
                      <w:tab w:val="left" w:pos="420"/>
                    </w:tabs>
                    <w:wordWrap w:val="0"/>
                    <w:topLinePunct w:val="0"/>
                    <w:bidi w:val="0"/>
                    <w:spacing w:line="240" w:lineRule="auto"/>
                    <w:ind w:left="0" w:leftChars="0" w:firstLine="0" w:firstLineChars="0"/>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无组织排放</w:t>
                  </w:r>
                </w:p>
              </w:tc>
              <w:tc>
                <w:tcPr>
                  <w:tcW w:w="798" w:type="pct"/>
                  <w:vAlign w:val="center"/>
                </w:tcPr>
                <w:p w14:paraId="5FA1BC5C">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产生速率</w:t>
                  </w:r>
                </w:p>
                <w:p w14:paraId="72DECBE9">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(kg/h)</w:t>
                  </w:r>
                </w:p>
              </w:tc>
              <w:tc>
                <w:tcPr>
                  <w:tcW w:w="570" w:type="pct"/>
                  <w:vAlign w:val="center"/>
                </w:tcPr>
                <w:p w14:paraId="5B3782A9">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0.05</w:t>
                  </w:r>
                </w:p>
              </w:tc>
              <w:tc>
                <w:tcPr>
                  <w:tcW w:w="819" w:type="pct"/>
                  <w:vMerge w:val="restart"/>
                  <w:vAlign w:val="center"/>
                </w:tcPr>
                <w:p w14:paraId="4EB8FD6A">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加强车间通风</w:t>
                  </w:r>
                </w:p>
              </w:tc>
              <w:tc>
                <w:tcPr>
                  <w:tcW w:w="817" w:type="pct"/>
                  <w:vAlign w:val="center"/>
                </w:tcPr>
                <w:p w14:paraId="3DB777E6">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排放速率</w:t>
                  </w:r>
                </w:p>
                <w:p w14:paraId="7043A994">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highlight w:val="none"/>
                    </w:rPr>
                  </w:pPr>
                  <w:r>
                    <w:rPr>
                      <w:rFonts w:hint="default" w:ascii="Times New Roman" w:hAnsi="Times New Roman" w:cs="Times New Roman"/>
                      <w:color w:val="auto"/>
                      <w:kern w:val="0"/>
                      <w:sz w:val="21"/>
                      <w:szCs w:val="21"/>
                      <w:highlight w:val="none"/>
                    </w:rPr>
                    <w:t>(kg/h)</w:t>
                  </w:r>
                </w:p>
              </w:tc>
              <w:tc>
                <w:tcPr>
                  <w:tcW w:w="595" w:type="pct"/>
                  <w:vAlign w:val="center"/>
                </w:tcPr>
                <w:p w14:paraId="4D4C8164">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0.05</w:t>
                  </w:r>
                </w:p>
              </w:tc>
            </w:tr>
            <w:tr w14:paraId="2D9120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trPr>
              <w:tc>
                <w:tcPr>
                  <w:tcW w:w="528" w:type="pct"/>
                  <w:vMerge w:val="continue"/>
                  <w:vAlign w:val="center"/>
                </w:tcPr>
                <w:p w14:paraId="3A335533">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29" w:type="pct"/>
                  <w:vMerge w:val="continue"/>
                  <w:vAlign w:val="center"/>
                </w:tcPr>
                <w:p w14:paraId="5A085575">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440" w:type="pct"/>
                  <w:vMerge w:val="continue"/>
                  <w:vAlign w:val="center"/>
                </w:tcPr>
                <w:p w14:paraId="3BBC4654">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798" w:type="pct"/>
                  <w:vAlign w:val="center"/>
                </w:tcPr>
                <w:p w14:paraId="07F40BEC">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产生量</w:t>
                  </w:r>
                </w:p>
                <w:p w14:paraId="0350C4DF">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(t/a)</w:t>
                  </w:r>
                </w:p>
              </w:tc>
              <w:tc>
                <w:tcPr>
                  <w:tcW w:w="570" w:type="pct"/>
                  <w:vAlign w:val="center"/>
                </w:tcPr>
                <w:p w14:paraId="61693366">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0.3436</w:t>
                  </w:r>
                </w:p>
              </w:tc>
              <w:tc>
                <w:tcPr>
                  <w:tcW w:w="819" w:type="pct"/>
                  <w:vMerge w:val="continue"/>
                  <w:vAlign w:val="center"/>
                </w:tcPr>
                <w:p w14:paraId="72275602">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p>
              </w:tc>
              <w:tc>
                <w:tcPr>
                  <w:tcW w:w="817" w:type="pct"/>
                  <w:vAlign w:val="center"/>
                </w:tcPr>
                <w:p w14:paraId="00C0B3C5">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排放量</w:t>
                  </w:r>
                </w:p>
                <w:p w14:paraId="570B4000">
                  <w:pPr>
                    <w:keepNext/>
                    <w:keepLines/>
                    <w:pageBreakBefore w:val="0"/>
                    <w:widowControl/>
                    <w:numPr>
                      <w:ilvl w:val="2"/>
                      <w:numId w:val="0"/>
                    </w:numPr>
                    <w:tabs>
                      <w:tab w:val="left" w:pos="420"/>
                    </w:tabs>
                    <w:wordWrap w:val="0"/>
                    <w:topLinePunct w:val="0"/>
                    <w:bidi w:val="0"/>
                    <w:spacing w:line="240" w:lineRule="auto"/>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(t/a)</w:t>
                  </w:r>
                </w:p>
              </w:tc>
              <w:tc>
                <w:tcPr>
                  <w:tcW w:w="595" w:type="pct"/>
                  <w:vAlign w:val="center"/>
                </w:tcPr>
                <w:p w14:paraId="4ADA03C3">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0.3436</w:t>
                  </w:r>
                </w:p>
              </w:tc>
            </w:tr>
          </w:tbl>
          <w:p w14:paraId="71AC0ACD">
            <w:pPr>
              <w:pStyle w:val="2"/>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B.臭气浓度</w:t>
            </w:r>
          </w:p>
          <w:p w14:paraId="7D3ED12A">
            <w:pPr>
              <w:pStyle w:val="2"/>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项目注塑工序中除了有机废气外，相应的会伴有轻微异味产生，以臭气浓度为评价因子，</w:t>
            </w:r>
            <w:r>
              <w:rPr>
                <w:rFonts w:hint="default" w:ascii="Times New Roman" w:hAnsi="Times New Roman" w:eastAsia="宋体" w:cs="Times New Roman"/>
                <w:color w:val="auto"/>
                <w:sz w:val="24"/>
                <w:highlight w:val="none"/>
                <w:lang w:val="en-US" w:eastAsia="zh-CN"/>
              </w:rPr>
              <w:t>其产生量及浓度较低，本评价不进行定量分析</w:t>
            </w:r>
            <w:r>
              <w:rPr>
                <w:rFonts w:hint="default" w:ascii="Times New Roman" w:hAnsi="Times New Roman" w:cs="Times New Roman"/>
                <w:color w:val="auto"/>
                <w:highlight w:val="none"/>
                <w:lang w:val="en-US" w:eastAsia="zh-CN"/>
              </w:rPr>
              <w:t>。项目注塑成型过程产生部分恶臭会与有机废气一起被收集处理后由排气筒排放，少部分未能被收集的恶臭通过加强车间管理后以无组织形式在车间排放，对外环境影响较小。</w:t>
            </w:r>
          </w:p>
          <w:p w14:paraId="52ADF252">
            <w:pPr>
              <w:pageBreakBefore w:val="0"/>
              <w:wordWrap w:val="0"/>
              <w:topLinePunct w:val="0"/>
              <w:bidi w:val="0"/>
              <w:spacing w:line="360" w:lineRule="auto"/>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C.颗粒物</w:t>
            </w:r>
          </w:p>
          <w:p w14:paraId="59C10952">
            <w:pPr>
              <w:pStyle w:val="2"/>
              <w:pageBreakBefore w:val="0"/>
              <w:wordWrap w:val="0"/>
              <w:topLinePunct w:val="0"/>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default" w:ascii="Times New Roman" w:hAnsi="Times New Roman" w:eastAsia="Times New Roman" w:cs="Times New Roman"/>
                <w:color w:val="auto"/>
                <w:highlight w:val="none"/>
                <w:lang w:val="en-US" w:eastAsia="zh-CN"/>
              </w:rPr>
              <w:t>塑胶边角料和塑胶次品</w:t>
            </w:r>
            <w:r>
              <w:rPr>
                <w:rFonts w:hint="default" w:ascii="Times New Roman" w:hAnsi="Times New Roman" w:cs="Times New Roman"/>
                <w:color w:val="auto"/>
                <w:highlight w:val="none"/>
                <w:lang w:val="en-US" w:eastAsia="zh-CN"/>
              </w:rPr>
              <w:t>碎料过程中会产生粉尘，以颗粒物表征。参考《关于发布&lt;排放源统计调查产排污核算方法和系数手册&gt;的公告》（公告2021年第24号）中“《42废弃资源综合利用行业系数手册》—4220非金属废料和碎屑加工处理行业系数手册表—原料为废PS/ABS—产品为再生塑料粒子—工艺为干法破碎—颗粒物的产污系数为425g/t-原料”。根据建设单位提供的资料，</w:t>
            </w:r>
            <w:r>
              <w:rPr>
                <w:rFonts w:hint="default" w:ascii="Times New Roman" w:hAnsi="Times New Roman" w:eastAsia="Times New Roman" w:cs="Times New Roman"/>
                <w:color w:val="auto"/>
                <w:highlight w:val="none"/>
                <w:lang w:val="en-US" w:eastAsia="zh-CN"/>
              </w:rPr>
              <w:t>塑胶边角料和塑胶次品</w:t>
            </w:r>
            <w:r>
              <w:rPr>
                <w:rFonts w:hint="default" w:ascii="Times New Roman" w:hAnsi="Times New Roman" w:cs="Times New Roman"/>
                <w:color w:val="auto"/>
                <w:highlight w:val="none"/>
                <w:lang w:val="en-US" w:eastAsia="zh-CN"/>
              </w:rPr>
              <w:t>的产生量约占原材料使用量的1%，项目</w:t>
            </w:r>
            <w:r>
              <w:rPr>
                <w:rFonts w:hint="default" w:ascii="Times New Roman" w:hAnsi="Times New Roman" w:eastAsia="宋体" w:cs="Times New Roman"/>
                <w:b w:val="0"/>
                <w:color w:val="auto"/>
                <w:kern w:val="2"/>
                <w:sz w:val="24"/>
                <w:szCs w:val="24"/>
                <w:highlight w:val="none"/>
                <w:lang w:val="en-US" w:eastAsia="zh-CN" w:bidi="ar-SA"/>
              </w:rPr>
              <w:t>尼龙料PA6、</w:t>
            </w:r>
            <w:r>
              <w:rPr>
                <w:rFonts w:hint="default" w:ascii="Times New Roman" w:hAnsi="Times New Roman" w:cs="Times New Roman"/>
                <w:b w:val="0"/>
                <w:color w:val="auto"/>
                <w:kern w:val="2"/>
                <w:sz w:val="24"/>
                <w:szCs w:val="24"/>
                <w:highlight w:val="none"/>
                <w:lang w:val="en-US" w:eastAsia="zh-CN" w:bidi="ar-SA"/>
              </w:rPr>
              <w:t>PP</w:t>
            </w:r>
            <w:r>
              <w:rPr>
                <w:rFonts w:hint="default" w:ascii="Times New Roman" w:hAnsi="Times New Roman" w:eastAsia="宋体" w:cs="Times New Roman"/>
                <w:b w:val="0"/>
                <w:color w:val="auto"/>
                <w:kern w:val="2"/>
                <w:sz w:val="24"/>
                <w:szCs w:val="24"/>
                <w:highlight w:val="none"/>
                <w:lang w:val="en-US" w:eastAsia="zh-CN" w:bidi="ar-SA"/>
              </w:rPr>
              <w:t>塑胶粒</w:t>
            </w:r>
            <w:r>
              <w:rPr>
                <w:rFonts w:hint="default" w:ascii="Times New Roman" w:hAnsi="Times New Roman" w:cs="Times New Roman"/>
                <w:color w:val="auto"/>
                <w:highlight w:val="none"/>
                <w:lang w:val="en-US" w:eastAsia="zh-CN"/>
              </w:rPr>
              <w:t>的年用量共630t，则</w:t>
            </w:r>
            <w:r>
              <w:rPr>
                <w:rFonts w:hint="default" w:ascii="Times New Roman" w:hAnsi="Times New Roman" w:eastAsia="Times New Roman" w:cs="Times New Roman"/>
                <w:color w:val="auto"/>
                <w:highlight w:val="none"/>
                <w:lang w:val="en-US" w:eastAsia="zh-CN"/>
              </w:rPr>
              <w:t>塑胶边角料和塑胶次品</w:t>
            </w:r>
            <w:r>
              <w:rPr>
                <w:rFonts w:hint="default" w:ascii="Times New Roman" w:hAnsi="Times New Roman" w:cs="Times New Roman"/>
                <w:color w:val="auto"/>
                <w:highlight w:val="none"/>
                <w:lang w:val="en-US" w:eastAsia="zh-CN"/>
              </w:rPr>
              <w:t>的产生量为6.3t，则碎料过程的粉尘产生量为0.003t/a，年工作时间以1240h计，废气产生速率为0.002kg/h。</w:t>
            </w:r>
          </w:p>
          <w:p w14:paraId="192301A6">
            <w:pPr>
              <w:pStyle w:val="44"/>
              <w:pageBreakBefore w:val="0"/>
              <w:wordWrap w:val="0"/>
              <w:topLinePunct w:val="0"/>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szCs w:val="32"/>
                <w:highlight w:val="none"/>
              </w:rPr>
              <w:t>塑料边角料及不合格产品经破碎后</w:t>
            </w:r>
            <w:r>
              <w:rPr>
                <w:rFonts w:hint="default" w:ascii="Times New Roman" w:hAnsi="Times New Roman" w:cs="Times New Roman"/>
                <w:color w:val="auto"/>
                <w:highlight w:val="none"/>
              </w:rPr>
              <w:t>大部分为较大的碎屑，少量较细小的粉尘在厂房内部飘散。破碎机整体结构中破碎段为封闭式，运行过程中产生的大部分粉尘聚集在机体内，只有少量粉尘逸出，以无组织排放的形式排放。</w:t>
            </w:r>
          </w:p>
          <w:p w14:paraId="2975418B">
            <w:pPr>
              <w:pageBreakBefore w:val="0"/>
              <w:wordWrap w:val="0"/>
              <w:topLinePunct w:val="0"/>
              <w:bidi w:val="0"/>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b/>
                <w:bCs/>
                <w:color w:val="auto"/>
                <w:sz w:val="24"/>
                <w:highlight w:val="none"/>
                <w:lang w:val="en-US" w:eastAsia="zh-CN"/>
              </w:rPr>
              <w:t>5、事故工况（非正常工况）废气污染物排放</w:t>
            </w:r>
          </w:p>
          <w:p w14:paraId="22349076">
            <w:pPr>
              <w:pageBreakBefore w:val="0"/>
              <w:wordWrap w:val="0"/>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本项目的非正常工况主要是污染物排放控制措施达不到应有效率，即处理设施发生故障，造成废气未经处理直接排放，其排放情况如下表。</w:t>
            </w:r>
          </w:p>
          <w:p w14:paraId="369439C0">
            <w:pPr>
              <w:pageBreakBefore w:val="0"/>
              <w:widowControl/>
              <w:wordWrap w:val="0"/>
              <w:topLinePunct w:val="0"/>
              <w:bidi w:val="0"/>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bCs/>
                <w:color w:val="auto"/>
                <w:sz w:val="21"/>
                <w:szCs w:val="21"/>
                <w:highlight w:val="none"/>
              </w:rPr>
              <w:t>表</w:t>
            </w:r>
            <w:r>
              <w:rPr>
                <w:rFonts w:hint="default" w:ascii="Times New Roman" w:hAnsi="Times New Roman" w:cs="Times New Roman"/>
                <w:b/>
                <w:bCs/>
                <w:color w:val="auto"/>
                <w:sz w:val="21"/>
                <w:szCs w:val="21"/>
                <w:highlight w:val="none"/>
                <w:lang w:val="en-US" w:eastAsia="zh-CN"/>
              </w:rPr>
              <w:t>4-6</w:t>
            </w:r>
            <w:r>
              <w:rPr>
                <w:rFonts w:hint="default" w:ascii="Times New Roman" w:hAnsi="Times New Roman" w:cs="Times New Roman"/>
                <w:b/>
                <w:color w:val="auto"/>
                <w:sz w:val="21"/>
                <w:szCs w:val="21"/>
                <w:highlight w:val="none"/>
              </w:rPr>
              <w:t>非正常工况有机废气排放情况</w:t>
            </w:r>
          </w:p>
          <w:tbl>
            <w:tblPr>
              <w:tblStyle w:val="38"/>
              <w:tblW w:w="4915" w:type="pct"/>
              <w:jc w:val="center"/>
              <w:tblBorders>
                <w:top w:val="single" w:color="auto" w:sz="4" w:space="0"/>
                <w:left w:val="single" w:color="auto" w:sz="4" w:space="0"/>
                <w:bottom w:val="single" w:color="auto" w:sz="4" w:space="0"/>
                <w:right w:val="single" w:color="auto" w:sz="6" w:space="0"/>
                <w:insideH w:val="single" w:color="auto" w:sz="4" w:space="0"/>
                <w:insideV w:val="single" w:color="auto" w:sz="4" w:space="0"/>
              </w:tblBorders>
              <w:tblLayout w:type="autofit"/>
              <w:tblCellMar>
                <w:top w:w="0" w:type="dxa"/>
                <w:left w:w="57" w:type="dxa"/>
                <w:bottom w:w="0" w:type="dxa"/>
                <w:right w:w="57" w:type="dxa"/>
              </w:tblCellMar>
            </w:tblPr>
            <w:tblGrid>
              <w:gridCol w:w="1270"/>
              <w:gridCol w:w="1281"/>
              <w:gridCol w:w="1285"/>
              <w:gridCol w:w="1285"/>
              <w:gridCol w:w="1285"/>
              <w:gridCol w:w="1311"/>
            </w:tblGrid>
            <w:tr w14:paraId="73F2691F">
              <w:tblPrEx>
                <w:tblBorders>
                  <w:top w:val="single" w:color="auto" w:sz="4" w:space="0"/>
                  <w:left w:val="single" w:color="auto" w:sz="4" w:space="0"/>
                  <w:bottom w:val="single" w:color="auto" w:sz="4" w:space="0"/>
                  <w:right w:val="single" w:color="auto" w:sz="6" w:space="0"/>
                  <w:insideH w:val="single" w:color="auto" w:sz="4" w:space="0"/>
                  <w:insideV w:val="single" w:color="auto" w:sz="4" w:space="0"/>
                </w:tblBorders>
                <w:tblCellMar>
                  <w:top w:w="0" w:type="dxa"/>
                  <w:left w:w="57" w:type="dxa"/>
                  <w:bottom w:w="0" w:type="dxa"/>
                  <w:right w:w="57" w:type="dxa"/>
                </w:tblCellMar>
              </w:tblPrEx>
              <w:trPr>
                <w:cantSplit/>
                <w:trHeight w:val="482" w:hRule="atLeast"/>
                <w:jc w:val="center"/>
              </w:trPr>
              <w:tc>
                <w:tcPr>
                  <w:tcW w:w="823" w:type="pct"/>
                  <w:vMerge w:val="restart"/>
                  <w:tcBorders>
                    <w:tl2br w:val="nil"/>
                    <w:tr2bl w:val="nil"/>
                  </w:tcBorders>
                  <w:vAlign w:val="center"/>
                </w:tcPr>
                <w:p w14:paraId="6C18467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污染源</w:t>
                  </w:r>
                </w:p>
              </w:tc>
              <w:tc>
                <w:tcPr>
                  <w:tcW w:w="830" w:type="pct"/>
                  <w:vMerge w:val="restart"/>
                  <w:tcBorders>
                    <w:tl2br w:val="nil"/>
                    <w:tr2bl w:val="nil"/>
                  </w:tcBorders>
                  <w:vAlign w:val="center"/>
                </w:tcPr>
                <w:p w14:paraId="5C77218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污染物名称</w:t>
                  </w:r>
                </w:p>
              </w:tc>
              <w:tc>
                <w:tcPr>
                  <w:tcW w:w="832" w:type="pct"/>
                  <w:vMerge w:val="restart"/>
                  <w:tcBorders>
                    <w:tl2br w:val="nil"/>
                    <w:tr2bl w:val="nil"/>
                  </w:tcBorders>
                  <w:vAlign w:val="center"/>
                </w:tcPr>
                <w:p w14:paraId="4F46AC51">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w:t>
                  </w:r>
                </w:p>
                <w:p w14:paraId="6FA8831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原因</w:t>
                  </w:r>
                </w:p>
              </w:tc>
              <w:tc>
                <w:tcPr>
                  <w:tcW w:w="2513" w:type="pct"/>
                  <w:gridSpan w:val="3"/>
                  <w:tcBorders>
                    <w:tl2br w:val="nil"/>
                    <w:tr2bl w:val="nil"/>
                  </w:tcBorders>
                  <w:vAlign w:val="center"/>
                </w:tcPr>
                <w:p w14:paraId="1424B4ED">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非正常排放状况</w:t>
                  </w:r>
                </w:p>
              </w:tc>
            </w:tr>
            <w:tr w14:paraId="14FC9EC3">
              <w:tblPrEx>
                <w:tblBorders>
                  <w:top w:val="single" w:color="auto" w:sz="4" w:space="0"/>
                  <w:left w:val="single" w:color="auto" w:sz="4" w:space="0"/>
                  <w:bottom w:val="single" w:color="auto" w:sz="4" w:space="0"/>
                  <w:right w:val="single" w:color="auto" w:sz="6" w:space="0"/>
                  <w:insideH w:val="single" w:color="auto" w:sz="4" w:space="0"/>
                  <w:insideV w:val="single" w:color="auto" w:sz="4" w:space="0"/>
                </w:tblBorders>
                <w:tblCellMar>
                  <w:top w:w="0" w:type="dxa"/>
                  <w:left w:w="57" w:type="dxa"/>
                  <w:bottom w:w="0" w:type="dxa"/>
                  <w:right w:w="57" w:type="dxa"/>
                </w:tblCellMar>
              </w:tblPrEx>
              <w:trPr>
                <w:cantSplit/>
                <w:trHeight w:val="482" w:hRule="atLeast"/>
                <w:jc w:val="center"/>
              </w:trPr>
              <w:tc>
                <w:tcPr>
                  <w:tcW w:w="823" w:type="pct"/>
                  <w:vMerge w:val="continue"/>
                  <w:tcBorders>
                    <w:tl2br w:val="nil"/>
                    <w:tr2bl w:val="nil"/>
                  </w:tcBorders>
                  <w:vAlign w:val="center"/>
                </w:tcPr>
                <w:p w14:paraId="7AA0CA5F">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0" w:type="pct"/>
                  <w:vMerge w:val="continue"/>
                  <w:tcBorders>
                    <w:tl2br w:val="nil"/>
                    <w:tr2bl w:val="nil"/>
                  </w:tcBorders>
                  <w:vAlign w:val="center"/>
                </w:tcPr>
                <w:p w14:paraId="37BD8C72">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2" w:type="pct"/>
                  <w:vMerge w:val="continue"/>
                  <w:tcBorders>
                    <w:tl2br w:val="nil"/>
                    <w:tr2bl w:val="nil"/>
                  </w:tcBorders>
                  <w:vAlign w:val="center"/>
                </w:tcPr>
                <w:p w14:paraId="74F0899F">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p>
              </w:tc>
              <w:tc>
                <w:tcPr>
                  <w:tcW w:w="832" w:type="pct"/>
                  <w:tcBorders>
                    <w:tl2br w:val="nil"/>
                    <w:tr2bl w:val="nil"/>
                  </w:tcBorders>
                  <w:vAlign w:val="center"/>
                </w:tcPr>
                <w:p w14:paraId="33FCEF2A">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频次及持续时间</w:t>
                  </w:r>
                </w:p>
              </w:tc>
              <w:tc>
                <w:tcPr>
                  <w:tcW w:w="832" w:type="pct"/>
                  <w:tcBorders>
                    <w:tl2br w:val="nil"/>
                    <w:tr2bl w:val="nil"/>
                  </w:tcBorders>
                  <w:vAlign w:val="center"/>
                </w:tcPr>
                <w:p w14:paraId="0F3CD83B">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排放速率</w:t>
                  </w:r>
                </w:p>
                <w:p w14:paraId="5A65EE55">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kg/h</w:t>
                  </w:r>
                </w:p>
              </w:tc>
              <w:tc>
                <w:tcPr>
                  <w:tcW w:w="849" w:type="pct"/>
                  <w:tcBorders>
                    <w:tl2br w:val="nil"/>
                    <w:tr2bl w:val="nil"/>
                  </w:tcBorders>
                  <w:vAlign w:val="center"/>
                </w:tcPr>
                <w:p w14:paraId="226196E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lang w:eastAsia="zh-CN"/>
                    </w:rPr>
                  </w:pPr>
                  <w:r>
                    <w:rPr>
                      <w:rFonts w:hint="default" w:ascii="Times New Roman" w:hAnsi="Times New Roman" w:cs="Times New Roman"/>
                      <w:b/>
                      <w:color w:val="auto"/>
                      <w:sz w:val="21"/>
                      <w:szCs w:val="21"/>
                      <w:highlight w:val="none"/>
                      <w:lang w:eastAsia="zh-CN"/>
                    </w:rPr>
                    <w:t>排放浓度</w:t>
                  </w:r>
                </w:p>
                <w:p w14:paraId="63C99C60">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lang w:val="en-US" w:eastAsia="zh-CN"/>
                    </w:rPr>
                    <w:t>mg/m</w:t>
                  </w:r>
                  <w:r>
                    <w:rPr>
                      <w:rFonts w:hint="default" w:ascii="Times New Roman" w:hAnsi="Times New Roman" w:cs="Times New Roman"/>
                      <w:b/>
                      <w:color w:val="auto"/>
                      <w:sz w:val="21"/>
                      <w:szCs w:val="21"/>
                      <w:highlight w:val="none"/>
                      <w:vertAlign w:val="superscript"/>
                      <w:lang w:val="en-US" w:eastAsia="zh-CN"/>
                    </w:rPr>
                    <w:t>3</w:t>
                  </w:r>
                </w:p>
              </w:tc>
            </w:tr>
            <w:tr w14:paraId="1ECFD277">
              <w:tblPrEx>
                <w:tblBorders>
                  <w:top w:val="single" w:color="auto" w:sz="4" w:space="0"/>
                  <w:left w:val="single" w:color="auto" w:sz="4" w:space="0"/>
                  <w:bottom w:val="single" w:color="auto" w:sz="4" w:space="0"/>
                  <w:right w:val="single" w:color="auto" w:sz="6" w:space="0"/>
                  <w:insideH w:val="single" w:color="auto" w:sz="4" w:space="0"/>
                  <w:insideV w:val="single" w:color="auto" w:sz="4" w:space="0"/>
                </w:tblBorders>
                <w:tblCellMar>
                  <w:top w:w="0" w:type="dxa"/>
                  <w:left w:w="57" w:type="dxa"/>
                  <w:bottom w:w="0" w:type="dxa"/>
                  <w:right w:w="57" w:type="dxa"/>
                </w:tblCellMar>
              </w:tblPrEx>
              <w:trPr>
                <w:cantSplit/>
                <w:trHeight w:val="954" w:hRule="atLeast"/>
                <w:jc w:val="center"/>
              </w:trPr>
              <w:tc>
                <w:tcPr>
                  <w:tcW w:w="823" w:type="pct"/>
                  <w:tcBorders>
                    <w:tl2br w:val="nil"/>
                    <w:tr2bl w:val="nil"/>
                  </w:tcBorders>
                  <w:vAlign w:val="center"/>
                </w:tcPr>
                <w:p w14:paraId="1188A12B">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注塑机</w:t>
                  </w:r>
                </w:p>
              </w:tc>
              <w:tc>
                <w:tcPr>
                  <w:tcW w:w="830" w:type="pct"/>
                  <w:tcBorders>
                    <w:tl2br w:val="nil"/>
                    <w:tr2bl w:val="nil"/>
                  </w:tcBorders>
                  <w:vAlign w:val="center"/>
                </w:tcPr>
                <w:p w14:paraId="5B45673F">
                  <w:pPr>
                    <w:keepNext w:val="0"/>
                    <w:keepLines w:val="0"/>
                    <w:pageBreakBefore w:val="0"/>
                    <w:kinsoku/>
                    <w:wordWrap w:val="0"/>
                    <w:overflowPunct/>
                    <w:topLinePunct w:val="0"/>
                    <w:autoSpaceDE/>
                    <w:autoSpaceDN/>
                    <w:bidi w:val="0"/>
                    <w:adjustRightInd/>
                    <w:snapToGrid/>
                    <w:spacing w:line="240" w:lineRule="auto"/>
                    <w:jc w:val="both"/>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832" w:type="pct"/>
                  <w:vMerge w:val="continue"/>
                  <w:tcBorders>
                    <w:tl2br w:val="nil"/>
                    <w:tr2bl w:val="nil"/>
                  </w:tcBorders>
                  <w:vAlign w:val="center"/>
                </w:tcPr>
                <w:p w14:paraId="0D282534">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p>
              </w:tc>
              <w:tc>
                <w:tcPr>
                  <w:tcW w:w="832" w:type="pct"/>
                  <w:tcBorders>
                    <w:top w:val="single" w:color="000000" w:sz="4" w:space="0"/>
                    <w:tl2br w:val="nil"/>
                    <w:tr2bl w:val="nil"/>
                  </w:tcBorders>
                  <w:vAlign w:val="center"/>
                </w:tcPr>
                <w:p w14:paraId="5CF8E99E">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1次/a，1h/次</w:t>
                  </w:r>
                </w:p>
              </w:tc>
              <w:tc>
                <w:tcPr>
                  <w:tcW w:w="832" w:type="pct"/>
                  <w:tcBorders>
                    <w:tl2br w:val="nil"/>
                    <w:tr2bl w:val="nil"/>
                  </w:tcBorders>
                  <w:vAlign w:val="center"/>
                </w:tcPr>
                <w:p w14:paraId="110A10E3">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0.18</w:t>
                  </w:r>
                </w:p>
              </w:tc>
              <w:tc>
                <w:tcPr>
                  <w:tcW w:w="849" w:type="pct"/>
                  <w:tcBorders>
                    <w:tl2br w:val="nil"/>
                    <w:tr2bl w:val="nil"/>
                  </w:tcBorders>
                  <w:vAlign w:val="center"/>
                </w:tcPr>
                <w:p w14:paraId="106AA16D">
                  <w:pPr>
                    <w:keepNext w:val="0"/>
                    <w:keepLines w:val="0"/>
                    <w:pageBreakBefore w:val="0"/>
                    <w:widowControl/>
                    <w:suppressLineNumbers w:val="0"/>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8.55</w:t>
                  </w:r>
                </w:p>
              </w:tc>
            </w:tr>
          </w:tbl>
          <w:p w14:paraId="76B97951">
            <w:pPr>
              <w:pageBreakBefore w:val="0"/>
              <w:wordWrap w:val="0"/>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由上表可知，在非正常工况下污染物的排放大幅增加。为防止生产废气非正常工况排放，企业必须加强废气处理设施的管理，定期检修，确保废气处理设施正常运行，在废气处理设备停止运行或出现故障时，产生废气的各工序也必须相应停止操作。为防止废气非正常排放，应采取以下措施确保废气达标排放：</w:t>
            </w:r>
          </w:p>
          <w:p w14:paraId="2B5E8691">
            <w:pPr>
              <w:pageBreakBefore w:val="0"/>
              <w:wordWrap w:val="0"/>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①安排专人负责环保设备的日常维护和管理，</w:t>
            </w:r>
            <w:r>
              <w:rPr>
                <w:rFonts w:hint="default" w:ascii="Times New Roman" w:hAnsi="Times New Roman" w:cs="Times New Roman"/>
                <w:color w:val="auto"/>
                <w:sz w:val="24"/>
                <w:highlight w:val="none"/>
                <w:lang w:eastAsia="zh-CN"/>
              </w:rPr>
              <w:t>每隔</w:t>
            </w:r>
            <w:r>
              <w:rPr>
                <w:rFonts w:hint="default" w:ascii="Times New Roman" w:hAnsi="Times New Roman" w:cs="Times New Roman"/>
                <w:color w:val="auto"/>
                <w:sz w:val="24"/>
                <w:highlight w:val="none"/>
              </w:rPr>
              <w:t>固定时间检查、汇报情况，及时发现废气处理设备的隐患，确保废气处理系统正常运行；</w:t>
            </w:r>
          </w:p>
          <w:p w14:paraId="0A48C3C1">
            <w:pPr>
              <w:pageBreakBefore w:val="0"/>
              <w:wordWrap w:val="0"/>
              <w:topLinePunct w:val="0"/>
              <w:bidi w:val="0"/>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②建立健全的环保管理机构，对环保管理人员和技术人员进行岗位培训，委托具有专业资质的环境检测单位对项目排放的各类污染物进行定期检测；</w:t>
            </w:r>
          </w:p>
          <w:p w14:paraId="5F22EE54">
            <w:pPr>
              <w:pageBreakBefore w:val="0"/>
              <w:wordWrap w:val="0"/>
              <w:topLinePunct w:val="0"/>
              <w:bidi w:val="0"/>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③应定期维护、检修废气净化装置，以保持废气处理装置的净化能力和净化容量</w:t>
            </w:r>
            <w:r>
              <w:rPr>
                <w:rFonts w:hint="default" w:ascii="Times New Roman" w:hAnsi="Times New Roman" w:cs="Times New Roman"/>
                <w:color w:val="auto"/>
                <w:sz w:val="24"/>
                <w:highlight w:val="none"/>
                <w:lang w:eastAsia="zh-CN"/>
              </w:rPr>
              <w:t>。</w:t>
            </w:r>
          </w:p>
          <w:p w14:paraId="0FB9EBD5">
            <w:pPr>
              <w:pageBreakBefore w:val="0"/>
              <w:wordWrap w:val="0"/>
              <w:topLinePunct w:val="0"/>
              <w:bidi w:val="0"/>
              <w:spacing w:line="360" w:lineRule="auto"/>
              <w:ind w:firstLine="480" w:firstLineChars="200"/>
              <w:rPr>
                <w:rFonts w:hint="default" w:ascii="Times New Roman" w:hAnsi="Times New Roman" w:eastAsia="宋体" w:cs="Times New Roman"/>
                <w:b/>
                <w:bCs/>
                <w:color w:val="auto"/>
                <w:sz w:val="24"/>
                <w:highlight w:val="none"/>
                <w:lang w:val="en-US" w:eastAsia="zh-CN"/>
              </w:rPr>
            </w:pPr>
            <w:r>
              <w:rPr>
                <w:rFonts w:hint="default" w:ascii="Times New Roman" w:hAnsi="Times New Roman" w:cs="Times New Roman"/>
                <w:b/>
                <w:bCs/>
                <w:color w:val="auto"/>
                <w:sz w:val="24"/>
                <w:highlight w:val="none"/>
                <w:lang w:val="en-US" w:eastAsia="zh-CN"/>
              </w:rPr>
              <w:t>6、废气影响分析</w:t>
            </w:r>
          </w:p>
          <w:p w14:paraId="78E6D7AC">
            <w:pPr>
              <w:pStyle w:val="2"/>
              <w:pageBreakBefore w:val="0"/>
              <w:wordWrap w:val="0"/>
              <w:topLinePunct w:val="0"/>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根据工程分析可知，项目</w:t>
            </w:r>
            <w:r>
              <w:rPr>
                <w:rFonts w:hint="default" w:ascii="Times New Roman" w:hAnsi="Times New Roman" w:cs="Times New Roman"/>
                <w:color w:val="auto"/>
                <w:highlight w:val="none"/>
                <w:lang w:val="en-US" w:eastAsia="zh-CN"/>
              </w:rPr>
              <w:t>非甲烷总烃有组织排放</w:t>
            </w:r>
            <w:r>
              <w:rPr>
                <w:rFonts w:hint="default" w:ascii="Times New Roman" w:hAnsi="Times New Roman" w:cs="Times New Roman"/>
                <w:color w:val="auto"/>
                <w:highlight w:val="none"/>
                <w:lang w:eastAsia="zh-CN"/>
              </w:rPr>
              <w:t>可达到</w:t>
            </w:r>
            <w:r>
              <w:rPr>
                <w:rFonts w:hint="default" w:ascii="Times New Roman" w:hAnsi="Times New Roman" w:cs="Times New Roman"/>
                <w:color w:val="auto"/>
                <w:highlight w:val="none"/>
                <w:lang w:val="en-US" w:eastAsia="zh-CN"/>
              </w:rPr>
              <w:t>《合成树脂工业污染物排放标准》（GB31572-2015，含2024年修改单）中表5大气污染物特别排放限值</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厂界无组织非甲烷总烃、颗粒物的排放</w:t>
            </w:r>
            <w:r>
              <w:rPr>
                <w:rFonts w:hint="default" w:ascii="Times New Roman" w:hAnsi="Times New Roman" w:cs="Times New Roman"/>
                <w:color w:val="auto"/>
                <w:highlight w:val="none"/>
                <w:lang w:eastAsia="zh-CN"/>
              </w:rPr>
              <w:t>可达到《合成树脂工业污染物排放标准》（GB31572-2015，含2024年修改单）中表9企业边界大气污染物浓度限值，对周围环境影响不大。</w:t>
            </w:r>
          </w:p>
          <w:p w14:paraId="02A7833E">
            <w:pPr>
              <w:pStyle w:val="2"/>
              <w:pageBreakBefore w:val="0"/>
              <w:wordWrap w:val="0"/>
              <w:topLinePunct w:val="0"/>
              <w:bidi w:val="0"/>
              <w:jc w:val="center"/>
              <w:rPr>
                <w:rFonts w:hint="default" w:ascii="Times New Roman" w:hAnsi="Times New Roman" w:cs="Times New Roman"/>
                <w:color w:val="auto"/>
                <w:highlight w:val="none"/>
                <w:lang w:eastAsia="zh-CN"/>
              </w:rPr>
            </w:pPr>
            <w:r>
              <w:rPr>
                <w:rFonts w:hint="default" w:ascii="Times New Roman" w:hAnsi="Times New Roman" w:cs="Times New Roman"/>
                <w:b/>
                <w:color w:val="auto"/>
                <w:sz w:val="21"/>
                <w:szCs w:val="18"/>
                <w:highlight w:val="none"/>
                <w:lang w:val="en-US" w:eastAsia="zh-CN"/>
              </w:rPr>
              <w:t>表4-7</w:t>
            </w:r>
            <w:r>
              <w:rPr>
                <w:rFonts w:hint="default" w:ascii="Times New Roman" w:hAnsi="Times New Roman" w:cs="Times New Roman"/>
                <w:b/>
                <w:color w:val="auto"/>
                <w:sz w:val="21"/>
                <w:szCs w:val="18"/>
                <w:highlight w:val="none"/>
              </w:rPr>
              <w:t>项目主要废气污染物排放总量</w:t>
            </w:r>
          </w:p>
          <w:tbl>
            <w:tblPr>
              <w:tblStyle w:val="39"/>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2464"/>
              <w:gridCol w:w="1875"/>
              <w:gridCol w:w="1729"/>
              <w:gridCol w:w="1783"/>
            </w:tblGrid>
            <w:tr w14:paraId="45F21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569" w:type="pct"/>
                  <w:vMerge w:val="restart"/>
                  <w:vAlign w:val="center"/>
                </w:tcPr>
                <w:p w14:paraId="6F88E7E3">
                  <w:pPr>
                    <w:pageBreakBefore w:val="0"/>
                    <w:widowControl/>
                    <w:wordWrap w:val="0"/>
                    <w:topLinePunct w:val="0"/>
                    <w:bidi w:val="0"/>
                    <w:spacing w:line="240" w:lineRule="auto"/>
                    <w:jc w:val="center"/>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主要污染物</w:t>
                  </w:r>
                </w:p>
              </w:tc>
              <w:tc>
                <w:tcPr>
                  <w:tcW w:w="3430" w:type="pct"/>
                  <w:gridSpan w:val="3"/>
                  <w:vAlign w:val="center"/>
                </w:tcPr>
                <w:p w14:paraId="7A9D8F65">
                  <w:pPr>
                    <w:pageBreakBefore w:val="0"/>
                    <w:widowControl/>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eastAsia="zh-CN"/>
                    </w:rPr>
                    <w:t>项目排放量</w:t>
                  </w:r>
                </w:p>
              </w:tc>
            </w:tr>
            <w:tr w14:paraId="38EB3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569" w:type="pct"/>
                  <w:vMerge w:val="continue"/>
                  <w:vAlign w:val="center"/>
                </w:tcPr>
                <w:p w14:paraId="40CE205E">
                  <w:pPr>
                    <w:pageBreakBefore w:val="0"/>
                    <w:widowControl/>
                    <w:wordWrap w:val="0"/>
                    <w:topLinePunct w:val="0"/>
                    <w:bidi w:val="0"/>
                    <w:spacing w:line="240" w:lineRule="auto"/>
                    <w:jc w:val="center"/>
                    <w:rPr>
                      <w:rFonts w:hint="default" w:ascii="Times New Roman" w:hAnsi="Times New Roman" w:cs="Times New Roman"/>
                      <w:color w:val="auto"/>
                      <w:highlight w:val="none"/>
                    </w:rPr>
                  </w:pPr>
                </w:p>
              </w:tc>
              <w:tc>
                <w:tcPr>
                  <w:tcW w:w="1194" w:type="pct"/>
                  <w:vAlign w:val="center"/>
                </w:tcPr>
                <w:p w14:paraId="778AA21A">
                  <w:pPr>
                    <w:pageBreakBefore w:val="0"/>
                    <w:widowControl/>
                    <w:wordWrap w:val="0"/>
                    <w:topLinePunct w:val="0"/>
                    <w:bidi w:val="0"/>
                    <w:spacing w:line="240" w:lineRule="auto"/>
                    <w:jc w:val="center"/>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有组织</w:t>
                  </w:r>
                </w:p>
              </w:tc>
              <w:tc>
                <w:tcPr>
                  <w:tcW w:w="1101" w:type="pct"/>
                  <w:vAlign w:val="center"/>
                </w:tcPr>
                <w:p w14:paraId="5F637F7F">
                  <w:pPr>
                    <w:pageBreakBefore w:val="0"/>
                    <w:widowControl/>
                    <w:wordWrap w:val="0"/>
                    <w:topLinePunct w:val="0"/>
                    <w:bidi w:val="0"/>
                    <w:spacing w:line="240" w:lineRule="auto"/>
                    <w:jc w:val="center"/>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无组织</w:t>
                  </w:r>
                </w:p>
              </w:tc>
              <w:tc>
                <w:tcPr>
                  <w:tcW w:w="1134" w:type="pct"/>
                  <w:vAlign w:val="center"/>
                </w:tcPr>
                <w:p w14:paraId="64451730">
                  <w:pPr>
                    <w:pageBreakBefore w:val="0"/>
                    <w:widowControl/>
                    <w:wordWrap w:val="0"/>
                    <w:topLinePunct w:val="0"/>
                    <w:bidi w:val="0"/>
                    <w:spacing w:line="240" w:lineRule="auto"/>
                    <w:jc w:val="center"/>
                    <w:rPr>
                      <w:rFonts w:hint="default" w:ascii="Times New Roman" w:hAnsi="Times New Roman" w:cs="Times New Roman"/>
                      <w:b/>
                      <w:bCs/>
                      <w:color w:val="auto"/>
                      <w:sz w:val="21"/>
                      <w:szCs w:val="21"/>
                      <w:highlight w:val="none"/>
                      <w:lang w:eastAsia="zh-CN"/>
                    </w:rPr>
                  </w:pPr>
                  <w:r>
                    <w:rPr>
                      <w:rFonts w:hint="default" w:ascii="Times New Roman" w:hAnsi="Times New Roman" w:cs="Times New Roman"/>
                      <w:b/>
                      <w:bCs/>
                      <w:color w:val="auto"/>
                      <w:sz w:val="21"/>
                      <w:szCs w:val="21"/>
                      <w:highlight w:val="none"/>
                      <w:lang w:eastAsia="zh-CN"/>
                    </w:rPr>
                    <w:t>合计</w:t>
                  </w:r>
                </w:p>
              </w:tc>
            </w:tr>
            <w:tr w14:paraId="6445B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569" w:type="pct"/>
                  <w:vAlign w:val="center"/>
                </w:tcPr>
                <w:p w14:paraId="30DD75DF">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194" w:type="pct"/>
                  <w:vAlign w:val="center"/>
                </w:tcPr>
                <w:p w14:paraId="45A5CFBA">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0.275</w:t>
                  </w:r>
                </w:p>
              </w:tc>
              <w:tc>
                <w:tcPr>
                  <w:tcW w:w="1101" w:type="pct"/>
                  <w:vAlign w:val="center"/>
                </w:tcPr>
                <w:p w14:paraId="70448C98">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0.3436</w:t>
                  </w:r>
                </w:p>
              </w:tc>
              <w:tc>
                <w:tcPr>
                  <w:tcW w:w="1134" w:type="pct"/>
                  <w:vAlign w:val="center"/>
                </w:tcPr>
                <w:p w14:paraId="72E174B3">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0.6186</w:t>
                  </w:r>
                </w:p>
              </w:tc>
            </w:tr>
            <w:tr w14:paraId="493C0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569" w:type="pct"/>
                  <w:vAlign w:val="center"/>
                </w:tcPr>
                <w:p w14:paraId="21B9FB2B">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颗粒物</w:t>
                  </w:r>
                </w:p>
              </w:tc>
              <w:tc>
                <w:tcPr>
                  <w:tcW w:w="1194" w:type="pct"/>
                  <w:vAlign w:val="center"/>
                </w:tcPr>
                <w:p w14:paraId="6E2E92F2">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101" w:type="pct"/>
                  <w:vAlign w:val="center"/>
                </w:tcPr>
                <w:p w14:paraId="5ADA0E2E">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0.003</w:t>
                  </w:r>
                </w:p>
              </w:tc>
              <w:tc>
                <w:tcPr>
                  <w:tcW w:w="1134" w:type="pct"/>
                  <w:vAlign w:val="center"/>
                </w:tcPr>
                <w:p w14:paraId="3C12CD47">
                  <w:pPr>
                    <w:pageBreakBefore w:val="0"/>
                    <w:widowControl/>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0.003</w:t>
                  </w:r>
                </w:p>
              </w:tc>
            </w:tr>
            <w:tr w14:paraId="72EE3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1569" w:type="pct"/>
                  <w:vAlign w:val="center"/>
                </w:tcPr>
                <w:p w14:paraId="3CD501A6">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臭气浓度</w:t>
                  </w:r>
                </w:p>
              </w:tc>
              <w:tc>
                <w:tcPr>
                  <w:tcW w:w="1194" w:type="pct"/>
                  <w:vAlign w:val="center"/>
                </w:tcPr>
                <w:p w14:paraId="47BD1FFE">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少量</w:t>
                  </w:r>
                </w:p>
              </w:tc>
              <w:tc>
                <w:tcPr>
                  <w:tcW w:w="1101" w:type="pct"/>
                  <w:vAlign w:val="center"/>
                </w:tcPr>
                <w:p w14:paraId="5C3DE6A0">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少量</w:t>
                  </w:r>
                </w:p>
              </w:tc>
              <w:tc>
                <w:tcPr>
                  <w:tcW w:w="1134" w:type="pct"/>
                  <w:vAlign w:val="center"/>
                </w:tcPr>
                <w:p w14:paraId="0EA6CCF1">
                  <w:pPr>
                    <w:pageBreakBefore w:val="0"/>
                    <w:widowControl/>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少量</w:t>
                  </w:r>
                </w:p>
              </w:tc>
            </w:tr>
          </w:tbl>
          <w:p w14:paraId="481F9BB7">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二、废水污染源</w:t>
            </w:r>
          </w:p>
          <w:p w14:paraId="71BAFADF">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1、污染源源强分析</w:t>
            </w:r>
          </w:p>
          <w:p w14:paraId="70B29A25">
            <w:pPr>
              <w:keepNext/>
              <w:keepLines/>
              <w:pageBreakBefore w:val="0"/>
              <w:numPr>
                <w:ilvl w:val="4"/>
                <w:numId w:val="0"/>
              </w:numPr>
              <w:tabs>
                <w:tab w:val="left" w:pos="0"/>
              </w:tabs>
              <w:wordWrap w:val="0"/>
              <w:topLinePunct w:val="0"/>
              <w:bidi w:val="0"/>
              <w:ind w:left="-960" w:firstLine="144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（1）生活污水</w:t>
            </w:r>
          </w:p>
          <w:p w14:paraId="0A44C8BA">
            <w:pPr>
              <w:pageBreakBefore w:val="0"/>
              <w:widowControl/>
              <w:wordWrap w:val="0"/>
              <w:topLinePunct w:val="0"/>
              <w:bidi w:val="0"/>
              <w:ind w:firstLine="480" w:firstLineChars="200"/>
              <w:jc w:val="left"/>
              <w:rPr>
                <w:rFonts w:hint="default" w:ascii="Times New Roman" w:hAnsi="Times New Roman" w:cs="Times New Roman"/>
                <w:color w:val="auto"/>
                <w:kern w:val="0"/>
                <w:highlight w:val="none"/>
                <w:lang w:bidi="ar"/>
              </w:rPr>
            </w:pPr>
            <w:r>
              <w:rPr>
                <w:rFonts w:hint="default" w:ascii="Times New Roman" w:hAnsi="Times New Roman" w:cs="Times New Roman"/>
                <w:color w:val="auto"/>
                <w:kern w:val="0"/>
                <w:highlight w:val="none"/>
                <w:lang w:bidi="ar"/>
              </w:rPr>
              <w:t>本项目劳动定员</w:t>
            </w:r>
            <w:r>
              <w:rPr>
                <w:rFonts w:hint="default" w:ascii="Times New Roman" w:hAnsi="Times New Roman" w:cs="Times New Roman"/>
                <w:color w:val="auto"/>
                <w:kern w:val="0"/>
                <w:highlight w:val="none"/>
                <w:lang w:val="en-US" w:eastAsia="zh-CN" w:bidi="ar"/>
              </w:rPr>
              <w:t>80</w:t>
            </w:r>
            <w:r>
              <w:rPr>
                <w:rFonts w:hint="default" w:ascii="Times New Roman" w:hAnsi="Times New Roman" w:cs="Times New Roman"/>
                <w:color w:val="auto"/>
                <w:kern w:val="0"/>
                <w:highlight w:val="none"/>
                <w:lang w:bidi="ar"/>
              </w:rPr>
              <w:t>人，</w:t>
            </w:r>
            <w:r>
              <w:rPr>
                <w:rFonts w:hint="default" w:ascii="Times New Roman" w:hAnsi="Times New Roman" w:cs="Times New Roman"/>
                <w:color w:val="auto"/>
                <w:kern w:val="0"/>
                <w:highlight w:val="none"/>
                <w:lang w:val="en-US" w:eastAsia="zh-CN" w:bidi="ar"/>
              </w:rPr>
              <w:t>项目内部不设</w:t>
            </w:r>
            <w:r>
              <w:rPr>
                <w:rFonts w:hint="default" w:ascii="Times New Roman" w:hAnsi="Times New Roman" w:cs="Times New Roman"/>
                <w:color w:val="auto"/>
                <w:kern w:val="0"/>
                <w:highlight w:val="none"/>
                <w:lang w:eastAsia="zh-CN" w:bidi="ar"/>
              </w:rPr>
              <w:t>食堂</w:t>
            </w:r>
            <w:r>
              <w:rPr>
                <w:rFonts w:hint="default" w:ascii="Times New Roman" w:hAnsi="Times New Roman" w:cs="Times New Roman"/>
                <w:color w:val="auto"/>
                <w:kern w:val="0"/>
                <w:highlight w:val="none"/>
                <w:lang w:bidi="ar"/>
              </w:rPr>
              <w:t>和宿舍，员工均在厂区内食宿，年工作天数</w:t>
            </w:r>
            <w:r>
              <w:rPr>
                <w:rFonts w:hint="default" w:ascii="Times New Roman" w:hAnsi="Times New Roman" w:cs="Times New Roman"/>
                <w:color w:val="auto"/>
                <w:kern w:val="0"/>
                <w:highlight w:val="none"/>
                <w:lang w:val="en-US" w:eastAsia="zh-CN" w:bidi="ar"/>
              </w:rPr>
              <w:t>310</w:t>
            </w:r>
            <w:r>
              <w:rPr>
                <w:rFonts w:hint="default" w:ascii="Times New Roman" w:hAnsi="Times New Roman" w:cs="Times New Roman"/>
                <w:color w:val="auto"/>
                <w:kern w:val="0"/>
                <w:highlight w:val="none"/>
                <w:lang w:bidi="ar"/>
              </w:rPr>
              <w:t>天。</w:t>
            </w:r>
          </w:p>
          <w:p w14:paraId="02DF4FC1">
            <w:pPr>
              <w:pageBreakBefore w:val="0"/>
              <w:widowControl/>
              <w:wordWrap w:val="0"/>
              <w:topLinePunct w:val="0"/>
              <w:bidi w:val="0"/>
              <w:ind w:firstLine="480" w:firstLineChars="200"/>
              <w:jc w:val="both"/>
              <w:rPr>
                <w:rFonts w:hint="default" w:ascii="Times New Roman" w:hAnsi="Times New Roman" w:eastAsia="宋体" w:cs="Times New Roman"/>
                <w:color w:val="auto"/>
                <w:kern w:val="0"/>
                <w:highlight w:val="none"/>
              </w:rPr>
            </w:pPr>
            <w:r>
              <w:rPr>
                <w:rFonts w:hint="default" w:ascii="Times New Roman" w:hAnsi="Times New Roman" w:cs="Times New Roman"/>
                <w:color w:val="auto"/>
                <w:kern w:val="0"/>
                <w:sz w:val="24"/>
                <w:szCs w:val="24"/>
                <w:highlight w:val="none"/>
                <w:lang w:eastAsia="zh-CN"/>
              </w:rPr>
              <w:t>参考</w:t>
            </w:r>
            <w:r>
              <w:rPr>
                <w:rFonts w:hint="default" w:ascii="Times New Roman" w:hAnsi="Times New Roman" w:eastAsia="宋体" w:cs="Times New Roman"/>
                <w:color w:val="auto"/>
                <w:kern w:val="0"/>
                <w:sz w:val="24"/>
                <w:szCs w:val="24"/>
                <w:highlight w:val="none"/>
              </w:rPr>
              <w:t>广东省《用水定额 第3部分</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生活》</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DB44/T1461.3-2021</w:t>
            </w:r>
            <w:r>
              <w:rPr>
                <w:rFonts w:hint="default" w:ascii="Times New Roman" w:hAnsi="Times New Roman"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表A.1服务业用水定额表，国家行政机构办公楼无食堂和浴室的用水定额先进值为 10m</w:t>
            </w:r>
            <w:r>
              <w:rPr>
                <w:rFonts w:hint="default" w:ascii="Times New Roman" w:hAnsi="Times New Roman" w:eastAsia="宋体" w:cs="Times New Roman"/>
                <w:color w:val="auto"/>
                <w:kern w:val="0"/>
                <w:sz w:val="24"/>
                <w:szCs w:val="24"/>
                <w:highlight w:val="none"/>
                <w:vertAlign w:val="superscript"/>
              </w:rPr>
              <w:t>3</w:t>
            </w:r>
            <w:r>
              <w:rPr>
                <w:rFonts w:hint="default" w:ascii="Times New Roman" w:hAnsi="Times New Roman" w:eastAsia="宋体" w:cs="Times New Roman"/>
                <w:color w:val="auto"/>
                <w:kern w:val="0"/>
                <w:sz w:val="24"/>
                <w:szCs w:val="24"/>
                <w:highlight w:val="none"/>
              </w:rPr>
              <w:t>/(人·a)计，</w:t>
            </w:r>
            <w:r>
              <w:rPr>
                <w:rFonts w:hint="default" w:ascii="Times New Roman" w:hAnsi="Times New Roman" w:cs="Times New Roman"/>
                <w:color w:val="auto"/>
                <w:highlight w:val="none"/>
                <w:lang w:eastAsia="zh-CN"/>
              </w:rPr>
              <w:t>则对</w:t>
            </w:r>
            <w:r>
              <w:rPr>
                <w:rFonts w:hint="default" w:ascii="Times New Roman" w:hAnsi="Times New Roman" w:eastAsia="宋体" w:cs="Times New Roman"/>
                <w:color w:val="auto"/>
                <w:kern w:val="0"/>
                <w:sz w:val="24"/>
                <w:szCs w:val="24"/>
                <w:highlight w:val="none"/>
                <w:lang w:val="en-US" w:eastAsia="zh-CN"/>
              </w:rPr>
              <w:t>应</w:t>
            </w:r>
            <w:r>
              <w:rPr>
                <w:rFonts w:hint="default" w:ascii="Times New Roman" w:hAnsi="Times New Roman" w:eastAsia="宋体" w:cs="Times New Roman"/>
                <w:color w:val="auto"/>
                <w:kern w:val="0"/>
                <w:sz w:val="24"/>
                <w:szCs w:val="24"/>
                <w:highlight w:val="none"/>
              </w:rPr>
              <w:t>生活用水量为</w:t>
            </w:r>
            <w:r>
              <w:rPr>
                <w:rFonts w:hint="default" w:ascii="Times New Roman" w:hAnsi="Times New Roman" w:cs="Times New Roman"/>
                <w:color w:val="auto"/>
                <w:kern w:val="0"/>
                <w:sz w:val="24"/>
                <w:szCs w:val="24"/>
                <w:highlight w:val="none"/>
                <w:lang w:val="en-US" w:eastAsia="zh-CN"/>
              </w:rPr>
              <w:t>800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。按照排污系数0.9计算，则生活污水排放量为</w:t>
            </w:r>
            <w:r>
              <w:rPr>
                <w:rFonts w:hint="default" w:ascii="Times New Roman" w:hAnsi="Times New Roman" w:cs="Times New Roman"/>
                <w:color w:val="auto"/>
                <w:kern w:val="0"/>
                <w:sz w:val="24"/>
                <w:szCs w:val="24"/>
                <w:highlight w:val="none"/>
                <w:lang w:val="en-US" w:eastAsia="zh-CN"/>
              </w:rPr>
              <w:t>720</w:t>
            </w:r>
            <w:r>
              <w:rPr>
                <w:rFonts w:hint="default" w:ascii="Times New Roman" w:hAnsi="Times New Roman" w:eastAsia="宋体" w:cs="Times New Roman"/>
                <w:color w:val="auto"/>
                <w:sz w:val="24"/>
                <w:highlight w:val="none"/>
              </w:rPr>
              <w:t>m</w:t>
            </w:r>
            <w:r>
              <w:rPr>
                <w:rFonts w:hint="default" w:ascii="Times New Roman" w:hAnsi="Times New Roman" w:eastAsia="宋体" w:cs="Times New Roman"/>
                <w:color w:val="auto"/>
                <w:sz w:val="24"/>
                <w:highlight w:val="none"/>
                <w:vertAlign w:val="superscript"/>
              </w:rPr>
              <w:t>3</w:t>
            </w:r>
            <w:r>
              <w:rPr>
                <w:rFonts w:hint="default" w:ascii="Times New Roman" w:hAnsi="Times New Roman" w:eastAsia="宋体" w:cs="Times New Roman"/>
                <w:color w:val="auto"/>
                <w:sz w:val="24"/>
                <w:highlight w:val="none"/>
                <w:vertAlign w:val="baseline"/>
                <w:lang w:val="en-US" w:eastAsia="zh-CN"/>
              </w:rPr>
              <w:t>/a</w:t>
            </w:r>
            <w:r>
              <w:rPr>
                <w:rFonts w:hint="default" w:ascii="Times New Roman" w:hAnsi="Times New Roman" w:eastAsia="宋体" w:cs="Times New Roman"/>
                <w:color w:val="auto"/>
                <w:kern w:val="0"/>
                <w:sz w:val="24"/>
                <w:szCs w:val="24"/>
                <w:highlight w:val="none"/>
              </w:rPr>
              <w:t>。本项目</w:t>
            </w:r>
            <w:r>
              <w:rPr>
                <w:rFonts w:hint="default" w:ascii="Times New Roman" w:hAnsi="Times New Roman" w:eastAsia="宋体" w:cs="Times New Roman"/>
                <w:color w:val="auto"/>
                <w:kern w:val="0"/>
                <w:sz w:val="24"/>
                <w:szCs w:val="24"/>
                <w:highlight w:val="none"/>
                <w:lang w:eastAsia="zh-CN"/>
              </w:rPr>
              <w:t>生活</w:t>
            </w:r>
            <w:r>
              <w:rPr>
                <w:rFonts w:hint="default" w:ascii="Times New Roman" w:hAnsi="Times New Roman" w:eastAsia="宋体" w:cs="Times New Roman"/>
                <w:color w:val="auto"/>
                <w:kern w:val="0"/>
                <w:sz w:val="24"/>
                <w:szCs w:val="24"/>
                <w:highlight w:val="none"/>
              </w:rPr>
              <w:t>污水经过三级化粪池处理后排入园区污水处理厂，处理达标后排入武江（乐昌城-犁市河段）</w:t>
            </w:r>
            <w:r>
              <w:rPr>
                <w:rFonts w:hint="default" w:ascii="Times New Roman" w:hAnsi="Times New Roman" w:cs="Times New Roman"/>
                <w:color w:val="auto"/>
                <w:kern w:val="0"/>
                <w:sz w:val="24"/>
                <w:szCs w:val="24"/>
                <w:highlight w:val="none"/>
                <w:lang w:eastAsia="zh-CN"/>
              </w:rPr>
              <w:t>。</w:t>
            </w:r>
          </w:p>
          <w:p w14:paraId="117F20FE">
            <w:pPr>
              <w:pageBreakBefore w:val="0"/>
              <w:widowControl/>
              <w:wordWrap w:val="0"/>
              <w:topLinePunct w:val="0"/>
              <w:bidi w:val="0"/>
              <w:ind w:firstLine="480" w:firstLineChars="200"/>
              <w:jc w:val="both"/>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污染物产生浓度参考《给排水设计手册》第五册《城镇排水》表4-1典型生活污水水质示例中的中浓度水质指标。生活污水的主要污染物为COD</w:t>
            </w:r>
            <w:r>
              <w:rPr>
                <w:rFonts w:hint="default" w:ascii="Times New Roman" w:hAnsi="Times New Roman" w:eastAsia="宋体" w:cs="Times New Roman"/>
                <w:color w:val="auto"/>
                <w:highlight w:val="none"/>
                <w:vertAlign w:val="subscript"/>
              </w:rPr>
              <w:t>Cr</w:t>
            </w: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、SS、NH</w:t>
            </w:r>
            <w:r>
              <w:rPr>
                <w:rFonts w:hint="default" w:ascii="Times New Roman" w:hAnsi="Times New Roman" w:eastAsia="宋体" w:cs="Times New Roman"/>
                <w:color w:val="auto"/>
                <w:highlight w:val="none"/>
                <w:vertAlign w:val="subscript"/>
              </w:rPr>
              <w:t>3</w:t>
            </w:r>
            <w:r>
              <w:rPr>
                <w:rFonts w:hint="default" w:ascii="Times New Roman" w:hAnsi="Times New Roman" w:eastAsia="宋体" w:cs="Times New Roman"/>
                <w:color w:val="auto"/>
                <w:highlight w:val="none"/>
              </w:rPr>
              <w:t>-N。</w:t>
            </w:r>
          </w:p>
          <w:p w14:paraId="5DBCE4B1">
            <w:pPr>
              <w:pageBreakBefore w:val="0"/>
              <w:widowControl w:val="0"/>
              <w:wordWrap w:val="0"/>
              <w:topLinePunct w:val="0"/>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参考《给排水设计手册》（第5册城镇排水）中关于化粪池的处理效率，“三级化粪池”对SS的去除效率达30%，项目生活污水经三级化粪池处理效率参考《第一次全国污染源普查城镇生活源产排污系数手册》三级化粪池产排污系数计算的处理效率，即COD</w:t>
            </w:r>
            <w:r>
              <w:rPr>
                <w:rFonts w:hint="default" w:ascii="Times New Roman" w:hAnsi="Times New Roman" w:eastAsia="宋体" w:cs="Times New Roman"/>
                <w:color w:val="auto"/>
                <w:kern w:val="2"/>
                <w:sz w:val="24"/>
                <w:szCs w:val="24"/>
                <w:highlight w:val="none"/>
                <w:vertAlign w:val="subscript"/>
                <w:lang w:val="en-US" w:eastAsia="zh-CN" w:bidi="ar-SA"/>
              </w:rPr>
              <w:t>Cr</w:t>
            </w:r>
            <w:r>
              <w:rPr>
                <w:rFonts w:hint="default" w:ascii="Times New Roman" w:hAnsi="Times New Roman" w:eastAsia="宋体" w:cs="Times New Roman"/>
                <w:color w:val="auto"/>
                <w:kern w:val="2"/>
                <w:sz w:val="24"/>
                <w:szCs w:val="24"/>
                <w:highlight w:val="none"/>
                <w:lang w:val="en-US" w:eastAsia="zh-CN" w:bidi="ar-SA"/>
              </w:rPr>
              <w:t>去除率为20%，NH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N去除率为3%）。处理效率参考《我国农村化粪池污染物去除效果及影响因素分析》（环境工程学报，2021）、《化粪池在实际生活中的比选和应用》（污染与防治陈杰、姜红）、《化粪池与人工湿地联用处理湖南农村地区生活污水研究》（湖南大学蒙语桦）等文献，三级化粪池对BOD</w:t>
            </w:r>
            <w:r>
              <w:rPr>
                <w:rFonts w:hint="default" w:ascii="Times New Roman" w:hAnsi="Times New Roman" w:eastAsia="宋体" w:cs="Times New Roman"/>
                <w:color w:val="auto"/>
                <w:kern w:val="2"/>
                <w:sz w:val="24"/>
                <w:szCs w:val="24"/>
                <w:highlight w:val="none"/>
                <w:vertAlign w:val="subscript"/>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去除效率为去除效率29%～72%，因此本项目BOD</w:t>
            </w:r>
            <w:r>
              <w:rPr>
                <w:rFonts w:hint="default" w:ascii="Times New Roman" w:hAnsi="Times New Roman" w:eastAsia="宋体" w:cs="Times New Roman"/>
                <w:color w:val="auto"/>
                <w:kern w:val="2"/>
                <w:sz w:val="24"/>
                <w:szCs w:val="24"/>
                <w:highlight w:val="none"/>
                <w:vertAlign w:val="subscript"/>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去除效率取29%。</w:t>
            </w:r>
          </w:p>
          <w:p w14:paraId="71076ABE">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8</w:t>
            </w:r>
            <w:r>
              <w:rPr>
                <w:rFonts w:hint="default" w:ascii="Times New Roman" w:hAnsi="Times New Roman" w:eastAsia="宋体" w:cs="Times New Roman"/>
                <w:b/>
                <w:bCs/>
                <w:color w:val="auto"/>
                <w:kern w:val="2"/>
                <w:sz w:val="21"/>
                <w:szCs w:val="21"/>
                <w:highlight w:val="none"/>
                <w:lang w:val="en-US" w:eastAsia="zh-CN" w:bidi="ar-SA"/>
              </w:rPr>
              <w:t>污水污染源源强核算结果及相关参数一览表</w:t>
            </w:r>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51"/>
              <w:gridCol w:w="546"/>
              <w:gridCol w:w="813"/>
              <w:gridCol w:w="463"/>
              <w:gridCol w:w="674"/>
              <w:gridCol w:w="567"/>
              <w:gridCol w:w="766"/>
              <w:gridCol w:w="526"/>
              <w:gridCol w:w="440"/>
              <w:gridCol w:w="554"/>
              <w:gridCol w:w="554"/>
              <w:gridCol w:w="831"/>
              <w:gridCol w:w="562"/>
            </w:tblGrid>
            <w:tr w14:paraId="52BEC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restart"/>
                  <w:vAlign w:val="center"/>
                </w:tcPr>
                <w:p w14:paraId="29BF4E8F">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工序/生产线</w:t>
                  </w:r>
                </w:p>
              </w:tc>
              <w:tc>
                <w:tcPr>
                  <w:tcW w:w="348" w:type="pct"/>
                  <w:vMerge w:val="restart"/>
                  <w:vAlign w:val="center"/>
                </w:tcPr>
                <w:p w14:paraId="65E6BB53">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装置</w:t>
                  </w:r>
                </w:p>
              </w:tc>
              <w:tc>
                <w:tcPr>
                  <w:tcW w:w="518" w:type="pct"/>
                  <w:vMerge w:val="restart"/>
                  <w:vAlign w:val="center"/>
                </w:tcPr>
                <w:p w14:paraId="7E1BAEB8">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w:t>
                  </w:r>
                </w:p>
              </w:tc>
              <w:tc>
                <w:tcPr>
                  <w:tcW w:w="1573" w:type="pct"/>
                  <w:gridSpan w:val="4"/>
                  <w:vAlign w:val="center"/>
                </w:tcPr>
                <w:p w14:paraId="220C8C6C">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污染物产生</w:t>
                  </w:r>
                </w:p>
              </w:tc>
              <w:tc>
                <w:tcPr>
                  <w:tcW w:w="615" w:type="pct"/>
                  <w:gridSpan w:val="2"/>
                  <w:vAlign w:val="center"/>
                </w:tcPr>
                <w:p w14:paraId="35FE0F6F">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治理措施</w:t>
                  </w:r>
                </w:p>
              </w:tc>
              <w:tc>
                <w:tcPr>
                  <w:tcW w:w="1235" w:type="pct"/>
                  <w:gridSpan w:val="3"/>
                  <w:vAlign w:val="center"/>
                </w:tcPr>
                <w:p w14:paraId="5C07587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污染物排放</w:t>
                  </w:r>
                </w:p>
              </w:tc>
              <w:tc>
                <w:tcPr>
                  <w:tcW w:w="358" w:type="pct"/>
                  <w:vMerge w:val="restart"/>
                  <w:vAlign w:val="center"/>
                </w:tcPr>
                <w:p w14:paraId="176EEBA5">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排放时间h/a</w:t>
                  </w:r>
                </w:p>
              </w:tc>
            </w:tr>
            <w:tr w14:paraId="2B6B6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7CBBBC0C">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1507C123">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18" w:type="pct"/>
                  <w:vMerge w:val="continue"/>
                  <w:vAlign w:val="center"/>
                </w:tcPr>
                <w:p w14:paraId="625531D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295" w:type="pct"/>
                  <w:vAlign w:val="center"/>
                </w:tcPr>
                <w:p w14:paraId="2B1F16B4">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核算方法</w:t>
                  </w:r>
                </w:p>
              </w:tc>
              <w:tc>
                <w:tcPr>
                  <w:tcW w:w="429" w:type="pct"/>
                  <w:vAlign w:val="center"/>
                </w:tcPr>
                <w:p w14:paraId="042719C5">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cs="Times New Roman"/>
                      <w:b/>
                      <w:bCs/>
                      <w:color w:val="auto"/>
                      <w:position w:val="-10"/>
                      <w:sz w:val="21"/>
                      <w:szCs w:val="21"/>
                      <w:highlight w:val="none"/>
                      <w:lang w:val="en-US" w:eastAsia="zh-CN" w:bidi="ar-SA"/>
                    </w:rPr>
                    <w:t>废水</w:t>
                  </w:r>
                  <w:r>
                    <w:rPr>
                      <w:rFonts w:hint="default" w:ascii="Times New Roman" w:hAnsi="Times New Roman" w:eastAsia="宋体" w:cs="Times New Roman"/>
                      <w:b/>
                      <w:bCs/>
                      <w:color w:val="auto"/>
                      <w:position w:val="-10"/>
                      <w:sz w:val="21"/>
                      <w:szCs w:val="21"/>
                      <w:highlight w:val="none"/>
                      <w:lang w:val="en-US" w:eastAsia="zh-CN" w:bidi="ar-SA"/>
                    </w:rPr>
                    <w:t>产生量</w:t>
                  </w:r>
                </w:p>
                <w:p w14:paraId="51EAF295">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361" w:type="pct"/>
                  <w:vAlign w:val="center"/>
                </w:tcPr>
                <w:p w14:paraId="20CFAC9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产生浓度mg/L</w:t>
                  </w:r>
                </w:p>
              </w:tc>
              <w:tc>
                <w:tcPr>
                  <w:tcW w:w="486" w:type="pct"/>
                  <w:vAlign w:val="center"/>
                </w:tcPr>
                <w:p w14:paraId="6525C69B">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产生量</w:t>
                  </w:r>
                </w:p>
                <w:p w14:paraId="7362050D">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335" w:type="pct"/>
                  <w:vAlign w:val="center"/>
                </w:tcPr>
                <w:p w14:paraId="3D1C5159">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工艺</w:t>
                  </w:r>
                </w:p>
              </w:tc>
              <w:tc>
                <w:tcPr>
                  <w:tcW w:w="279" w:type="pct"/>
                  <w:vAlign w:val="center"/>
                </w:tcPr>
                <w:p w14:paraId="3AF81EE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效率</w:t>
                  </w:r>
                </w:p>
              </w:tc>
              <w:tc>
                <w:tcPr>
                  <w:tcW w:w="353" w:type="pct"/>
                  <w:vAlign w:val="center"/>
                </w:tcPr>
                <w:p w14:paraId="623AEBE3">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核算方法</w:t>
                  </w:r>
                </w:p>
              </w:tc>
              <w:tc>
                <w:tcPr>
                  <w:tcW w:w="353" w:type="pct"/>
                  <w:vAlign w:val="center"/>
                </w:tcPr>
                <w:p w14:paraId="7C0FDE75">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排放浓度</w:t>
                  </w:r>
                </w:p>
                <w:p w14:paraId="601EC03C">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mg/L</w:t>
                  </w:r>
                </w:p>
              </w:tc>
              <w:tc>
                <w:tcPr>
                  <w:tcW w:w="529" w:type="pct"/>
                  <w:vAlign w:val="center"/>
                </w:tcPr>
                <w:p w14:paraId="5F55B4CB">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排放量</w:t>
                  </w:r>
                </w:p>
                <w:p w14:paraId="3450E527">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t/a</w:t>
                  </w:r>
                </w:p>
              </w:tc>
              <w:tc>
                <w:tcPr>
                  <w:tcW w:w="358" w:type="pct"/>
                  <w:vMerge w:val="continue"/>
                  <w:vAlign w:val="center"/>
                </w:tcPr>
                <w:p w14:paraId="09AC3C65">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05A3F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restart"/>
                  <w:vAlign w:val="center"/>
                </w:tcPr>
                <w:p w14:paraId="3BB38425">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办公生活</w:t>
                  </w:r>
                </w:p>
              </w:tc>
              <w:tc>
                <w:tcPr>
                  <w:tcW w:w="348" w:type="pct"/>
                  <w:vMerge w:val="restart"/>
                  <w:vAlign w:val="center"/>
                </w:tcPr>
                <w:p w14:paraId="29C1167E">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三级化粪池</w:t>
                  </w:r>
                </w:p>
              </w:tc>
              <w:tc>
                <w:tcPr>
                  <w:tcW w:w="518" w:type="pct"/>
                  <w:vAlign w:val="center"/>
                </w:tcPr>
                <w:p w14:paraId="2DB0CCE2">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COD</w:t>
                  </w:r>
                  <w:r>
                    <w:rPr>
                      <w:rFonts w:hint="default" w:ascii="Times New Roman" w:hAnsi="Times New Roman" w:eastAsia="宋体" w:cs="Times New Roman"/>
                      <w:color w:val="auto"/>
                      <w:position w:val="-10"/>
                      <w:sz w:val="21"/>
                      <w:szCs w:val="21"/>
                      <w:highlight w:val="none"/>
                      <w:vertAlign w:val="subscript"/>
                      <w:lang w:val="en-US" w:eastAsia="zh-CN" w:bidi="ar-SA"/>
                    </w:rPr>
                    <w:t>Cr</w:t>
                  </w:r>
                </w:p>
              </w:tc>
              <w:tc>
                <w:tcPr>
                  <w:tcW w:w="295" w:type="pct"/>
                  <w:vMerge w:val="restart"/>
                  <w:vAlign w:val="center"/>
                </w:tcPr>
                <w:p w14:paraId="29E89946">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产污系数法</w:t>
                  </w:r>
                </w:p>
              </w:tc>
              <w:tc>
                <w:tcPr>
                  <w:tcW w:w="429" w:type="pct"/>
                  <w:vMerge w:val="restart"/>
                  <w:vAlign w:val="center"/>
                </w:tcPr>
                <w:p w14:paraId="32BCF0E2">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720</w:t>
                  </w:r>
                </w:p>
              </w:tc>
              <w:tc>
                <w:tcPr>
                  <w:tcW w:w="361" w:type="pct"/>
                  <w:vAlign w:val="center"/>
                </w:tcPr>
                <w:p w14:paraId="7D96AEC6">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250</w:t>
                  </w:r>
                </w:p>
              </w:tc>
              <w:tc>
                <w:tcPr>
                  <w:tcW w:w="766" w:type="dxa"/>
                  <w:vAlign w:val="center"/>
                </w:tcPr>
                <w:p w14:paraId="68E5CBB5">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0.18</w:t>
                  </w:r>
                </w:p>
              </w:tc>
              <w:tc>
                <w:tcPr>
                  <w:tcW w:w="335" w:type="pct"/>
                  <w:vMerge w:val="restart"/>
                  <w:vAlign w:val="center"/>
                </w:tcPr>
                <w:p w14:paraId="1C545583">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厌氧工艺</w:t>
                  </w:r>
                </w:p>
              </w:tc>
              <w:tc>
                <w:tcPr>
                  <w:tcW w:w="279" w:type="pct"/>
                  <w:vAlign w:val="center"/>
                </w:tcPr>
                <w:p w14:paraId="692472DC">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353" w:type="pct"/>
                  <w:vMerge w:val="restart"/>
                  <w:vAlign w:val="center"/>
                </w:tcPr>
                <w:p w14:paraId="694E39C4">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排污系数法</w:t>
                  </w:r>
                </w:p>
              </w:tc>
              <w:tc>
                <w:tcPr>
                  <w:tcW w:w="353" w:type="pct"/>
                  <w:vAlign w:val="center"/>
                </w:tcPr>
                <w:p w14:paraId="2F03AA5E">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200</w:t>
                  </w:r>
                </w:p>
              </w:tc>
              <w:tc>
                <w:tcPr>
                  <w:tcW w:w="833" w:type="dxa"/>
                  <w:vAlign w:val="center"/>
                </w:tcPr>
                <w:p w14:paraId="23D94D02">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0.144</w:t>
                  </w:r>
                </w:p>
              </w:tc>
              <w:tc>
                <w:tcPr>
                  <w:tcW w:w="358" w:type="pct"/>
                  <w:vMerge w:val="restart"/>
                  <w:vAlign w:val="center"/>
                </w:tcPr>
                <w:p w14:paraId="3DA8A75F">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7440</w:t>
                  </w:r>
                </w:p>
              </w:tc>
            </w:tr>
            <w:tr w14:paraId="0E54C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3E20AFFC">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458A3F31">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3FA8C903">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BOD</w:t>
                  </w:r>
                  <w:r>
                    <w:rPr>
                      <w:rFonts w:hint="default" w:ascii="Times New Roman" w:hAnsi="Times New Roman" w:eastAsia="宋体" w:cs="Times New Roman"/>
                      <w:color w:val="auto"/>
                      <w:position w:val="-10"/>
                      <w:sz w:val="21"/>
                      <w:szCs w:val="21"/>
                      <w:highlight w:val="none"/>
                      <w:vertAlign w:val="subscript"/>
                      <w:lang w:val="en-US" w:eastAsia="zh-CN" w:bidi="ar-SA"/>
                    </w:rPr>
                    <w:t>5</w:t>
                  </w:r>
                </w:p>
              </w:tc>
              <w:tc>
                <w:tcPr>
                  <w:tcW w:w="295" w:type="pct"/>
                  <w:vMerge w:val="continue"/>
                  <w:vAlign w:val="center"/>
                </w:tcPr>
                <w:p w14:paraId="078713C8">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4E23DE8">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61" w:type="pct"/>
                  <w:vAlign w:val="center"/>
                </w:tcPr>
                <w:p w14:paraId="3417C83B">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110</w:t>
                  </w:r>
                </w:p>
              </w:tc>
              <w:tc>
                <w:tcPr>
                  <w:tcW w:w="766" w:type="dxa"/>
                  <w:vAlign w:val="center"/>
                </w:tcPr>
                <w:p w14:paraId="3C9019D1">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0.08</w:t>
                  </w:r>
                </w:p>
              </w:tc>
              <w:tc>
                <w:tcPr>
                  <w:tcW w:w="335" w:type="pct"/>
                  <w:vMerge w:val="continue"/>
                  <w:vAlign w:val="center"/>
                </w:tcPr>
                <w:p w14:paraId="5F564F97">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32C84EC3">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w:t>
                  </w:r>
                </w:p>
              </w:tc>
              <w:tc>
                <w:tcPr>
                  <w:tcW w:w="353" w:type="pct"/>
                  <w:vMerge w:val="continue"/>
                  <w:vAlign w:val="center"/>
                </w:tcPr>
                <w:p w14:paraId="1E7ACE2A">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7D45EF6C">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78</w:t>
                  </w:r>
                </w:p>
              </w:tc>
              <w:tc>
                <w:tcPr>
                  <w:tcW w:w="833" w:type="dxa"/>
                  <w:vAlign w:val="center"/>
                </w:tcPr>
                <w:p w14:paraId="175B19CC">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0.0568</w:t>
                  </w:r>
                </w:p>
              </w:tc>
              <w:tc>
                <w:tcPr>
                  <w:tcW w:w="358" w:type="pct"/>
                  <w:vMerge w:val="continue"/>
                  <w:vAlign w:val="center"/>
                </w:tcPr>
                <w:p w14:paraId="36E00008">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47A871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4B331DD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7A01D5C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4B5F14BC">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SS</w:t>
                  </w:r>
                </w:p>
              </w:tc>
              <w:tc>
                <w:tcPr>
                  <w:tcW w:w="295" w:type="pct"/>
                  <w:vMerge w:val="continue"/>
                  <w:vAlign w:val="center"/>
                </w:tcPr>
                <w:p w14:paraId="3BC67121">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3E4657BC">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61" w:type="pct"/>
                  <w:vAlign w:val="center"/>
                </w:tcPr>
                <w:p w14:paraId="1BFF8BF6">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100</w:t>
                  </w:r>
                </w:p>
              </w:tc>
              <w:tc>
                <w:tcPr>
                  <w:tcW w:w="766" w:type="dxa"/>
                  <w:vAlign w:val="center"/>
                </w:tcPr>
                <w:p w14:paraId="54DD740F">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0.07</w:t>
                  </w:r>
                </w:p>
              </w:tc>
              <w:tc>
                <w:tcPr>
                  <w:tcW w:w="335" w:type="pct"/>
                  <w:vMerge w:val="continue"/>
                  <w:vAlign w:val="center"/>
                </w:tcPr>
                <w:p w14:paraId="2AF33956">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24329A18">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353" w:type="pct"/>
                  <w:vMerge w:val="continue"/>
                  <w:vAlign w:val="center"/>
                </w:tcPr>
                <w:p w14:paraId="221C516E">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3E9A87E6">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833" w:type="dxa"/>
                  <w:vAlign w:val="center"/>
                </w:tcPr>
                <w:p w14:paraId="159FE65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0.049</w:t>
                  </w:r>
                </w:p>
              </w:tc>
              <w:tc>
                <w:tcPr>
                  <w:tcW w:w="358" w:type="pct"/>
                  <w:vMerge w:val="continue"/>
                  <w:vAlign w:val="center"/>
                </w:tcPr>
                <w:p w14:paraId="737B7718">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75DDE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51" w:type="pct"/>
                  <w:vMerge w:val="continue"/>
                  <w:vAlign w:val="center"/>
                </w:tcPr>
                <w:p w14:paraId="438E06E3">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48" w:type="pct"/>
                  <w:vMerge w:val="continue"/>
                  <w:vAlign w:val="center"/>
                </w:tcPr>
                <w:p w14:paraId="268E3757">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18" w:type="pct"/>
                  <w:vAlign w:val="center"/>
                </w:tcPr>
                <w:p w14:paraId="44A34F80">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NH</w:t>
                  </w:r>
                  <w:r>
                    <w:rPr>
                      <w:rFonts w:hint="default" w:ascii="Times New Roman" w:hAnsi="Times New Roman" w:eastAsia="宋体" w:cs="Times New Roman"/>
                      <w:color w:val="auto"/>
                      <w:position w:val="-10"/>
                      <w:sz w:val="21"/>
                      <w:szCs w:val="21"/>
                      <w:highlight w:val="none"/>
                      <w:vertAlign w:val="subscript"/>
                      <w:lang w:val="en-US" w:eastAsia="zh-CN" w:bidi="ar-SA"/>
                    </w:rPr>
                    <w:t>3</w:t>
                  </w:r>
                  <w:r>
                    <w:rPr>
                      <w:rFonts w:hint="default" w:ascii="Times New Roman" w:hAnsi="Times New Roman" w:eastAsia="宋体" w:cs="Times New Roman"/>
                      <w:color w:val="auto"/>
                      <w:position w:val="-10"/>
                      <w:sz w:val="21"/>
                      <w:szCs w:val="21"/>
                      <w:highlight w:val="none"/>
                      <w:lang w:val="en-US" w:eastAsia="zh-CN" w:bidi="ar-SA"/>
                    </w:rPr>
                    <w:t>-N</w:t>
                  </w:r>
                </w:p>
              </w:tc>
              <w:tc>
                <w:tcPr>
                  <w:tcW w:w="295" w:type="pct"/>
                  <w:vMerge w:val="continue"/>
                  <w:vAlign w:val="center"/>
                </w:tcPr>
                <w:p w14:paraId="16A9B53A">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29" w:type="pct"/>
                  <w:vMerge w:val="continue"/>
                  <w:vAlign w:val="center"/>
                </w:tcPr>
                <w:p w14:paraId="22037379">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61" w:type="pct"/>
                  <w:vAlign w:val="center"/>
                </w:tcPr>
                <w:p w14:paraId="2589B96E">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20</w:t>
                  </w:r>
                </w:p>
              </w:tc>
              <w:tc>
                <w:tcPr>
                  <w:tcW w:w="766" w:type="dxa"/>
                  <w:vAlign w:val="center"/>
                </w:tcPr>
                <w:p w14:paraId="6005EA26">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0.01</w:t>
                  </w:r>
                </w:p>
              </w:tc>
              <w:tc>
                <w:tcPr>
                  <w:tcW w:w="335" w:type="pct"/>
                  <w:vMerge w:val="continue"/>
                  <w:vAlign w:val="center"/>
                </w:tcPr>
                <w:p w14:paraId="6D08F876">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279" w:type="pct"/>
                  <w:vAlign w:val="center"/>
                </w:tcPr>
                <w:p w14:paraId="3549BF7A">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353" w:type="pct"/>
                  <w:vMerge w:val="continue"/>
                  <w:vAlign w:val="center"/>
                </w:tcPr>
                <w:p w14:paraId="0FFB50BF">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53" w:type="pct"/>
                  <w:vAlign w:val="center"/>
                </w:tcPr>
                <w:p w14:paraId="423D8322">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19</w:t>
                  </w:r>
                </w:p>
              </w:tc>
              <w:tc>
                <w:tcPr>
                  <w:tcW w:w="833" w:type="dxa"/>
                  <w:vAlign w:val="center"/>
                </w:tcPr>
                <w:p w14:paraId="4A38BA12">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0.0097</w:t>
                  </w:r>
                </w:p>
              </w:tc>
              <w:tc>
                <w:tcPr>
                  <w:tcW w:w="358" w:type="pct"/>
                  <w:vMerge w:val="continue"/>
                  <w:vAlign w:val="center"/>
                </w:tcPr>
                <w:p w14:paraId="3C3B1A98">
                  <w:pPr>
                    <w:pageBreakBefore w:val="0"/>
                    <w:wordWrap w:val="0"/>
                    <w:topLinePunct w:val="0"/>
                    <w:autoSpaceDE w:val="0"/>
                    <w:autoSpaceDN w:val="0"/>
                    <w:bidi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bl>
          <w:p w14:paraId="1E922B44">
            <w:pPr>
              <w:pageBreakBefore w:val="0"/>
              <w:wordWrap w:val="0"/>
              <w:topLinePunct w:val="0"/>
              <w:bidi w:val="0"/>
              <w:adjustRightInd w:val="0"/>
              <w:snapToGrid w:val="0"/>
              <w:spacing w:before="156" w:beforeLines="5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color w:val="auto"/>
                <w:kern w:val="0"/>
                <w:highlight w:val="none"/>
              </w:rPr>
              <w:t>冷却用水</w:t>
            </w:r>
          </w:p>
          <w:p w14:paraId="1AAE211C">
            <w:pPr>
              <w:pageBreakBefore w:val="0"/>
              <w:widowControl/>
              <w:wordWrap w:val="0"/>
              <w:topLinePunct w:val="0"/>
              <w:bidi w:val="0"/>
              <w:spacing w:after="120"/>
              <w:ind w:firstLine="48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本项目拟设</w:t>
            </w:r>
            <w:r>
              <w:rPr>
                <w:rFonts w:hint="default" w:ascii="Times New Roman" w:hAnsi="Times New Roman" w:cs="Times New Roman"/>
                <w:color w:val="auto"/>
                <w:kern w:val="0"/>
                <w:highlight w:val="none"/>
                <w:lang w:val="en-US" w:eastAsia="zh-CN"/>
              </w:rPr>
              <w:t>1</w:t>
            </w:r>
            <w:r>
              <w:rPr>
                <w:rFonts w:hint="default" w:ascii="Times New Roman" w:hAnsi="Times New Roman" w:cs="Times New Roman"/>
                <w:color w:val="auto"/>
                <w:kern w:val="0"/>
                <w:highlight w:val="none"/>
              </w:rPr>
              <w:t>台冷却塔，</w:t>
            </w:r>
            <w:r>
              <w:rPr>
                <w:rFonts w:hint="default" w:ascii="Times New Roman" w:hAnsi="Times New Roman" w:cs="Times New Roman"/>
                <w:color w:val="auto"/>
                <w:highlight w:val="none"/>
                <w:lang w:val="en-US" w:eastAsia="zh-CN"/>
              </w:rPr>
              <w:t>尺寸为φ1.5m×H1.2m，有效水深为0.5。设置循环水量为20m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/h，即循环水量为148800m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/a。</w:t>
            </w:r>
            <w:r>
              <w:rPr>
                <w:rFonts w:hint="default" w:ascii="Times New Roman" w:hAnsi="Times New Roman" w:cs="Times New Roman"/>
                <w:color w:val="auto"/>
                <w:kern w:val="0"/>
                <w:highlight w:val="none"/>
              </w:rPr>
              <w:t>根据项目生产特性，循环冷却水用于产品的间接冷却，本项目年运营期3</w:t>
            </w:r>
            <w:r>
              <w:rPr>
                <w:rFonts w:hint="default" w:ascii="Times New Roman" w:hAnsi="Times New Roman" w:cs="Times New Roman"/>
                <w:color w:val="auto"/>
                <w:kern w:val="0"/>
                <w:highlight w:val="none"/>
                <w:lang w:val="en-US" w:eastAsia="zh-CN"/>
              </w:rPr>
              <w:t>1</w:t>
            </w:r>
            <w:r>
              <w:rPr>
                <w:rFonts w:hint="default" w:ascii="Times New Roman" w:hAnsi="Times New Roman" w:cs="Times New Roman"/>
                <w:color w:val="auto"/>
                <w:kern w:val="0"/>
                <w:highlight w:val="none"/>
              </w:rPr>
              <w:t>0天，每天工作</w:t>
            </w:r>
            <w:r>
              <w:rPr>
                <w:rFonts w:hint="default" w:ascii="Times New Roman" w:hAnsi="Times New Roman" w:cs="Times New Roman"/>
                <w:color w:val="auto"/>
                <w:kern w:val="0"/>
                <w:highlight w:val="none"/>
                <w:lang w:val="en-US" w:eastAsia="zh-CN"/>
              </w:rPr>
              <w:t>24</w:t>
            </w:r>
            <w:r>
              <w:rPr>
                <w:rFonts w:hint="default" w:ascii="Times New Roman" w:hAnsi="Times New Roman" w:cs="Times New Roman"/>
                <w:color w:val="auto"/>
                <w:kern w:val="0"/>
                <w:highlight w:val="none"/>
              </w:rPr>
              <w:t>小时，则每台平均日循环水量为</w:t>
            </w:r>
            <w:r>
              <w:rPr>
                <w:rFonts w:hint="default" w:ascii="Times New Roman" w:hAnsi="Times New Roman" w:cs="Times New Roman"/>
                <w:color w:val="auto"/>
                <w:kern w:val="0"/>
                <w:highlight w:val="none"/>
                <w:lang w:val="en-US" w:eastAsia="zh-CN"/>
              </w:rPr>
              <w:t>480</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，约合</w:t>
            </w:r>
            <w:r>
              <w:rPr>
                <w:rFonts w:hint="default" w:ascii="Times New Roman" w:hAnsi="Times New Roman" w:cs="Times New Roman"/>
                <w:color w:val="auto"/>
                <w:kern w:val="0"/>
                <w:highlight w:val="none"/>
                <w:lang w:val="en-US" w:eastAsia="zh-CN"/>
              </w:rPr>
              <w:t>148800</w:t>
            </w:r>
            <w:r>
              <w:rPr>
                <w:rFonts w:hint="default" w:ascii="Times New Roman" w:hAnsi="Times New Roman" w:cs="Times New Roman"/>
                <w:color w:val="auto"/>
                <w:kern w:val="0"/>
                <w:highlight w:val="none"/>
              </w:rPr>
              <w:t xml:space="preserve"> 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/a。循环过程中会有部分水以蒸汽的形式损耗，根据《工业循环冷却水处理设计规范》 （GB/T50050-2017），本项目蒸发水量可按下列公式计算：</w:t>
            </w:r>
          </w:p>
          <w:p w14:paraId="60917185">
            <w:pPr>
              <w:pageBreakBefore w:val="0"/>
              <w:widowControl/>
              <w:wordWrap w:val="0"/>
              <w:topLinePunct w:val="0"/>
              <w:bidi w:val="0"/>
              <w:spacing w:after="120"/>
              <w:jc w:val="center"/>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Qe=k×Δt×Qr</w:t>
            </w:r>
          </w:p>
          <w:p w14:paraId="1488514A">
            <w:pPr>
              <w:pageBreakBefore w:val="0"/>
              <w:widowControl/>
              <w:wordWrap w:val="0"/>
              <w:topLinePunct w:val="0"/>
              <w:bidi w:val="0"/>
              <w:spacing w:after="120" w:line="240" w:lineRule="auto"/>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式中：Qe——蒸发水量，（m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/h）；</w:t>
            </w:r>
          </w:p>
          <w:p w14:paraId="51DD2E1B">
            <w:pPr>
              <w:pageBreakBefore w:val="0"/>
              <w:widowControl/>
              <w:wordWrap w:val="0"/>
              <w:topLinePunct w:val="0"/>
              <w:bidi w:val="0"/>
              <w:spacing w:after="120" w:line="240" w:lineRule="auto"/>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 xml:space="preserve"> Qr——循环冷却水量，（m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/h）；</w:t>
            </w:r>
          </w:p>
          <w:p w14:paraId="52B39109">
            <w:pPr>
              <w:pageBreakBefore w:val="0"/>
              <w:widowControl/>
              <w:wordWrap w:val="0"/>
              <w:topLinePunct w:val="0"/>
              <w:bidi w:val="0"/>
              <w:spacing w:after="120" w:line="240" w:lineRule="auto"/>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 xml:space="preserve"> Δt——循环冷却水进出冷却塔温差，℃；本项目取 5℃；</w:t>
            </w:r>
          </w:p>
          <w:p w14:paraId="5251675F">
            <w:pPr>
              <w:pageBreakBefore w:val="0"/>
              <w:widowControl/>
              <w:wordWrap w:val="0"/>
              <w:topLinePunct w:val="0"/>
              <w:bidi w:val="0"/>
              <w:ind w:left="397" w:firstLine="448" w:firstLineChars="187"/>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 xml:space="preserve"> K——蒸发损失系数，1/℃；本项目按环境气温25℃，系数取 0.00145/℃；</w:t>
            </w:r>
          </w:p>
          <w:p w14:paraId="40F3B39B">
            <w:pPr>
              <w:pageBreakBefore w:val="0"/>
              <w:wordWrap w:val="0"/>
              <w:topLinePunct w:val="0"/>
              <w:bidi w:val="0"/>
              <w:ind w:firstLine="480"/>
              <w:rPr>
                <w:rFonts w:hint="default" w:ascii="Times New Roman" w:hAnsi="Times New Roman" w:cs="Times New Roman"/>
                <w:color w:val="auto"/>
                <w:kern w:val="0"/>
                <w:highlight w:val="none"/>
                <w:lang w:eastAsia="zh-CN"/>
              </w:rPr>
            </w:pPr>
            <w:r>
              <w:rPr>
                <w:rFonts w:hint="default" w:ascii="Times New Roman" w:hAnsi="Times New Roman" w:cs="Times New Roman"/>
                <w:color w:val="auto"/>
                <w:kern w:val="0"/>
                <w:highlight w:val="none"/>
              </w:rPr>
              <w:t>经计算得出，冷却塔蒸发水量共为</w:t>
            </w:r>
            <w:r>
              <w:rPr>
                <w:rFonts w:hint="default" w:ascii="Times New Roman" w:hAnsi="Times New Roman" w:cs="Times New Roman"/>
                <w:color w:val="auto"/>
                <w:kern w:val="0"/>
                <w:highlight w:val="none"/>
                <w:lang w:val="en-US" w:eastAsia="zh-CN"/>
              </w:rPr>
              <w:t>3.48</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/d，</w:t>
            </w:r>
            <w:r>
              <w:rPr>
                <w:rFonts w:hint="default" w:ascii="Times New Roman" w:hAnsi="Times New Roman" w:cs="Times New Roman"/>
                <w:color w:val="auto"/>
                <w:kern w:val="0"/>
                <w:highlight w:val="none"/>
                <w:lang w:val="en-US" w:eastAsia="zh-CN"/>
              </w:rPr>
              <w:t>1078.8</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/a</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则冷却塔年补充水量为1078.8</w:t>
            </w:r>
            <w:r>
              <w:rPr>
                <w:rFonts w:hint="default" w:ascii="Times New Roman" w:hAnsi="Times New Roman" w:cs="Times New Roman"/>
                <w:color w:val="auto"/>
                <w:kern w:val="0"/>
                <w:highlight w:val="none"/>
              </w:rPr>
              <w:t>m</w:t>
            </w:r>
            <w:r>
              <w:rPr>
                <w:rFonts w:hint="default" w:ascii="Times New Roman" w:hAnsi="Times New Roman" w:cs="Times New Roman"/>
                <w:color w:val="auto"/>
                <w:kern w:val="0"/>
                <w:highlight w:val="none"/>
                <w:vertAlign w:val="superscript"/>
              </w:rPr>
              <w:t>3</w:t>
            </w:r>
            <w:r>
              <w:rPr>
                <w:rFonts w:hint="default" w:ascii="Times New Roman" w:hAnsi="Times New Roman" w:cs="Times New Roman"/>
                <w:color w:val="auto"/>
                <w:kern w:val="0"/>
                <w:highlight w:val="none"/>
              </w:rPr>
              <w:t xml:space="preserve"> /a</w:t>
            </w:r>
            <w:r>
              <w:rPr>
                <w:rFonts w:hint="default" w:ascii="Times New Roman" w:hAnsi="Times New Roman" w:cs="Times New Roman"/>
                <w:color w:val="auto"/>
                <w:kern w:val="0"/>
                <w:highlight w:val="none"/>
                <w:lang w:eastAsia="zh-CN"/>
              </w:rPr>
              <w:t>。</w:t>
            </w:r>
          </w:p>
          <w:p w14:paraId="3E74CD1E">
            <w:pPr>
              <w:pStyle w:val="2"/>
              <w:pageBreakBefore w:val="0"/>
              <w:wordWrap w:val="0"/>
              <w:topLinePunct w:val="0"/>
              <w:bidi w:val="0"/>
              <w:ind w:firstLine="480"/>
              <w:jc w:val="left"/>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冷却水采用自来水，循环使用且不添加任何试剂，定期补充冷却水损耗，冷却水池在循环过程中由于蒸发过程不断进行，使循环水中的含盐量越来越高，需定期清理，定期清理的</w:t>
            </w:r>
            <w:r>
              <w:rPr>
                <w:rFonts w:hint="default" w:ascii="Times New Roman" w:hAnsi="Times New Roman" w:cs="Times New Roman"/>
                <w:color w:val="auto"/>
                <w:kern w:val="0"/>
                <w:highlight w:val="none"/>
                <w:lang w:val="en-US" w:eastAsia="zh-CN"/>
              </w:rPr>
              <w:t>间接</w:t>
            </w:r>
            <w:r>
              <w:rPr>
                <w:rFonts w:hint="default" w:ascii="Times New Roman" w:hAnsi="Times New Roman" w:cs="Times New Roman"/>
                <w:color w:val="auto"/>
                <w:kern w:val="0"/>
                <w:highlight w:val="none"/>
              </w:rPr>
              <w:t>冷却废水</w:t>
            </w:r>
            <w:r>
              <w:rPr>
                <w:rFonts w:hint="default" w:ascii="Times New Roman" w:hAnsi="Times New Roman" w:cs="Times New Roman"/>
                <w:color w:val="auto"/>
                <w:kern w:val="0"/>
                <w:highlight w:val="none"/>
                <w:lang w:val="en-US" w:eastAsia="zh-CN"/>
              </w:rPr>
              <w:t>与生活污水一同排入园区污水厂处理</w:t>
            </w:r>
            <w:r>
              <w:rPr>
                <w:rFonts w:hint="default" w:ascii="Times New Roman" w:hAnsi="Times New Roman" w:cs="Times New Roman"/>
                <w:color w:val="auto"/>
                <w:kern w:val="0"/>
                <w:highlight w:val="none"/>
              </w:rPr>
              <w:t>。</w:t>
            </w:r>
            <w:r>
              <w:rPr>
                <w:rFonts w:hint="default" w:ascii="Times New Roman" w:hAnsi="Times New Roman" w:cs="Times New Roman"/>
                <w:color w:val="auto"/>
                <w:kern w:val="0"/>
                <w:highlight w:val="none"/>
                <w:lang w:val="en-US" w:eastAsia="zh-CN"/>
              </w:rPr>
              <w:t>根据建设单位提供资料冷却塔年更换两次，则排水量为1.766t/a</w:t>
            </w:r>
            <w:r>
              <w:rPr>
                <w:rFonts w:hint="default" w:ascii="Times New Roman" w:hAnsi="Times New Roman" w:cs="Times New Roman"/>
                <w:color w:val="auto"/>
                <w:highlight w:val="none"/>
                <w:lang w:val="en-US" w:eastAsia="zh-CN"/>
              </w:rPr>
              <w:t>。</w:t>
            </w:r>
          </w:p>
          <w:p w14:paraId="68733AAA">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b/>
                <w:bCs/>
                <w:color w:val="auto"/>
                <w:highlight w:val="none"/>
              </w:rPr>
            </w:pPr>
            <w:r>
              <w:rPr>
                <w:rFonts w:hint="default" w:ascii="Times New Roman" w:hAnsi="Times New Roman" w:cs="Times New Roman"/>
                <w:b/>
                <w:bCs/>
                <w:color w:val="auto"/>
                <w:highlight w:val="none"/>
                <w:lang w:val="en-US" w:eastAsia="zh-CN"/>
              </w:rPr>
              <w:t>2</w:t>
            </w:r>
            <w:r>
              <w:rPr>
                <w:rFonts w:hint="default" w:ascii="Times New Roman" w:hAnsi="Times New Roman" w:eastAsia="宋体" w:cs="Times New Roman"/>
                <w:b/>
                <w:bCs/>
                <w:color w:val="auto"/>
                <w:highlight w:val="none"/>
              </w:rPr>
              <w:t>、排放口基本情况</w:t>
            </w:r>
          </w:p>
          <w:p w14:paraId="63CD7732">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营运期排放的废水主要为生活污水</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间接冷却废水，</w:t>
            </w:r>
            <w:r>
              <w:rPr>
                <w:rFonts w:hint="default" w:ascii="Times New Roman" w:hAnsi="Times New Roman" w:eastAsia="宋体" w:cs="Times New Roman"/>
                <w:color w:val="auto"/>
                <w:highlight w:val="none"/>
              </w:rPr>
              <w:t>产生量为</w:t>
            </w:r>
            <w:r>
              <w:rPr>
                <w:rFonts w:hint="default" w:ascii="Times New Roman" w:hAnsi="Times New Roman" w:cs="Times New Roman"/>
                <w:color w:val="auto"/>
                <w:highlight w:val="none"/>
                <w:lang w:val="en-US" w:eastAsia="zh-CN"/>
              </w:rPr>
              <w:t>721.766</w:t>
            </w:r>
            <w:r>
              <w:rPr>
                <w:rFonts w:hint="default" w:ascii="Times New Roman" w:hAnsi="Times New Roman" w:eastAsia="宋体" w:cs="Times New Roman"/>
                <w:color w:val="auto"/>
                <w:highlight w:val="none"/>
              </w:rPr>
              <w:t>t/a，主要污染物为COD</w:t>
            </w:r>
            <w:r>
              <w:rPr>
                <w:rFonts w:hint="default" w:ascii="Times New Roman" w:hAnsi="Times New Roman" w:eastAsia="宋体" w:cs="Times New Roman"/>
                <w:color w:val="auto"/>
                <w:highlight w:val="none"/>
                <w:vertAlign w:val="subscript"/>
              </w:rPr>
              <w:t>Cr</w:t>
            </w:r>
            <w:r>
              <w:rPr>
                <w:rFonts w:hint="default" w:ascii="Times New Roman" w:hAnsi="Times New Roman" w:eastAsia="宋体" w:cs="Times New Roman"/>
                <w:color w:val="auto"/>
                <w:highlight w:val="none"/>
              </w:rPr>
              <w:t>、BOD</w:t>
            </w:r>
            <w:r>
              <w:rPr>
                <w:rFonts w:hint="default" w:ascii="Times New Roman" w:hAnsi="Times New Roman" w:eastAsia="宋体" w:cs="Times New Roman"/>
                <w:color w:val="auto"/>
                <w:highlight w:val="none"/>
                <w:vertAlign w:val="subscript"/>
              </w:rPr>
              <w:t>5</w:t>
            </w:r>
            <w:r>
              <w:rPr>
                <w:rFonts w:hint="default" w:ascii="Times New Roman" w:hAnsi="Times New Roman" w:eastAsia="宋体" w:cs="Times New Roman"/>
                <w:color w:val="auto"/>
                <w:highlight w:val="none"/>
              </w:rPr>
              <w:t>、SS、氨氮。项目生活污水经三级化粪池预处理后排入园区污水处理</w:t>
            </w:r>
            <w:r>
              <w:rPr>
                <w:rFonts w:hint="default" w:ascii="Times New Roman" w:hAnsi="Times New Roman" w:eastAsia="宋体" w:cs="Times New Roman"/>
                <w:color w:val="auto"/>
                <w:highlight w:val="none"/>
                <w:lang w:eastAsia="zh-CN"/>
              </w:rPr>
              <w:t>厂</w:t>
            </w:r>
            <w:r>
              <w:rPr>
                <w:rFonts w:hint="default" w:ascii="Times New Roman" w:hAnsi="Times New Roman" w:eastAsia="宋体" w:cs="Times New Roman"/>
                <w:color w:val="auto"/>
                <w:highlight w:val="none"/>
              </w:rPr>
              <w:t>进一步处理后排放，不新增污水排放口，属于一般排放口。</w:t>
            </w:r>
          </w:p>
          <w:p w14:paraId="12D64EC4">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9</w:t>
            </w:r>
            <w:r>
              <w:rPr>
                <w:rFonts w:hint="default" w:ascii="Times New Roman" w:hAnsi="Times New Roman" w:eastAsia="宋体" w:cs="Times New Roman"/>
                <w:b/>
                <w:bCs/>
                <w:color w:val="auto"/>
                <w:kern w:val="2"/>
                <w:sz w:val="21"/>
                <w:szCs w:val="21"/>
                <w:highlight w:val="none"/>
                <w:lang w:val="en-US" w:eastAsia="zh-CN" w:bidi="ar-SA"/>
              </w:rPr>
              <w:t>项目废水排放口基本情况表</w:t>
            </w:r>
          </w:p>
          <w:tbl>
            <w:tblPr>
              <w:tblStyle w:val="39"/>
              <w:tblW w:w="80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22"/>
              <w:gridCol w:w="370"/>
              <w:gridCol w:w="580"/>
              <w:gridCol w:w="588"/>
              <w:gridCol w:w="867"/>
              <w:gridCol w:w="878"/>
              <w:gridCol w:w="1626"/>
              <w:gridCol w:w="322"/>
              <w:gridCol w:w="555"/>
              <w:gridCol w:w="673"/>
              <w:gridCol w:w="1315"/>
            </w:tblGrid>
            <w:tr w14:paraId="57C44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restart"/>
                  <w:vAlign w:val="center"/>
                </w:tcPr>
                <w:p w14:paraId="75F9F8E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排放口编号</w:t>
                  </w:r>
                </w:p>
              </w:tc>
              <w:tc>
                <w:tcPr>
                  <w:tcW w:w="370" w:type="dxa"/>
                  <w:vMerge w:val="restart"/>
                  <w:vAlign w:val="center"/>
                </w:tcPr>
                <w:p w14:paraId="7C4EE2D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排放口名称</w:t>
                  </w:r>
                </w:p>
              </w:tc>
              <w:tc>
                <w:tcPr>
                  <w:tcW w:w="1168" w:type="dxa"/>
                  <w:gridSpan w:val="2"/>
                  <w:vAlign w:val="center"/>
                </w:tcPr>
                <w:p w14:paraId="36F0462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排放口坐标</w:t>
                  </w:r>
                </w:p>
              </w:tc>
              <w:tc>
                <w:tcPr>
                  <w:tcW w:w="867" w:type="dxa"/>
                  <w:vMerge w:val="restart"/>
                  <w:vAlign w:val="center"/>
                </w:tcPr>
                <w:p w14:paraId="7544141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废水排放量</w:t>
                  </w:r>
                </w:p>
                <w:p w14:paraId="22AF2FF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（万t/a）</w:t>
                  </w:r>
                </w:p>
              </w:tc>
              <w:tc>
                <w:tcPr>
                  <w:tcW w:w="878" w:type="dxa"/>
                  <w:vMerge w:val="restart"/>
                  <w:vAlign w:val="center"/>
                </w:tcPr>
                <w:p w14:paraId="195490A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排放去向</w:t>
                  </w:r>
                </w:p>
              </w:tc>
              <w:tc>
                <w:tcPr>
                  <w:tcW w:w="1626" w:type="dxa"/>
                  <w:vMerge w:val="restart"/>
                  <w:vAlign w:val="center"/>
                </w:tcPr>
                <w:p w14:paraId="371684B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排放规律</w:t>
                  </w:r>
                </w:p>
              </w:tc>
              <w:tc>
                <w:tcPr>
                  <w:tcW w:w="322" w:type="dxa"/>
                  <w:vMerge w:val="restart"/>
                  <w:vAlign w:val="center"/>
                </w:tcPr>
                <w:p w14:paraId="15F0929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排放口类型</w:t>
                  </w:r>
                </w:p>
              </w:tc>
              <w:tc>
                <w:tcPr>
                  <w:tcW w:w="2543" w:type="dxa"/>
                  <w:gridSpan w:val="3"/>
                  <w:vAlign w:val="center"/>
                </w:tcPr>
                <w:p w14:paraId="3465E6C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受纳污水处理厂信息</w:t>
                  </w:r>
                </w:p>
              </w:tc>
            </w:tr>
            <w:tr w14:paraId="5BA6D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continue"/>
                  <w:vAlign w:val="center"/>
                </w:tcPr>
                <w:p w14:paraId="199A1F0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c>
                <w:tcPr>
                  <w:tcW w:w="370" w:type="dxa"/>
                  <w:vMerge w:val="continue"/>
                  <w:vAlign w:val="center"/>
                </w:tcPr>
                <w:p w14:paraId="42F963A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c>
                <w:tcPr>
                  <w:tcW w:w="580" w:type="dxa"/>
                  <w:vAlign w:val="center"/>
                </w:tcPr>
                <w:p w14:paraId="7181BA0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cs="Times New Roman"/>
                      <w:b/>
                      <w:bCs/>
                      <w:color w:val="auto"/>
                      <w:position w:val="-10"/>
                      <w:sz w:val="21"/>
                      <w:szCs w:val="21"/>
                      <w:highlight w:val="none"/>
                      <w:lang w:val="en-US" w:eastAsia="zh-CN" w:bidi="ar-SA"/>
                    </w:rPr>
                    <w:t>经度</w:t>
                  </w:r>
                </w:p>
              </w:tc>
              <w:tc>
                <w:tcPr>
                  <w:tcW w:w="588" w:type="dxa"/>
                  <w:vAlign w:val="center"/>
                </w:tcPr>
                <w:p w14:paraId="794E22C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cs="Times New Roman"/>
                      <w:b/>
                      <w:bCs/>
                      <w:color w:val="auto"/>
                      <w:position w:val="-10"/>
                      <w:sz w:val="21"/>
                      <w:szCs w:val="21"/>
                      <w:highlight w:val="none"/>
                      <w:lang w:val="en-US" w:eastAsia="zh-CN" w:bidi="ar-SA"/>
                    </w:rPr>
                    <w:t>纬度</w:t>
                  </w:r>
                </w:p>
              </w:tc>
              <w:tc>
                <w:tcPr>
                  <w:tcW w:w="867" w:type="dxa"/>
                  <w:vMerge w:val="continue"/>
                  <w:vAlign w:val="center"/>
                </w:tcPr>
                <w:p w14:paraId="7FBF572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c>
                <w:tcPr>
                  <w:tcW w:w="878" w:type="dxa"/>
                  <w:vMerge w:val="continue"/>
                  <w:vAlign w:val="center"/>
                </w:tcPr>
                <w:p w14:paraId="4A2B8C3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c>
                <w:tcPr>
                  <w:tcW w:w="1626" w:type="dxa"/>
                  <w:vMerge w:val="continue"/>
                  <w:vAlign w:val="center"/>
                </w:tcPr>
                <w:p w14:paraId="7429F97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c>
                <w:tcPr>
                  <w:tcW w:w="322" w:type="dxa"/>
                  <w:vMerge w:val="continue"/>
                  <w:vAlign w:val="center"/>
                </w:tcPr>
                <w:p w14:paraId="26FAFA8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p>
              </w:tc>
              <w:tc>
                <w:tcPr>
                  <w:tcW w:w="555" w:type="dxa"/>
                  <w:vAlign w:val="center"/>
                </w:tcPr>
                <w:p w14:paraId="119332C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名称</w:t>
                  </w:r>
                </w:p>
              </w:tc>
              <w:tc>
                <w:tcPr>
                  <w:tcW w:w="673" w:type="dxa"/>
                  <w:vAlign w:val="center"/>
                </w:tcPr>
                <w:p w14:paraId="0CC6169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污染物种类</w:t>
                  </w:r>
                </w:p>
              </w:tc>
              <w:tc>
                <w:tcPr>
                  <w:tcW w:w="1315" w:type="dxa"/>
                  <w:vAlign w:val="center"/>
                </w:tcPr>
                <w:p w14:paraId="3EE7E02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国家或地方污</w:t>
                  </w:r>
                </w:p>
                <w:p w14:paraId="702908C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染物排放标准浓度限值/(mg/L)</w:t>
                  </w:r>
                </w:p>
              </w:tc>
            </w:tr>
            <w:tr w14:paraId="40FAA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restart"/>
                  <w:vAlign w:val="center"/>
                </w:tcPr>
                <w:p w14:paraId="3350805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DW001</w:t>
                  </w:r>
                </w:p>
              </w:tc>
              <w:tc>
                <w:tcPr>
                  <w:tcW w:w="370" w:type="dxa"/>
                  <w:vMerge w:val="restart"/>
                  <w:vAlign w:val="center"/>
                </w:tcPr>
                <w:p w14:paraId="58D7C1E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废水排放口</w:t>
                  </w:r>
                </w:p>
              </w:tc>
              <w:tc>
                <w:tcPr>
                  <w:tcW w:w="580" w:type="dxa"/>
                  <w:vMerge w:val="restart"/>
                  <w:vAlign w:val="center"/>
                </w:tcPr>
                <w:p w14:paraId="25A69BB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113.405623</w:t>
                  </w:r>
                  <w:r>
                    <w:rPr>
                      <w:rFonts w:hint="default" w:ascii="Times New Roman" w:hAnsi="Times New Roman" w:cs="Times New Roman"/>
                      <w:color w:val="auto"/>
                      <w:position w:val="-10"/>
                      <w:sz w:val="21"/>
                      <w:szCs w:val="21"/>
                      <w:highlight w:val="none"/>
                      <w:lang w:val="en-US" w:eastAsia="zh-CN" w:bidi="ar-SA"/>
                    </w:rPr>
                    <w:t>°</w:t>
                  </w:r>
                </w:p>
              </w:tc>
              <w:tc>
                <w:tcPr>
                  <w:tcW w:w="588" w:type="dxa"/>
                  <w:vMerge w:val="restart"/>
                  <w:vAlign w:val="center"/>
                </w:tcPr>
                <w:p w14:paraId="0B1539A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225.1466944</w:t>
                  </w:r>
                  <w:r>
                    <w:rPr>
                      <w:rFonts w:hint="default" w:ascii="Times New Roman" w:hAnsi="Times New Roman" w:cs="Times New Roman"/>
                      <w:color w:val="auto"/>
                      <w:position w:val="-10"/>
                      <w:sz w:val="21"/>
                      <w:szCs w:val="21"/>
                      <w:highlight w:val="none"/>
                      <w:lang w:val="en-US" w:eastAsia="zh-CN" w:bidi="ar-SA"/>
                    </w:rPr>
                    <w:t>°</w:t>
                  </w:r>
                </w:p>
              </w:tc>
              <w:tc>
                <w:tcPr>
                  <w:tcW w:w="867" w:type="dxa"/>
                  <w:vMerge w:val="restart"/>
                  <w:vAlign w:val="center"/>
                </w:tcPr>
                <w:p w14:paraId="104993C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0.0721766</w:t>
                  </w:r>
                </w:p>
              </w:tc>
              <w:tc>
                <w:tcPr>
                  <w:tcW w:w="878" w:type="dxa"/>
                  <w:vMerge w:val="restart"/>
                  <w:vAlign w:val="center"/>
                </w:tcPr>
                <w:p w14:paraId="6D97142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集中式工业污水处理厂</w:t>
                  </w:r>
                </w:p>
              </w:tc>
              <w:tc>
                <w:tcPr>
                  <w:tcW w:w="1626" w:type="dxa"/>
                  <w:vMerge w:val="restart"/>
                  <w:vAlign w:val="center"/>
                </w:tcPr>
                <w:p w14:paraId="0C3B7D7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322" w:type="dxa"/>
                  <w:vMerge w:val="restart"/>
                  <w:vAlign w:val="center"/>
                </w:tcPr>
                <w:p w14:paraId="626936F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一般排放口</w:t>
                  </w:r>
                </w:p>
              </w:tc>
              <w:tc>
                <w:tcPr>
                  <w:tcW w:w="555" w:type="dxa"/>
                  <w:vMerge w:val="restart"/>
                  <w:vAlign w:val="center"/>
                </w:tcPr>
                <w:p w14:paraId="6459A34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园区污水处理厂</w:t>
                  </w:r>
                </w:p>
              </w:tc>
              <w:tc>
                <w:tcPr>
                  <w:tcW w:w="673" w:type="dxa"/>
                  <w:vAlign w:val="center"/>
                </w:tcPr>
                <w:p w14:paraId="08F23FB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pH</w:t>
                  </w:r>
                </w:p>
              </w:tc>
              <w:tc>
                <w:tcPr>
                  <w:tcW w:w="1315" w:type="dxa"/>
                  <w:vAlign w:val="center"/>
                </w:tcPr>
                <w:p w14:paraId="56572D6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6~9</w:t>
                  </w:r>
                </w:p>
              </w:tc>
            </w:tr>
            <w:tr w14:paraId="3E29F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continue"/>
                  <w:vAlign w:val="center"/>
                </w:tcPr>
                <w:p w14:paraId="46845A6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70" w:type="dxa"/>
                  <w:vMerge w:val="continue"/>
                  <w:vAlign w:val="center"/>
                </w:tcPr>
                <w:p w14:paraId="525F61D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0" w:type="dxa"/>
                  <w:vMerge w:val="continue"/>
                  <w:vAlign w:val="center"/>
                </w:tcPr>
                <w:p w14:paraId="683C1F8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8" w:type="dxa"/>
                  <w:vMerge w:val="continue"/>
                  <w:vAlign w:val="center"/>
                </w:tcPr>
                <w:p w14:paraId="632EEEF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67" w:type="dxa"/>
                  <w:vMerge w:val="continue"/>
                  <w:vAlign w:val="center"/>
                </w:tcPr>
                <w:p w14:paraId="381D9B7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78" w:type="dxa"/>
                  <w:vMerge w:val="continue"/>
                  <w:vAlign w:val="center"/>
                </w:tcPr>
                <w:p w14:paraId="4578687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626" w:type="dxa"/>
                  <w:vMerge w:val="continue"/>
                  <w:vAlign w:val="center"/>
                </w:tcPr>
                <w:p w14:paraId="15BDE52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dxa"/>
                  <w:vMerge w:val="continue"/>
                  <w:vAlign w:val="center"/>
                </w:tcPr>
                <w:p w14:paraId="069FCE6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55" w:type="dxa"/>
                  <w:vMerge w:val="continue"/>
                  <w:vAlign w:val="center"/>
                </w:tcPr>
                <w:p w14:paraId="760B952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p>
              </w:tc>
              <w:tc>
                <w:tcPr>
                  <w:tcW w:w="673" w:type="dxa"/>
                  <w:vAlign w:val="center"/>
                </w:tcPr>
                <w:p w14:paraId="7A56772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COD</w:t>
                  </w:r>
                  <w:r>
                    <w:rPr>
                      <w:rFonts w:hint="default" w:ascii="Times New Roman" w:hAnsi="Times New Roman" w:eastAsia="宋体" w:cs="Times New Roman"/>
                      <w:b w:val="0"/>
                      <w:bCs w:val="0"/>
                      <w:color w:val="auto"/>
                      <w:position w:val="-10"/>
                      <w:sz w:val="21"/>
                      <w:szCs w:val="21"/>
                      <w:highlight w:val="none"/>
                      <w:vertAlign w:val="subscript"/>
                      <w:lang w:val="en-US" w:eastAsia="zh-CN" w:bidi="ar-SA"/>
                    </w:rPr>
                    <w:t>Cr</w:t>
                  </w:r>
                </w:p>
              </w:tc>
              <w:tc>
                <w:tcPr>
                  <w:tcW w:w="1315" w:type="dxa"/>
                  <w:vAlign w:val="center"/>
                </w:tcPr>
                <w:p w14:paraId="664A9290">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bCs/>
                      <w:color w:val="auto"/>
                      <w:sz w:val="21"/>
                      <w:szCs w:val="21"/>
                      <w:highlight w:val="none"/>
                    </w:rPr>
                    <w:t>3</w:t>
                  </w:r>
                  <w:r>
                    <w:rPr>
                      <w:rFonts w:hint="default" w:ascii="Times New Roman" w:hAnsi="Times New Roman" w:eastAsia="宋体" w:cs="Times New Roman"/>
                      <w:bCs/>
                      <w:color w:val="auto"/>
                      <w:sz w:val="21"/>
                      <w:szCs w:val="21"/>
                      <w:highlight w:val="none"/>
                      <w:lang w:val="en-US" w:eastAsia="zh-CN"/>
                    </w:rPr>
                    <w:t>00</w:t>
                  </w:r>
                </w:p>
              </w:tc>
            </w:tr>
            <w:tr w14:paraId="1AC6A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continue"/>
                  <w:vAlign w:val="center"/>
                </w:tcPr>
                <w:p w14:paraId="2B2B40A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70" w:type="dxa"/>
                  <w:vMerge w:val="continue"/>
                  <w:vAlign w:val="center"/>
                </w:tcPr>
                <w:p w14:paraId="766DF5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0" w:type="dxa"/>
                  <w:vMerge w:val="continue"/>
                  <w:vAlign w:val="center"/>
                </w:tcPr>
                <w:p w14:paraId="247AE81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8" w:type="dxa"/>
                  <w:vMerge w:val="continue"/>
                  <w:vAlign w:val="center"/>
                </w:tcPr>
                <w:p w14:paraId="3E78526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67" w:type="dxa"/>
                  <w:vMerge w:val="continue"/>
                  <w:vAlign w:val="center"/>
                </w:tcPr>
                <w:p w14:paraId="66F77E2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78" w:type="dxa"/>
                  <w:vMerge w:val="continue"/>
                  <w:vAlign w:val="center"/>
                </w:tcPr>
                <w:p w14:paraId="27D56CE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626" w:type="dxa"/>
                  <w:vMerge w:val="continue"/>
                  <w:vAlign w:val="center"/>
                </w:tcPr>
                <w:p w14:paraId="5921522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dxa"/>
                  <w:vMerge w:val="continue"/>
                  <w:vAlign w:val="center"/>
                </w:tcPr>
                <w:p w14:paraId="576B280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55" w:type="dxa"/>
                  <w:vMerge w:val="continue"/>
                  <w:vAlign w:val="center"/>
                </w:tcPr>
                <w:p w14:paraId="3C2B4F2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p>
              </w:tc>
              <w:tc>
                <w:tcPr>
                  <w:tcW w:w="673" w:type="dxa"/>
                  <w:vAlign w:val="center"/>
                </w:tcPr>
                <w:p w14:paraId="607B2B7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val="0"/>
                      <w:bCs w:val="0"/>
                      <w:color w:val="auto"/>
                      <w:position w:val="-10"/>
                      <w:sz w:val="21"/>
                      <w:szCs w:val="21"/>
                      <w:highlight w:val="none"/>
                      <w:lang w:val="en-US" w:eastAsia="zh-CN" w:bidi="ar-SA"/>
                    </w:rPr>
                  </w:pPr>
                  <w:r>
                    <w:rPr>
                      <w:rFonts w:hint="default" w:ascii="Times New Roman" w:hAnsi="Times New Roman" w:eastAsia="宋体" w:cs="Times New Roman"/>
                      <w:b w:val="0"/>
                      <w:bCs w:val="0"/>
                      <w:color w:val="auto"/>
                      <w:position w:val="-10"/>
                      <w:sz w:val="21"/>
                      <w:szCs w:val="21"/>
                      <w:highlight w:val="none"/>
                      <w:lang w:val="en-US" w:eastAsia="zh-CN" w:bidi="ar-SA"/>
                    </w:rPr>
                    <w:t>BOD</w:t>
                  </w:r>
                  <w:r>
                    <w:rPr>
                      <w:rFonts w:hint="default" w:ascii="Times New Roman" w:hAnsi="Times New Roman" w:eastAsia="宋体" w:cs="Times New Roman"/>
                      <w:b w:val="0"/>
                      <w:bCs w:val="0"/>
                      <w:color w:val="auto"/>
                      <w:position w:val="-10"/>
                      <w:sz w:val="21"/>
                      <w:szCs w:val="21"/>
                      <w:highlight w:val="none"/>
                      <w:vertAlign w:val="subscript"/>
                      <w:lang w:val="en-US" w:eastAsia="zh-CN" w:bidi="ar-SA"/>
                    </w:rPr>
                    <w:t>5</w:t>
                  </w:r>
                </w:p>
              </w:tc>
              <w:tc>
                <w:tcPr>
                  <w:tcW w:w="1315" w:type="dxa"/>
                  <w:vAlign w:val="center"/>
                </w:tcPr>
                <w:p w14:paraId="689C3E21">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 w:val="21"/>
                      <w:szCs w:val="21"/>
                      <w:highlight w:val="none"/>
                    </w:rPr>
                    <w:t>150</w:t>
                  </w:r>
                </w:p>
              </w:tc>
            </w:tr>
            <w:tr w14:paraId="1A795A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continue"/>
                  <w:vAlign w:val="center"/>
                </w:tcPr>
                <w:p w14:paraId="5F327E5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70" w:type="dxa"/>
                  <w:vMerge w:val="continue"/>
                  <w:vAlign w:val="center"/>
                </w:tcPr>
                <w:p w14:paraId="7E92B37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0" w:type="dxa"/>
                  <w:vMerge w:val="continue"/>
                  <w:vAlign w:val="center"/>
                </w:tcPr>
                <w:p w14:paraId="4F350D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8" w:type="dxa"/>
                  <w:vMerge w:val="continue"/>
                  <w:vAlign w:val="center"/>
                </w:tcPr>
                <w:p w14:paraId="24C4D31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67" w:type="dxa"/>
                  <w:vMerge w:val="continue"/>
                  <w:vAlign w:val="center"/>
                </w:tcPr>
                <w:p w14:paraId="4751A05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78" w:type="dxa"/>
                  <w:vMerge w:val="continue"/>
                  <w:vAlign w:val="center"/>
                </w:tcPr>
                <w:p w14:paraId="762EA867">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626" w:type="dxa"/>
                  <w:vMerge w:val="continue"/>
                  <w:vAlign w:val="center"/>
                </w:tcPr>
                <w:p w14:paraId="16304CE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dxa"/>
                  <w:vMerge w:val="continue"/>
                  <w:vAlign w:val="center"/>
                </w:tcPr>
                <w:p w14:paraId="636AAB8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55" w:type="dxa"/>
                  <w:vMerge w:val="continue"/>
                  <w:vAlign w:val="center"/>
                </w:tcPr>
                <w:p w14:paraId="21991CF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73" w:type="dxa"/>
                  <w:vAlign w:val="center"/>
                </w:tcPr>
                <w:p w14:paraId="6792049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SS</w:t>
                  </w:r>
                </w:p>
              </w:tc>
              <w:tc>
                <w:tcPr>
                  <w:tcW w:w="1315" w:type="dxa"/>
                  <w:vAlign w:val="center"/>
                </w:tcPr>
                <w:p w14:paraId="0EBEDB3E">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 w:val="21"/>
                      <w:szCs w:val="21"/>
                      <w:highlight w:val="none"/>
                    </w:rPr>
                    <w:t>250</w:t>
                  </w:r>
                </w:p>
              </w:tc>
            </w:tr>
            <w:tr w14:paraId="2E3F41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continue"/>
                  <w:vAlign w:val="center"/>
                </w:tcPr>
                <w:p w14:paraId="632BD50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70" w:type="dxa"/>
                  <w:vMerge w:val="continue"/>
                  <w:vAlign w:val="center"/>
                </w:tcPr>
                <w:p w14:paraId="71C94A1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0" w:type="dxa"/>
                  <w:vMerge w:val="continue"/>
                  <w:vAlign w:val="center"/>
                </w:tcPr>
                <w:p w14:paraId="113AA5F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8" w:type="dxa"/>
                  <w:vMerge w:val="continue"/>
                  <w:vAlign w:val="center"/>
                </w:tcPr>
                <w:p w14:paraId="792A364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67" w:type="dxa"/>
                  <w:vMerge w:val="continue"/>
                  <w:vAlign w:val="center"/>
                </w:tcPr>
                <w:p w14:paraId="1A43180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78" w:type="dxa"/>
                  <w:vMerge w:val="continue"/>
                  <w:vAlign w:val="center"/>
                </w:tcPr>
                <w:p w14:paraId="4769BBB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626" w:type="dxa"/>
                  <w:vMerge w:val="continue"/>
                  <w:vAlign w:val="center"/>
                </w:tcPr>
                <w:p w14:paraId="5A46454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dxa"/>
                  <w:vMerge w:val="continue"/>
                  <w:vAlign w:val="center"/>
                </w:tcPr>
                <w:p w14:paraId="24F310A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55" w:type="dxa"/>
                  <w:vMerge w:val="continue"/>
                  <w:vAlign w:val="center"/>
                </w:tcPr>
                <w:p w14:paraId="77EE9C7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73" w:type="dxa"/>
                  <w:vAlign w:val="center"/>
                </w:tcPr>
                <w:p w14:paraId="5860346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氨氮</w:t>
                  </w:r>
                </w:p>
              </w:tc>
              <w:tc>
                <w:tcPr>
                  <w:tcW w:w="1315" w:type="dxa"/>
                  <w:vAlign w:val="center"/>
                </w:tcPr>
                <w:p w14:paraId="0BDB01A1">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sz w:val="21"/>
                      <w:szCs w:val="21"/>
                      <w:highlight w:val="none"/>
                    </w:rPr>
                    <w:t>40</w:t>
                  </w:r>
                </w:p>
              </w:tc>
            </w:tr>
            <w:tr w14:paraId="112D4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322" w:type="dxa"/>
                  <w:vMerge w:val="continue"/>
                  <w:vAlign w:val="center"/>
                </w:tcPr>
                <w:p w14:paraId="3B047C5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70" w:type="dxa"/>
                  <w:vMerge w:val="continue"/>
                  <w:vAlign w:val="center"/>
                </w:tcPr>
                <w:p w14:paraId="6386A724">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0" w:type="dxa"/>
                  <w:vMerge w:val="continue"/>
                  <w:vAlign w:val="center"/>
                </w:tcPr>
                <w:p w14:paraId="4D97C91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88" w:type="dxa"/>
                  <w:vMerge w:val="continue"/>
                  <w:vAlign w:val="center"/>
                </w:tcPr>
                <w:p w14:paraId="4DAE943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67" w:type="dxa"/>
                  <w:vMerge w:val="continue"/>
                  <w:vAlign w:val="center"/>
                </w:tcPr>
                <w:p w14:paraId="041211F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878" w:type="dxa"/>
                  <w:vMerge w:val="continue"/>
                  <w:vAlign w:val="center"/>
                </w:tcPr>
                <w:p w14:paraId="7D8451A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1626" w:type="dxa"/>
                  <w:vMerge w:val="continue"/>
                  <w:vAlign w:val="center"/>
                </w:tcPr>
                <w:p w14:paraId="33695BD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22" w:type="dxa"/>
                  <w:vMerge w:val="continue"/>
                  <w:vAlign w:val="center"/>
                </w:tcPr>
                <w:p w14:paraId="6D98A45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555" w:type="dxa"/>
                  <w:vMerge w:val="continue"/>
                  <w:vAlign w:val="center"/>
                </w:tcPr>
                <w:p w14:paraId="3AD03C1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73" w:type="dxa"/>
                  <w:vAlign w:val="center"/>
                </w:tcPr>
                <w:p w14:paraId="3B75CFB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石油类</w:t>
                  </w:r>
                </w:p>
              </w:tc>
              <w:tc>
                <w:tcPr>
                  <w:tcW w:w="1315" w:type="dxa"/>
                  <w:vAlign w:val="center"/>
                </w:tcPr>
                <w:p w14:paraId="54E2A0AD">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100</w:t>
                  </w:r>
                </w:p>
              </w:tc>
            </w:tr>
            <w:tr w14:paraId="173E6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096" w:type="dxa"/>
                  <w:gridSpan w:val="11"/>
                  <w:vAlign w:val="center"/>
                </w:tcPr>
                <w:p w14:paraId="7463C82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注：项目废水排放执行广东省地方标准《水污染物排放限值》（DB44/26-2001）第二时段三级标准及园区污水处理厂接管水质要求两者较严值。</w:t>
                  </w:r>
                </w:p>
              </w:tc>
            </w:tr>
          </w:tbl>
          <w:p w14:paraId="3770E986">
            <w:pPr>
              <w:keepNext w:val="0"/>
              <w:keepLines w:val="0"/>
              <w:pageBreakBefore w:val="0"/>
              <w:widowControl w:val="0"/>
              <w:kinsoku/>
              <w:wordWrap w:val="0"/>
              <w:overflowPunct/>
              <w:topLinePunct w:val="0"/>
              <w:autoSpaceDE w:val="0"/>
              <w:autoSpaceDN w:val="0"/>
              <w:bidi w:val="0"/>
              <w:adjustRightInd w:val="0"/>
              <w:snapToGrid/>
              <w:spacing w:line="36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表4-</w:t>
            </w:r>
            <w:r>
              <w:rPr>
                <w:rFonts w:hint="default" w:ascii="Times New Roman" w:hAnsi="Times New Roman" w:cs="Times New Roman"/>
                <w:b/>
                <w:color w:val="auto"/>
                <w:kern w:val="2"/>
                <w:sz w:val="21"/>
                <w:szCs w:val="21"/>
                <w:highlight w:val="none"/>
                <w:lang w:val="en-US" w:eastAsia="zh-CN" w:bidi="ar-SA"/>
              </w:rPr>
              <w:t>10</w:t>
            </w:r>
            <w:r>
              <w:rPr>
                <w:rFonts w:hint="default" w:ascii="Times New Roman" w:hAnsi="Times New Roman" w:eastAsia="宋体" w:cs="Times New Roman"/>
                <w:b/>
                <w:color w:val="auto"/>
                <w:kern w:val="2"/>
                <w:sz w:val="21"/>
                <w:szCs w:val="21"/>
                <w:highlight w:val="none"/>
                <w:lang w:val="en-US" w:eastAsia="zh-CN" w:bidi="ar-SA"/>
              </w:rPr>
              <w:t>废水污染物排放信息表</w:t>
            </w:r>
          </w:p>
          <w:tbl>
            <w:tblPr>
              <w:tblStyle w:val="38"/>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53"/>
              <w:gridCol w:w="961"/>
              <w:gridCol w:w="1426"/>
              <w:gridCol w:w="1313"/>
              <w:gridCol w:w="1635"/>
              <w:gridCol w:w="1862"/>
            </w:tblGrid>
            <w:tr w14:paraId="63123E2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6" w:type="pct"/>
                  <w:tcBorders>
                    <w:tl2br w:val="nil"/>
                    <w:tr2bl w:val="nil"/>
                  </w:tcBorders>
                  <w:shd w:val="clear" w:color="auto" w:fill="FFFFFF"/>
                  <w:vAlign w:val="center"/>
                </w:tcPr>
                <w:p w14:paraId="6B6E411B">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序号</w:t>
                  </w:r>
                </w:p>
              </w:tc>
              <w:tc>
                <w:tcPr>
                  <w:tcW w:w="611" w:type="pct"/>
                  <w:tcBorders>
                    <w:tl2br w:val="nil"/>
                    <w:tr2bl w:val="nil"/>
                  </w:tcBorders>
                  <w:shd w:val="clear" w:color="auto" w:fill="FFFFFF"/>
                  <w:vAlign w:val="center"/>
                </w:tcPr>
                <w:p w14:paraId="0B511F1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排放口编号</w:t>
                  </w:r>
                </w:p>
              </w:tc>
              <w:tc>
                <w:tcPr>
                  <w:tcW w:w="908" w:type="pct"/>
                  <w:tcBorders>
                    <w:tl2br w:val="nil"/>
                    <w:tr2bl w:val="nil"/>
                  </w:tcBorders>
                  <w:shd w:val="clear" w:color="auto" w:fill="FFFFFF"/>
                  <w:vAlign w:val="center"/>
                </w:tcPr>
                <w:p w14:paraId="42F8508C">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污染物种类</w:t>
                  </w:r>
                </w:p>
              </w:tc>
              <w:tc>
                <w:tcPr>
                  <w:tcW w:w="836" w:type="pct"/>
                  <w:tcBorders>
                    <w:tl2br w:val="nil"/>
                    <w:tr2bl w:val="nil"/>
                  </w:tcBorders>
                  <w:shd w:val="clear" w:color="auto" w:fill="FFFFFF"/>
                  <w:vAlign w:val="center"/>
                </w:tcPr>
                <w:p w14:paraId="1410C876">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排放浓度（</w:t>
                  </w:r>
                  <w:r>
                    <w:rPr>
                      <w:rFonts w:hint="default" w:ascii="Times New Roman" w:hAnsi="Times New Roman" w:eastAsia="宋体" w:cs="Times New Roman"/>
                      <w:b/>
                      <w:bCs/>
                      <w:color w:val="auto"/>
                      <w:kern w:val="0"/>
                      <w:sz w:val="21"/>
                      <w:szCs w:val="21"/>
                      <w:highlight w:val="none"/>
                      <w:lang w:bidi="ar"/>
                    </w:rPr>
                    <w:t>mg/L</w:t>
                  </w:r>
                  <w:r>
                    <w:rPr>
                      <w:rFonts w:hint="default" w:ascii="Times New Roman" w:hAnsi="Times New Roman" w:eastAsia="宋体" w:cs="Times New Roman"/>
                      <w:b/>
                      <w:bCs/>
                      <w:color w:val="auto"/>
                      <w:sz w:val="21"/>
                      <w:szCs w:val="21"/>
                      <w:highlight w:val="none"/>
                      <w:u w:val="none"/>
                      <w:lang w:bidi="ar"/>
                    </w:rPr>
                    <w:t>）</w:t>
                  </w:r>
                </w:p>
              </w:tc>
              <w:tc>
                <w:tcPr>
                  <w:tcW w:w="1039" w:type="pct"/>
                  <w:tcBorders>
                    <w:tl2br w:val="nil"/>
                    <w:tr2bl w:val="nil"/>
                  </w:tcBorders>
                  <w:shd w:val="clear" w:color="auto" w:fill="FFFFFF"/>
                  <w:vAlign w:val="center"/>
                </w:tcPr>
                <w:p w14:paraId="3CF934C5">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highlight w:val="none"/>
                      <w:lang w:bidi="ar"/>
                    </w:rPr>
                    <w:t>全厂日排放量</w:t>
                  </w:r>
                  <w:r>
                    <w:rPr>
                      <w:rFonts w:hint="default" w:ascii="Times New Roman" w:hAnsi="Times New Roman" w:eastAsia="宋体" w:cs="Times New Roman"/>
                      <w:b/>
                      <w:bCs/>
                      <w:color w:val="auto"/>
                      <w:sz w:val="21"/>
                      <w:szCs w:val="21"/>
                      <w:highlight w:val="none"/>
                      <w:u w:val="none"/>
                      <w:lang w:bidi="ar"/>
                    </w:rPr>
                    <w:t>（</w:t>
                  </w:r>
                  <w:r>
                    <w:rPr>
                      <w:rFonts w:hint="default" w:ascii="Times New Roman" w:hAnsi="Times New Roman" w:eastAsia="宋体" w:cs="Times New Roman"/>
                      <w:b/>
                      <w:bCs/>
                      <w:color w:val="auto"/>
                      <w:kern w:val="0"/>
                      <w:sz w:val="21"/>
                      <w:szCs w:val="21"/>
                      <w:highlight w:val="none"/>
                      <w:lang w:bidi="ar"/>
                    </w:rPr>
                    <w:t>t/d</w:t>
                  </w:r>
                  <w:r>
                    <w:rPr>
                      <w:rFonts w:hint="default" w:ascii="Times New Roman" w:hAnsi="Times New Roman" w:eastAsia="宋体" w:cs="Times New Roman"/>
                      <w:b/>
                      <w:bCs/>
                      <w:color w:val="auto"/>
                      <w:sz w:val="21"/>
                      <w:szCs w:val="21"/>
                      <w:highlight w:val="none"/>
                      <w:u w:val="none"/>
                      <w:lang w:bidi="ar"/>
                    </w:rPr>
                    <w:t>）</w:t>
                  </w:r>
                </w:p>
              </w:tc>
              <w:tc>
                <w:tcPr>
                  <w:tcW w:w="1186" w:type="pct"/>
                  <w:tcBorders>
                    <w:tl2br w:val="nil"/>
                    <w:tr2bl w:val="nil"/>
                  </w:tcBorders>
                  <w:shd w:val="clear" w:color="auto" w:fill="FFFFFF"/>
                  <w:vAlign w:val="center"/>
                </w:tcPr>
                <w:p w14:paraId="35BBF8D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u w:val="none"/>
                      <w:lang w:bidi="ar"/>
                    </w:rPr>
                  </w:pPr>
                  <w:r>
                    <w:rPr>
                      <w:rFonts w:hint="default" w:ascii="Times New Roman" w:hAnsi="Times New Roman" w:eastAsia="宋体" w:cs="Times New Roman"/>
                      <w:b/>
                      <w:bCs/>
                      <w:color w:val="auto"/>
                      <w:sz w:val="21"/>
                      <w:szCs w:val="21"/>
                      <w:highlight w:val="none"/>
                      <w:u w:val="none"/>
                      <w:lang w:bidi="ar"/>
                    </w:rPr>
                    <w:t>全厂年排放量</w:t>
                  </w:r>
                </w:p>
                <w:p w14:paraId="49E2D42E">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u w:val="none"/>
                      <w:lang w:bidi="ar"/>
                    </w:rPr>
                    <w:t>（</w:t>
                  </w:r>
                  <w:r>
                    <w:rPr>
                      <w:rFonts w:hint="default" w:ascii="Times New Roman" w:hAnsi="Times New Roman" w:eastAsia="宋体" w:cs="Times New Roman"/>
                      <w:b/>
                      <w:bCs/>
                      <w:color w:val="auto"/>
                      <w:kern w:val="0"/>
                      <w:sz w:val="21"/>
                      <w:szCs w:val="21"/>
                      <w:highlight w:val="none"/>
                      <w:lang w:bidi="ar"/>
                    </w:rPr>
                    <w:t>t/a</w:t>
                  </w:r>
                  <w:r>
                    <w:rPr>
                      <w:rFonts w:hint="default" w:ascii="Times New Roman" w:hAnsi="Times New Roman" w:eastAsia="宋体" w:cs="Times New Roman"/>
                      <w:b/>
                      <w:bCs/>
                      <w:color w:val="auto"/>
                      <w:sz w:val="21"/>
                      <w:szCs w:val="21"/>
                      <w:highlight w:val="none"/>
                      <w:u w:val="none"/>
                      <w:lang w:bidi="ar"/>
                    </w:rPr>
                    <w:t>）</w:t>
                  </w:r>
                </w:p>
              </w:tc>
            </w:tr>
            <w:tr w14:paraId="5C7010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6" w:type="pct"/>
                  <w:tcBorders>
                    <w:tl2br w:val="nil"/>
                    <w:tr2bl w:val="nil"/>
                  </w:tcBorders>
                  <w:shd w:val="clear" w:color="auto" w:fill="FFFFFF"/>
                  <w:vAlign w:val="center"/>
                </w:tcPr>
                <w:p w14:paraId="41AFD97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1</w:t>
                  </w:r>
                </w:p>
              </w:tc>
              <w:tc>
                <w:tcPr>
                  <w:tcW w:w="611" w:type="pct"/>
                  <w:vMerge w:val="restart"/>
                  <w:tcBorders>
                    <w:tl2br w:val="nil"/>
                    <w:tr2bl w:val="nil"/>
                  </w:tcBorders>
                  <w:shd w:val="clear" w:color="auto" w:fill="FFFFFF"/>
                  <w:vAlign w:val="center"/>
                </w:tcPr>
                <w:p w14:paraId="45887A10">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DW001</w:t>
                  </w:r>
                </w:p>
              </w:tc>
              <w:tc>
                <w:tcPr>
                  <w:tcW w:w="908" w:type="pct"/>
                  <w:tcBorders>
                    <w:tl2br w:val="nil"/>
                    <w:tr2bl w:val="nil"/>
                  </w:tcBorders>
                  <w:shd w:val="clear" w:color="auto" w:fill="FFFFFF"/>
                  <w:vAlign w:val="center"/>
                </w:tcPr>
                <w:p w14:paraId="76C80AB0">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bidi="ar"/>
                    </w:rPr>
                    <w:t>Cr</w:t>
                  </w:r>
                </w:p>
              </w:tc>
              <w:tc>
                <w:tcPr>
                  <w:tcW w:w="836" w:type="pct"/>
                  <w:tcBorders>
                    <w:tl2br w:val="nil"/>
                    <w:tr2bl w:val="nil"/>
                  </w:tcBorders>
                  <w:shd w:val="clear" w:color="auto" w:fill="FFFFFF"/>
                  <w:vAlign w:val="center"/>
                </w:tcPr>
                <w:p w14:paraId="3E254C8F">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199.5</w:t>
                  </w:r>
                </w:p>
              </w:tc>
              <w:tc>
                <w:tcPr>
                  <w:tcW w:w="1659" w:type="dxa"/>
                  <w:tcBorders>
                    <w:tl2br w:val="nil"/>
                    <w:tr2bl w:val="nil"/>
                  </w:tcBorders>
                  <w:shd w:val="clear" w:color="auto" w:fill="FFFFFF"/>
                  <w:vAlign w:val="center"/>
                </w:tcPr>
                <w:p w14:paraId="547420D8">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0.00046</w:t>
                  </w:r>
                </w:p>
              </w:tc>
              <w:tc>
                <w:tcPr>
                  <w:tcW w:w="1893" w:type="dxa"/>
                  <w:tcBorders>
                    <w:tl2br w:val="nil"/>
                    <w:tr2bl w:val="nil"/>
                  </w:tcBorders>
                  <w:shd w:val="clear" w:color="auto" w:fill="FFFFFF"/>
                  <w:vAlign w:val="center"/>
                </w:tcPr>
                <w:p w14:paraId="6024D1D5">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0.144</w:t>
                  </w:r>
                </w:p>
              </w:tc>
            </w:tr>
            <w:tr w14:paraId="710B5D7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6" w:type="pct"/>
                  <w:tcBorders>
                    <w:tl2br w:val="nil"/>
                    <w:tr2bl w:val="nil"/>
                  </w:tcBorders>
                  <w:shd w:val="clear" w:color="auto" w:fill="FFFFFF"/>
                  <w:vAlign w:val="center"/>
                </w:tcPr>
                <w:p w14:paraId="74422FCD">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2</w:t>
                  </w:r>
                </w:p>
              </w:tc>
              <w:tc>
                <w:tcPr>
                  <w:tcW w:w="611" w:type="pct"/>
                  <w:vMerge w:val="continue"/>
                  <w:tcBorders>
                    <w:tl2br w:val="nil"/>
                    <w:tr2bl w:val="nil"/>
                  </w:tcBorders>
                  <w:shd w:val="clear" w:color="auto" w:fill="FFFFFF"/>
                  <w:vAlign w:val="center"/>
                </w:tcPr>
                <w:p w14:paraId="394EB4A4">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8" w:type="pct"/>
                  <w:tcBorders>
                    <w:tl2br w:val="nil"/>
                    <w:tr2bl w:val="nil"/>
                  </w:tcBorders>
                  <w:shd w:val="clear" w:color="auto" w:fill="FFFFFF"/>
                  <w:vAlign w:val="center"/>
                </w:tcPr>
                <w:p w14:paraId="6E6A5503">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bidi="ar"/>
                    </w:rPr>
                    <w:t>5</w:t>
                  </w:r>
                </w:p>
              </w:tc>
              <w:tc>
                <w:tcPr>
                  <w:tcW w:w="836" w:type="pct"/>
                  <w:tcBorders>
                    <w:tl2br w:val="nil"/>
                    <w:tr2bl w:val="nil"/>
                  </w:tcBorders>
                  <w:shd w:val="clear" w:color="auto" w:fill="FFFFFF"/>
                  <w:vAlign w:val="center"/>
                </w:tcPr>
                <w:p w14:paraId="54F713ED">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78</w:t>
                  </w:r>
                </w:p>
              </w:tc>
              <w:tc>
                <w:tcPr>
                  <w:tcW w:w="1659" w:type="dxa"/>
                  <w:tcBorders>
                    <w:tl2br w:val="nil"/>
                    <w:tr2bl w:val="nil"/>
                  </w:tcBorders>
                  <w:shd w:val="clear" w:color="auto" w:fill="FFFFFF"/>
                  <w:vAlign w:val="center"/>
                </w:tcPr>
                <w:p w14:paraId="7ECD1675">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0.00018</w:t>
                  </w:r>
                </w:p>
              </w:tc>
              <w:tc>
                <w:tcPr>
                  <w:tcW w:w="1893" w:type="dxa"/>
                  <w:tcBorders>
                    <w:tl2br w:val="nil"/>
                    <w:tr2bl w:val="nil"/>
                  </w:tcBorders>
                  <w:shd w:val="clear" w:color="auto" w:fill="FFFFFF"/>
                  <w:vAlign w:val="center"/>
                </w:tcPr>
                <w:p w14:paraId="5337AF5D">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0.0568</w:t>
                  </w:r>
                </w:p>
              </w:tc>
            </w:tr>
            <w:tr w14:paraId="7104E3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6" w:type="pct"/>
                  <w:tcBorders>
                    <w:tl2br w:val="nil"/>
                    <w:tr2bl w:val="nil"/>
                  </w:tcBorders>
                  <w:shd w:val="clear" w:color="auto" w:fill="FFFFFF"/>
                  <w:vAlign w:val="center"/>
                </w:tcPr>
                <w:p w14:paraId="76926AC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3</w:t>
                  </w:r>
                </w:p>
              </w:tc>
              <w:tc>
                <w:tcPr>
                  <w:tcW w:w="611" w:type="pct"/>
                  <w:vMerge w:val="continue"/>
                  <w:tcBorders>
                    <w:tl2br w:val="nil"/>
                    <w:tr2bl w:val="nil"/>
                  </w:tcBorders>
                  <w:shd w:val="clear" w:color="auto" w:fill="FFFFFF"/>
                  <w:vAlign w:val="center"/>
                </w:tcPr>
                <w:p w14:paraId="0D1D0C0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8" w:type="pct"/>
                  <w:tcBorders>
                    <w:tl2br w:val="nil"/>
                    <w:tr2bl w:val="nil"/>
                  </w:tcBorders>
                  <w:shd w:val="clear" w:color="auto" w:fill="FFFFFF"/>
                  <w:vAlign w:val="center"/>
                </w:tcPr>
                <w:p w14:paraId="23D98C9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SS</w:t>
                  </w:r>
                </w:p>
              </w:tc>
              <w:tc>
                <w:tcPr>
                  <w:tcW w:w="836" w:type="pct"/>
                  <w:tcBorders>
                    <w:tl2br w:val="nil"/>
                    <w:tr2bl w:val="nil"/>
                  </w:tcBorders>
                  <w:shd w:val="clear" w:color="auto" w:fill="FFFFFF"/>
                  <w:vAlign w:val="center"/>
                </w:tcPr>
                <w:p w14:paraId="060C50D5">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67.9</w:t>
                  </w:r>
                </w:p>
              </w:tc>
              <w:tc>
                <w:tcPr>
                  <w:tcW w:w="1659" w:type="dxa"/>
                  <w:tcBorders>
                    <w:tl2br w:val="nil"/>
                    <w:tr2bl w:val="nil"/>
                  </w:tcBorders>
                  <w:shd w:val="clear" w:color="auto" w:fill="FFFFFF"/>
                  <w:vAlign w:val="center"/>
                </w:tcPr>
                <w:p w14:paraId="6557AA0F">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0.00016</w:t>
                  </w:r>
                </w:p>
              </w:tc>
              <w:tc>
                <w:tcPr>
                  <w:tcW w:w="1893" w:type="dxa"/>
                  <w:tcBorders>
                    <w:tl2br w:val="nil"/>
                    <w:tr2bl w:val="nil"/>
                  </w:tcBorders>
                  <w:shd w:val="clear" w:color="auto" w:fill="FFFFFF"/>
                  <w:vAlign w:val="center"/>
                </w:tcPr>
                <w:p w14:paraId="73282CC5">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0.049</w:t>
                  </w:r>
                </w:p>
              </w:tc>
            </w:tr>
            <w:tr w14:paraId="1A87CA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416" w:type="pct"/>
                  <w:tcBorders>
                    <w:tl2br w:val="nil"/>
                    <w:tr2bl w:val="nil"/>
                  </w:tcBorders>
                  <w:shd w:val="clear" w:color="auto" w:fill="FFFFFF"/>
                  <w:vAlign w:val="center"/>
                </w:tcPr>
                <w:p w14:paraId="1147E344">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4</w:t>
                  </w:r>
                </w:p>
              </w:tc>
              <w:tc>
                <w:tcPr>
                  <w:tcW w:w="611" w:type="pct"/>
                  <w:vMerge w:val="continue"/>
                  <w:tcBorders>
                    <w:tl2br w:val="nil"/>
                    <w:tr2bl w:val="nil"/>
                  </w:tcBorders>
                  <w:shd w:val="clear" w:color="auto" w:fill="FFFFFF"/>
                  <w:vAlign w:val="center"/>
                </w:tcPr>
                <w:p w14:paraId="2B13AC84">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8" w:type="pct"/>
                  <w:tcBorders>
                    <w:tl2br w:val="nil"/>
                    <w:tr2bl w:val="nil"/>
                  </w:tcBorders>
                  <w:shd w:val="clear" w:color="auto" w:fill="FFFFFF"/>
                  <w:vAlign w:val="center"/>
                </w:tcPr>
                <w:p w14:paraId="3B39097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氨氮</w:t>
                  </w:r>
                </w:p>
              </w:tc>
              <w:tc>
                <w:tcPr>
                  <w:tcW w:w="836" w:type="pct"/>
                  <w:tcBorders>
                    <w:tl2br w:val="nil"/>
                    <w:tr2bl w:val="nil"/>
                  </w:tcBorders>
                  <w:shd w:val="clear" w:color="auto" w:fill="FFFFFF"/>
                  <w:vAlign w:val="center"/>
                </w:tcPr>
                <w:p w14:paraId="7430F35C">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13.4</w:t>
                  </w:r>
                </w:p>
              </w:tc>
              <w:tc>
                <w:tcPr>
                  <w:tcW w:w="1659" w:type="dxa"/>
                  <w:tcBorders>
                    <w:tl2br w:val="nil"/>
                    <w:tr2bl w:val="nil"/>
                  </w:tcBorders>
                  <w:shd w:val="clear" w:color="auto" w:fill="FFFFFF"/>
                  <w:vAlign w:val="center"/>
                </w:tcPr>
                <w:p w14:paraId="25A7088B">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0.00003</w:t>
                  </w:r>
                </w:p>
              </w:tc>
              <w:tc>
                <w:tcPr>
                  <w:tcW w:w="1893" w:type="dxa"/>
                  <w:tcBorders>
                    <w:tl2br w:val="nil"/>
                    <w:tr2bl w:val="nil"/>
                  </w:tcBorders>
                  <w:shd w:val="clear" w:color="auto" w:fill="FFFFFF"/>
                  <w:vAlign w:val="center"/>
                </w:tcPr>
                <w:p w14:paraId="4D01A32C">
                  <w:pPr>
                    <w:pStyle w:val="53"/>
                    <w:pageBreakBefore w:val="0"/>
                    <w:wordWrap w:val="0"/>
                    <w:topLinePunct w:val="0"/>
                    <w:bidi w:val="0"/>
                    <w:ind w:left="0" w:leftChars="0"/>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0.0097</w:t>
                  </w:r>
                </w:p>
              </w:tc>
            </w:tr>
            <w:tr w14:paraId="02F7C0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restart"/>
                  <w:tcBorders>
                    <w:tl2br w:val="nil"/>
                    <w:tr2bl w:val="nil"/>
                  </w:tcBorders>
                  <w:shd w:val="clear" w:color="auto" w:fill="FFFFFF"/>
                  <w:vAlign w:val="center"/>
                </w:tcPr>
                <w:p w14:paraId="299DDB7A">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全厂排放口合计</w:t>
                  </w:r>
                </w:p>
              </w:tc>
              <w:tc>
                <w:tcPr>
                  <w:tcW w:w="2785" w:type="pct"/>
                  <w:gridSpan w:val="3"/>
                  <w:tcBorders>
                    <w:tl2br w:val="nil"/>
                    <w:tr2bl w:val="nil"/>
                  </w:tcBorders>
                  <w:shd w:val="clear" w:color="auto" w:fill="FFFFFF"/>
                  <w:vAlign w:val="center"/>
                </w:tcPr>
                <w:p w14:paraId="49C6E931">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COD</w:t>
                  </w:r>
                  <w:r>
                    <w:rPr>
                      <w:rFonts w:hint="default" w:ascii="Times New Roman" w:hAnsi="Times New Roman" w:eastAsia="宋体" w:cs="Times New Roman"/>
                      <w:color w:val="auto"/>
                      <w:kern w:val="0"/>
                      <w:sz w:val="21"/>
                      <w:szCs w:val="21"/>
                      <w:highlight w:val="none"/>
                      <w:vertAlign w:val="subscript"/>
                      <w:lang w:bidi="ar"/>
                    </w:rPr>
                    <w:t>Cr</w:t>
                  </w:r>
                </w:p>
              </w:tc>
              <w:tc>
                <w:tcPr>
                  <w:tcW w:w="1893" w:type="dxa"/>
                  <w:tcBorders>
                    <w:tl2br w:val="nil"/>
                    <w:tr2bl w:val="nil"/>
                  </w:tcBorders>
                  <w:shd w:val="clear" w:color="auto" w:fill="FFFFFF"/>
                  <w:vAlign w:val="center"/>
                </w:tcPr>
                <w:p w14:paraId="789080D7">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0.144</w:t>
                  </w:r>
                </w:p>
              </w:tc>
            </w:tr>
            <w:tr w14:paraId="43CF1D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7A0DA935">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466FA3E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BOD</w:t>
                  </w:r>
                  <w:r>
                    <w:rPr>
                      <w:rFonts w:hint="default" w:ascii="Times New Roman" w:hAnsi="Times New Roman" w:eastAsia="宋体" w:cs="Times New Roman"/>
                      <w:color w:val="auto"/>
                      <w:kern w:val="0"/>
                      <w:sz w:val="21"/>
                      <w:szCs w:val="21"/>
                      <w:highlight w:val="none"/>
                      <w:vertAlign w:val="subscript"/>
                      <w:lang w:bidi="ar"/>
                    </w:rPr>
                    <w:t>5</w:t>
                  </w:r>
                </w:p>
              </w:tc>
              <w:tc>
                <w:tcPr>
                  <w:tcW w:w="1893" w:type="dxa"/>
                  <w:tcBorders>
                    <w:tl2br w:val="nil"/>
                    <w:tr2bl w:val="nil"/>
                  </w:tcBorders>
                  <w:shd w:val="clear" w:color="auto" w:fill="FFFFFF"/>
                  <w:vAlign w:val="center"/>
                </w:tcPr>
                <w:p w14:paraId="640E5DB4">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0.0568</w:t>
                  </w:r>
                </w:p>
              </w:tc>
            </w:tr>
            <w:tr w14:paraId="158982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39A55C47">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31D641F8">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SS</w:t>
                  </w:r>
                </w:p>
              </w:tc>
              <w:tc>
                <w:tcPr>
                  <w:tcW w:w="1893" w:type="dxa"/>
                  <w:tcBorders>
                    <w:tl2br w:val="nil"/>
                    <w:tr2bl w:val="nil"/>
                  </w:tcBorders>
                  <w:shd w:val="clear" w:color="auto" w:fill="FFFFFF"/>
                  <w:vAlign w:val="center"/>
                </w:tcPr>
                <w:p w14:paraId="49CCC4A6">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0.049</w:t>
                  </w:r>
                </w:p>
              </w:tc>
            </w:tr>
            <w:tr w14:paraId="43ED71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trPr>
              <w:tc>
                <w:tcPr>
                  <w:tcW w:w="1028" w:type="pct"/>
                  <w:gridSpan w:val="2"/>
                  <w:vMerge w:val="continue"/>
                  <w:tcBorders>
                    <w:tl2br w:val="nil"/>
                    <w:tr2bl w:val="nil"/>
                  </w:tcBorders>
                  <w:shd w:val="clear" w:color="auto" w:fill="FFFFFF"/>
                  <w:vAlign w:val="center"/>
                </w:tcPr>
                <w:p w14:paraId="4E404F88">
                  <w:pPr>
                    <w:keepNext w:val="0"/>
                    <w:keepLines w:val="0"/>
                    <w:pageBreakBefore w:val="0"/>
                    <w:kinsoku/>
                    <w:wordWrap w:val="0"/>
                    <w:overflowPunct/>
                    <w:topLinePunct w:val="0"/>
                    <w:autoSpaceDE/>
                    <w:autoSpaceDN/>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2785" w:type="pct"/>
                  <w:gridSpan w:val="3"/>
                  <w:tcBorders>
                    <w:tl2br w:val="nil"/>
                    <w:tr2bl w:val="nil"/>
                  </w:tcBorders>
                  <w:shd w:val="clear" w:color="auto" w:fill="FFFFFF"/>
                  <w:vAlign w:val="center"/>
                </w:tcPr>
                <w:p w14:paraId="3AB84DF7">
                  <w:pPr>
                    <w:keepNext w:val="0"/>
                    <w:keepLines w:val="0"/>
                    <w:pageBreakBefore w:val="0"/>
                    <w:widowControl/>
                    <w:kinsoku/>
                    <w:wordWrap w:val="0"/>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highlight w:val="none"/>
                      <w:lang w:bidi="ar"/>
                    </w:rPr>
                    <w:t>氨氮</w:t>
                  </w:r>
                </w:p>
              </w:tc>
              <w:tc>
                <w:tcPr>
                  <w:tcW w:w="1893" w:type="dxa"/>
                  <w:tcBorders>
                    <w:tl2br w:val="nil"/>
                    <w:tr2bl w:val="nil"/>
                  </w:tcBorders>
                  <w:shd w:val="clear" w:color="auto" w:fill="FFFFFF"/>
                  <w:vAlign w:val="center"/>
                </w:tcPr>
                <w:p w14:paraId="75A5510B">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0.0097</w:t>
                  </w:r>
                </w:p>
              </w:tc>
            </w:tr>
          </w:tbl>
          <w:p w14:paraId="01681EDA">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4、污染治理设施情况</w:t>
            </w:r>
          </w:p>
          <w:p w14:paraId="16F12054">
            <w:pPr>
              <w:pageBreakBefore w:val="0"/>
              <w:wordWrap w:val="0"/>
              <w:topLinePunct w:val="0"/>
              <w:bidi w:val="0"/>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本项目位于园区污水处理厂纳污范围内，生活污水经三级化粪池预处理后</w:t>
            </w:r>
            <w:r>
              <w:rPr>
                <w:rFonts w:hint="default" w:ascii="Times New Roman" w:hAnsi="Times New Roman" w:cs="Times New Roman"/>
                <w:color w:val="auto"/>
                <w:highlight w:val="none"/>
                <w:lang w:eastAsia="zh-CN"/>
              </w:rPr>
              <w:t>经生活污</w:t>
            </w:r>
            <w:r>
              <w:rPr>
                <w:rFonts w:hint="default" w:ascii="Times New Roman" w:hAnsi="Times New Roman" w:eastAsia="宋体" w:cs="Times New Roman"/>
                <w:color w:val="auto"/>
                <w:highlight w:val="none"/>
              </w:rPr>
              <w:t>水排放口DW001进入园区污水处理</w:t>
            </w:r>
            <w:r>
              <w:rPr>
                <w:rFonts w:hint="default" w:ascii="Times New Roman" w:hAnsi="Times New Roman" w:eastAsia="宋体" w:cs="Times New Roman"/>
                <w:color w:val="auto"/>
                <w:highlight w:val="none"/>
                <w:lang w:eastAsia="zh-CN"/>
              </w:rPr>
              <w:t>厂</w:t>
            </w:r>
            <w:r>
              <w:rPr>
                <w:rFonts w:hint="default" w:ascii="Times New Roman" w:hAnsi="Times New Roman" w:eastAsia="宋体" w:cs="Times New Roman"/>
                <w:color w:val="auto"/>
                <w:highlight w:val="none"/>
              </w:rPr>
              <w:t>处理</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处理后达到广东省地方标准《水污染物排放限值》（DB44/26-2001）第二时段三级标准及园区污水处理厂接管水质要求两者较严值后排入园区污水处理厂。</w:t>
            </w:r>
          </w:p>
          <w:p w14:paraId="2E769C61">
            <w:pPr>
              <w:keepNext w:val="0"/>
              <w:keepLines w:val="0"/>
              <w:pageBreakBefore w:val="0"/>
              <w:widowControl w:val="0"/>
              <w:kinsoku/>
              <w:wordWrap w:val="0"/>
              <w:overflowPunct/>
              <w:topLinePunct w:val="0"/>
              <w:autoSpaceDE w:val="0"/>
              <w:autoSpaceDN w:val="0"/>
              <w:bidi w:val="0"/>
              <w:adjustRightInd w:val="0"/>
              <w:snapToGrid/>
              <w:spacing w:line="36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表</w:t>
            </w:r>
            <w:r>
              <w:rPr>
                <w:rFonts w:hint="default" w:ascii="Times New Roman" w:hAnsi="Times New Roman" w:eastAsia="宋体" w:cs="Times New Roman"/>
                <w:b/>
                <w:color w:val="auto"/>
                <w:kern w:val="2"/>
                <w:sz w:val="21"/>
                <w:szCs w:val="21"/>
                <w:highlight w:val="none"/>
                <w:lang w:val="en-US" w:eastAsia="zh-CN" w:bidi="ar-SA"/>
              </w:rPr>
              <w:fldChar w:fldCharType="begin"/>
            </w:r>
            <w:r>
              <w:rPr>
                <w:rFonts w:hint="default" w:ascii="Times New Roman" w:hAnsi="Times New Roman" w:eastAsia="宋体" w:cs="Times New Roman"/>
                <w:b/>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color w:val="auto"/>
                <w:kern w:val="2"/>
                <w:sz w:val="21"/>
                <w:szCs w:val="21"/>
                <w:highlight w:val="none"/>
                <w:lang w:val="en-US" w:eastAsia="zh-CN" w:bidi="ar-SA"/>
              </w:rPr>
              <w:fldChar w:fldCharType="separate"/>
            </w:r>
            <w:r>
              <w:rPr>
                <w:rFonts w:hint="default" w:ascii="Times New Roman" w:hAnsi="Times New Roman" w:eastAsia="宋体" w:cs="Times New Roman"/>
                <w:b/>
                <w:color w:val="auto"/>
                <w:kern w:val="2"/>
                <w:sz w:val="21"/>
                <w:szCs w:val="21"/>
                <w:highlight w:val="none"/>
                <w:lang w:val="en-US" w:eastAsia="zh-CN" w:bidi="ar-SA"/>
              </w:rPr>
              <w:t>4</w:t>
            </w:r>
            <w:r>
              <w:rPr>
                <w:rFonts w:hint="default" w:ascii="Times New Roman" w:hAnsi="Times New Roman" w:eastAsia="宋体" w:cs="Times New Roman"/>
                <w:b/>
                <w:color w:val="auto"/>
                <w:kern w:val="2"/>
                <w:sz w:val="21"/>
                <w:szCs w:val="21"/>
                <w:highlight w:val="none"/>
                <w:lang w:val="en-US" w:eastAsia="zh-CN" w:bidi="ar-SA"/>
              </w:rPr>
              <w:fldChar w:fldCharType="end"/>
            </w:r>
            <w:r>
              <w:rPr>
                <w:rFonts w:hint="default" w:ascii="Times New Roman" w:hAnsi="Times New Roman" w:eastAsia="宋体" w:cs="Times New Roman"/>
                <w:b/>
                <w:color w:val="auto"/>
                <w:kern w:val="2"/>
                <w:sz w:val="21"/>
                <w:szCs w:val="21"/>
                <w:highlight w:val="none"/>
                <w:lang w:val="en-US" w:eastAsia="zh-CN" w:bidi="ar-SA"/>
              </w:rPr>
              <w:t>-</w:t>
            </w:r>
            <w:r>
              <w:rPr>
                <w:rFonts w:hint="default" w:ascii="Times New Roman" w:hAnsi="Times New Roman" w:cs="Times New Roman"/>
                <w:b/>
                <w:color w:val="auto"/>
                <w:kern w:val="2"/>
                <w:sz w:val="21"/>
                <w:szCs w:val="21"/>
                <w:highlight w:val="none"/>
                <w:lang w:val="en-US" w:eastAsia="zh-CN" w:bidi="ar-SA"/>
              </w:rPr>
              <w:t>11</w:t>
            </w:r>
            <w:r>
              <w:rPr>
                <w:rFonts w:hint="default" w:ascii="Times New Roman" w:hAnsi="Times New Roman" w:eastAsia="宋体" w:cs="Times New Roman"/>
                <w:b/>
                <w:color w:val="auto"/>
                <w:kern w:val="2"/>
                <w:sz w:val="21"/>
                <w:szCs w:val="21"/>
                <w:highlight w:val="none"/>
                <w:lang w:val="en-US" w:eastAsia="zh-CN" w:bidi="ar-SA"/>
              </w:rPr>
              <w:t>废水类别、污染物及污染治理设施信息表</w:t>
            </w:r>
          </w:p>
          <w:tbl>
            <w:tblPr>
              <w:tblStyle w:val="38"/>
              <w:tblW w:w="0" w:type="auto"/>
              <w:tblInd w:w="0" w:type="dxa"/>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Layout w:type="autofit"/>
              <w:tblCellMar>
                <w:top w:w="0" w:type="dxa"/>
                <w:left w:w="0" w:type="dxa"/>
                <w:bottom w:w="0" w:type="dxa"/>
                <w:right w:w="0" w:type="dxa"/>
              </w:tblCellMar>
            </w:tblPr>
            <w:tblGrid>
              <w:gridCol w:w="356"/>
              <w:gridCol w:w="1150"/>
              <w:gridCol w:w="688"/>
              <w:gridCol w:w="1000"/>
              <w:gridCol w:w="959"/>
              <w:gridCol w:w="833"/>
              <w:gridCol w:w="743"/>
              <w:gridCol w:w="553"/>
              <w:gridCol w:w="664"/>
              <w:gridCol w:w="900"/>
            </w:tblGrid>
            <w:tr w14:paraId="40043D2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6" w:type="dxa"/>
                  <w:vMerge w:val="restart"/>
                  <w:vAlign w:val="center"/>
                </w:tcPr>
                <w:p w14:paraId="2D8C0A58">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废水类别</w:t>
                  </w:r>
                </w:p>
              </w:tc>
              <w:tc>
                <w:tcPr>
                  <w:tcW w:w="1150" w:type="dxa"/>
                  <w:vMerge w:val="restart"/>
                  <w:vAlign w:val="center"/>
                </w:tcPr>
                <w:p w14:paraId="4CB7D96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污染物种类</w:t>
                  </w:r>
                </w:p>
              </w:tc>
              <w:tc>
                <w:tcPr>
                  <w:tcW w:w="688" w:type="dxa"/>
                  <w:vMerge w:val="restart"/>
                  <w:vAlign w:val="center"/>
                </w:tcPr>
                <w:p w14:paraId="5207EF7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排放去向</w:t>
                  </w:r>
                </w:p>
              </w:tc>
              <w:tc>
                <w:tcPr>
                  <w:tcW w:w="1000" w:type="dxa"/>
                  <w:vMerge w:val="restart"/>
                  <w:vAlign w:val="center"/>
                </w:tcPr>
                <w:p w14:paraId="1F63C7A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排放规律</w:t>
                  </w:r>
                </w:p>
              </w:tc>
              <w:tc>
                <w:tcPr>
                  <w:tcW w:w="2534" w:type="dxa"/>
                  <w:gridSpan w:val="3"/>
                  <w:vAlign w:val="center"/>
                </w:tcPr>
                <w:p w14:paraId="3E3810A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污染治理设施</w:t>
                  </w:r>
                </w:p>
              </w:tc>
              <w:tc>
                <w:tcPr>
                  <w:tcW w:w="553" w:type="dxa"/>
                  <w:vMerge w:val="restart"/>
                  <w:vAlign w:val="center"/>
                </w:tcPr>
                <w:p w14:paraId="2DEAAC0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排放口编号</w:t>
                  </w:r>
                </w:p>
              </w:tc>
              <w:tc>
                <w:tcPr>
                  <w:tcW w:w="664" w:type="dxa"/>
                  <w:vMerge w:val="restart"/>
                  <w:vAlign w:val="center"/>
                </w:tcPr>
                <w:p w14:paraId="68EE1EC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排放口设置是否符合要求</w:t>
                  </w:r>
                </w:p>
              </w:tc>
              <w:tc>
                <w:tcPr>
                  <w:tcW w:w="900" w:type="dxa"/>
                  <w:vMerge w:val="restart"/>
                  <w:vAlign w:val="center"/>
                </w:tcPr>
                <w:p w14:paraId="5F8E173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排放口类型</w:t>
                  </w:r>
                </w:p>
              </w:tc>
            </w:tr>
            <w:tr w14:paraId="4FD390B8">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CellMar>
                  <w:top w:w="0" w:type="dxa"/>
                  <w:left w:w="0" w:type="dxa"/>
                  <w:bottom w:w="0" w:type="dxa"/>
                  <w:right w:w="0" w:type="dxa"/>
                </w:tblCellMar>
              </w:tblPrEx>
              <w:trPr>
                <w:trHeight w:val="397" w:hRule="atLeast"/>
              </w:trPr>
              <w:tc>
                <w:tcPr>
                  <w:tcW w:w="356" w:type="dxa"/>
                  <w:vMerge w:val="continue"/>
                  <w:vAlign w:val="center"/>
                </w:tcPr>
                <w:p w14:paraId="6458987C">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150" w:type="dxa"/>
                  <w:vMerge w:val="continue"/>
                  <w:vAlign w:val="center"/>
                </w:tcPr>
                <w:p w14:paraId="745B5188">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688" w:type="dxa"/>
                  <w:vMerge w:val="continue"/>
                  <w:vAlign w:val="center"/>
                </w:tcPr>
                <w:p w14:paraId="3AA9E0B9">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1000" w:type="dxa"/>
                  <w:vMerge w:val="continue"/>
                  <w:vAlign w:val="center"/>
                </w:tcPr>
                <w:p w14:paraId="35CD2E09">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59" w:type="dxa"/>
                  <w:vAlign w:val="center"/>
                </w:tcPr>
                <w:p w14:paraId="63D8A5F2">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污染治理设施编号</w:t>
                  </w:r>
                </w:p>
              </w:tc>
              <w:tc>
                <w:tcPr>
                  <w:tcW w:w="833" w:type="dxa"/>
                  <w:vAlign w:val="center"/>
                </w:tcPr>
                <w:p w14:paraId="7D604873">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污染治理设施名称</w:t>
                  </w:r>
                </w:p>
              </w:tc>
              <w:tc>
                <w:tcPr>
                  <w:tcW w:w="743" w:type="dxa"/>
                  <w:vAlign w:val="center"/>
                </w:tcPr>
                <w:p w14:paraId="4BC0018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污染治理设施工艺</w:t>
                  </w:r>
                </w:p>
              </w:tc>
              <w:tc>
                <w:tcPr>
                  <w:tcW w:w="553" w:type="dxa"/>
                  <w:vMerge w:val="continue"/>
                  <w:vAlign w:val="center"/>
                </w:tcPr>
                <w:p w14:paraId="37015DC1">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664" w:type="dxa"/>
                  <w:vMerge w:val="continue"/>
                  <w:vAlign w:val="center"/>
                </w:tcPr>
                <w:p w14:paraId="754A743E">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c>
                <w:tcPr>
                  <w:tcW w:w="900" w:type="dxa"/>
                  <w:vMerge w:val="continue"/>
                  <w:vAlign w:val="center"/>
                </w:tcPr>
                <w:p w14:paraId="1AEDEFD4">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p>
              </w:tc>
            </w:tr>
            <w:tr w14:paraId="725B24DC">
              <w:tblPrEx>
                <w:tblBorders>
                  <w:top w:val="single" w:color="auto" w:sz="4" w:space="0"/>
                  <w:left w:val="single" w:color="auto" w:sz="4" w:space="0"/>
                  <w:bottom w:val="single" w:color="auto" w:sz="4" w:space="0"/>
                  <w:right w:val="single" w:color="auto" w:sz="4" w:space="0"/>
                  <w:insideH w:val="single" w:color="000000" w:sz="4" w:space="0"/>
                  <w:insideV w:val="single" w:color="000000" w:sz="4" w:space="0"/>
                </w:tblBorders>
              </w:tblPrEx>
              <w:trPr>
                <w:trHeight w:val="936" w:hRule="atLeast"/>
              </w:trPr>
              <w:tc>
                <w:tcPr>
                  <w:tcW w:w="356" w:type="dxa"/>
                  <w:vAlign w:val="center"/>
                </w:tcPr>
                <w:p w14:paraId="3761F46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生活污水</w:t>
                  </w:r>
                </w:p>
              </w:tc>
              <w:tc>
                <w:tcPr>
                  <w:tcW w:w="1150" w:type="dxa"/>
                  <w:vAlign w:val="center"/>
                </w:tcPr>
                <w:p w14:paraId="28A7909E">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COD</w:t>
                  </w:r>
                  <w:r>
                    <w:rPr>
                      <w:rFonts w:hint="default" w:ascii="Times New Roman" w:hAnsi="Times New Roman" w:eastAsia="宋体" w:cs="Times New Roman"/>
                      <w:color w:val="auto"/>
                      <w:position w:val="-10"/>
                      <w:sz w:val="21"/>
                      <w:szCs w:val="21"/>
                      <w:highlight w:val="none"/>
                      <w:vertAlign w:val="subscript"/>
                      <w:lang w:val="en-US" w:eastAsia="zh-CN" w:bidi="ar-SA"/>
                    </w:rPr>
                    <w:t>Cr</w:t>
                  </w:r>
                  <w:r>
                    <w:rPr>
                      <w:rFonts w:hint="default" w:ascii="Times New Roman" w:hAnsi="Times New Roman" w:eastAsia="宋体" w:cs="Times New Roman"/>
                      <w:color w:val="auto"/>
                      <w:position w:val="-10"/>
                      <w:sz w:val="21"/>
                      <w:szCs w:val="21"/>
                      <w:highlight w:val="none"/>
                      <w:lang w:val="en-US" w:eastAsia="zh-CN" w:bidi="ar-SA"/>
                    </w:rPr>
                    <w:t>、BOD</w:t>
                  </w:r>
                  <w:r>
                    <w:rPr>
                      <w:rFonts w:hint="default" w:ascii="Times New Roman" w:hAnsi="Times New Roman" w:eastAsia="宋体" w:cs="Times New Roman"/>
                      <w:color w:val="auto"/>
                      <w:position w:val="-10"/>
                      <w:sz w:val="21"/>
                      <w:szCs w:val="21"/>
                      <w:highlight w:val="none"/>
                      <w:vertAlign w:val="subscript"/>
                      <w:lang w:val="en-US" w:eastAsia="zh-CN" w:bidi="ar-SA"/>
                    </w:rPr>
                    <w:t>5</w:t>
                  </w:r>
                  <w:r>
                    <w:rPr>
                      <w:rFonts w:hint="default" w:ascii="Times New Roman" w:hAnsi="Times New Roman" w:eastAsia="宋体" w:cs="Times New Roman"/>
                      <w:color w:val="auto"/>
                      <w:position w:val="-10"/>
                      <w:sz w:val="21"/>
                      <w:szCs w:val="21"/>
                      <w:highlight w:val="none"/>
                      <w:lang w:val="en-US" w:eastAsia="zh-CN" w:bidi="ar-SA"/>
                    </w:rPr>
                    <w:t>、SS、氨氮</w:t>
                  </w:r>
                </w:p>
              </w:tc>
              <w:tc>
                <w:tcPr>
                  <w:tcW w:w="688" w:type="dxa"/>
                  <w:vAlign w:val="center"/>
                </w:tcPr>
                <w:p w14:paraId="41D68EE1">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进入园区污水处理厂</w:t>
                  </w:r>
                </w:p>
              </w:tc>
              <w:tc>
                <w:tcPr>
                  <w:tcW w:w="1000" w:type="dxa"/>
                  <w:vAlign w:val="center"/>
                </w:tcPr>
                <w:p w14:paraId="0B24F51D">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间歇排放，流量不稳定，但不属于冲击型排放</w:t>
                  </w:r>
                </w:p>
              </w:tc>
              <w:tc>
                <w:tcPr>
                  <w:tcW w:w="959" w:type="dxa"/>
                  <w:vAlign w:val="center"/>
                </w:tcPr>
                <w:p w14:paraId="3D9D594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TW001</w:t>
                  </w:r>
                </w:p>
              </w:tc>
              <w:tc>
                <w:tcPr>
                  <w:tcW w:w="833" w:type="dxa"/>
                  <w:vAlign w:val="center"/>
                </w:tcPr>
                <w:p w14:paraId="73C248F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三级化粪池</w:t>
                  </w:r>
                </w:p>
              </w:tc>
              <w:tc>
                <w:tcPr>
                  <w:tcW w:w="743" w:type="dxa"/>
                  <w:vAlign w:val="center"/>
                </w:tcPr>
                <w:p w14:paraId="4FBCA38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化粪池</w:t>
                  </w:r>
                </w:p>
              </w:tc>
              <w:tc>
                <w:tcPr>
                  <w:tcW w:w="553" w:type="dxa"/>
                  <w:vAlign w:val="center"/>
                </w:tcPr>
                <w:p w14:paraId="32F0D139">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DW001</w:t>
                  </w:r>
                </w:p>
              </w:tc>
              <w:tc>
                <w:tcPr>
                  <w:tcW w:w="664" w:type="dxa"/>
                  <w:vAlign w:val="center"/>
                </w:tcPr>
                <w:p w14:paraId="085C6C09">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是</w:t>
                  </w:r>
                </w:p>
                <w:p w14:paraId="4736E70B">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否</w:t>
                  </w:r>
                </w:p>
              </w:tc>
              <w:tc>
                <w:tcPr>
                  <w:tcW w:w="900" w:type="dxa"/>
                  <w:vAlign w:val="center"/>
                </w:tcPr>
                <w:p w14:paraId="24EAB7FE">
                  <w:pPr>
                    <w:keepNext w:val="0"/>
                    <w:keepLines w:val="0"/>
                    <w:pageBreakBefore w:val="0"/>
                    <w:widowControl w:val="0"/>
                    <w:kinsoku/>
                    <w:wordWrap w:val="0"/>
                    <w:overflowPunct/>
                    <w:topLinePunct w:val="0"/>
                    <w:bidi w:val="0"/>
                    <w:adjustRightInd/>
                    <w:snapToGrid/>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企业总排</w:t>
                  </w:r>
                </w:p>
                <w:p w14:paraId="62E6573C">
                  <w:pPr>
                    <w:keepNext w:val="0"/>
                    <w:keepLines w:val="0"/>
                    <w:pageBreakBefore w:val="0"/>
                    <w:widowControl w:val="0"/>
                    <w:kinsoku/>
                    <w:wordWrap w:val="0"/>
                    <w:overflowPunct/>
                    <w:topLinePunct w:val="0"/>
                    <w:bidi w:val="0"/>
                    <w:adjustRightInd/>
                    <w:snapToGrid/>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雨水排放</w:t>
                  </w:r>
                </w:p>
                <w:p w14:paraId="2A97B762">
                  <w:pPr>
                    <w:keepNext w:val="0"/>
                    <w:keepLines w:val="0"/>
                    <w:pageBreakBefore w:val="0"/>
                    <w:widowControl w:val="0"/>
                    <w:kinsoku/>
                    <w:wordWrap w:val="0"/>
                    <w:overflowPunct/>
                    <w:topLinePunct w:val="0"/>
                    <w:bidi w:val="0"/>
                    <w:adjustRightInd/>
                    <w:snapToGrid/>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清净下水排放</w:t>
                  </w:r>
                </w:p>
                <w:p w14:paraId="0AD6A62B">
                  <w:pPr>
                    <w:keepNext w:val="0"/>
                    <w:keepLines w:val="0"/>
                    <w:pageBreakBefore w:val="0"/>
                    <w:widowControl w:val="0"/>
                    <w:kinsoku/>
                    <w:wordWrap w:val="0"/>
                    <w:overflowPunct/>
                    <w:topLinePunct w:val="0"/>
                    <w:bidi w:val="0"/>
                    <w:adjustRightInd/>
                    <w:snapToGrid/>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温排水排放</w:t>
                  </w:r>
                </w:p>
                <w:p w14:paraId="15D303AE">
                  <w:pPr>
                    <w:keepNext w:val="0"/>
                    <w:keepLines w:val="0"/>
                    <w:pageBreakBefore w:val="0"/>
                    <w:widowControl w:val="0"/>
                    <w:kinsoku/>
                    <w:wordWrap w:val="0"/>
                    <w:overflowPunct/>
                    <w:topLinePunct w:val="0"/>
                    <w:bidi w:val="0"/>
                    <w:adjustRightInd/>
                    <w:snapToGrid/>
                    <w:spacing w:line="240" w:lineRule="auto"/>
                    <w:jc w:val="left"/>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sym w:font="Wingdings 2" w:char="00A3"/>
                  </w:r>
                  <w:r>
                    <w:rPr>
                      <w:rFonts w:hint="default" w:ascii="Times New Roman" w:hAnsi="Times New Roman" w:eastAsia="宋体" w:cs="Times New Roman"/>
                      <w:color w:val="auto"/>
                      <w:sz w:val="21"/>
                      <w:szCs w:val="21"/>
                      <w:highlight w:val="none"/>
                    </w:rPr>
                    <w:t>车间或车间处理设施排放口</w:t>
                  </w:r>
                </w:p>
              </w:tc>
            </w:tr>
          </w:tbl>
          <w:p w14:paraId="6D907F18">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5、达标情况分析</w:t>
            </w:r>
          </w:p>
          <w:p w14:paraId="361D409C">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（1）可行性技术分析</w:t>
            </w:r>
          </w:p>
          <w:p w14:paraId="48E4D55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参考环境保护部发布的环境保护技术文件：《村镇生活污染防治最佳可行技术指南（试行）》（HJ-BAT-9），三格式化粪池为生活污水可行治理技术，本项目生活污水经三级化粪池处理后排入园区污水处理厂处理。因此，本项目纳入园区污水处理厂处理从技术上是完全可行的。</w:t>
            </w:r>
          </w:p>
          <w:p w14:paraId="0F236567">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（2）水污染物控制和水环境影响减缓措施有效性评价</w:t>
            </w:r>
          </w:p>
          <w:p w14:paraId="17EEF158">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本项目位于广东省韶关市乐昌市乐昌产业转移工业园内，属于园区污水处理范围。项目生活污水经三级化粪池预处理后，进入园区污水处理厂深度处理，处理后的尾水排入武江（乐昌城-犁市河段）。</w:t>
            </w:r>
          </w:p>
          <w:p w14:paraId="631465A7">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园区污水处理厂出水水质执行《城镇污水处理厂污染物排放标准》（GB18918-2002）中一级</w:t>
            </w:r>
            <w:r>
              <w:rPr>
                <w:rFonts w:hint="default" w:ascii="Times New Roman" w:hAnsi="Times New Roman" w:cs="Times New Roman"/>
                <w:color w:val="auto"/>
                <w:kern w:val="0"/>
                <w:sz w:val="24"/>
                <w:szCs w:val="24"/>
                <w:highlight w:val="none"/>
                <w:lang w:val="en-US" w:eastAsia="zh-CN" w:bidi="ar"/>
              </w:rPr>
              <w:t>A</w:t>
            </w:r>
            <w:r>
              <w:rPr>
                <w:rFonts w:hint="default" w:ascii="Times New Roman" w:hAnsi="Times New Roman" w:eastAsia="宋体" w:cs="Times New Roman"/>
                <w:color w:val="auto"/>
                <w:kern w:val="0"/>
                <w:sz w:val="24"/>
                <w:szCs w:val="24"/>
                <w:highlight w:val="none"/>
                <w:lang w:val="en-US" w:eastAsia="zh-CN" w:bidi="ar"/>
              </w:rPr>
              <w:t>标准和广东省《水污染物排放限值》（DB44/26-2001）中的第二时段一级排放标准较严者，对周围环境影响较小。</w:t>
            </w:r>
          </w:p>
          <w:p w14:paraId="16051A9D">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（3）依托污水设施的环境可行性评价</w:t>
            </w:r>
          </w:p>
          <w:p w14:paraId="714A0DF0">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产业园范围内已有乐昌产业转移工业园污水处理厂，根据乐昌产业转移工业园管网分布图（附图</w:t>
            </w:r>
            <w:r>
              <w:rPr>
                <w:rFonts w:hint="default" w:ascii="Times New Roman" w:hAnsi="Times New Roman" w:cs="Times New Roman"/>
                <w:color w:val="auto"/>
                <w:kern w:val="2"/>
                <w:sz w:val="24"/>
                <w:szCs w:val="24"/>
                <w:highlight w:val="none"/>
                <w:lang w:val="en-US" w:eastAsia="zh-CN" w:bidi="ar-SA"/>
              </w:rPr>
              <w:t>16</w:t>
            </w:r>
            <w:r>
              <w:rPr>
                <w:rFonts w:hint="default" w:ascii="Times New Roman" w:hAnsi="Times New Roman" w:eastAsia="宋体" w:cs="Times New Roman"/>
                <w:color w:val="auto"/>
                <w:kern w:val="2"/>
                <w:sz w:val="24"/>
                <w:szCs w:val="24"/>
                <w:highlight w:val="none"/>
                <w:lang w:val="en-US" w:eastAsia="zh-CN" w:bidi="ar-SA"/>
              </w:rPr>
              <w:t>）可知，本项目所在地块已纳入现状排污管收集范围内。污水工艺采用循环式活性污泥法（CASS）工艺。出水水质标准执行广东省地方标准《水污染物排放限值》(DB44/26-2001)第二时段一级标准及国家《城镇污水处理厂污染物排放标准》(GB18918-2002)一级</w:t>
            </w:r>
            <w:r>
              <w:rPr>
                <w:rFonts w:hint="default" w:ascii="Times New Roman" w:hAnsi="Times New Roman" w:cs="Times New Roman"/>
                <w:color w:val="auto"/>
                <w:kern w:val="2"/>
                <w:sz w:val="24"/>
                <w:szCs w:val="24"/>
                <w:highlight w:val="none"/>
                <w:lang w:val="en-US" w:eastAsia="zh-CN" w:bidi="ar-SA"/>
              </w:rPr>
              <w:t>A</w:t>
            </w:r>
            <w:r>
              <w:rPr>
                <w:rFonts w:hint="default" w:ascii="Times New Roman" w:hAnsi="Times New Roman" w:eastAsia="宋体" w:cs="Times New Roman"/>
                <w:color w:val="auto"/>
                <w:kern w:val="2"/>
                <w:sz w:val="24"/>
                <w:szCs w:val="24"/>
                <w:highlight w:val="none"/>
                <w:lang w:val="en-US" w:eastAsia="zh-CN" w:bidi="ar-SA"/>
              </w:rPr>
              <w:t>标准中较严标准，处理达标后由污水处理厂内提升泵通过已建成6392米长的出水管道输送至武江排放。</w:t>
            </w:r>
          </w:p>
          <w:p w14:paraId="78E4B5D9">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园区污水处理厂主体工艺采用CASS，该工艺运行灵活、耐冲击能力强等优点。对于产业转移工业园工业废水，现状各企业基本无生产废水产生，只产生生活污水。可能对污水厂处理工艺产生影响的主要为产业转移工业园规划引进的企业的生产废水，园区主导行业电子信息、机械、金属制品、轻纺等产业可能产生的生产废水中部分指标较高，对于接入污水厂的生产废水，产业转移工业园要求企业根据生产废水的水质情况进行预处理。其中，如有集成电路生产企业，其生产废水经pH值调节、投药、絮凝沉淀，重点去除F-后，预处理达到广东省《水污染</w:t>
            </w:r>
            <w:r>
              <w:rPr>
                <w:rFonts w:hint="default" w:ascii="Times New Roman" w:hAnsi="Times New Roman" w:cs="Times New Roman"/>
                <w:color w:val="auto"/>
                <w:kern w:val="2"/>
                <w:sz w:val="24"/>
                <w:szCs w:val="24"/>
                <w:highlight w:val="none"/>
                <w:lang w:val="en-US" w:eastAsia="zh-CN" w:bidi="ar-SA"/>
              </w:rPr>
              <w:t>物</w:t>
            </w:r>
            <w:r>
              <w:rPr>
                <w:rFonts w:hint="default" w:ascii="Times New Roman" w:hAnsi="Times New Roman" w:eastAsia="宋体" w:cs="Times New Roman"/>
                <w:color w:val="auto"/>
                <w:kern w:val="2"/>
                <w:sz w:val="24"/>
                <w:szCs w:val="24"/>
                <w:highlight w:val="none"/>
                <w:lang w:val="en-US" w:eastAsia="zh-CN" w:bidi="ar-SA"/>
              </w:rPr>
              <w:t>排放限值》(DB44/26-2001)第二时段三级标准。</w:t>
            </w:r>
          </w:p>
          <w:p w14:paraId="1BE17908">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产业园污水处理厂目前已建成正常运行，并安装了在线监控设施并与环保部门联网，园区污水处理厂占地面积15400m²，设计处理能力为10000m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/d，分两期建设，一期处理能力5000m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/d，二期处理能力5000m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/d，现状首期5000m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/d已经建成运行。</w:t>
            </w:r>
          </w:p>
          <w:p w14:paraId="22947BEC">
            <w:pPr>
              <w:keepNext w:val="0"/>
              <w:keepLines w:val="0"/>
              <w:pageBreakBefore w:val="0"/>
              <w:widowControl/>
              <w:suppressLineNumbers w:val="0"/>
              <w:wordWrap w:val="0"/>
              <w:topLinePunct w:val="0"/>
              <w:bidi w:val="0"/>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cs="Times New Roman"/>
                <w:color w:val="auto"/>
                <w:sz w:val="24"/>
                <w:szCs w:val="24"/>
                <w:highlight w:val="none"/>
              </w:rPr>
              <w:t>根据《乐昌产业转移工业园污水处理厂202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年排污许可证执行报告》202</w:t>
            </w:r>
            <w:r>
              <w:rPr>
                <w:rFonts w:hint="default" w:ascii="Times New Roman" w:hAnsi="Times New Roman" w:cs="Times New Roman"/>
                <w:color w:val="auto"/>
                <w:sz w:val="24"/>
                <w:szCs w:val="24"/>
                <w:highlight w:val="none"/>
                <w:lang w:val="en-US" w:eastAsia="zh-CN"/>
              </w:rPr>
              <w:t>4</w:t>
            </w:r>
            <w:r>
              <w:rPr>
                <w:rFonts w:hint="default" w:ascii="Times New Roman" w:hAnsi="Times New Roman" w:cs="Times New Roman"/>
                <w:color w:val="auto"/>
                <w:sz w:val="24"/>
                <w:szCs w:val="24"/>
                <w:highlight w:val="none"/>
              </w:rPr>
              <w:t>年乐昌产业转移工业园污水处理厂年处理废水</w:t>
            </w:r>
            <w:r>
              <w:rPr>
                <w:rFonts w:hint="default" w:ascii="Times New Roman" w:hAnsi="Times New Roman" w:cs="Times New Roman"/>
                <w:color w:val="auto"/>
                <w:sz w:val="24"/>
                <w:szCs w:val="24"/>
                <w:highlight w:val="none"/>
                <w:lang w:val="en-US" w:eastAsia="zh-CN"/>
              </w:rPr>
              <w:t>73</w:t>
            </w:r>
            <w:r>
              <w:rPr>
                <w:rFonts w:hint="default" w:ascii="Times New Roman" w:hAnsi="Times New Roman" w:cs="Times New Roman"/>
                <w:color w:val="auto"/>
                <w:sz w:val="24"/>
                <w:szCs w:val="24"/>
                <w:highlight w:val="none"/>
              </w:rPr>
              <w:t>万吨（约</w:t>
            </w:r>
            <w:r>
              <w:rPr>
                <w:rFonts w:hint="default" w:ascii="Times New Roman" w:hAnsi="Times New Roman" w:cs="Times New Roman"/>
                <w:color w:val="auto"/>
                <w:sz w:val="24"/>
                <w:szCs w:val="24"/>
                <w:highlight w:val="none"/>
                <w:lang w:val="en-US" w:eastAsia="zh-CN"/>
              </w:rPr>
              <w:t>2000</w:t>
            </w:r>
            <w:r>
              <w:rPr>
                <w:rFonts w:hint="default" w:ascii="Times New Roman" w:hAnsi="Times New Roman" w:cs="Times New Roman"/>
                <w:color w:val="auto"/>
                <w:sz w:val="24"/>
                <w:szCs w:val="24"/>
                <w:highlight w:val="none"/>
              </w:rPr>
              <w:t>t/d）</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bidi="ar"/>
              </w:rPr>
              <w:t>则剩余能力有</w:t>
            </w:r>
            <w:r>
              <w:rPr>
                <w:rFonts w:hint="default" w:ascii="Times New Roman" w:hAnsi="Times New Roman" w:cs="Times New Roman"/>
                <w:color w:val="auto"/>
                <w:kern w:val="0"/>
                <w:sz w:val="24"/>
                <w:szCs w:val="24"/>
                <w:highlight w:val="none"/>
                <w:lang w:val="en-US" w:eastAsia="zh-CN" w:bidi="ar"/>
              </w:rPr>
              <w:t>3000</w:t>
            </w:r>
            <w:r>
              <w:rPr>
                <w:rFonts w:hint="default" w:ascii="Times New Roman" w:hAnsi="Times New Roman" w:eastAsia="宋体" w:cs="Times New Roman"/>
                <w:color w:val="auto"/>
                <w:kern w:val="0"/>
                <w:sz w:val="24"/>
                <w:szCs w:val="24"/>
                <w:highlight w:val="none"/>
                <w:lang w:val="en-US" w:eastAsia="zh-CN" w:bidi="ar"/>
              </w:rPr>
              <w:t>t/d。</w:t>
            </w:r>
          </w:p>
          <w:p w14:paraId="30BD170A">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本项目纳入污水处理厂的污水排放量为</w:t>
            </w:r>
            <w:r>
              <w:rPr>
                <w:rFonts w:hint="default" w:ascii="Times New Roman" w:hAnsi="Times New Roman" w:cs="Times New Roman"/>
                <w:color w:val="auto"/>
                <w:kern w:val="2"/>
                <w:sz w:val="24"/>
                <w:szCs w:val="24"/>
                <w:highlight w:val="none"/>
                <w:lang w:val="en-US" w:eastAsia="zh-CN" w:bidi="ar-SA"/>
              </w:rPr>
              <w:t>2.328</w:t>
            </w:r>
            <w:r>
              <w:rPr>
                <w:rFonts w:hint="default" w:ascii="Times New Roman" w:hAnsi="Times New Roman" w:eastAsia="宋体" w:cs="Times New Roman"/>
                <w:color w:val="auto"/>
                <w:kern w:val="2"/>
                <w:sz w:val="24"/>
                <w:szCs w:val="24"/>
                <w:highlight w:val="none"/>
                <w:lang w:val="en-US" w:eastAsia="zh-CN" w:bidi="ar-SA"/>
              </w:rPr>
              <w:t>m</w:t>
            </w:r>
            <w:r>
              <w:rPr>
                <w:rFonts w:hint="default" w:ascii="Times New Roman" w:hAnsi="Times New Roman" w:eastAsia="宋体" w:cs="Times New Roman"/>
                <w:color w:val="auto"/>
                <w:kern w:val="2"/>
                <w:sz w:val="24"/>
                <w:szCs w:val="24"/>
                <w:highlight w:val="none"/>
                <w:vertAlign w:val="super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/d，仅占剩余处理能力的0.</w:t>
            </w:r>
            <w:r>
              <w:rPr>
                <w:rFonts w:hint="default" w:ascii="Times New Roman" w:hAnsi="Times New Roman" w:cs="Times New Roman"/>
                <w:color w:val="auto"/>
                <w:kern w:val="2"/>
                <w:sz w:val="24"/>
                <w:szCs w:val="24"/>
                <w:highlight w:val="none"/>
                <w:lang w:val="en-US" w:eastAsia="zh-CN" w:bidi="ar-SA"/>
              </w:rPr>
              <w:t>09</w:t>
            </w:r>
            <w:r>
              <w:rPr>
                <w:rFonts w:hint="default" w:ascii="Times New Roman" w:hAnsi="Times New Roman" w:eastAsia="宋体" w:cs="Times New Roman"/>
                <w:color w:val="auto"/>
                <w:kern w:val="2"/>
                <w:sz w:val="24"/>
                <w:szCs w:val="24"/>
                <w:highlight w:val="none"/>
                <w:lang w:val="en-US" w:eastAsia="zh-CN" w:bidi="ar-SA"/>
              </w:rPr>
              <w:t>%。污水中的污染物主要为SS、CODcr、BOD</w:t>
            </w:r>
            <w:r>
              <w:rPr>
                <w:rFonts w:hint="default" w:ascii="Times New Roman" w:hAnsi="Times New Roman" w:eastAsia="宋体" w:cs="Times New Roman"/>
                <w:color w:val="auto"/>
                <w:kern w:val="2"/>
                <w:sz w:val="24"/>
                <w:szCs w:val="24"/>
                <w:highlight w:val="none"/>
                <w:vertAlign w:val="subscript"/>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、NH</w:t>
            </w:r>
            <w:r>
              <w:rPr>
                <w:rFonts w:hint="default" w:ascii="Times New Roman" w:hAnsi="Times New Roman" w:eastAsia="宋体" w:cs="Times New Roman"/>
                <w:color w:val="auto"/>
                <w:kern w:val="2"/>
                <w:sz w:val="24"/>
                <w:szCs w:val="24"/>
                <w:highlight w:val="none"/>
                <w:vertAlign w:val="subscript"/>
                <w:lang w:val="en-US" w:eastAsia="zh-CN" w:bidi="ar-SA"/>
              </w:rPr>
              <w:t>3</w:t>
            </w:r>
            <w:r>
              <w:rPr>
                <w:rFonts w:hint="default" w:ascii="Times New Roman" w:hAnsi="Times New Roman" w:eastAsia="宋体" w:cs="Times New Roman"/>
                <w:color w:val="auto"/>
                <w:kern w:val="2"/>
                <w:sz w:val="24"/>
                <w:szCs w:val="24"/>
                <w:highlight w:val="none"/>
                <w:lang w:val="en-US" w:eastAsia="zh-CN" w:bidi="ar-SA"/>
              </w:rPr>
              <w:t>-N等，污染物种类较简单，根据前面分析，园区污水处理厂剩余污水处理能力完全可以容纳处理本项目排入的污水，因此，本项目产生的污水经预处理后排入园区污水处理厂处理具有环境可行性。</w:t>
            </w:r>
          </w:p>
          <w:p w14:paraId="215320B4">
            <w:pPr>
              <w:pageBreakBefore w:val="0"/>
              <w:widowControl w:val="0"/>
              <w:wordWrap w:val="0"/>
              <w:topLinePunct w:val="0"/>
              <w:bidi w:val="0"/>
              <w:spacing w:line="360" w:lineRule="auto"/>
              <w:jc w:val="center"/>
              <w:rPr>
                <w:rFonts w:hint="default" w:ascii="Times New Roman" w:hAnsi="Times New Roman" w:eastAsia="宋体" w:cs="Times New Roman"/>
                <w:color w:val="auto"/>
                <w:kern w:val="2"/>
                <w:sz w:val="24"/>
                <w:szCs w:val="28"/>
                <w:highlight w:val="none"/>
                <w:lang w:val="en-US" w:eastAsia="zh-CN" w:bidi="ar-SA"/>
              </w:rPr>
            </w:pPr>
            <w:r>
              <w:rPr>
                <w:rFonts w:hint="default" w:ascii="Times New Roman" w:hAnsi="Times New Roman" w:eastAsia="宋体" w:cs="Times New Roman"/>
                <w:color w:val="auto"/>
                <w:kern w:val="2"/>
                <w:sz w:val="24"/>
                <w:szCs w:val="28"/>
                <w:highlight w:val="none"/>
                <w:lang w:val="en-US" w:eastAsia="zh-CN" w:bidi="ar-SA"/>
              </w:rPr>
              <w:drawing>
                <wp:inline distT="0" distB="0" distL="114300" distR="114300">
                  <wp:extent cx="4521835" cy="1968500"/>
                  <wp:effectExtent l="9525" t="9525" r="21590" b="22225"/>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5"/>
                          <a:stretch>
                            <a:fillRect/>
                          </a:stretch>
                        </pic:blipFill>
                        <pic:spPr>
                          <a:xfrm>
                            <a:off x="0" y="0"/>
                            <a:ext cx="4521835" cy="1968500"/>
                          </a:xfrm>
                          <a:prstGeom prst="rect">
                            <a:avLst/>
                          </a:prstGeom>
                          <a:noFill/>
                          <a:ln>
                            <a:solidFill>
                              <a:schemeClr val="tx1"/>
                            </a:solidFill>
                          </a:ln>
                        </pic:spPr>
                      </pic:pic>
                    </a:graphicData>
                  </a:graphic>
                </wp:inline>
              </w:drawing>
            </w:r>
          </w:p>
          <w:p w14:paraId="32437122">
            <w:pPr>
              <w:keepNext w:val="0"/>
              <w:keepLines w:val="0"/>
              <w:pageBreakBefore w:val="0"/>
              <w:widowControl w:val="0"/>
              <w:kinsoku/>
              <w:wordWrap w:val="0"/>
              <w:overflowPunct/>
              <w:topLinePunct w:val="0"/>
              <w:autoSpaceDE w:val="0"/>
              <w:autoSpaceDN w:val="0"/>
              <w:bidi w:val="0"/>
              <w:adjustRightInd w:val="0"/>
              <w:snapToGrid/>
              <w:spacing w:line="240" w:lineRule="auto"/>
              <w:jc w:val="center"/>
              <w:textAlignment w:val="auto"/>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eastAsia="宋体" w:cs="Times New Roman"/>
                <w:b/>
                <w:color w:val="auto"/>
                <w:kern w:val="2"/>
                <w:sz w:val="21"/>
                <w:szCs w:val="21"/>
                <w:highlight w:val="none"/>
                <w:lang w:val="en-US" w:eastAsia="zh-CN" w:bidi="ar-SA"/>
              </w:rPr>
              <w:t>图4-</w:t>
            </w:r>
            <w:r>
              <w:rPr>
                <w:rFonts w:hint="default" w:ascii="Times New Roman" w:hAnsi="Times New Roman" w:cs="Times New Roman"/>
                <w:b/>
                <w:color w:val="auto"/>
                <w:kern w:val="2"/>
                <w:sz w:val="21"/>
                <w:szCs w:val="21"/>
                <w:highlight w:val="none"/>
                <w:lang w:val="en-US" w:eastAsia="zh-CN" w:bidi="ar-SA"/>
              </w:rPr>
              <w:t>1</w:t>
            </w:r>
            <w:r>
              <w:rPr>
                <w:rFonts w:hint="default" w:ascii="Times New Roman" w:hAnsi="Times New Roman" w:eastAsia="宋体" w:cs="Times New Roman"/>
                <w:b/>
                <w:color w:val="auto"/>
                <w:kern w:val="2"/>
                <w:sz w:val="21"/>
                <w:szCs w:val="21"/>
                <w:highlight w:val="none"/>
                <w:lang w:val="en-US" w:eastAsia="zh-CN" w:bidi="ar-SA"/>
              </w:rPr>
              <w:t>园区污水处理厂工艺流程图</w:t>
            </w:r>
          </w:p>
          <w:p w14:paraId="4C7FEBAA">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5、监测要求</w:t>
            </w:r>
          </w:p>
          <w:p w14:paraId="7087D9E0">
            <w:pPr>
              <w:pageBreakBefore w:val="0"/>
              <w:widowControl w:val="0"/>
              <w:wordWrap w:val="0"/>
              <w:topLinePunct w:val="0"/>
              <w:bidi w:val="0"/>
              <w:spacing w:line="360" w:lineRule="auto"/>
              <w:ind w:firstLine="480" w:firstLineChars="200"/>
              <w:jc w:val="left"/>
              <w:rPr>
                <w:rFonts w:hint="default" w:ascii="Times New Roman" w:hAnsi="Times New Roman" w:eastAsia="宋体" w:cs="Times New Roman"/>
                <w:color w:val="auto"/>
                <w:kern w:val="0"/>
                <w:sz w:val="24"/>
                <w:szCs w:val="20"/>
                <w:highlight w:val="none"/>
                <w:lang w:val="en-US" w:eastAsia="zh-CN" w:bidi="ar-SA"/>
              </w:rPr>
            </w:pPr>
            <w:r>
              <w:rPr>
                <w:rFonts w:hint="default" w:ascii="Times New Roman" w:hAnsi="Times New Roman" w:eastAsia="宋体" w:cs="Times New Roman"/>
                <w:color w:val="auto"/>
                <w:kern w:val="0"/>
                <w:sz w:val="24"/>
                <w:szCs w:val="20"/>
                <w:highlight w:val="none"/>
                <w:lang w:val="en-US" w:eastAsia="zh-CN" w:bidi="ar-SA"/>
              </w:rPr>
              <w:t>根据《排污单位自行监测技术指南总则》(HJ819-2017)</w:t>
            </w:r>
            <w:r>
              <w:rPr>
                <w:rFonts w:hint="default" w:ascii="Times New Roman" w:hAnsi="Times New Roman" w:cs="Times New Roman"/>
                <w:color w:val="auto"/>
                <w:highlight w:val="none"/>
                <w:lang w:eastAsia="zh-CN"/>
              </w:rPr>
              <w:t>、《排污单位自行监测技术指南 橡胶和塑料制品》（HJ 1207-2021）</w:t>
            </w:r>
            <w:r>
              <w:rPr>
                <w:rFonts w:hint="default" w:ascii="Times New Roman" w:hAnsi="Times New Roman" w:eastAsia="宋体" w:cs="Times New Roman"/>
                <w:color w:val="auto"/>
                <w:kern w:val="0"/>
                <w:sz w:val="24"/>
                <w:szCs w:val="20"/>
                <w:highlight w:val="none"/>
                <w:lang w:val="en-US" w:eastAsia="zh-CN" w:bidi="ar-SA"/>
              </w:rPr>
              <w:t>，制定本项目生</w:t>
            </w:r>
            <w:r>
              <w:rPr>
                <w:rFonts w:hint="default" w:ascii="Times New Roman" w:hAnsi="Times New Roman" w:cs="Times New Roman"/>
                <w:color w:val="auto"/>
                <w:kern w:val="0"/>
                <w:sz w:val="24"/>
                <w:szCs w:val="20"/>
                <w:highlight w:val="none"/>
                <w:lang w:val="en-US" w:eastAsia="zh-CN" w:bidi="ar-SA"/>
              </w:rPr>
              <w:t>活污</w:t>
            </w:r>
            <w:r>
              <w:rPr>
                <w:rFonts w:hint="default" w:ascii="Times New Roman" w:hAnsi="Times New Roman" w:eastAsia="宋体" w:cs="Times New Roman"/>
                <w:color w:val="auto"/>
                <w:kern w:val="0"/>
                <w:sz w:val="24"/>
                <w:szCs w:val="20"/>
                <w:highlight w:val="none"/>
                <w:lang w:val="en-US" w:eastAsia="zh-CN" w:bidi="ar-SA"/>
              </w:rPr>
              <w:t>水自行监测计划，监测要求见下表。</w:t>
            </w:r>
          </w:p>
          <w:p w14:paraId="6AAD8AE4">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-1</w:t>
            </w:r>
            <w:r>
              <w:rPr>
                <w:rFonts w:hint="default" w:ascii="Times New Roman" w:hAnsi="Times New Roman" w:cs="Times New Roman"/>
                <w:b/>
                <w:bCs/>
                <w:color w:val="auto"/>
                <w:kern w:val="2"/>
                <w:sz w:val="21"/>
                <w:szCs w:val="21"/>
                <w:highlight w:val="none"/>
                <w:lang w:val="en-US" w:eastAsia="zh-CN" w:bidi="ar-SA"/>
              </w:rPr>
              <w:t>2</w:t>
            </w:r>
            <w:r>
              <w:rPr>
                <w:rFonts w:hint="default" w:ascii="Times New Roman" w:hAnsi="Times New Roman" w:eastAsia="宋体" w:cs="Times New Roman"/>
                <w:b/>
                <w:bCs/>
                <w:color w:val="auto"/>
                <w:kern w:val="2"/>
                <w:sz w:val="21"/>
                <w:szCs w:val="21"/>
                <w:highlight w:val="none"/>
                <w:lang w:val="en-US" w:eastAsia="zh-CN" w:bidi="ar-SA"/>
              </w:rPr>
              <w:t>监测要求</w:t>
            </w:r>
          </w:p>
          <w:tbl>
            <w:tblPr>
              <w:tblStyle w:val="3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32"/>
              <w:gridCol w:w="1992"/>
              <w:gridCol w:w="1043"/>
              <w:gridCol w:w="3486"/>
            </w:tblGrid>
            <w:tr w14:paraId="60194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8" w:type="pct"/>
                  <w:vAlign w:val="center"/>
                </w:tcPr>
                <w:p w14:paraId="58C457DF">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监测点位</w:t>
                  </w:r>
                </w:p>
              </w:tc>
              <w:tc>
                <w:tcPr>
                  <w:tcW w:w="1268" w:type="pct"/>
                  <w:vAlign w:val="center"/>
                </w:tcPr>
                <w:p w14:paraId="4D4DF130">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监测指标</w:t>
                  </w:r>
                </w:p>
              </w:tc>
              <w:tc>
                <w:tcPr>
                  <w:tcW w:w="664" w:type="pct"/>
                  <w:vAlign w:val="center"/>
                </w:tcPr>
                <w:p w14:paraId="03A02A8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监测频次</w:t>
                  </w:r>
                </w:p>
              </w:tc>
              <w:tc>
                <w:tcPr>
                  <w:tcW w:w="2218" w:type="pct"/>
                  <w:vAlign w:val="center"/>
                </w:tcPr>
                <w:p w14:paraId="06744BAA">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监测标准</w:t>
                  </w:r>
                </w:p>
              </w:tc>
            </w:tr>
            <w:tr w14:paraId="1C07E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48" w:type="pct"/>
                  <w:vAlign w:val="center"/>
                </w:tcPr>
                <w:p w14:paraId="166B44BC">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生活污水</w:t>
                  </w:r>
                  <w:r>
                    <w:rPr>
                      <w:rFonts w:hint="default" w:ascii="Times New Roman" w:hAnsi="Times New Roman" w:eastAsia="宋体" w:cs="Times New Roman"/>
                      <w:color w:val="auto"/>
                      <w:position w:val="-10"/>
                      <w:sz w:val="21"/>
                      <w:szCs w:val="21"/>
                      <w:highlight w:val="none"/>
                      <w:lang w:val="en-US" w:eastAsia="zh-CN" w:bidi="ar-SA"/>
                    </w:rPr>
                    <w:t>排放口</w:t>
                  </w:r>
                </w:p>
                <w:p w14:paraId="2035C215">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DW001</w:t>
                  </w:r>
                </w:p>
              </w:tc>
              <w:tc>
                <w:tcPr>
                  <w:tcW w:w="1268" w:type="pct"/>
                  <w:vAlign w:val="center"/>
                </w:tcPr>
                <w:p w14:paraId="60B210E3">
                  <w:pPr>
                    <w:keepNext w:val="0"/>
                    <w:keepLines w:val="0"/>
                    <w:pageBreakBefore w:val="0"/>
                    <w:widowControl w:val="0"/>
                    <w:kinsoku/>
                    <w:wordWrap w:val="0"/>
                    <w:overflowPunct/>
                    <w:topLinePunct w:val="0"/>
                    <w:bidi w:val="0"/>
                    <w:adjustRightInd/>
                    <w:snapToGrid/>
                    <w:spacing w:line="240" w:lineRule="auto"/>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pH、COD</w:t>
                  </w:r>
                  <w:r>
                    <w:rPr>
                      <w:rFonts w:hint="default" w:ascii="Times New Roman" w:hAnsi="Times New Roman" w:eastAsia="宋体" w:cs="Times New Roman"/>
                      <w:color w:val="auto"/>
                      <w:kern w:val="0"/>
                      <w:sz w:val="21"/>
                      <w:szCs w:val="21"/>
                      <w:highlight w:val="none"/>
                      <w:vertAlign w:val="subscript"/>
                      <w:lang w:val="en-US" w:eastAsia="zh-CN" w:bidi="ar-SA"/>
                    </w:rPr>
                    <w:t>Cr</w:t>
                  </w:r>
                  <w:r>
                    <w:rPr>
                      <w:rFonts w:hint="default" w:ascii="Times New Roman" w:hAnsi="Times New Roman" w:eastAsia="宋体" w:cs="Times New Roman"/>
                      <w:color w:val="auto"/>
                      <w:kern w:val="0"/>
                      <w:sz w:val="21"/>
                      <w:szCs w:val="21"/>
                      <w:highlight w:val="none"/>
                      <w:lang w:val="en-US" w:eastAsia="zh-CN" w:bidi="ar-SA"/>
                    </w:rPr>
                    <w:t>、BOD</w:t>
                  </w:r>
                  <w:r>
                    <w:rPr>
                      <w:rFonts w:hint="default" w:ascii="Times New Roman" w:hAnsi="Times New Roman" w:eastAsia="宋体" w:cs="Times New Roman"/>
                      <w:color w:val="auto"/>
                      <w:kern w:val="0"/>
                      <w:sz w:val="21"/>
                      <w:szCs w:val="21"/>
                      <w:highlight w:val="none"/>
                      <w:vertAlign w:val="subscript"/>
                      <w:lang w:val="en-US" w:eastAsia="zh-CN" w:bidi="ar-SA"/>
                    </w:rPr>
                    <w:t>5</w:t>
                  </w:r>
                  <w:r>
                    <w:rPr>
                      <w:rFonts w:hint="default" w:ascii="Times New Roman" w:hAnsi="Times New Roman" w:eastAsia="宋体" w:cs="Times New Roman"/>
                      <w:color w:val="auto"/>
                      <w:kern w:val="0"/>
                      <w:sz w:val="21"/>
                      <w:szCs w:val="21"/>
                      <w:highlight w:val="none"/>
                      <w:lang w:val="en-US" w:eastAsia="zh-CN" w:bidi="ar-SA"/>
                    </w:rPr>
                    <w:t>、SS</w:t>
                  </w:r>
                  <w:r>
                    <w:rPr>
                      <w:rFonts w:hint="default" w:ascii="Times New Roman" w:hAnsi="Times New Roman"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氨氮</w:t>
                  </w:r>
                </w:p>
              </w:tc>
              <w:tc>
                <w:tcPr>
                  <w:tcW w:w="664" w:type="pct"/>
                  <w:vAlign w:val="center"/>
                </w:tcPr>
                <w:p w14:paraId="53B2A816">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1次/年</w:t>
                  </w:r>
                </w:p>
              </w:tc>
              <w:tc>
                <w:tcPr>
                  <w:tcW w:w="2218" w:type="pct"/>
                  <w:vAlign w:val="center"/>
                </w:tcPr>
                <w:p w14:paraId="5EC49E2B">
                  <w:pPr>
                    <w:keepNext w:val="0"/>
                    <w:keepLines w:val="0"/>
                    <w:pageBreakBefore w:val="0"/>
                    <w:widowControl w:val="0"/>
                    <w:kinsoku/>
                    <w:wordWrap w:val="0"/>
                    <w:overflowPunct/>
                    <w:topLinePunct w:val="0"/>
                    <w:autoSpaceDE w:val="0"/>
                    <w:autoSpaceDN w:val="0"/>
                    <w:bidi w:val="0"/>
                    <w:adjustRightInd/>
                    <w:snapToGri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广东省地方标准《水污染物排放限值》（DB44/26-2001）第二时段三级标准及园区污水处理厂接管水质要求两者较严值</w:t>
                  </w:r>
                </w:p>
              </w:tc>
            </w:tr>
          </w:tbl>
          <w:p w14:paraId="54A06BE9">
            <w:pPr>
              <w:keepNext/>
              <w:keepLines/>
              <w:pageBreakBefore w:val="0"/>
              <w:tabs>
                <w:tab w:val="left" w:pos="0"/>
              </w:tabs>
              <w:wordWrap w:val="0"/>
              <w:topLinePunct w:val="0"/>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三、噪声污染源</w:t>
            </w:r>
          </w:p>
          <w:p w14:paraId="148E7F08">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1、污染源源强分析</w:t>
            </w:r>
          </w:p>
          <w:p w14:paraId="2416E2D6">
            <w:pPr>
              <w:pStyle w:val="2"/>
              <w:pageBreakBefore w:val="0"/>
              <w:wordWrap w:val="0"/>
              <w:topLinePunct w:val="0"/>
              <w:bidi w:val="0"/>
              <w:ind w:firstLine="480"/>
              <w:rPr>
                <w:rFonts w:hint="default" w:ascii="Times New Roman" w:hAnsi="Times New Roman" w:cs="Times New Roman"/>
                <w:color w:val="auto"/>
                <w:kern w:val="0"/>
                <w:highlight w:val="none"/>
                <w:lang w:bidi="ar"/>
              </w:rPr>
            </w:pPr>
            <w:r>
              <w:rPr>
                <w:rFonts w:hint="default" w:ascii="Times New Roman" w:hAnsi="Times New Roman" w:eastAsia="宋体" w:cs="Times New Roman"/>
                <w:color w:val="auto"/>
                <w:highlight w:val="none"/>
              </w:rPr>
              <w:t>本项目运营期噪声源主要为生产设备运行产生的噪声。</w:t>
            </w:r>
            <w:r>
              <w:rPr>
                <w:rFonts w:hint="default" w:ascii="Times New Roman" w:hAnsi="Times New Roman" w:eastAsia="宋体" w:cs="Times New Roman"/>
                <w:bCs/>
                <w:color w:val="auto"/>
                <w:kern w:val="0"/>
                <w:highlight w:val="none"/>
              </w:rPr>
              <w:t>生产及辅助设备运行时产生的噪声强度值为</w:t>
            </w:r>
            <w:r>
              <w:rPr>
                <w:rFonts w:hint="default" w:ascii="Times New Roman" w:hAnsi="Times New Roman" w:cs="Times New Roman"/>
                <w:bCs/>
                <w:color w:val="auto"/>
                <w:kern w:val="0"/>
                <w:highlight w:val="none"/>
                <w:lang w:val="en-US" w:eastAsia="zh-CN"/>
              </w:rPr>
              <w:t>75</w:t>
            </w:r>
            <w:r>
              <w:rPr>
                <w:rFonts w:hint="default" w:ascii="Times New Roman" w:hAnsi="Times New Roman" w:eastAsia="宋体" w:cs="Times New Roman"/>
                <w:bCs/>
                <w:color w:val="auto"/>
                <w:kern w:val="0"/>
                <w:highlight w:val="none"/>
              </w:rPr>
              <w:t>~</w:t>
            </w:r>
            <w:r>
              <w:rPr>
                <w:rFonts w:hint="default" w:ascii="Times New Roman" w:hAnsi="Times New Roman" w:cs="Times New Roman"/>
                <w:bCs/>
                <w:color w:val="auto"/>
                <w:kern w:val="0"/>
                <w:highlight w:val="none"/>
                <w:lang w:val="en-US" w:eastAsia="zh-CN"/>
              </w:rPr>
              <w:t>80</w:t>
            </w:r>
            <w:r>
              <w:rPr>
                <w:rFonts w:hint="default" w:ascii="Times New Roman" w:hAnsi="Times New Roman" w:eastAsia="宋体" w:cs="Times New Roman"/>
                <w:bCs/>
                <w:color w:val="auto"/>
                <w:kern w:val="0"/>
                <w:highlight w:val="none"/>
              </w:rPr>
              <w:t>dB</w:t>
            </w:r>
            <w:r>
              <w:rPr>
                <w:rFonts w:hint="default" w:ascii="Times New Roman" w:hAnsi="Times New Roman" w:cs="Times New Roman"/>
                <w:bCs/>
                <w:color w:val="auto"/>
                <w:kern w:val="0"/>
                <w:highlight w:val="none"/>
                <w:lang w:eastAsia="zh-CN"/>
              </w:rPr>
              <w:t>（</w:t>
            </w:r>
            <w:r>
              <w:rPr>
                <w:rFonts w:hint="default" w:ascii="Times New Roman" w:hAnsi="Times New Roman" w:eastAsia="宋体" w:cs="Times New Roman"/>
                <w:bCs/>
                <w:color w:val="auto"/>
                <w:kern w:val="0"/>
                <w:highlight w:val="none"/>
              </w:rPr>
              <w:t>A</w:t>
            </w:r>
            <w:r>
              <w:rPr>
                <w:rFonts w:hint="default" w:ascii="Times New Roman" w:hAnsi="Times New Roman" w:cs="Times New Roman"/>
                <w:bCs/>
                <w:color w:val="auto"/>
                <w:kern w:val="0"/>
                <w:highlight w:val="none"/>
                <w:lang w:eastAsia="zh-CN"/>
              </w:rPr>
              <w:t>）</w:t>
            </w:r>
            <w:r>
              <w:rPr>
                <w:rFonts w:hint="default" w:ascii="Times New Roman" w:hAnsi="Times New Roman" w:eastAsia="宋体" w:cs="Times New Roman"/>
                <w:bCs/>
                <w:color w:val="auto"/>
                <w:kern w:val="0"/>
                <w:highlight w:val="none"/>
              </w:rPr>
              <w:t>之间。噪声特征以连续性噪声为主，间歇性噪声为辅，噪声污染源强核算结果及相关参数如下表。</w:t>
            </w:r>
          </w:p>
        </w:tc>
      </w:tr>
    </w:tbl>
    <w:p w14:paraId="14FC26ED">
      <w:pPr>
        <w:pageBreakBefore w:val="0"/>
        <w:wordWrap w:val="0"/>
        <w:topLinePunct w:val="0"/>
        <w:bidi w:val="0"/>
        <w:rPr>
          <w:rFonts w:hint="default" w:ascii="Times New Roman" w:hAnsi="Times New Roman" w:eastAsia="宋体" w:cs="Times New Roman"/>
          <w:color w:val="auto"/>
          <w:highlight w:val="none"/>
        </w:rPr>
        <w:sectPr>
          <w:pgSz w:w="11906" w:h="16838"/>
          <w:pgMar w:top="1440" w:right="1797" w:bottom="1440" w:left="179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bookmarkEnd w:id="98"/>
    <w:tbl>
      <w:tblPr>
        <w:tblStyle w:val="39"/>
        <w:tblW w:w="0" w:type="auto"/>
        <w:tblInd w:w="1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3"/>
        <w:gridCol w:w="13643"/>
      </w:tblGrid>
      <w:tr w14:paraId="36134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0" w:hRule="atLeast"/>
        </w:trPr>
        <w:tc>
          <w:tcPr>
            <w:tcW w:w="578" w:type="dxa"/>
          </w:tcPr>
          <w:p w14:paraId="4A4F6D2D">
            <w:pPr>
              <w:pStyle w:val="3"/>
              <w:pageBreakBefore w:val="0"/>
              <w:numPr>
                <w:ilvl w:val="0"/>
                <w:numId w:val="0"/>
              </w:numPr>
              <w:wordWrap w:val="0"/>
              <w:topLinePunct w:val="0"/>
              <w:bidi w:val="0"/>
              <w:rPr>
                <w:rFonts w:hint="default" w:ascii="Times New Roman" w:hAnsi="Times New Roman" w:cs="Times New Roman"/>
                <w:color w:val="auto"/>
                <w:highlight w:val="none"/>
              </w:rPr>
            </w:pPr>
            <w:bookmarkStart w:id="113" w:name="_Toc7465"/>
          </w:p>
        </w:tc>
        <w:tc>
          <w:tcPr>
            <w:tcW w:w="20303" w:type="dxa"/>
          </w:tcPr>
          <w:p w14:paraId="1FBD3D0A">
            <w:pPr>
              <w:pStyle w:val="2"/>
              <w:pageBreakBefore w:val="0"/>
              <w:wordWrap w:val="0"/>
              <w:topLinePunct w:val="0"/>
              <w:bidi w:val="0"/>
              <w:ind w:firstLine="422"/>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kern w:val="0"/>
                <w:sz w:val="21"/>
                <w:szCs w:val="21"/>
                <w:highlight w:val="none"/>
                <w:lang w:bidi="ar"/>
              </w:rPr>
              <w:t>表 4-1</w:t>
            </w:r>
            <w:r>
              <w:rPr>
                <w:rFonts w:hint="default" w:ascii="Times New Roman" w:hAnsi="Times New Roman" w:cs="Times New Roman"/>
                <w:b/>
                <w:bCs/>
                <w:color w:val="auto"/>
                <w:kern w:val="0"/>
                <w:sz w:val="21"/>
                <w:szCs w:val="21"/>
                <w:highlight w:val="none"/>
                <w:lang w:val="en-US" w:eastAsia="zh-CN" w:bidi="ar"/>
              </w:rPr>
              <w:t>3</w:t>
            </w:r>
            <w:r>
              <w:rPr>
                <w:rFonts w:hint="default" w:ascii="Times New Roman" w:hAnsi="Times New Roman" w:cs="Times New Roman"/>
                <w:b/>
                <w:bCs/>
                <w:color w:val="auto"/>
                <w:kern w:val="0"/>
                <w:sz w:val="21"/>
                <w:szCs w:val="21"/>
                <w:highlight w:val="none"/>
                <w:lang w:bidi="ar"/>
              </w:rPr>
              <w:t xml:space="preserve"> 项目厂界昼间噪声预测</w:t>
            </w:r>
          </w:p>
          <w:tbl>
            <w:tblPr>
              <w:tblStyle w:val="1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2"/>
              <w:gridCol w:w="376"/>
              <w:gridCol w:w="392"/>
              <w:gridCol w:w="445"/>
              <w:gridCol w:w="620"/>
              <w:gridCol w:w="856"/>
              <w:gridCol w:w="534"/>
              <w:gridCol w:w="456"/>
              <w:gridCol w:w="708"/>
              <w:gridCol w:w="542"/>
              <w:gridCol w:w="569"/>
              <w:gridCol w:w="534"/>
              <w:gridCol w:w="805"/>
              <w:gridCol w:w="628"/>
              <w:gridCol w:w="682"/>
              <w:gridCol w:w="483"/>
              <w:gridCol w:w="580"/>
              <w:gridCol w:w="472"/>
              <w:gridCol w:w="620"/>
              <w:gridCol w:w="751"/>
              <w:gridCol w:w="690"/>
              <w:gridCol w:w="491"/>
              <w:gridCol w:w="711"/>
            </w:tblGrid>
            <w:tr w14:paraId="563110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tblHeader/>
                <w:jc w:val="center"/>
              </w:trPr>
              <w:tc>
                <w:tcPr>
                  <w:tcW w:w="176" w:type="pct"/>
                  <w:vMerge w:val="restart"/>
                  <w:textDirection w:val="tbRlV"/>
                  <w:vAlign w:val="center"/>
                </w:tcPr>
                <w:p w14:paraId="514385C4">
                  <w:pPr>
                    <w:pStyle w:val="5"/>
                    <w:pageBreakBefore w:val="0"/>
                    <w:numPr>
                      <w:ilvl w:val="2"/>
                      <w:numId w:val="0"/>
                    </w:numPr>
                    <w:tabs>
                      <w:tab w:val="clear" w:pos="420"/>
                    </w:tabs>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40" w:type="pct"/>
                  <w:vMerge w:val="restart"/>
                  <w:textDirection w:val="tbRlV"/>
                  <w:vAlign w:val="center"/>
                </w:tcPr>
                <w:p w14:paraId="7BA386F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 筑 物 名 称</w:t>
                  </w:r>
                </w:p>
              </w:tc>
              <w:tc>
                <w:tcPr>
                  <w:tcW w:w="146" w:type="pct"/>
                  <w:vMerge w:val="restart"/>
                  <w:vAlign w:val="center"/>
                </w:tcPr>
                <w:p w14:paraId="60F6848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6CFF493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742B51E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声源名称</w:t>
                  </w:r>
                </w:p>
              </w:tc>
              <w:tc>
                <w:tcPr>
                  <w:tcW w:w="166" w:type="pct"/>
                  <w:vMerge w:val="restart"/>
                  <w:vAlign w:val="center"/>
                </w:tcPr>
                <w:p w14:paraId="0E58DF1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数量</w:t>
                  </w:r>
                </w:p>
              </w:tc>
              <w:tc>
                <w:tcPr>
                  <w:tcW w:w="231" w:type="pct"/>
                  <w:vMerge w:val="restart"/>
                  <w:vAlign w:val="center"/>
                </w:tcPr>
                <w:p w14:paraId="1FDE8DF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声压级</w:t>
                  </w:r>
                </w:p>
                <w:p w14:paraId="11D51C2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/dB(A)</w:t>
                  </w:r>
                </w:p>
              </w:tc>
              <w:tc>
                <w:tcPr>
                  <w:tcW w:w="319" w:type="pct"/>
                  <w:vMerge w:val="restart"/>
                  <w:vAlign w:val="center"/>
                </w:tcPr>
                <w:p w14:paraId="6204FF0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多台声压級叠加值/dB（A）</w:t>
                  </w:r>
                </w:p>
              </w:tc>
              <w:tc>
                <w:tcPr>
                  <w:tcW w:w="633" w:type="pct"/>
                  <w:gridSpan w:val="3"/>
                  <w:vAlign w:val="center"/>
                </w:tcPr>
                <w:p w14:paraId="36E66AB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空间相对位置</w:t>
                  </w:r>
                </w:p>
              </w:tc>
              <w:tc>
                <w:tcPr>
                  <w:tcW w:w="910" w:type="pct"/>
                  <w:gridSpan w:val="4"/>
                  <w:vAlign w:val="center"/>
                </w:tcPr>
                <w:p w14:paraId="59915102">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距室内边界距离/m</w:t>
                  </w:r>
                </w:p>
              </w:tc>
              <w:tc>
                <w:tcPr>
                  <w:tcW w:w="884" w:type="pct"/>
                  <w:gridSpan w:val="4"/>
                  <w:vAlign w:val="center"/>
                </w:tcPr>
                <w:p w14:paraId="395829A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室内边界声级/dB(A)</w:t>
                  </w:r>
                </w:p>
              </w:tc>
              <w:tc>
                <w:tcPr>
                  <w:tcW w:w="176" w:type="pct"/>
                  <w:vMerge w:val="restart"/>
                  <w:vAlign w:val="center"/>
                </w:tcPr>
                <w:p w14:paraId="42778B3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76FFBE4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运行 时段</w:t>
                  </w:r>
                </w:p>
              </w:tc>
              <w:tc>
                <w:tcPr>
                  <w:tcW w:w="231" w:type="pct"/>
                  <w:vMerge w:val="restart"/>
                  <w:vAlign w:val="center"/>
                </w:tcPr>
                <w:p w14:paraId="5B248F5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1576468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建筑物插</w:t>
                  </w:r>
                </w:p>
                <w:p w14:paraId="487C6BE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入损失 /dB(A)</w:t>
                  </w:r>
                </w:p>
              </w:tc>
              <w:tc>
                <w:tcPr>
                  <w:tcW w:w="985" w:type="pct"/>
                  <w:gridSpan w:val="4"/>
                  <w:vAlign w:val="center"/>
                </w:tcPr>
                <w:p w14:paraId="6DD7015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建筑物外1m噪声</w:t>
                  </w:r>
                </w:p>
              </w:tc>
            </w:tr>
            <w:tr w14:paraId="7F62B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tblHeader/>
                <w:jc w:val="center"/>
              </w:trPr>
              <w:tc>
                <w:tcPr>
                  <w:tcW w:w="176" w:type="pct"/>
                  <w:vMerge w:val="continue"/>
                  <w:textDirection w:val="tbRlV"/>
                  <w:vAlign w:val="center"/>
                </w:tcPr>
                <w:p w14:paraId="1D3161B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0" w:type="pct"/>
                  <w:vMerge w:val="continue"/>
                  <w:textDirection w:val="tbRlV"/>
                  <w:vAlign w:val="center"/>
                </w:tcPr>
                <w:p w14:paraId="69AC3AB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6" w:type="pct"/>
                  <w:vMerge w:val="continue"/>
                  <w:vAlign w:val="center"/>
                </w:tcPr>
                <w:p w14:paraId="37219912">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66" w:type="pct"/>
                  <w:vMerge w:val="continue"/>
                  <w:vAlign w:val="center"/>
                </w:tcPr>
                <w:p w14:paraId="2B207B7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6F309C8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319" w:type="pct"/>
                  <w:vMerge w:val="continue"/>
                  <w:vAlign w:val="center"/>
                </w:tcPr>
                <w:p w14:paraId="6B23EC7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99" w:type="pct"/>
                  <w:vMerge w:val="restart"/>
                  <w:vAlign w:val="center"/>
                </w:tcPr>
                <w:p w14:paraId="57190A22">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0143108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170" w:type="pct"/>
                  <w:vMerge w:val="restart"/>
                  <w:vAlign w:val="center"/>
                </w:tcPr>
                <w:p w14:paraId="18A10CD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258C59F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263" w:type="pct"/>
                  <w:vMerge w:val="restart"/>
                  <w:vAlign w:val="center"/>
                </w:tcPr>
                <w:p w14:paraId="1B934E1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1F48CEB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Z</w:t>
                  </w:r>
                </w:p>
              </w:tc>
              <w:tc>
                <w:tcPr>
                  <w:tcW w:w="202" w:type="pct"/>
                  <w:vMerge w:val="restart"/>
                  <w:vAlign w:val="center"/>
                </w:tcPr>
                <w:p w14:paraId="481C4E7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4E3F9FC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w:t>
                  </w:r>
                </w:p>
              </w:tc>
              <w:tc>
                <w:tcPr>
                  <w:tcW w:w="212" w:type="pct"/>
                  <w:vMerge w:val="restart"/>
                  <w:vAlign w:val="center"/>
                </w:tcPr>
                <w:p w14:paraId="7A333E7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4DB2F48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南</w:t>
                  </w:r>
                </w:p>
              </w:tc>
              <w:tc>
                <w:tcPr>
                  <w:tcW w:w="199" w:type="pct"/>
                  <w:vMerge w:val="restart"/>
                  <w:vAlign w:val="center"/>
                </w:tcPr>
                <w:p w14:paraId="37D6302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256F633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西</w:t>
                  </w:r>
                </w:p>
              </w:tc>
              <w:tc>
                <w:tcPr>
                  <w:tcW w:w="296" w:type="pct"/>
                  <w:vMerge w:val="restart"/>
                  <w:vAlign w:val="center"/>
                </w:tcPr>
                <w:p w14:paraId="616B9E6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53EAFCA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w:t>
                  </w:r>
                </w:p>
              </w:tc>
              <w:tc>
                <w:tcPr>
                  <w:tcW w:w="234" w:type="pct"/>
                  <w:vMerge w:val="restart"/>
                  <w:vAlign w:val="center"/>
                </w:tcPr>
                <w:p w14:paraId="3ED8474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0E2EAA89">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w:t>
                  </w:r>
                </w:p>
              </w:tc>
              <w:tc>
                <w:tcPr>
                  <w:tcW w:w="254" w:type="pct"/>
                  <w:vMerge w:val="restart"/>
                  <w:vAlign w:val="center"/>
                </w:tcPr>
                <w:p w14:paraId="00849CF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38E0DFB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南</w:t>
                  </w:r>
                </w:p>
              </w:tc>
              <w:tc>
                <w:tcPr>
                  <w:tcW w:w="180" w:type="pct"/>
                  <w:vMerge w:val="restart"/>
                  <w:vAlign w:val="center"/>
                </w:tcPr>
                <w:p w14:paraId="36E1763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0D35AFE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西</w:t>
                  </w:r>
                </w:p>
              </w:tc>
              <w:tc>
                <w:tcPr>
                  <w:tcW w:w="215" w:type="pct"/>
                  <w:vMerge w:val="restart"/>
                  <w:vAlign w:val="center"/>
                </w:tcPr>
                <w:p w14:paraId="684BA7E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4B6AEA7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w:t>
                  </w:r>
                </w:p>
              </w:tc>
              <w:tc>
                <w:tcPr>
                  <w:tcW w:w="176" w:type="pct"/>
                  <w:vMerge w:val="continue"/>
                  <w:vAlign w:val="center"/>
                </w:tcPr>
                <w:p w14:paraId="24647B2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62FC01E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985" w:type="pct"/>
                  <w:gridSpan w:val="4"/>
                  <w:vAlign w:val="center"/>
                </w:tcPr>
                <w:p w14:paraId="1D731C0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声压级/dB(A)</w:t>
                  </w:r>
                </w:p>
              </w:tc>
            </w:tr>
            <w:tr w14:paraId="46B8F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76" w:type="pct"/>
                  <w:vMerge w:val="continue"/>
                  <w:textDirection w:val="tbRlV"/>
                  <w:vAlign w:val="center"/>
                </w:tcPr>
                <w:p w14:paraId="66D0B9A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0" w:type="pct"/>
                  <w:vMerge w:val="continue"/>
                  <w:textDirection w:val="tbRlV"/>
                  <w:vAlign w:val="center"/>
                </w:tcPr>
                <w:p w14:paraId="3356D26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6" w:type="pct"/>
                  <w:vMerge w:val="continue"/>
                  <w:vAlign w:val="center"/>
                </w:tcPr>
                <w:p w14:paraId="64F32D9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66" w:type="pct"/>
                  <w:vMerge w:val="continue"/>
                  <w:vAlign w:val="center"/>
                </w:tcPr>
                <w:p w14:paraId="50B0FD2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7A79EF3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319" w:type="pct"/>
                  <w:vMerge w:val="continue"/>
                  <w:vAlign w:val="center"/>
                </w:tcPr>
                <w:p w14:paraId="0C302A5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99" w:type="pct"/>
                  <w:vMerge w:val="continue"/>
                  <w:vAlign w:val="center"/>
                </w:tcPr>
                <w:p w14:paraId="5F4D0CE9">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70" w:type="pct"/>
                  <w:vMerge w:val="continue"/>
                  <w:vAlign w:val="center"/>
                </w:tcPr>
                <w:p w14:paraId="39C4267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63" w:type="pct"/>
                  <w:vMerge w:val="continue"/>
                  <w:vAlign w:val="center"/>
                </w:tcPr>
                <w:p w14:paraId="5D1B8F3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02" w:type="pct"/>
                  <w:vMerge w:val="continue"/>
                  <w:vAlign w:val="center"/>
                </w:tcPr>
                <w:p w14:paraId="045C658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12" w:type="pct"/>
                  <w:vMerge w:val="continue"/>
                  <w:vAlign w:val="center"/>
                </w:tcPr>
                <w:p w14:paraId="65257E7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99" w:type="pct"/>
                  <w:vMerge w:val="continue"/>
                  <w:vAlign w:val="center"/>
                </w:tcPr>
                <w:p w14:paraId="3B8DF16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96" w:type="pct"/>
                  <w:vMerge w:val="continue"/>
                  <w:vAlign w:val="center"/>
                </w:tcPr>
                <w:p w14:paraId="3E54802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4" w:type="pct"/>
                  <w:vMerge w:val="continue"/>
                  <w:vAlign w:val="center"/>
                </w:tcPr>
                <w:p w14:paraId="103BE8B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54" w:type="pct"/>
                  <w:vMerge w:val="continue"/>
                  <w:vAlign w:val="center"/>
                </w:tcPr>
                <w:p w14:paraId="7CBAB6F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80" w:type="pct"/>
                  <w:vMerge w:val="continue"/>
                  <w:vAlign w:val="center"/>
                </w:tcPr>
                <w:p w14:paraId="7224CE7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15" w:type="pct"/>
                  <w:vMerge w:val="continue"/>
                  <w:vAlign w:val="center"/>
                </w:tcPr>
                <w:p w14:paraId="56B2B05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76" w:type="pct"/>
                  <w:vMerge w:val="continue"/>
                  <w:vAlign w:val="center"/>
                </w:tcPr>
                <w:p w14:paraId="5A9F8DB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710448E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80" w:type="pct"/>
                  <w:vAlign w:val="center"/>
                </w:tcPr>
                <w:p w14:paraId="76F1A6A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w:t>
                  </w:r>
                </w:p>
              </w:tc>
              <w:tc>
                <w:tcPr>
                  <w:tcW w:w="257" w:type="pct"/>
                  <w:vAlign w:val="center"/>
                </w:tcPr>
                <w:p w14:paraId="5344DE24">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南</w:t>
                  </w:r>
                </w:p>
              </w:tc>
              <w:tc>
                <w:tcPr>
                  <w:tcW w:w="183" w:type="pct"/>
                  <w:vAlign w:val="center"/>
                </w:tcPr>
                <w:p w14:paraId="3FD05CC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西</w:t>
                  </w:r>
                </w:p>
              </w:tc>
              <w:tc>
                <w:tcPr>
                  <w:tcW w:w="264" w:type="pct"/>
                  <w:vAlign w:val="center"/>
                </w:tcPr>
                <w:p w14:paraId="7B0BB442">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w:t>
                  </w:r>
                </w:p>
              </w:tc>
            </w:tr>
            <w:tr w14:paraId="792FB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4" w:hRule="atLeast"/>
                <w:jc w:val="center"/>
              </w:trPr>
              <w:tc>
                <w:tcPr>
                  <w:tcW w:w="176" w:type="pct"/>
                  <w:vAlign w:val="center"/>
                </w:tcPr>
                <w:p w14:paraId="5158B73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40" w:type="pct"/>
                  <w:vMerge w:val="restart"/>
                  <w:vAlign w:val="center"/>
                </w:tcPr>
                <w:p w14:paraId="537D0A0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一 楼</w:t>
                  </w:r>
                  <w:r>
                    <w:rPr>
                      <w:rFonts w:hint="default" w:ascii="Times New Roman" w:hAnsi="Times New Roman" w:cs="Times New Roman"/>
                      <w:color w:val="auto"/>
                      <w:sz w:val="21"/>
                      <w:szCs w:val="21"/>
                      <w:highlight w:val="none"/>
                      <w:lang w:val="en-US" w:eastAsia="zh-CN"/>
                    </w:rPr>
                    <w:t>室内</w:t>
                  </w:r>
                  <w:r>
                    <w:rPr>
                      <w:rFonts w:hint="default" w:ascii="Times New Roman" w:hAnsi="Times New Roman" w:cs="Times New Roman"/>
                      <w:color w:val="auto"/>
                      <w:sz w:val="21"/>
                      <w:szCs w:val="21"/>
                      <w:highlight w:val="none"/>
                    </w:rPr>
                    <w:t xml:space="preserve"> </w:t>
                  </w:r>
                </w:p>
              </w:tc>
              <w:tc>
                <w:tcPr>
                  <w:tcW w:w="146" w:type="pct"/>
                  <w:vAlign w:val="center"/>
                </w:tcPr>
                <w:p w14:paraId="5973C13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注塑机</w:t>
                  </w:r>
                </w:p>
              </w:tc>
              <w:tc>
                <w:tcPr>
                  <w:tcW w:w="166" w:type="pct"/>
                  <w:vAlign w:val="center"/>
                </w:tcPr>
                <w:p w14:paraId="6A5709A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w:t>
                  </w:r>
                </w:p>
              </w:tc>
              <w:tc>
                <w:tcPr>
                  <w:tcW w:w="231" w:type="pct"/>
                  <w:vAlign w:val="center"/>
                </w:tcPr>
                <w:p w14:paraId="0EEDBF2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319" w:type="pct"/>
                  <w:vAlign w:val="center"/>
                </w:tcPr>
                <w:p w14:paraId="12F18EDD">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95.31</w:t>
                  </w:r>
                </w:p>
              </w:tc>
              <w:tc>
                <w:tcPr>
                  <w:tcW w:w="199" w:type="pct"/>
                  <w:vAlign w:val="center"/>
                </w:tcPr>
                <w:p w14:paraId="088F14A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13</w:t>
                  </w:r>
                </w:p>
              </w:tc>
              <w:tc>
                <w:tcPr>
                  <w:tcW w:w="170" w:type="pct"/>
                  <w:vAlign w:val="center"/>
                </w:tcPr>
                <w:p w14:paraId="23D9C2B5">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63" w:type="pct"/>
                  <w:vAlign w:val="center"/>
                </w:tcPr>
                <w:p w14:paraId="5EF643F5">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202" w:type="pct"/>
                  <w:vAlign w:val="center"/>
                </w:tcPr>
                <w:p w14:paraId="1F5975E3">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212" w:type="pct"/>
                  <w:vAlign w:val="center"/>
                </w:tcPr>
                <w:p w14:paraId="62BAD8ED">
                  <w:pPr>
                    <w:pageBreakBefore w:val="0"/>
                    <w:widowControl/>
                    <w:wordWrap w:val="0"/>
                    <w:topLinePunct w:val="0"/>
                    <w:bidi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5</w:t>
                  </w:r>
                </w:p>
              </w:tc>
              <w:tc>
                <w:tcPr>
                  <w:tcW w:w="199" w:type="pct"/>
                  <w:vAlign w:val="center"/>
                </w:tcPr>
                <w:p w14:paraId="08B979E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w:t>
                  </w:r>
                </w:p>
              </w:tc>
              <w:tc>
                <w:tcPr>
                  <w:tcW w:w="296" w:type="pct"/>
                  <w:vAlign w:val="center"/>
                </w:tcPr>
                <w:p w14:paraId="2965F5A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8</w:t>
                  </w:r>
                </w:p>
              </w:tc>
              <w:tc>
                <w:tcPr>
                  <w:tcW w:w="234" w:type="pct"/>
                  <w:vAlign w:val="center"/>
                </w:tcPr>
                <w:p w14:paraId="155F2FA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73.73</w:t>
                  </w:r>
                </w:p>
              </w:tc>
              <w:tc>
                <w:tcPr>
                  <w:tcW w:w="254" w:type="pct"/>
                  <w:vAlign w:val="center"/>
                </w:tcPr>
                <w:p w14:paraId="5208AF76">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81.33</w:t>
                  </w:r>
                </w:p>
              </w:tc>
              <w:tc>
                <w:tcPr>
                  <w:tcW w:w="180" w:type="pct"/>
                  <w:vAlign w:val="center"/>
                </w:tcPr>
                <w:p w14:paraId="6AC71AC7">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69.73</w:t>
                  </w:r>
                </w:p>
              </w:tc>
              <w:tc>
                <w:tcPr>
                  <w:tcW w:w="215" w:type="pct"/>
                  <w:vAlign w:val="center"/>
                </w:tcPr>
                <w:p w14:paraId="2CB080D9">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70.2</w:t>
                  </w:r>
                </w:p>
              </w:tc>
              <w:tc>
                <w:tcPr>
                  <w:tcW w:w="176" w:type="pct"/>
                  <w:vMerge w:val="restart"/>
                  <w:vAlign w:val="center"/>
                </w:tcPr>
                <w:p w14:paraId="5DCBBCC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231" w:type="pct"/>
                  <w:vAlign w:val="center"/>
                </w:tcPr>
                <w:p w14:paraId="2E6B834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0" w:type="pct"/>
                  <w:vAlign w:val="center"/>
                </w:tcPr>
                <w:p w14:paraId="46C3E251">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43.73</w:t>
                  </w:r>
                </w:p>
              </w:tc>
              <w:tc>
                <w:tcPr>
                  <w:tcW w:w="257" w:type="pct"/>
                  <w:vAlign w:val="center"/>
                </w:tcPr>
                <w:p w14:paraId="67049C3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51.33</w:t>
                  </w:r>
                </w:p>
              </w:tc>
              <w:tc>
                <w:tcPr>
                  <w:tcW w:w="183" w:type="pct"/>
                  <w:vAlign w:val="center"/>
                </w:tcPr>
                <w:p w14:paraId="5955170B">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54.73</w:t>
                  </w:r>
                </w:p>
              </w:tc>
              <w:tc>
                <w:tcPr>
                  <w:tcW w:w="264" w:type="pct"/>
                  <w:vAlign w:val="center"/>
                </w:tcPr>
                <w:p w14:paraId="0DDC994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r>
            <w:tr w14:paraId="45E3F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176" w:type="pct"/>
                  <w:vAlign w:val="center"/>
                </w:tcPr>
                <w:p w14:paraId="20644AB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p>
              </w:tc>
              <w:tc>
                <w:tcPr>
                  <w:tcW w:w="140" w:type="pct"/>
                  <w:vMerge w:val="continue"/>
                  <w:textDirection w:val="tbRlV"/>
                  <w:vAlign w:val="center"/>
                </w:tcPr>
                <w:p w14:paraId="638DD61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46" w:type="pct"/>
                  <w:vAlign w:val="center"/>
                </w:tcPr>
                <w:p w14:paraId="1833B47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粉碎机</w:t>
                  </w:r>
                </w:p>
              </w:tc>
              <w:tc>
                <w:tcPr>
                  <w:tcW w:w="166" w:type="pct"/>
                  <w:vAlign w:val="center"/>
                </w:tcPr>
                <w:p w14:paraId="77048D7B">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231" w:type="pct"/>
                  <w:vAlign w:val="center"/>
                </w:tcPr>
                <w:p w14:paraId="6FE8271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75</w:t>
                  </w:r>
                </w:p>
              </w:tc>
              <w:tc>
                <w:tcPr>
                  <w:tcW w:w="319" w:type="pct"/>
                  <w:vAlign w:val="center"/>
                </w:tcPr>
                <w:p w14:paraId="69554E2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88.98</w:t>
                  </w:r>
                </w:p>
              </w:tc>
              <w:tc>
                <w:tcPr>
                  <w:tcW w:w="199" w:type="pct"/>
                  <w:vAlign w:val="center"/>
                </w:tcPr>
                <w:p w14:paraId="6946F8B5">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170" w:type="pct"/>
                  <w:vAlign w:val="center"/>
                </w:tcPr>
                <w:p w14:paraId="359CD6A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263" w:type="pct"/>
                  <w:vAlign w:val="center"/>
                </w:tcPr>
                <w:p w14:paraId="77C58E6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02" w:type="pct"/>
                  <w:vAlign w:val="center"/>
                </w:tcPr>
                <w:p w14:paraId="152C93F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212" w:type="pct"/>
                  <w:vAlign w:val="center"/>
                </w:tcPr>
                <w:p w14:paraId="2BCF397B">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199" w:type="pct"/>
                  <w:vAlign w:val="center"/>
                </w:tcPr>
                <w:p w14:paraId="304D230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296" w:type="pct"/>
                  <w:vAlign w:val="center"/>
                </w:tcPr>
                <w:p w14:paraId="358FE52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w:t>
                  </w:r>
                </w:p>
              </w:tc>
              <w:tc>
                <w:tcPr>
                  <w:tcW w:w="234" w:type="pct"/>
                  <w:vAlign w:val="center"/>
                </w:tcPr>
                <w:p w14:paraId="66B07E13">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68.98</w:t>
                  </w:r>
                </w:p>
              </w:tc>
              <w:tc>
                <w:tcPr>
                  <w:tcW w:w="254" w:type="pct"/>
                  <w:vAlign w:val="center"/>
                </w:tcPr>
                <w:p w14:paraId="64D035D4">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70.92</w:t>
                  </w:r>
                </w:p>
              </w:tc>
              <w:tc>
                <w:tcPr>
                  <w:tcW w:w="180" w:type="pct"/>
                  <w:vAlign w:val="center"/>
                </w:tcPr>
                <w:p w14:paraId="3D8C1BFA">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61.02</w:t>
                  </w:r>
                </w:p>
              </w:tc>
              <w:tc>
                <w:tcPr>
                  <w:tcW w:w="215" w:type="pct"/>
                  <w:vAlign w:val="center"/>
                </w:tcPr>
                <w:p w14:paraId="7750F1D7">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64.9</w:t>
                  </w:r>
                </w:p>
              </w:tc>
              <w:tc>
                <w:tcPr>
                  <w:tcW w:w="176" w:type="pct"/>
                  <w:vMerge w:val="continue"/>
                  <w:vAlign w:val="center"/>
                </w:tcPr>
                <w:p w14:paraId="586682FF">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7A756D0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0" w:type="pct"/>
                  <w:vAlign w:val="center"/>
                </w:tcPr>
                <w:p w14:paraId="7E193F6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38.98</w:t>
                  </w:r>
                </w:p>
              </w:tc>
              <w:tc>
                <w:tcPr>
                  <w:tcW w:w="257" w:type="pct"/>
                  <w:vAlign w:val="center"/>
                </w:tcPr>
                <w:p w14:paraId="65A295B6">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40.92</w:t>
                  </w:r>
                </w:p>
              </w:tc>
              <w:tc>
                <w:tcPr>
                  <w:tcW w:w="183" w:type="pct"/>
                  <w:vAlign w:val="center"/>
                </w:tcPr>
                <w:p w14:paraId="4D31518A">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46.02</w:t>
                  </w:r>
                </w:p>
              </w:tc>
              <w:tc>
                <w:tcPr>
                  <w:tcW w:w="264" w:type="pct"/>
                  <w:vAlign w:val="center"/>
                </w:tcPr>
                <w:p w14:paraId="1AC84D70">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34.9</w:t>
                  </w:r>
                </w:p>
              </w:tc>
            </w:tr>
            <w:tr w14:paraId="7BC94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4" w:hRule="atLeast"/>
                <w:jc w:val="center"/>
              </w:trPr>
              <w:tc>
                <w:tcPr>
                  <w:tcW w:w="176" w:type="pct"/>
                  <w:vAlign w:val="center"/>
                </w:tcPr>
                <w:p w14:paraId="54D2D10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p>
              </w:tc>
              <w:tc>
                <w:tcPr>
                  <w:tcW w:w="140" w:type="pct"/>
                  <w:vMerge w:val="continue"/>
                  <w:textDirection w:val="tbRlV"/>
                  <w:vAlign w:val="center"/>
                </w:tcPr>
                <w:p w14:paraId="0DDBA2DD">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46" w:type="pct"/>
                  <w:vAlign w:val="center"/>
                </w:tcPr>
                <w:p w14:paraId="62A13E3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烤炉</w:t>
                  </w:r>
                </w:p>
              </w:tc>
              <w:tc>
                <w:tcPr>
                  <w:tcW w:w="166" w:type="pct"/>
                  <w:vAlign w:val="center"/>
                </w:tcPr>
                <w:p w14:paraId="1B5CB4D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231" w:type="pct"/>
                  <w:vAlign w:val="center"/>
                </w:tcPr>
                <w:p w14:paraId="63B20B9D">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319" w:type="pct"/>
                  <w:vAlign w:val="center"/>
                </w:tcPr>
                <w:p w14:paraId="34A99E0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89.77</w:t>
                  </w:r>
                </w:p>
              </w:tc>
              <w:tc>
                <w:tcPr>
                  <w:tcW w:w="199" w:type="pct"/>
                  <w:vAlign w:val="center"/>
                </w:tcPr>
                <w:p w14:paraId="64C76BB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10</w:t>
                  </w:r>
                </w:p>
              </w:tc>
              <w:tc>
                <w:tcPr>
                  <w:tcW w:w="170" w:type="pct"/>
                  <w:vAlign w:val="center"/>
                </w:tcPr>
                <w:p w14:paraId="0C568C8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263" w:type="pct"/>
                  <w:vAlign w:val="center"/>
                </w:tcPr>
                <w:p w14:paraId="2BD6E39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02" w:type="pct"/>
                  <w:vAlign w:val="center"/>
                </w:tcPr>
                <w:p w14:paraId="530C22A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w:t>
                  </w:r>
                </w:p>
              </w:tc>
              <w:tc>
                <w:tcPr>
                  <w:tcW w:w="212" w:type="pct"/>
                  <w:vAlign w:val="center"/>
                </w:tcPr>
                <w:p w14:paraId="48B697C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199" w:type="pct"/>
                  <w:vAlign w:val="center"/>
                </w:tcPr>
                <w:p w14:paraId="2B3FC1B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296" w:type="pct"/>
                  <w:vAlign w:val="center"/>
                </w:tcPr>
                <w:p w14:paraId="696A337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w:t>
                  </w:r>
                </w:p>
              </w:tc>
              <w:tc>
                <w:tcPr>
                  <w:tcW w:w="234" w:type="pct"/>
                  <w:vAlign w:val="center"/>
                </w:tcPr>
                <w:p w14:paraId="536DB5F3">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67.49</w:t>
                  </w:r>
                </w:p>
              </w:tc>
              <w:tc>
                <w:tcPr>
                  <w:tcW w:w="254" w:type="pct"/>
                  <w:vAlign w:val="center"/>
                </w:tcPr>
                <w:p w14:paraId="271DBCD0">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63.75</w:t>
                  </w:r>
                </w:p>
              </w:tc>
              <w:tc>
                <w:tcPr>
                  <w:tcW w:w="180" w:type="pct"/>
                  <w:vAlign w:val="center"/>
                </w:tcPr>
                <w:p w14:paraId="73F1F8AE">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75.79</w:t>
                  </w:r>
                </w:p>
              </w:tc>
              <w:tc>
                <w:tcPr>
                  <w:tcW w:w="215" w:type="pct"/>
                  <w:vAlign w:val="center"/>
                </w:tcPr>
                <w:p w14:paraId="141F82F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80.23</w:t>
                  </w:r>
                </w:p>
              </w:tc>
              <w:tc>
                <w:tcPr>
                  <w:tcW w:w="176" w:type="pct"/>
                  <w:vMerge w:val="continue"/>
                  <w:vAlign w:val="center"/>
                </w:tcPr>
                <w:p w14:paraId="5B28899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6577CFBD">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280" w:type="pct"/>
                  <w:vAlign w:val="center"/>
                </w:tcPr>
                <w:p w14:paraId="39EE4409">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37.49</w:t>
                  </w:r>
                </w:p>
              </w:tc>
              <w:tc>
                <w:tcPr>
                  <w:tcW w:w="257" w:type="pct"/>
                  <w:vAlign w:val="center"/>
                </w:tcPr>
                <w:p w14:paraId="0083EE2F">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33.75</w:t>
                  </w:r>
                </w:p>
              </w:tc>
              <w:tc>
                <w:tcPr>
                  <w:tcW w:w="183" w:type="pct"/>
                  <w:vAlign w:val="center"/>
                </w:tcPr>
                <w:p w14:paraId="6B0673C3">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45.79</w:t>
                  </w:r>
                </w:p>
              </w:tc>
              <w:tc>
                <w:tcPr>
                  <w:tcW w:w="264" w:type="pct"/>
                  <w:vAlign w:val="center"/>
                </w:tcPr>
                <w:p w14:paraId="7BEDC139">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50.23</w:t>
                  </w:r>
                </w:p>
              </w:tc>
            </w:tr>
            <w:tr w14:paraId="31E6A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176" w:type="pct"/>
                  <w:vAlign w:val="center"/>
                </w:tcPr>
                <w:p w14:paraId="30EDFD3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40" w:type="pct"/>
                  <w:vMerge w:val="restart"/>
                  <w:textDirection w:val="tbRlV"/>
                  <w:vAlign w:val="center"/>
                </w:tcPr>
                <w:p w14:paraId="7888A51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室外</w:t>
                  </w:r>
                </w:p>
              </w:tc>
              <w:tc>
                <w:tcPr>
                  <w:tcW w:w="146" w:type="pct"/>
                  <w:vAlign w:val="center"/>
                </w:tcPr>
                <w:p w14:paraId="74A5FEE3">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空压机</w:t>
                  </w:r>
                </w:p>
              </w:tc>
              <w:tc>
                <w:tcPr>
                  <w:tcW w:w="166" w:type="pct"/>
                  <w:vAlign w:val="center"/>
                </w:tcPr>
                <w:p w14:paraId="185FD78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31" w:type="pct"/>
                  <w:vAlign w:val="center"/>
                </w:tcPr>
                <w:p w14:paraId="7CECEAC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319" w:type="pct"/>
                  <w:vAlign w:val="center"/>
                </w:tcPr>
                <w:p w14:paraId="5149B428">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199" w:type="pct"/>
                  <w:vAlign w:val="center"/>
                </w:tcPr>
                <w:p w14:paraId="60C377BB">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70" w:type="pct"/>
                  <w:vAlign w:val="center"/>
                </w:tcPr>
                <w:p w14:paraId="3E9DE0A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263" w:type="pct"/>
                  <w:vAlign w:val="center"/>
                </w:tcPr>
                <w:p w14:paraId="5B5AC66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02" w:type="pct"/>
                  <w:vAlign w:val="center"/>
                </w:tcPr>
                <w:p w14:paraId="0851E80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29</w:t>
                  </w:r>
                </w:p>
              </w:tc>
              <w:tc>
                <w:tcPr>
                  <w:tcW w:w="212" w:type="pct"/>
                  <w:vAlign w:val="center"/>
                </w:tcPr>
                <w:p w14:paraId="36B51442">
                  <w:pPr>
                    <w:pageBreakBefore w:val="0"/>
                    <w:widowControl/>
                    <w:wordWrap w:val="0"/>
                    <w:topLinePunct w:val="0"/>
                    <w:bidi w:val="0"/>
                    <w:jc w:val="center"/>
                    <w:textAlignment w:val="bottom"/>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w:t>
                  </w:r>
                </w:p>
              </w:tc>
              <w:tc>
                <w:tcPr>
                  <w:tcW w:w="199" w:type="pct"/>
                  <w:vAlign w:val="center"/>
                </w:tcPr>
                <w:p w14:paraId="7F6E64AD">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9</w:t>
                  </w:r>
                </w:p>
              </w:tc>
              <w:tc>
                <w:tcPr>
                  <w:tcW w:w="296" w:type="pct"/>
                  <w:vAlign w:val="center"/>
                </w:tcPr>
                <w:p w14:paraId="18F533B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w:t>
                  </w:r>
                </w:p>
              </w:tc>
              <w:tc>
                <w:tcPr>
                  <w:tcW w:w="234" w:type="pct"/>
                  <w:vAlign w:val="center"/>
                </w:tcPr>
                <w:p w14:paraId="2009B86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45.75</w:t>
                  </w:r>
                </w:p>
              </w:tc>
              <w:tc>
                <w:tcPr>
                  <w:tcW w:w="254" w:type="pct"/>
                  <w:vAlign w:val="center"/>
                </w:tcPr>
                <w:p w14:paraId="01656B15">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59.44</w:t>
                  </w:r>
                </w:p>
              </w:tc>
              <w:tc>
                <w:tcPr>
                  <w:tcW w:w="180" w:type="pct"/>
                  <w:vAlign w:val="center"/>
                </w:tcPr>
                <w:p w14:paraId="55E37925">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55.92</w:t>
                  </w:r>
                </w:p>
              </w:tc>
              <w:tc>
                <w:tcPr>
                  <w:tcW w:w="215" w:type="pct"/>
                  <w:vAlign w:val="center"/>
                </w:tcPr>
                <w:p w14:paraId="49271676">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47.4</w:t>
                  </w:r>
                </w:p>
              </w:tc>
              <w:tc>
                <w:tcPr>
                  <w:tcW w:w="176" w:type="pct"/>
                  <w:vMerge w:val="continue"/>
                  <w:vAlign w:val="center"/>
                </w:tcPr>
                <w:p w14:paraId="4860009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0663D2D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0" w:type="pct"/>
                  <w:vAlign w:val="center"/>
                </w:tcPr>
                <w:p w14:paraId="19A44CF5">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15.75</w:t>
                  </w:r>
                </w:p>
              </w:tc>
              <w:tc>
                <w:tcPr>
                  <w:tcW w:w="257" w:type="pct"/>
                  <w:vAlign w:val="center"/>
                </w:tcPr>
                <w:p w14:paraId="2B974330">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29.44</w:t>
                  </w:r>
                </w:p>
              </w:tc>
              <w:tc>
                <w:tcPr>
                  <w:tcW w:w="183" w:type="pct"/>
                  <w:vAlign w:val="center"/>
                </w:tcPr>
                <w:p w14:paraId="681CD695">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40.92</w:t>
                  </w:r>
                </w:p>
              </w:tc>
              <w:tc>
                <w:tcPr>
                  <w:tcW w:w="264" w:type="pct"/>
                  <w:vAlign w:val="center"/>
                </w:tcPr>
                <w:p w14:paraId="3CA69020">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32.4</w:t>
                  </w:r>
                </w:p>
              </w:tc>
            </w:tr>
            <w:tr w14:paraId="302DB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176" w:type="pct"/>
                  <w:vAlign w:val="center"/>
                </w:tcPr>
                <w:p w14:paraId="37BF434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40" w:type="pct"/>
                  <w:vMerge w:val="continue"/>
                  <w:textDirection w:val="tbRlV"/>
                  <w:vAlign w:val="center"/>
                </w:tcPr>
                <w:p w14:paraId="3AA0247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46" w:type="pct"/>
                  <w:vAlign w:val="center"/>
                </w:tcPr>
                <w:p w14:paraId="456C05C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冷却塔</w:t>
                  </w:r>
                </w:p>
              </w:tc>
              <w:tc>
                <w:tcPr>
                  <w:tcW w:w="166" w:type="pct"/>
                  <w:vAlign w:val="center"/>
                </w:tcPr>
                <w:p w14:paraId="013EAE8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231" w:type="pct"/>
                  <w:vAlign w:val="center"/>
                </w:tcPr>
                <w:p w14:paraId="0098261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319" w:type="pct"/>
                  <w:vAlign w:val="center"/>
                </w:tcPr>
                <w:p w14:paraId="14EB7E6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199" w:type="pct"/>
                  <w:vAlign w:val="center"/>
                </w:tcPr>
                <w:p w14:paraId="0562029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-15</w:t>
                  </w:r>
                </w:p>
              </w:tc>
              <w:tc>
                <w:tcPr>
                  <w:tcW w:w="170" w:type="pct"/>
                  <w:vAlign w:val="center"/>
                </w:tcPr>
                <w:p w14:paraId="73123A6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w:t>
                  </w:r>
                </w:p>
              </w:tc>
              <w:tc>
                <w:tcPr>
                  <w:tcW w:w="263" w:type="pct"/>
                  <w:vAlign w:val="center"/>
                </w:tcPr>
                <w:p w14:paraId="5DC6AF3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02" w:type="pct"/>
                  <w:vAlign w:val="center"/>
                </w:tcPr>
                <w:p w14:paraId="507F790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w:t>
                  </w:r>
                </w:p>
              </w:tc>
              <w:tc>
                <w:tcPr>
                  <w:tcW w:w="212" w:type="pct"/>
                  <w:vAlign w:val="center"/>
                </w:tcPr>
                <w:p w14:paraId="09DF2EF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199" w:type="pct"/>
                  <w:vAlign w:val="center"/>
                </w:tcPr>
                <w:p w14:paraId="4A3DE9E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8</w:t>
                  </w:r>
                </w:p>
              </w:tc>
              <w:tc>
                <w:tcPr>
                  <w:tcW w:w="296" w:type="pct"/>
                  <w:vAlign w:val="center"/>
                </w:tcPr>
                <w:p w14:paraId="7A9FFA3D">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w:t>
                  </w:r>
                </w:p>
              </w:tc>
              <w:tc>
                <w:tcPr>
                  <w:tcW w:w="234" w:type="pct"/>
                  <w:vAlign w:val="center"/>
                </w:tcPr>
                <w:p w14:paraId="71494E52">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45.75</w:t>
                  </w:r>
                </w:p>
              </w:tc>
              <w:tc>
                <w:tcPr>
                  <w:tcW w:w="254" w:type="pct"/>
                  <w:vAlign w:val="center"/>
                </w:tcPr>
                <w:p w14:paraId="5B843D28">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61.02</w:t>
                  </w:r>
                </w:p>
              </w:tc>
              <w:tc>
                <w:tcPr>
                  <w:tcW w:w="180" w:type="pct"/>
                  <w:vAlign w:val="center"/>
                </w:tcPr>
                <w:p w14:paraId="24174C33">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56.94</w:t>
                  </w:r>
                </w:p>
              </w:tc>
              <w:tc>
                <w:tcPr>
                  <w:tcW w:w="215" w:type="pct"/>
                  <w:vAlign w:val="center"/>
                </w:tcPr>
                <w:p w14:paraId="7961D09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47.4</w:t>
                  </w:r>
                </w:p>
              </w:tc>
              <w:tc>
                <w:tcPr>
                  <w:tcW w:w="176" w:type="pct"/>
                  <w:vMerge w:val="continue"/>
                  <w:vAlign w:val="center"/>
                </w:tcPr>
                <w:p w14:paraId="1CCBA34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6529E20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0" w:type="pct"/>
                  <w:vAlign w:val="center"/>
                </w:tcPr>
                <w:p w14:paraId="2B58AC66">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15.75</w:t>
                  </w:r>
                </w:p>
              </w:tc>
              <w:tc>
                <w:tcPr>
                  <w:tcW w:w="257" w:type="pct"/>
                  <w:vAlign w:val="center"/>
                </w:tcPr>
                <w:p w14:paraId="3AAA3B33">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31.02</w:t>
                  </w:r>
                </w:p>
              </w:tc>
              <w:tc>
                <w:tcPr>
                  <w:tcW w:w="183" w:type="pct"/>
                  <w:vAlign w:val="center"/>
                </w:tcPr>
                <w:p w14:paraId="78D74859">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26.94</w:t>
                  </w:r>
                </w:p>
              </w:tc>
              <w:tc>
                <w:tcPr>
                  <w:tcW w:w="264" w:type="pct"/>
                  <w:vAlign w:val="center"/>
                </w:tcPr>
                <w:p w14:paraId="2BD864F7">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17.4</w:t>
                  </w:r>
                </w:p>
              </w:tc>
            </w:tr>
            <w:tr w14:paraId="0F2A7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2723" w:type="pct"/>
                  <w:gridSpan w:val="13"/>
                  <w:vAlign w:val="center"/>
                </w:tcPr>
                <w:p w14:paraId="5A78ADD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叠加值</w:t>
                  </w:r>
                </w:p>
              </w:tc>
              <w:tc>
                <w:tcPr>
                  <w:tcW w:w="234" w:type="pct"/>
                  <w:vAlign w:val="center"/>
                </w:tcPr>
                <w:p w14:paraId="557D140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85.71</w:t>
                  </w:r>
                </w:p>
              </w:tc>
              <w:tc>
                <w:tcPr>
                  <w:tcW w:w="254" w:type="pct"/>
                  <w:vAlign w:val="center"/>
                </w:tcPr>
                <w:p w14:paraId="0401B4B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81.84</w:t>
                  </w:r>
                </w:p>
              </w:tc>
              <w:tc>
                <w:tcPr>
                  <w:tcW w:w="180" w:type="pct"/>
                  <w:vAlign w:val="center"/>
                </w:tcPr>
                <w:p w14:paraId="71B86B3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76.71</w:t>
                  </w:r>
                </w:p>
              </w:tc>
              <w:tc>
                <w:tcPr>
                  <w:tcW w:w="215" w:type="pct"/>
                  <w:vAlign w:val="center"/>
                </w:tcPr>
                <w:p w14:paraId="122B10A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80.82</w:t>
                  </w:r>
                </w:p>
              </w:tc>
              <w:tc>
                <w:tcPr>
                  <w:tcW w:w="176" w:type="pct"/>
                  <w:vMerge w:val="continue"/>
                  <w:vAlign w:val="center"/>
                </w:tcPr>
                <w:p w14:paraId="1AEA8CA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4300974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280" w:type="pct"/>
                  <w:vAlign w:val="center"/>
                </w:tcPr>
                <w:p w14:paraId="66CF46F9">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45.71</w:t>
                  </w:r>
                </w:p>
              </w:tc>
              <w:tc>
                <w:tcPr>
                  <w:tcW w:w="257" w:type="pct"/>
                  <w:vAlign w:val="center"/>
                </w:tcPr>
                <w:p w14:paraId="1F827F15">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51.84</w:t>
                  </w:r>
                </w:p>
              </w:tc>
              <w:tc>
                <w:tcPr>
                  <w:tcW w:w="183" w:type="pct"/>
                  <w:vAlign w:val="center"/>
                </w:tcPr>
                <w:p w14:paraId="1520CA4A">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46.71</w:t>
                  </w:r>
                </w:p>
              </w:tc>
              <w:tc>
                <w:tcPr>
                  <w:tcW w:w="264" w:type="pct"/>
                  <w:vAlign w:val="center"/>
                </w:tcPr>
                <w:p w14:paraId="6A85701D">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50.82</w:t>
                  </w:r>
                </w:p>
              </w:tc>
            </w:tr>
            <w:tr w14:paraId="01ACA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5000" w:type="pct"/>
                  <w:gridSpan w:val="23"/>
                  <w:vAlign w:val="center"/>
                </w:tcPr>
                <w:p w14:paraId="2EAA828F">
                  <w:pPr>
                    <w:pageBreakBefore w:val="0"/>
                    <w:widowControl/>
                    <w:wordWrap w:val="0"/>
                    <w:topLinePunct w:val="0"/>
                    <w:bidi w:val="0"/>
                    <w:textAlignment w:val="bottom"/>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备注：原点坐标以厂区中心（东经 113°23′44.101″，北纬 22°47′44.834）为坐标原点（0，0，0）</w:t>
                  </w:r>
                </w:p>
              </w:tc>
            </w:tr>
          </w:tbl>
          <w:p w14:paraId="57DBA989">
            <w:pPr>
              <w:pStyle w:val="2"/>
              <w:pageBreakBefore w:val="0"/>
              <w:wordWrap w:val="0"/>
              <w:topLinePunct w:val="0"/>
              <w:bidi w:val="0"/>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b/>
                <w:bCs/>
                <w:color w:val="auto"/>
                <w:kern w:val="0"/>
                <w:sz w:val="21"/>
                <w:szCs w:val="21"/>
                <w:highlight w:val="none"/>
                <w:lang w:bidi="ar"/>
              </w:rPr>
              <w:t>表 4-1</w:t>
            </w:r>
            <w:r>
              <w:rPr>
                <w:rFonts w:hint="default" w:ascii="Times New Roman" w:hAnsi="Times New Roman" w:cs="Times New Roman"/>
                <w:b/>
                <w:bCs/>
                <w:color w:val="auto"/>
                <w:kern w:val="0"/>
                <w:sz w:val="21"/>
                <w:szCs w:val="21"/>
                <w:highlight w:val="none"/>
                <w:lang w:val="en-US" w:eastAsia="zh-CN" w:bidi="ar"/>
              </w:rPr>
              <w:t>4</w:t>
            </w:r>
            <w:r>
              <w:rPr>
                <w:rFonts w:hint="default" w:ascii="Times New Roman" w:hAnsi="Times New Roman" w:cs="Times New Roman"/>
                <w:b/>
                <w:bCs/>
                <w:color w:val="auto"/>
                <w:kern w:val="0"/>
                <w:sz w:val="21"/>
                <w:szCs w:val="21"/>
                <w:highlight w:val="none"/>
                <w:lang w:bidi="ar"/>
              </w:rPr>
              <w:t>项目厂界夜间噪声预测</w:t>
            </w:r>
          </w:p>
          <w:tbl>
            <w:tblPr>
              <w:tblStyle w:val="1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75"/>
              <w:gridCol w:w="378"/>
              <w:gridCol w:w="394"/>
              <w:gridCol w:w="445"/>
              <w:gridCol w:w="620"/>
              <w:gridCol w:w="856"/>
              <w:gridCol w:w="537"/>
              <w:gridCol w:w="456"/>
              <w:gridCol w:w="706"/>
              <w:gridCol w:w="542"/>
              <w:gridCol w:w="569"/>
              <w:gridCol w:w="534"/>
              <w:gridCol w:w="797"/>
              <w:gridCol w:w="628"/>
              <w:gridCol w:w="682"/>
              <w:gridCol w:w="483"/>
              <w:gridCol w:w="580"/>
              <w:gridCol w:w="472"/>
              <w:gridCol w:w="620"/>
              <w:gridCol w:w="754"/>
              <w:gridCol w:w="690"/>
              <w:gridCol w:w="491"/>
              <w:gridCol w:w="708"/>
            </w:tblGrid>
            <w:tr w14:paraId="2A566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32" w:hRule="atLeast"/>
                <w:tblHeader/>
                <w:jc w:val="center"/>
              </w:trPr>
              <w:tc>
                <w:tcPr>
                  <w:tcW w:w="177" w:type="pct"/>
                  <w:vMerge w:val="restart"/>
                  <w:textDirection w:val="tbRlV"/>
                  <w:vAlign w:val="center"/>
                </w:tcPr>
                <w:p w14:paraId="138059FA">
                  <w:pPr>
                    <w:pStyle w:val="5"/>
                    <w:pageBreakBefore w:val="0"/>
                    <w:numPr>
                      <w:ilvl w:val="2"/>
                      <w:numId w:val="0"/>
                    </w:numPr>
                    <w:tabs>
                      <w:tab w:val="clear" w:pos="420"/>
                    </w:tabs>
                    <w:wordWrap w:val="0"/>
                    <w:topLinePunct w:val="0"/>
                    <w:bidi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41" w:type="pct"/>
                  <w:vMerge w:val="restart"/>
                  <w:textDirection w:val="tbRlV"/>
                  <w:vAlign w:val="center"/>
                </w:tcPr>
                <w:p w14:paraId="7A76AFD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 筑 物 名 称</w:t>
                  </w:r>
                </w:p>
              </w:tc>
              <w:tc>
                <w:tcPr>
                  <w:tcW w:w="147" w:type="pct"/>
                  <w:vMerge w:val="restart"/>
                  <w:vAlign w:val="center"/>
                </w:tcPr>
                <w:p w14:paraId="3B2ED50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5A1459D4">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373F8B7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声源名称</w:t>
                  </w:r>
                </w:p>
              </w:tc>
              <w:tc>
                <w:tcPr>
                  <w:tcW w:w="166" w:type="pct"/>
                  <w:vMerge w:val="restart"/>
                  <w:vAlign w:val="center"/>
                </w:tcPr>
                <w:p w14:paraId="75DAE62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数量</w:t>
                  </w:r>
                </w:p>
              </w:tc>
              <w:tc>
                <w:tcPr>
                  <w:tcW w:w="231" w:type="pct"/>
                  <w:vMerge w:val="restart"/>
                  <w:vAlign w:val="center"/>
                </w:tcPr>
                <w:p w14:paraId="2453AE3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声压级</w:t>
                  </w:r>
                </w:p>
                <w:p w14:paraId="6CCE51D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/dB(A)</w:t>
                  </w:r>
                </w:p>
              </w:tc>
              <w:tc>
                <w:tcPr>
                  <w:tcW w:w="319" w:type="pct"/>
                  <w:vMerge w:val="restart"/>
                  <w:vAlign w:val="center"/>
                </w:tcPr>
                <w:p w14:paraId="2298EBF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多台声压級叠加值/dB（A）</w:t>
                  </w:r>
                </w:p>
              </w:tc>
              <w:tc>
                <w:tcPr>
                  <w:tcW w:w="633" w:type="pct"/>
                  <w:gridSpan w:val="3"/>
                  <w:vAlign w:val="center"/>
                </w:tcPr>
                <w:p w14:paraId="4CAF71F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空间相对位置</w:t>
                  </w:r>
                </w:p>
              </w:tc>
              <w:tc>
                <w:tcPr>
                  <w:tcW w:w="904" w:type="pct"/>
                  <w:gridSpan w:val="4"/>
                  <w:vAlign w:val="center"/>
                </w:tcPr>
                <w:p w14:paraId="62FE681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距室内边界距离/m</w:t>
                  </w:r>
                </w:p>
              </w:tc>
              <w:tc>
                <w:tcPr>
                  <w:tcW w:w="884" w:type="pct"/>
                  <w:gridSpan w:val="4"/>
                  <w:vAlign w:val="center"/>
                </w:tcPr>
                <w:p w14:paraId="4364E82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室内边界声级/dB(A)</w:t>
                  </w:r>
                </w:p>
              </w:tc>
              <w:tc>
                <w:tcPr>
                  <w:tcW w:w="176" w:type="pct"/>
                  <w:vMerge w:val="restart"/>
                  <w:vAlign w:val="center"/>
                </w:tcPr>
                <w:p w14:paraId="363DDD6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1802A72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运行 时段</w:t>
                  </w:r>
                </w:p>
              </w:tc>
              <w:tc>
                <w:tcPr>
                  <w:tcW w:w="231" w:type="pct"/>
                  <w:vMerge w:val="restart"/>
                  <w:vAlign w:val="center"/>
                </w:tcPr>
                <w:p w14:paraId="7D83AA6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796B6F4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建筑物插</w:t>
                  </w:r>
                </w:p>
                <w:p w14:paraId="2969C654">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入损失 /dB(A)</w:t>
                  </w:r>
                </w:p>
              </w:tc>
              <w:tc>
                <w:tcPr>
                  <w:tcW w:w="985" w:type="pct"/>
                  <w:gridSpan w:val="4"/>
                  <w:vAlign w:val="center"/>
                </w:tcPr>
                <w:p w14:paraId="7F028ED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建筑物外1m噪声</w:t>
                  </w:r>
                </w:p>
              </w:tc>
            </w:tr>
            <w:tr w14:paraId="654C7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1" w:hRule="atLeast"/>
                <w:tblHeader/>
                <w:jc w:val="center"/>
              </w:trPr>
              <w:tc>
                <w:tcPr>
                  <w:tcW w:w="177" w:type="pct"/>
                  <w:vMerge w:val="continue"/>
                  <w:textDirection w:val="tbRlV"/>
                  <w:vAlign w:val="center"/>
                </w:tcPr>
                <w:p w14:paraId="59426A0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1" w:type="pct"/>
                  <w:vMerge w:val="continue"/>
                  <w:textDirection w:val="tbRlV"/>
                  <w:vAlign w:val="center"/>
                </w:tcPr>
                <w:p w14:paraId="0074EFB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7" w:type="pct"/>
                  <w:vMerge w:val="continue"/>
                  <w:vAlign w:val="center"/>
                </w:tcPr>
                <w:p w14:paraId="341EBF8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66" w:type="pct"/>
                  <w:vMerge w:val="continue"/>
                  <w:vAlign w:val="center"/>
                </w:tcPr>
                <w:p w14:paraId="5C30DA2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70796A9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319" w:type="pct"/>
                  <w:vMerge w:val="continue"/>
                  <w:vAlign w:val="center"/>
                </w:tcPr>
                <w:p w14:paraId="2618CD79">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00" w:type="pct"/>
                  <w:vMerge w:val="restart"/>
                  <w:vAlign w:val="center"/>
                </w:tcPr>
                <w:p w14:paraId="5F53919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6E0BB19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X</w:t>
                  </w:r>
                </w:p>
              </w:tc>
              <w:tc>
                <w:tcPr>
                  <w:tcW w:w="170" w:type="pct"/>
                  <w:vMerge w:val="restart"/>
                  <w:vAlign w:val="center"/>
                </w:tcPr>
                <w:p w14:paraId="1937765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017E662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Y</w:t>
                  </w:r>
                </w:p>
              </w:tc>
              <w:tc>
                <w:tcPr>
                  <w:tcW w:w="261" w:type="pct"/>
                  <w:vMerge w:val="restart"/>
                  <w:vAlign w:val="center"/>
                </w:tcPr>
                <w:p w14:paraId="76AA24D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6A76BA94">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Z</w:t>
                  </w:r>
                </w:p>
              </w:tc>
              <w:tc>
                <w:tcPr>
                  <w:tcW w:w="202" w:type="pct"/>
                  <w:vMerge w:val="restart"/>
                  <w:vAlign w:val="center"/>
                </w:tcPr>
                <w:p w14:paraId="665C001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297658E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w:t>
                  </w:r>
                </w:p>
              </w:tc>
              <w:tc>
                <w:tcPr>
                  <w:tcW w:w="212" w:type="pct"/>
                  <w:vMerge w:val="restart"/>
                  <w:vAlign w:val="center"/>
                </w:tcPr>
                <w:p w14:paraId="5943A4E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175BC34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南</w:t>
                  </w:r>
                </w:p>
              </w:tc>
              <w:tc>
                <w:tcPr>
                  <w:tcW w:w="199" w:type="pct"/>
                  <w:vMerge w:val="restart"/>
                  <w:vAlign w:val="center"/>
                </w:tcPr>
                <w:p w14:paraId="0E55786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7660640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西</w:t>
                  </w:r>
                </w:p>
              </w:tc>
              <w:tc>
                <w:tcPr>
                  <w:tcW w:w="290" w:type="pct"/>
                  <w:vMerge w:val="restart"/>
                  <w:vAlign w:val="center"/>
                </w:tcPr>
                <w:p w14:paraId="44EE1A9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2CDC0054">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w:t>
                  </w:r>
                </w:p>
              </w:tc>
              <w:tc>
                <w:tcPr>
                  <w:tcW w:w="234" w:type="pct"/>
                  <w:vMerge w:val="restart"/>
                  <w:vAlign w:val="center"/>
                </w:tcPr>
                <w:p w14:paraId="61B997C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45348BB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w:t>
                  </w:r>
                </w:p>
              </w:tc>
              <w:tc>
                <w:tcPr>
                  <w:tcW w:w="254" w:type="pct"/>
                  <w:vMerge w:val="restart"/>
                  <w:vAlign w:val="center"/>
                </w:tcPr>
                <w:p w14:paraId="75B9AAE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7A81EE3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南</w:t>
                  </w:r>
                </w:p>
              </w:tc>
              <w:tc>
                <w:tcPr>
                  <w:tcW w:w="180" w:type="pct"/>
                  <w:vMerge w:val="restart"/>
                  <w:vAlign w:val="center"/>
                </w:tcPr>
                <w:p w14:paraId="27B774D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0A5488F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西</w:t>
                  </w:r>
                </w:p>
              </w:tc>
              <w:tc>
                <w:tcPr>
                  <w:tcW w:w="215" w:type="pct"/>
                  <w:vMerge w:val="restart"/>
                  <w:vAlign w:val="center"/>
                </w:tcPr>
                <w:p w14:paraId="0E57CD3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p w14:paraId="5E1339A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w:t>
                  </w:r>
                </w:p>
              </w:tc>
              <w:tc>
                <w:tcPr>
                  <w:tcW w:w="176" w:type="pct"/>
                  <w:vMerge w:val="continue"/>
                  <w:vAlign w:val="center"/>
                </w:tcPr>
                <w:p w14:paraId="646F85EE">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2CD91E4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985" w:type="pct"/>
                  <w:gridSpan w:val="4"/>
                  <w:vAlign w:val="center"/>
                </w:tcPr>
                <w:p w14:paraId="485CB0F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声压级/dB(A)</w:t>
                  </w:r>
                </w:p>
              </w:tc>
            </w:tr>
            <w:tr w14:paraId="640A4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77" w:type="pct"/>
                  <w:vMerge w:val="continue"/>
                  <w:textDirection w:val="tbRlV"/>
                  <w:vAlign w:val="center"/>
                </w:tcPr>
                <w:p w14:paraId="01EA821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1" w:type="pct"/>
                  <w:vMerge w:val="continue"/>
                  <w:textDirection w:val="tbRlV"/>
                  <w:vAlign w:val="center"/>
                </w:tcPr>
                <w:p w14:paraId="0E4CD62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47" w:type="pct"/>
                  <w:vMerge w:val="continue"/>
                  <w:vAlign w:val="center"/>
                </w:tcPr>
                <w:p w14:paraId="69F4C501">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66" w:type="pct"/>
                  <w:vMerge w:val="continue"/>
                  <w:vAlign w:val="center"/>
                </w:tcPr>
                <w:p w14:paraId="666219D9">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7F5D0AD9">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319" w:type="pct"/>
                  <w:vMerge w:val="continue"/>
                  <w:vAlign w:val="center"/>
                </w:tcPr>
                <w:p w14:paraId="41A5B57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00" w:type="pct"/>
                  <w:vMerge w:val="continue"/>
                  <w:vAlign w:val="center"/>
                </w:tcPr>
                <w:p w14:paraId="1F0A5D2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70" w:type="pct"/>
                  <w:vMerge w:val="continue"/>
                  <w:vAlign w:val="center"/>
                </w:tcPr>
                <w:p w14:paraId="40877E4A">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61" w:type="pct"/>
                  <w:vMerge w:val="continue"/>
                  <w:vAlign w:val="center"/>
                </w:tcPr>
                <w:p w14:paraId="6B299DE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02" w:type="pct"/>
                  <w:vMerge w:val="continue"/>
                  <w:vAlign w:val="center"/>
                </w:tcPr>
                <w:p w14:paraId="29B4FC43">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12" w:type="pct"/>
                  <w:vMerge w:val="continue"/>
                  <w:vAlign w:val="center"/>
                </w:tcPr>
                <w:p w14:paraId="24C0182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99" w:type="pct"/>
                  <w:vMerge w:val="continue"/>
                  <w:vAlign w:val="center"/>
                </w:tcPr>
                <w:p w14:paraId="02A4FA0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90" w:type="pct"/>
                  <w:vMerge w:val="continue"/>
                  <w:vAlign w:val="center"/>
                </w:tcPr>
                <w:p w14:paraId="7933BA6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4" w:type="pct"/>
                  <w:vMerge w:val="continue"/>
                  <w:vAlign w:val="center"/>
                </w:tcPr>
                <w:p w14:paraId="5EBD25E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54" w:type="pct"/>
                  <w:vMerge w:val="continue"/>
                  <w:vAlign w:val="center"/>
                </w:tcPr>
                <w:p w14:paraId="73467A1F">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80" w:type="pct"/>
                  <w:vMerge w:val="continue"/>
                  <w:vAlign w:val="center"/>
                </w:tcPr>
                <w:p w14:paraId="29F025BD">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15" w:type="pct"/>
                  <w:vMerge w:val="continue"/>
                  <w:vAlign w:val="center"/>
                </w:tcPr>
                <w:p w14:paraId="6BC45D2C">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176" w:type="pct"/>
                  <w:vMerge w:val="continue"/>
                  <w:vAlign w:val="center"/>
                </w:tcPr>
                <w:p w14:paraId="6FAAB29B">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31" w:type="pct"/>
                  <w:vMerge w:val="continue"/>
                  <w:vAlign w:val="center"/>
                </w:tcPr>
                <w:p w14:paraId="3745C567">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281" w:type="pct"/>
                  <w:vAlign w:val="center"/>
                </w:tcPr>
                <w:p w14:paraId="6B5CC558">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东</w:t>
                  </w:r>
                </w:p>
              </w:tc>
              <w:tc>
                <w:tcPr>
                  <w:tcW w:w="257" w:type="pct"/>
                  <w:vAlign w:val="center"/>
                </w:tcPr>
                <w:p w14:paraId="577C7FA5">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南</w:t>
                  </w:r>
                </w:p>
              </w:tc>
              <w:tc>
                <w:tcPr>
                  <w:tcW w:w="183" w:type="pct"/>
                  <w:vAlign w:val="center"/>
                </w:tcPr>
                <w:p w14:paraId="010C8FD0">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西</w:t>
                  </w:r>
                </w:p>
              </w:tc>
              <w:tc>
                <w:tcPr>
                  <w:tcW w:w="263" w:type="pct"/>
                  <w:vAlign w:val="center"/>
                </w:tcPr>
                <w:p w14:paraId="7A20EE56">
                  <w:pPr>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北</w:t>
                  </w:r>
                </w:p>
              </w:tc>
            </w:tr>
            <w:tr w14:paraId="54AC5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4" w:hRule="atLeast"/>
                <w:jc w:val="center"/>
              </w:trPr>
              <w:tc>
                <w:tcPr>
                  <w:tcW w:w="177" w:type="pct"/>
                  <w:vAlign w:val="center"/>
                </w:tcPr>
                <w:p w14:paraId="3F7FD17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41" w:type="pct"/>
                  <w:vMerge w:val="restart"/>
                  <w:vAlign w:val="center"/>
                </w:tcPr>
                <w:p w14:paraId="10B30FA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一 楼</w:t>
                  </w:r>
                  <w:r>
                    <w:rPr>
                      <w:rFonts w:hint="default" w:ascii="Times New Roman" w:hAnsi="Times New Roman" w:cs="Times New Roman"/>
                      <w:color w:val="auto"/>
                      <w:sz w:val="21"/>
                      <w:szCs w:val="21"/>
                      <w:highlight w:val="none"/>
                      <w:lang w:val="en-US" w:eastAsia="zh-CN"/>
                    </w:rPr>
                    <w:t>室内</w:t>
                  </w:r>
                  <w:r>
                    <w:rPr>
                      <w:rFonts w:hint="default" w:ascii="Times New Roman" w:hAnsi="Times New Roman" w:cs="Times New Roman"/>
                      <w:color w:val="auto"/>
                      <w:sz w:val="21"/>
                      <w:szCs w:val="21"/>
                      <w:highlight w:val="none"/>
                    </w:rPr>
                    <w:t xml:space="preserve"> </w:t>
                  </w:r>
                </w:p>
              </w:tc>
              <w:tc>
                <w:tcPr>
                  <w:tcW w:w="147" w:type="pct"/>
                  <w:vAlign w:val="center"/>
                </w:tcPr>
                <w:p w14:paraId="67E5A2F8">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注塑机</w:t>
                  </w:r>
                </w:p>
              </w:tc>
              <w:tc>
                <w:tcPr>
                  <w:tcW w:w="166" w:type="pct"/>
                  <w:vAlign w:val="center"/>
                </w:tcPr>
                <w:p w14:paraId="52F7452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34</w:t>
                  </w:r>
                </w:p>
              </w:tc>
              <w:tc>
                <w:tcPr>
                  <w:tcW w:w="231" w:type="pct"/>
                  <w:vAlign w:val="center"/>
                </w:tcPr>
                <w:p w14:paraId="10D04A6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80</w:t>
                  </w:r>
                </w:p>
              </w:tc>
              <w:tc>
                <w:tcPr>
                  <w:tcW w:w="319" w:type="pct"/>
                  <w:vAlign w:val="center"/>
                </w:tcPr>
                <w:p w14:paraId="5BBA13A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95.31</w:t>
                  </w:r>
                </w:p>
              </w:tc>
              <w:tc>
                <w:tcPr>
                  <w:tcW w:w="200" w:type="pct"/>
                  <w:vAlign w:val="center"/>
                </w:tcPr>
                <w:p w14:paraId="16A9CC2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13</w:t>
                  </w:r>
                </w:p>
              </w:tc>
              <w:tc>
                <w:tcPr>
                  <w:tcW w:w="170" w:type="pct"/>
                  <w:vAlign w:val="center"/>
                </w:tcPr>
                <w:p w14:paraId="24FFD1E5">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61" w:type="pct"/>
                  <w:vAlign w:val="center"/>
                </w:tcPr>
                <w:p w14:paraId="49774B4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202" w:type="pct"/>
                  <w:vAlign w:val="center"/>
                </w:tcPr>
                <w:p w14:paraId="2EFB976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12</w:t>
                  </w:r>
                </w:p>
              </w:tc>
              <w:tc>
                <w:tcPr>
                  <w:tcW w:w="212" w:type="pct"/>
                  <w:vAlign w:val="center"/>
                </w:tcPr>
                <w:p w14:paraId="1E0E94F5">
                  <w:pPr>
                    <w:pageBreakBefore w:val="0"/>
                    <w:widowControl/>
                    <w:wordWrap w:val="0"/>
                    <w:topLinePunct w:val="0"/>
                    <w:bidi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5</w:t>
                  </w:r>
                </w:p>
              </w:tc>
              <w:tc>
                <w:tcPr>
                  <w:tcW w:w="199" w:type="pct"/>
                  <w:vAlign w:val="center"/>
                </w:tcPr>
                <w:p w14:paraId="4C610AE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19</w:t>
                  </w:r>
                </w:p>
              </w:tc>
              <w:tc>
                <w:tcPr>
                  <w:tcW w:w="290" w:type="pct"/>
                  <w:vAlign w:val="center"/>
                </w:tcPr>
                <w:p w14:paraId="232E884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1</w:t>
                  </w:r>
                  <w:r>
                    <w:rPr>
                      <w:rFonts w:hint="default" w:ascii="Times New Roman" w:hAnsi="Times New Roman" w:cs="Times New Roman"/>
                      <w:color w:val="auto"/>
                      <w:sz w:val="21"/>
                      <w:szCs w:val="21"/>
                      <w:highlight w:val="none"/>
                      <w:lang w:val="en-US" w:eastAsia="zh-CN"/>
                    </w:rPr>
                    <w:t>8</w:t>
                  </w:r>
                </w:p>
              </w:tc>
              <w:tc>
                <w:tcPr>
                  <w:tcW w:w="234" w:type="pct"/>
                  <w:vAlign w:val="center"/>
                </w:tcPr>
                <w:p w14:paraId="584DE63F">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73.73</w:t>
                  </w:r>
                </w:p>
              </w:tc>
              <w:tc>
                <w:tcPr>
                  <w:tcW w:w="254" w:type="pct"/>
                  <w:vAlign w:val="center"/>
                </w:tcPr>
                <w:p w14:paraId="091F0654">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81.33</w:t>
                  </w:r>
                </w:p>
              </w:tc>
              <w:tc>
                <w:tcPr>
                  <w:tcW w:w="180" w:type="pct"/>
                  <w:vAlign w:val="center"/>
                </w:tcPr>
                <w:p w14:paraId="2DC25E81">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69.73</w:t>
                  </w:r>
                </w:p>
              </w:tc>
              <w:tc>
                <w:tcPr>
                  <w:tcW w:w="215" w:type="pct"/>
                  <w:vAlign w:val="center"/>
                </w:tcPr>
                <w:p w14:paraId="287DF23E">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70.2</w:t>
                  </w:r>
                </w:p>
              </w:tc>
              <w:tc>
                <w:tcPr>
                  <w:tcW w:w="176" w:type="pct"/>
                  <w:vMerge w:val="restart"/>
                  <w:vAlign w:val="center"/>
                </w:tcPr>
                <w:p w14:paraId="1160E7D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夜</w:t>
                  </w:r>
                  <w:r>
                    <w:rPr>
                      <w:rFonts w:hint="default" w:ascii="Times New Roman" w:hAnsi="Times New Roman" w:cs="Times New Roman"/>
                      <w:color w:val="auto"/>
                      <w:sz w:val="21"/>
                      <w:szCs w:val="21"/>
                      <w:highlight w:val="none"/>
                    </w:rPr>
                    <w:t>间</w:t>
                  </w:r>
                </w:p>
              </w:tc>
              <w:tc>
                <w:tcPr>
                  <w:tcW w:w="231" w:type="pct"/>
                  <w:vAlign w:val="center"/>
                </w:tcPr>
                <w:p w14:paraId="05C51A5F">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1" w:type="pct"/>
                  <w:vAlign w:val="center"/>
                </w:tcPr>
                <w:p w14:paraId="43FDA9D5">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43.73</w:t>
                  </w:r>
                </w:p>
              </w:tc>
              <w:tc>
                <w:tcPr>
                  <w:tcW w:w="257" w:type="pct"/>
                  <w:vAlign w:val="center"/>
                </w:tcPr>
                <w:p w14:paraId="424BFF43">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51.33</w:t>
                  </w:r>
                </w:p>
              </w:tc>
              <w:tc>
                <w:tcPr>
                  <w:tcW w:w="183" w:type="pct"/>
                  <w:vAlign w:val="center"/>
                </w:tcPr>
                <w:p w14:paraId="070485C8">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54.73</w:t>
                  </w:r>
                </w:p>
              </w:tc>
              <w:tc>
                <w:tcPr>
                  <w:tcW w:w="263" w:type="pct"/>
                  <w:vAlign w:val="center"/>
                </w:tcPr>
                <w:p w14:paraId="3A46DA87">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40.2</w:t>
                  </w:r>
                </w:p>
              </w:tc>
            </w:tr>
            <w:tr w14:paraId="5F532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177" w:type="pct"/>
                  <w:vAlign w:val="center"/>
                </w:tcPr>
                <w:p w14:paraId="1AA92A9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w:t>
                  </w:r>
                </w:p>
              </w:tc>
              <w:tc>
                <w:tcPr>
                  <w:tcW w:w="141" w:type="pct"/>
                  <w:vMerge w:val="continue"/>
                  <w:textDirection w:val="tbRlV"/>
                  <w:vAlign w:val="center"/>
                </w:tcPr>
                <w:p w14:paraId="17F99AE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47" w:type="pct"/>
                  <w:vAlign w:val="center"/>
                </w:tcPr>
                <w:p w14:paraId="77E51C7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粉碎机</w:t>
                  </w:r>
                </w:p>
              </w:tc>
              <w:tc>
                <w:tcPr>
                  <w:tcW w:w="166" w:type="pct"/>
                  <w:vAlign w:val="center"/>
                </w:tcPr>
                <w:p w14:paraId="1EFA249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25</w:t>
                  </w:r>
                </w:p>
              </w:tc>
              <w:tc>
                <w:tcPr>
                  <w:tcW w:w="231" w:type="pct"/>
                  <w:vAlign w:val="center"/>
                </w:tcPr>
                <w:p w14:paraId="1B1F7B2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75</w:t>
                  </w:r>
                </w:p>
              </w:tc>
              <w:tc>
                <w:tcPr>
                  <w:tcW w:w="319" w:type="pct"/>
                  <w:vAlign w:val="center"/>
                </w:tcPr>
                <w:p w14:paraId="79234C9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88.98</w:t>
                  </w:r>
                </w:p>
              </w:tc>
              <w:tc>
                <w:tcPr>
                  <w:tcW w:w="200" w:type="pct"/>
                  <w:vAlign w:val="center"/>
                </w:tcPr>
                <w:p w14:paraId="733BCA7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170" w:type="pct"/>
                  <w:vAlign w:val="center"/>
                </w:tcPr>
                <w:p w14:paraId="6F2E1B8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261" w:type="pct"/>
                  <w:vAlign w:val="center"/>
                </w:tcPr>
                <w:p w14:paraId="61BA638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02" w:type="pct"/>
                  <w:vAlign w:val="center"/>
                </w:tcPr>
                <w:p w14:paraId="7A3231A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212" w:type="pct"/>
                  <w:vAlign w:val="center"/>
                </w:tcPr>
                <w:p w14:paraId="0C0F842B">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w:t>
                  </w:r>
                </w:p>
              </w:tc>
              <w:tc>
                <w:tcPr>
                  <w:tcW w:w="199" w:type="pct"/>
                  <w:vAlign w:val="center"/>
                </w:tcPr>
                <w:p w14:paraId="4AFA287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w:t>
                  </w:r>
                </w:p>
              </w:tc>
              <w:tc>
                <w:tcPr>
                  <w:tcW w:w="290" w:type="pct"/>
                  <w:vAlign w:val="center"/>
                </w:tcPr>
                <w:p w14:paraId="56C67BD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16</w:t>
                  </w:r>
                </w:p>
              </w:tc>
              <w:tc>
                <w:tcPr>
                  <w:tcW w:w="234" w:type="pct"/>
                  <w:vAlign w:val="center"/>
                </w:tcPr>
                <w:p w14:paraId="0334F7FA">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68.98</w:t>
                  </w:r>
                </w:p>
              </w:tc>
              <w:tc>
                <w:tcPr>
                  <w:tcW w:w="254" w:type="pct"/>
                  <w:vAlign w:val="center"/>
                </w:tcPr>
                <w:p w14:paraId="296F2B36">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70.92</w:t>
                  </w:r>
                </w:p>
              </w:tc>
              <w:tc>
                <w:tcPr>
                  <w:tcW w:w="180" w:type="pct"/>
                  <w:vAlign w:val="center"/>
                </w:tcPr>
                <w:p w14:paraId="778A736B">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61.02</w:t>
                  </w:r>
                </w:p>
              </w:tc>
              <w:tc>
                <w:tcPr>
                  <w:tcW w:w="215" w:type="pct"/>
                  <w:vAlign w:val="center"/>
                </w:tcPr>
                <w:p w14:paraId="3027B119">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64.9</w:t>
                  </w:r>
                </w:p>
              </w:tc>
              <w:tc>
                <w:tcPr>
                  <w:tcW w:w="176" w:type="pct"/>
                  <w:vMerge w:val="continue"/>
                  <w:vAlign w:val="center"/>
                </w:tcPr>
                <w:p w14:paraId="2187880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131A541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1" w:type="pct"/>
                  <w:vAlign w:val="center"/>
                </w:tcPr>
                <w:p w14:paraId="753020A3">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38.98</w:t>
                  </w:r>
                </w:p>
              </w:tc>
              <w:tc>
                <w:tcPr>
                  <w:tcW w:w="257" w:type="pct"/>
                  <w:vAlign w:val="center"/>
                </w:tcPr>
                <w:p w14:paraId="7A436EF2">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40.92</w:t>
                  </w:r>
                </w:p>
              </w:tc>
              <w:tc>
                <w:tcPr>
                  <w:tcW w:w="183" w:type="pct"/>
                  <w:vAlign w:val="center"/>
                </w:tcPr>
                <w:p w14:paraId="05118EF3">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46.02</w:t>
                  </w:r>
                </w:p>
              </w:tc>
              <w:tc>
                <w:tcPr>
                  <w:tcW w:w="263" w:type="pct"/>
                  <w:vAlign w:val="center"/>
                </w:tcPr>
                <w:p w14:paraId="10F4028D">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highlight w:val="none"/>
                      <w:u w:val="none"/>
                      <w:lang w:val="en-US" w:eastAsia="zh-CN" w:bidi="ar"/>
                    </w:rPr>
                    <w:t>34.9</w:t>
                  </w:r>
                </w:p>
              </w:tc>
            </w:tr>
            <w:tr w14:paraId="0D487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94" w:hRule="atLeast"/>
                <w:jc w:val="center"/>
              </w:trPr>
              <w:tc>
                <w:tcPr>
                  <w:tcW w:w="177" w:type="pct"/>
                  <w:vAlign w:val="center"/>
                </w:tcPr>
                <w:p w14:paraId="164C79FD">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w:t>
                  </w:r>
                </w:p>
              </w:tc>
              <w:tc>
                <w:tcPr>
                  <w:tcW w:w="141" w:type="pct"/>
                  <w:vMerge w:val="continue"/>
                  <w:textDirection w:val="tbRlV"/>
                  <w:vAlign w:val="center"/>
                </w:tcPr>
                <w:p w14:paraId="2D8A806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47" w:type="pct"/>
                  <w:vAlign w:val="center"/>
                </w:tcPr>
                <w:p w14:paraId="691A714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烤炉</w:t>
                  </w:r>
                </w:p>
              </w:tc>
              <w:tc>
                <w:tcPr>
                  <w:tcW w:w="166" w:type="pct"/>
                  <w:vAlign w:val="center"/>
                </w:tcPr>
                <w:p w14:paraId="2EF2DCD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231" w:type="pct"/>
                  <w:vAlign w:val="center"/>
                </w:tcPr>
                <w:p w14:paraId="24CAA5A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319" w:type="pct"/>
                  <w:vAlign w:val="center"/>
                </w:tcPr>
                <w:p w14:paraId="7991C21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89.77</w:t>
                  </w:r>
                </w:p>
              </w:tc>
              <w:tc>
                <w:tcPr>
                  <w:tcW w:w="200" w:type="pct"/>
                  <w:vAlign w:val="center"/>
                </w:tcPr>
                <w:p w14:paraId="0FCC898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10</w:t>
                  </w:r>
                </w:p>
              </w:tc>
              <w:tc>
                <w:tcPr>
                  <w:tcW w:w="170" w:type="pct"/>
                  <w:vAlign w:val="center"/>
                </w:tcPr>
                <w:p w14:paraId="13CE086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261" w:type="pct"/>
                  <w:vAlign w:val="center"/>
                </w:tcPr>
                <w:p w14:paraId="2B00E46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02" w:type="pct"/>
                  <w:vAlign w:val="center"/>
                </w:tcPr>
                <w:p w14:paraId="02739E5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w:t>
                  </w:r>
                </w:p>
              </w:tc>
              <w:tc>
                <w:tcPr>
                  <w:tcW w:w="212" w:type="pct"/>
                  <w:vAlign w:val="center"/>
                </w:tcPr>
                <w:p w14:paraId="5371BC1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w:t>
                  </w:r>
                </w:p>
              </w:tc>
              <w:tc>
                <w:tcPr>
                  <w:tcW w:w="199" w:type="pct"/>
                  <w:vAlign w:val="center"/>
                </w:tcPr>
                <w:p w14:paraId="406052B8">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290" w:type="pct"/>
                  <w:vAlign w:val="center"/>
                </w:tcPr>
                <w:p w14:paraId="6D0ABC8B">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w:t>
                  </w:r>
                </w:p>
              </w:tc>
              <w:tc>
                <w:tcPr>
                  <w:tcW w:w="234" w:type="pct"/>
                  <w:vAlign w:val="center"/>
                </w:tcPr>
                <w:p w14:paraId="6C3B55F9">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67.49</w:t>
                  </w:r>
                </w:p>
              </w:tc>
              <w:tc>
                <w:tcPr>
                  <w:tcW w:w="254" w:type="pct"/>
                  <w:vAlign w:val="center"/>
                </w:tcPr>
                <w:p w14:paraId="243E1BE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63.75</w:t>
                  </w:r>
                </w:p>
              </w:tc>
              <w:tc>
                <w:tcPr>
                  <w:tcW w:w="180" w:type="pct"/>
                  <w:vAlign w:val="center"/>
                </w:tcPr>
                <w:p w14:paraId="1C524E27">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75.79</w:t>
                  </w:r>
                </w:p>
              </w:tc>
              <w:tc>
                <w:tcPr>
                  <w:tcW w:w="215" w:type="pct"/>
                  <w:vAlign w:val="center"/>
                </w:tcPr>
                <w:p w14:paraId="2E14A43D">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80.23</w:t>
                  </w:r>
                </w:p>
              </w:tc>
              <w:tc>
                <w:tcPr>
                  <w:tcW w:w="176" w:type="pct"/>
                  <w:vMerge w:val="continue"/>
                  <w:vAlign w:val="center"/>
                </w:tcPr>
                <w:p w14:paraId="5594E29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2ED9CCB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281" w:type="pct"/>
                  <w:vAlign w:val="center"/>
                </w:tcPr>
                <w:p w14:paraId="3407275B">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37.49</w:t>
                  </w:r>
                </w:p>
              </w:tc>
              <w:tc>
                <w:tcPr>
                  <w:tcW w:w="257" w:type="pct"/>
                  <w:vAlign w:val="center"/>
                </w:tcPr>
                <w:p w14:paraId="32C2212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33.75</w:t>
                  </w:r>
                </w:p>
              </w:tc>
              <w:tc>
                <w:tcPr>
                  <w:tcW w:w="183" w:type="pct"/>
                  <w:vAlign w:val="center"/>
                </w:tcPr>
                <w:p w14:paraId="0B368E14">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45.79</w:t>
                  </w:r>
                </w:p>
              </w:tc>
              <w:tc>
                <w:tcPr>
                  <w:tcW w:w="263" w:type="pct"/>
                  <w:vAlign w:val="center"/>
                </w:tcPr>
                <w:p w14:paraId="4582B5E0">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50.23</w:t>
                  </w:r>
                </w:p>
              </w:tc>
            </w:tr>
            <w:tr w14:paraId="7689D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177" w:type="pct"/>
                  <w:vAlign w:val="center"/>
                </w:tcPr>
                <w:p w14:paraId="0751911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141" w:type="pct"/>
                  <w:vMerge w:val="restart"/>
                  <w:textDirection w:val="tbRlV"/>
                  <w:vAlign w:val="center"/>
                </w:tcPr>
                <w:p w14:paraId="46598C7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室外</w:t>
                  </w:r>
                </w:p>
              </w:tc>
              <w:tc>
                <w:tcPr>
                  <w:tcW w:w="147" w:type="pct"/>
                  <w:vAlign w:val="center"/>
                </w:tcPr>
                <w:p w14:paraId="5E3A405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空压机</w:t>
                  </w:r>
                </w:p>
              </w:tc>
              <w:tc>
                <w:tcPr>
                  <w:tcW w:w="166" w:type="pct"/>
                  <w:vAlign w:val="center"/>
                </w:tcPr>
                <w:p w14:paraId="3AD3034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w:t>
                  </w:r>
                </w:p>
              </w:tc>
              <w:tc>
                <w:tcPr>
                  <w:tcW w:w="231" w:type="pct"/>
                  <w:vAlign w:val="center"/>
                </w:tcPr>
                <w:p w14:paraId="38D97FA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319" w:type="pct"/>
                  <w:vAlign w:val="center"/>
                </w:tcPr>
                <w:p w14:paraId="059F467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200" w:type="pct"/>
                  <w:vAlign w:val="center"/>
                </w:tcPr>
                <w:p w14:paraId="6718676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-15</w:t>
                  </w:r>
                </w:p>
              </w:tc>
              <w:tc>
                <w:tcPr>
                  <w:tcW w:w="170" w:type="pct"/>
                  <w:vAlign w:val="center"/>
                </w:tcPr>
                <w:p w14:paraId="51E48E8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w:t>
                  </w:r>
                </w:p>
              </w:tc>
              <w:tc>
                <w:tcPr>
                  <w:tcW w:w="261" w:type="pct"/>
                  <w:vAlign w:val="center"/>
                </w:tcPr>
                <w:p w14:paraId="4637ACC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02" w:type="pct"/>
                  <w:vAlign w:val="center"/>
                </w:tcPr>
                <w:p w14:paraId="5ADB514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29</w:t>
                  </w:r>
                </w:p>
              </w:tc>
              <w:tc>
                <w:tcPr>
                  <w:tcW w:w="212" w:type="pct"/>
                  <w:vAlign w:val="center"/>
                </w:tcPr>
                <w:p w14:paraId="5D2AD5AD">
                  <w:pPr>
                    <w:pageBreakBefore w:val="0"/>
                    <w:widowControl/>
                    <w:wordWrap w:val="0"/>
                    <w:topLinePunct w:val="0"/>
                    <w:bidi w:val="0"/>
                    <w:jc w:val="center"/>
                    <w:textAlignment w:val="bottom"/>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w:t>
                  </w:r>
                </w:p>
              </w:tc>
              <w:tc>
                <w:tcPr>
                  <w:tcW w:w="199" w:type="pct"/>
                  <w:vAlign w:val="center"/>
                </w:tcPr>
                <w:p w14:paraId="7307449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9</w:t>
                  </w:r>
                </w:p>
              </w:tc>
              <w:tc>
                <w:tcPr>
                  <w:tcW w:w="290" w:type="pct"/>
                  <w:vAlign w:val="center"/>
                </w:tcPr>
                <w:p w14:paraId="47762395">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w:t>
                  </w:r>
                </w:p>
              </w:tc>
              <w:tc>
                <w:tcPr>
                  <w:tcW w:w="234" w:type="pct"/>
                  <w:vAlign w:val="center"/>
                </w:tcPr>
                <w:p w14:paraId="26640B56">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45.75</w:t>
                  </w:r>
                </w:p>
              </w:tc>
              <w:tc>
                <w:tcPr>
                  <w:tcW w:w="254" w:type="pct"/>
                  <w:vAlign w:val="center"/>
                </w:tcPr>
                <w:p w14:paraId="3AB431F5">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59.44</w:t>
                  </w:r>
                </w:p>
              </w:tc>
              <w:tc>
                <w:tcPr>
                  <w:tcW w:w="180" w:type="pct"/>
                  <w:vAlign w:val="center"/>
                </w:tcPr>
                <w:p w14:paraId="4DD516F2">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55.92</w:t>
                  </w:r>
                </w:p>
              </w:tc>
              <w:tc>
                <w:tcPr>
                  <w:tcW w:w="215" w:type="pct"/>
                  <w:vAlign w:val="center"/>
                </w:tcPr>
                <w:p w14:paraId="742376FE">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47.4</w:t>
                  </w:r>
                </w:p>
              </w:tc>
              <w:tc>
                <w:tcPr>
                  <w:tcW w:w="176" w:type="pct"/>
                  <w:vMerge w:val="continue"/>
                  <w:vAlign w:val="center"/>
                </w:tcPr>
                <w:p w14:paraId="77E4A36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1E37B1F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1" w:type="pct"/>
                  <w:vAlign w:val="center"/>
                </w:tcPr>
                <w:p w14:paraId="67C4E47E">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15.75</w:t>
                  </w:r>
                </w:p>
              </w:tc>
              <w:tc>
                <w:tcPr>
                  <w:tcW w:w="257" w:type="pct"/>
                  <w:vAlign w:val="center"/>
                </w:tcPr>
                <w:p w14:paraId="50F6C1BB">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29.44</w:t>
                  </w:r>
                </w:p>
              </w:tc>
              <w:tc>
                <w:tcPr>
                  <w:tcW w:w="183" w:type="pct"/>
                  <w:vAlign w:val="center"/>
                </w:tcPr>
                <w:p w14:paraId="39AC21AA">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40.92</w:t>
                  </w:r>
                </w:p>
              </w:tc>
              <w:tc>
                <w:tcPr>
                  <w:tcW w:w="263" w:type="pct"/>
                  <w:vAlign w:val="center"/>
                </w:tcPr>
                <w:p w14:paraId="12A76E91">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32.4</w:t>
                  </w:r>
                </w:p>
              </w:tc>
            </w:tr>
            <w:tr w14:paraId="3E61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177" w:type="pct"/>
                  <w:vAlign w:val="center"/>
                </w:tcPr>
                <w:p w14:paraId="11310EC9">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141" w:type="pct"/>
                  <w:vMerge w:val="continue"/>
                  <w:textDirection w:val="tbRlV"/>
                  <w:vAlign w:val="center"/>
                </w:tcPr>
                <w:p w14:paraId="7294A345">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147" w:type="pct"/>
                  <w:vAlign w:val="center"/>
                </w:tcPr>
                <w:p w14:paraId="19DB4CC7">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冷却塔</w:t>
                  </w:r>
                </w:p>
              </w:tc>
              <w:tc>
                <w:tcPr>
                  <w:tcW w:w="166" w:type="pct"/>
                  <w:vAlign w:val="center"/>
                </w:tcPr>
                <w:p w14:paraId="77A32D8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1</w:t>
                  </w:r>
                </w:p>
              </w:tc>
              <w:tc>
                <w:tcPr>
                  <w:tcW w:w="231" w:type="pct"/>
                  <w:vAlign w:val="center"/>
                </w:tcPr>
                <w:p w14:paraId="0742DDDF">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319" w:type="pct"/>
                  <w:vAlign w:val="center"/>
                </w:tcPr>
                <w:p w14:paraId="5EDCE53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200" w:type="pct"/>
                  <w:vAlign w:val="center"/>
                </w:tcPr>
                <w:p w14:paraId="71AD07D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-15</w:t>
                  </w:r>
                </w:p>
              </w:tc>
              <w:tc>
                <w:tcPr>
                  <w:tcW w:w="170" w:type="pct"/>
                  <w:vAlign w:val="center"/>
                </w:tcPr>
                <w:p w14:paraId="6352186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-10</w:t>
                  </w:r>
                </w:p>
              </w:tc>
              <w:tc>
                <w:tcPr>
                  <w:tcW w:w="261" w:type="pct"/>
                  <w:vAlign w:val="center"/>
                </w:tcPr>
                <w:p w14:paraId="27761CB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02" w:type="pct"/>
                  <w:vAlign w:val="center"/>
                </w:tcPr>
                <w:p w14:paraId="370DD11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29</w:t>
                  </w:r>
                </w:p>
              </w:tc>
              <w:tc>
                <w:tcPr>
                  <w:tcW w:w="212" w:type="pct"/>
                  <w:vAlign w:val="center"/>
                </w:tcPr>
                <w:p w14:paraId="5ABF26C5">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5</w:t>
                  </w:r>
                </w:p>
              </w:tc>
              <w:tc>
                <w:tcPr>
                  <w:tcW w:w="199" w:type="pct"/>
                  <w:vAlign w:val="center"/>
                </w:tcPr>
                <w:p w14:paraId="0212A79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8</w:t>
                  </w:r>
                </w:p>
              </w:tc>
              <w:tc>
                <w:tcPr>
                  <w:tcW w:w="290" w:type="pct"/>
                  <w:vAlign w:val="center"/>
                </w:tcPr>
                <w:p w14:paraId="3DC2030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24</w:t>
                  </w:r>
                </w:p>
              </w:tc>
              <w:tc>
                <w:tcPr>
                  <w:tcW w:w="234" w:type="pct"/>
                  <w:vAlign w:val="center"/>
                </w:tcPr>
                <w:p w14:paraId="5680685E">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45.75</w:t>
                  </w:r>
                </w:p>
              </w:tc>
              <w:tc>
                <w:tcPr>
                  <w:tcW w:w="254" w:type="pct"/>
                  <w:vAlign w:val="center"/>
                </w:tcPr>
                <w:p w14:paraId="66FD291E">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61.02</w:t>
                  </w:r>
                </w:p>
              </w:tc>
              <w:tc>
                <w:tcPr>
                  <w:tcW w:w="180" w:type="pct"/>
                  <w:vAlign w:val="center"/>
                </w:tcPr>
                <w:p w14:paraId="31CD9DA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56.94</w:t>
                  </w:r>
                </w:p>
              </w:tc>
              <w:tc>
                <w:tcPr>
                  <w:tcW w:w="215" w:type="pct"/>
                  <w:vAlign w:val="center"/>
                </w:tcPr>
                <w:p w14:paraId="71D0B07F">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iCs w:val="0"/>
                      <w:color w:val="auto"/>
                      <w:kern w:val="0"/>
                      <w:sz w:val="21"/>
                      <w:szCs w:val="21"/>
                      <w:highlight w:val="none"/>
                      <w:u w:val="none"/>
                      <w:lang w:val="en-US" w:eastAsia="zh-CN" w:bidi="ar"/>
                    </w:rPr>
                    <w:t>47.4</w:t>
                  </w:r>
                </w:p>
              </w:tc>
              <w:tc>
                <w:tcPr>
                  <w:tcW w:w="176" w:type="pct"/>
                  <w:vMerge w:val="continue"/>
                  <w:vAlign w:val="center"/>
                </w:tcPr>
                <w:p w14:paraId="72E87C9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08162F9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30</w:t>
                  </w:r>
                </w:p>
              </w:tc>
              <w:tc>
                <w:tcPr>
                  <w:tcW w:w="281" w:type="pct"/>
                  <w:vAlign w:val="center"/>
                </w:tcPr>
                <w:p w14:paraId="77BC107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15.75</w:t>
                  </w:r>
                </w:p>
              </w:tc>
              <w:tc>
                <w:tcPr>
                  <w:tcW w:w="257" w:type="pct"/>
                  <w:vAlign w:val="center"/>
                </w:tcPr>
                <w:p w14:paraId="70E27F6E">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31.02</w:t>
                  </w:r>
                </w:p>
              </w:tc>
              <w:tc>
                <w:tcPr>
                  <w:tcW w:w="183" w:type="pct"/>
                  <w:vAlign w:val="center"/>
                </w:tcPr>
                <w:p w14:paraId="21D13955">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26.94</w:t>
                  </w:r>
                </w:p>
              </w:tc>
              <w:tc>
                <w:tcPr>
                  <w:tcW w:w="263" w:type="pct"/>
                  <w:vAlign w:val="center"/>
                </w:tcPr>
                <w:p w14:paraId="199856AC">
                  <w:pPr>
                    <w:keepNext w:val="0"/>
                    <w:keepLines w:val="0"/>
                    <w:pageBreakBefore w:val="0"/>
                    <w:widowControl/>
                    <w:suppressLineNumbers w:val="0"/>
                    <w:wordWrap w:val="0"/>
                    <w:topLinePunct w:val="0"/>
                    <w:bidi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iCs w:val="0"/>
                      <w:color w:val="auto"/>
                      <w:kern w:val="0"/>
                      <w:sz w:val="21"/>
                      <w:szCs w:val="21"/>
                      <w:highlight w:val="none"/>
                      <w:u w:val="none"/>
                      <w:lang w:val="en-US" w:eastAsia="zh-CN" w:bidi="ar"/>
                    </w:rPr>
                    <w:t>17.4</w:t>
                  </w:r>
                </w:p>
              </w:tc>
            </w:tr>
            <w:tr w14:paraId="5359D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2722" w:type="pct"/>
                  <w:gridSpan w:val="13"/>
                  <w:vAlign w:val="center"/>
                </w:tcPr>
                <w:p w14:paraId="5544BF6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叠加值</w:t>
                  </w:r>
                </w:p>
              </w:tc>
              <w:tc>
                <w:tcPr>
                  <w:tcW w:w="234" w:type="pct"/>
                  <w:vAlign w:val="center"/>
                </w:tcPr>
                <w:p w14:paraId="1200951C">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85.71</w:t>
                  </w:r>
                </w:p>
              </w:tc>
              <w:tc>
                <w:tcPr>
                  <w:tcW w:w="254" w:type="pct"/>
                  <w:vAlign w:val="center"/>
                </w:tcPr>
                <w:p w14:paraId="6A835A20">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81.84</w:t>
                  </w:r>
                </w:p>
              </w:tc>
              <w:tc>
                <w:tcPr>
                  <w:tcW w:w="180" w:type="pct"/>
                  <w:vAlign w:val="center"/>
                </w:tcPr>
                <w:p w14:paraId="3E4B73C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76.71</w:t>
                  </w:r>
                </w:p>
              </w:tc>
              <w:tc>
                <w:tcPr>
                  <w:tcW w:w="215" w:type="pct"/>
                  <w:vAlign w:val="center"/>
                </w:tcPr>
                <w:p w14:paraId="58349484">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80.82</w:t>
                  </w:r>
                </w:p>
              </w:tc>
              <w:tc>
                <w:tcPr>
                  <w:tcW w:w="176" w:type="pct"/>
                  <w:vMerge w:val="continue"/>
                  <w:vAlign w:val="center"/>
                </w:tcPr>
                <w:p w14:paraId="376898B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231" w:type="pct"/>
                  <w:vAlign w:val="center"/>
                </w:tcPr>
                <w:p w14:paraId="6B55FFB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30</w:t>
                  </w:r>
                </w:p>
              </w:tc>
              <w:tc>
                <w:tcPr>
                  <w:tcW w:w="281" w:type="pct"/>
                  <w:vAlign w:val="center"/>
                </w:tcPr>
                <w:p w14:paraId="01BC9F5D">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45.71</w:t>
                  </w:r>
                </w:p>
              </w:tc>
              <w:tc>
                <w:tcPr>
                  <w:tcW w:w="257" w:type="pct"/>
                  <w:vAlign w:val="center"/>
                </w:tcPr>
                <w:p w14:paraId="7F79263A">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51.84</w:t>
                  </w:r>
                </w:p>
              </w:tc>
              <w:tc>
                <w:tcPr>
                  <w:tcW w:w="183" w:type="pct"/>
                  <w:vAlign w:val="center"/>
                </w:tcPr>
                <w:p w14:paraId="24E46D51">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46.71</w:t>
                  </w:r>
                </w:p>
              </w:tc>
              <w:tc>
                <w:tcPr>
                  <w:tcW w:w="263" w:type="pct"/>
                  <w:vAlign w:val="center"/>
                </w:tcPr>
                <w:p w14:paraId="0A736741">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50.82</w:t>
                  </w:r>
                </w:p>
              </w:tc>
            </w:tr>
            <w:tr w14:paraId="5DE29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2" w:hRule="atLeast"/>
                <w:jc w:val="center"/>
              </w:trPr>
              <w:tc>
                <w:tcPr>
                  <w:tcW w:w="5000" w:type="pct"/>
                  <w:gridSpan w:val="23"/>
                  <w:vAlign w:val="center"/>
                </w:tcPr>
                <w:p w14:paraId="53BA3F57">
                  <w:pPr>
                    <w:pageBreakBefore w:val="0"/>
                    <w:widowControl/>
                    <w:wordWrap w:val="0"/>
                    <w:topLinePunct w:val="0"/>
                    <w:bidi w:val="0"/>
                    <w:textAlignment w:val="bottom"/>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sz w:val="21"/>
                      <w:szCs w:val="21"/>
                      <w:highlight w:val="none"/>
                    </w:rPr>
                    <w:t>备注：原点坐标以厂区中心（东经 113°23′44.101″，北纬 22°47′44.834）为坐标原点（0，0，0）</w:t>
                  </w:r>
                </w:p>
              </w:tc>
            </w:tr>
          </w:tbl>
          <w:p w14:paraId="489D5359">
            <w:pPr>
              <w:pStyle w:val="3"/>
              <w:pageBreakBefore w:val="0"/>
              <w:numPr>
                <w:ilvl w:val="0"/>
                <w:numId w:val="0"/>
              </w:numPr>
              <w:wordWrap w:val="0"/>
              <w:topLinePunct w:val="0"/>
              <w:bidi w:val="0"/>
              <w:rPr>
                <w:rFonts w:hint="default" w:ascii="Times New Roman" w:hAnsi="Times New Roman" w:cs="Times New Roman"/>
                <w:color w:val="auto"/>
                <w:highlight w:val="none"/>
              </w:rPr>
            </w:pPr>
          </w:p>
        </w:tc>
      </w:tr>
    </w:tbl>
    <w:p w14:paraId="4AE3569B">
      <w:pPr>
        <w:pStyle w:val="3"/>
        <w:pageBreakBefore w:val="0"/>
        <w:numPr>
          <w:ilvl w:val="0"/>
          <w:numId w:val="0"/>
        </w:numPr>
        <w:wordWrap w:val="0"/>
        <w:topLinePunct w:val="0"/>
        <w:bidi w:val="0"/>
        <w:rPr>
          <w:rFonts w:hint="default" w:ascii="Times New Roman" w:hAnsi="Times New Roman" w:cs="Times New Roman"/>
          <w:color w:val="auto"/>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tbl>
      <w:tblPr>
        <w:tblStyle w:val="39"/>
        <w:tblW w:w="0" w:type="auto"/>
        <w:tblInd w:w="1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
        <w:gridCol w:w="8791"/>
      </w:tblGrid>
      <w:tr w14:paraId="1AA96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388" w:type="dxa"/>
          </w:tcPr>
          <w:p w14:paraId="6BF127DA">
            <w:pPr>
              <w:pageBreakBefore w:val="0"/>
              <w:wordWrap w:val="0"/>
              <w:topLinePunct w:val="0"/>
              <w:bidi w:val="0"/>
              <w:rPr>
                <w:rFonts w:hint="default" w:ascii="Times New Roman" w:hAnsi="Times New Roman" w:cs="Times New Roman"/>
                <w:color w:val="auto"/>
                <w:highlight w:val="none"/>
              </w:rPr>
            </w:pPr>
          </w:p>
        </w:tc>
        <w:tc>
          <w:tcPr>
            <w:tcW w:w="8791" w:type="dxa"/>
          </w:tcPr>
          <w:p w14:paraId="4F466A7B">
            <w:pPr>
              <w:pageBreakBefore w:val="0"/>
              <w:wordWrap w:val="0"/>
              <w:topLinePunct w:val="0"/>
              <w:bidi w:val="0"/>
              <w:adjustRightInd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2、达标分析</w:t>
            </w:r>
          </w:p>
          <w:p w14:paraId="3FEA0DE3">
            <w:pPr>
              <w:pageBreakBefore w:val="0"/>
              <w:wordWrap w:val="0"/>
              <w:topLinePunct w:val="0"/>
              <w:bidi w:val="0"/>
              <w:adjustRightIn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项目厂界外50米范围内无声环境保护目标。</w:t>
            </w:r>
            <w:r>
              <w:rPr>
                <w:rFonts w:hint="default" w:ascii="Times New Roman" w:hAnsi="Times New Roman" w:eastAsia="宋体" w:cs="Times New Roman"/>
                <w:bCs/>
                <w:color w:val="auto"/>
                <w:kern w:val="0"/>
                <w:highlight w:val="none"/>
              </w:rPr>
              <w:t>项目运营期产生的噪声主要为生产设备运行时产生的噪声，其噪声的强度值为60~</w:t>
            </w:r>
            <w:r>
              <w:rPr>
                <w:rFonts w:hint="default" w:ascii="Times New Roman" w:hAnsi="Times New Roman" w:cs="Times New Roman"/>
                <w:bCs/>
                <w:color w:val="auto"/>
                <w:kern w:val="0"/>
                <w:highlight w:val="none"/>
                <w:lang w:val="en-US" w:eastAsia="zh-CN"/>
              </w:rPr>
              <w:t>90</w:t>
            </w:r>
            <w:r>
              <w:rPr>
                <w:rFonts w:hint="default" w:ascii="Times New Roman" w:hAnsi="Times New Roman" w:eastAsia="宋体" w:cs="Times New Roman"/>
                <w:bCs/>
                <w:color w:val="auto"/>
                <w:kern w:val="0"/>
                <w:highlight w:val="none"/>
              </w:rPr>
              <w:t>dB（A）之间。</w:t>
            </w:r>
          </w:p>
          <w:p w14:paraId="7C8D62CA">
            <w:pPr>
              <w:pageBreakBefore w:val="0"/>
              <w:wordWrap w:val="0"/>
              <w:topLinePunct w:val="0"/>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t>固定声源的噪声向周围传播过程中，会发生反射、折射、衍射、吸收等现象。因此，随传播距离的增加而产生的衰减量并不按简单的几何规律计算。根据《环境影响评价技术导则</w:t>
            </w:r>
            <w:r>
              <w:rPr>
                <w:rFonts w:hint="default" w:ascii="Times New Roman" w:hAnsi="Times New Roman" w:cs="Times New Roman"/>
                <w:color w:val="auto"/>
                <w:highlight w:val="none"/>
                <w:lang w:val="en-US" w:eastAsia="zh-CN"/>
              </w:rPr>
              <w:t xml:space="preserve"> </w:t>
            </w:r>
            <w:r>
              <w:rPr>
                <w:rFonts w:hint="default" w:ascii="Times New Roman" w:hAnsi="Times New Roman" w:eastAsia="宋体" w:cs="Times New Roman"/>
                <w:color w:val="auto"/>
                <w:highlight w:val="none"/>
              </w:rPr>
              <w:t>声环境》（HJ2.4-2021）对室内声源的预测方法，声源位于室内，室内声源可采用等效室外声源声功率级法进行计算。</w:t>
            </w:r>
          </w:p>
          <w:p w14:paraId="1855DCB2">
            <w:pPr>
              <w:pageBreakBefore w:val="0"/>
              <w:wordWrap w:val="0"/>
              <w:topLinePunct w:val="0"/>
              <w:bidi w:val="0"/>
              <w:snapToGrid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①计算所有室内声源在围护结构处产生的i倍频带叠加声压级：</w:t>
            </w:r>
          </w:p>
          <w:p w14:paraId="656D6F52">
            <w:pPr>
              <w:pageBreakBefore w:val="0"/>
              <w:wordWrap w:val="0"/>
              <w:topLinePunct w:val="0"/>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780540" cy="464820"/>
                  <wp:effectExtent l="0" t="0" r="10160" b="11430"/>
                  <wp:docPr id="2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3"/>
                          <pic:cNvPicPr>
                            <a:picLocks noChangeAspect="1"/>
                          </pic:cNvPicPr>
                        </pic:nvPicPr>
                        <pic:blipFill>
                          <a:blip r:embed="rId16"/>
                          <a:stretch>
                            <a:fillRect/>
                          </a:stretch>
                        </pic:blipFill>
                        <pic:spPr>
                          <a:xfrm>
                            <a:off x="0" y="0"/>
                            <a:ext cx="1780540" cy="464820"/>
                          </a:xfrm>
                          <a:prstGeom prst="rect">
                            <a:avLst/>
                          </a:prstGeom>
                          <a:noFill/>
                          <a:ln>
                            <a:noFill/>
                          </a:ln>
                        </pic:spPr>
                      </pic:pic>
                    </a:graphicData>
                  </a:graphic>
                </wp:inline>
              </w:drawing>
            </w:r>
          </w:p>
          <w:p w14:paraId="3ED147B3">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式中，L</w:t>
            </w:r>
            <w:r>
              <w:rPr>
                <w:rFonts w:hint="default" w:ascii="Times New Roman" w:hAnsi="Times New Roman" w:eastAsia="宋体" w:cs="Times New Roman"/>
                <w:color w:val="auto"/>
                <w:highlight w:val="none"/>
                <w:vertAlign w:val="subscript"/>
              </w:rPr>
              <w:t>p1iT</w:t>
            </w:r>
            <w:r>
              <w:rPr>
                <w:rFonts w:hint="default" w:ascii="Times New Roman" w:hAnsi="Times New Roman" w:eastAsia="宋体" w:cs="Times New Roman"/>
                <w:color w:val="auto"/>
                <w:highlight w:val="none"/>
              </w:rPr>
              <w:t>—靠近围护结构处室内N个声源i倍频带的叠加声压级，dB；</w:t>
            </w:r>
          </w:p>
          <w:p w14:paraId="7962E395">
            <w:pPr>
              <w:pageBreakBefore w:val="0"/>
              <w:wordWrap w:val="0"/>
              <w:topLinePunct w:val="0"/>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L</w:t>
            </w:r>
            <w:r>
              <w:rPr>
                <w:rFonts w:hint="default" w:ascii="Times New Roman" w:hAnsi="Times New Roman" w:eastAsia="宋体" w:cs="Times New Roman"/>
                <w:color w:val="auto"/>
                <w:highlight w:val="none"/>
                <w:vertAlign w:val="subscript"/>
              </w:rPr>
              <w:t>p1ij</w:t>
            </w:r>
            <w:r>
              <w:rPr>
                <w:rFonts w:hint="default" w:ascii="Times New Roman" w:hAnsi="Times New Roman" w:eastAsia="宋体" w:cs="Times New Roman"/>
                <w:color w:val="auto"/>
                <w:highlight w:val="none"/>
              </w:rPr>
              <w:t>—室内j声源i倍频带的声压级，dB；</w:t>
            </w:r>
          </w:p>
          <w:p w14:paraId="074E287C">
            <w:pPr>
              <w:pageBreakBefore w:val="0"/>
              <w:wordWrap w:val="0"/>
              <w:topLinePunct w:val="0"/>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N—室内声源总数。</w:t>
            </w:r>
          </w:p>
          <w:p w14:paraId="1A3FFD50">
            <w:pPr>
              <w:pageBreakBefore w:val="0"/>
              <w:wordWrap w:val="0"/>
              <w:topLinePunct w:val="0"/>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②无指向性点声源几何发散衰减的基本公式：</w:t>
            </w:r>
          </w:p>
          <w:p w14:paraId="4D8ABD2F">
            <w:pPr>
              <w:pageBreakBefore w:val="0"/>
              <w:wordWrap w:val="0"/>
              <w:topLinePunct w:val="0"/>
              <w:bidi w:val="0"/>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114300" distR="114300">
                  <wp:extent cx="1841500" cy="290195"/>
                  <wp:effectExtent l="0" t="0" r="6350" b="14605"/>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17"/>
                          <a:stretch>
                            <a:fillRect/>
                          </a:stretch>
                        </pic:blipFill>
                        <pic:spPr>
                          <a:xfrm>
                            <a:off x="0" y="0"/>
                            <a:ext cx="1841500" cy="290195"/>
                          </a:xfrm>
                          <a:prstGeom prst="rect">
                            <a:avLst/>
                          </a:prstGeom>
                          <a:noFill/>
                          <a:ln>
                            <a:noFill/>
                          </a:ln>
                        </pic:spPr>
                      </pic:pic>
                    </a:graphicData>
                  </a:graphic>
                </wp:inline>
              </w:drawing>
            </w:r>
          </w:p>
          <w:p w14:paraId="13BBF624">
            <w:pPr>
              <w:pageBreakBefore w:val="0"/>
              <w:wordWrap w:val="0"/>
              <w:topLinePunct w:val="0"/>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(r)—预测点处声压级，dB（A）；</w:t>
            </w:r>
          </w:p>
          <w:p w14:paraId="7BCDB221">
            <w:pPr>
              <w:pageBreakBefore w:val="0"/>
              <w:wordWrap w:val="0"/>
              <w:topLinePunct w:val="0"/>
              <w:bidi w:val="0"/>
              <w:adjustRightInd w:val="0"/>
              <w:ind w:firstLine="1200" w:firstLineChars="500"/>
              <w:rPr>
                <w:rFonts w:hint="default" w:ascii="Times New Roman" w:hAnsi="Times New Roman" w:eastAsia="宋体" w:cs="Times New Roman"/>
                <w:bCs/>
                <w:color w:val="auto"/>
                <w:highlight w:val="none"/>
                <w:lang w:eastAsia="zh-CN"/>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w:t>
            </w:r>
            <w:r>
              <w:rPr>
                <w:rFonts w:hint="default" w:ascii="Times New Roman" w:hAnsi="Times New Roman" w:eastAsia="宋体" w:cs="Times New Roman"/>
                <w:bCs/>
                <w:color w:val="auto"/>
                <w:highlight w:val="none"/>
              </w:rPr>
              <w:t>(r0)—参考位置r0处的声压级，dB（A）；</w:t>
            </w:r>
          </w:p>
          <w:p w14:paraId="41B6CB9C">
            <w:pPr>
              <w:pageBreakBefore w:val="0"/>
              <w:wordWrap w:val="0"/>
              <w:topLinePunct w:val="0"/>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r—预测点距声源的距离，m；</w:t>
            </w:r>
          </w:p>
          <w:p w14:paraId="0BCDED5A">
            <w:pPr>
              <w:pageBreakBefore w:val="0"/>
              <w:wordWrap w:val="0"/>
              <w:topLinePunct w:val="0"/>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r</w:t>
            </w:r>
            <w:r>
              <w:rPr>
                <w:rFonts w:hint="default" w:ascii="Times New Roman" w:hAnsi="Times New Roman" w:eastAsia="宋体" w:cs="Times New Roman"/>
                <w:bCs/>
                <w:color w:val="auto"/>
                <w:highlight w:val="none"/>
                <w:vertAlign w:val="subscript"/>
              </w:rPr>
              <w:t>0</w:t>
            </w:r>
            <w:r>
              <w:rPr>
                <w:rFonts w:hint="default" w:ascii="Times New Roman" w:hAnsi="Times New Roman" w:eastAsia="宋体" w:cs="Times New Roman"/>
                <w:bCs/>
                <w:color w:val="auto"/>
                <w:highlight w:val="none"/>
              </w:rPr>
              <w:t>—参考位置距声源的距离，m。</w:t>
            </w:r>
          </w:p>
          <w:p w14:paraId="00C4EE84">
            <w:pPr>
              <w:pageBreakBefore w:val="0"/>
              <w:wordWrap w:val="0"/>
              <w:topLinePunct w:val="0"/>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③室内声场为近似扩散声场，室外的倍频带声压级计算：</w:t>
            </w:r>
          </w:p>
          <w:p w14:paraId="43B31CF2">
            <w:pPr>
              <w:pageBreakBefore w:val="0"/>
              <w:wordWrap w:val="0"/>
              <w:topLinePunct w:val="0"/>
              <w:bidi w:val="0"/>
              <w:adjustRightInd w:val="0"/>
              <w:jc w:val="center"/>
              <w:rPr>
                <w:rFonts w:hint="default" w:ascii="Times New Roman" w:hAnsi="Times New Roman" w:eastAsia="宋体" w:cs="Times New Roman"/>
                <w:bCs/>
                <w:color w:val="auto"/>
                <w:highlight w:val="none"/>
              </w:rPr>
            </w:pPr>
            <w:r>
              <w:rPr>
                <w:rFonts w:hint="default" w:ascii="Times New Roman" w:hAnsi="Times New Roman" w:eastAsia="宋体" w:cs="Times New Roman"/>
                <w:color w:val="auto"/>
                <w:highlight w:val="none"/>
              </w:rPr>
              <w:drawing>
                <wp:inline distT="0" distB="0" distL="114300" distR="114300">
                  <wp:extent cx="1470660" cy="280670"/>
                  <wp:effectExtent l="0" t="0" r="15240" b="5080"/>
                  <wp:docPr id="2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5"/>
                          <pic:cNvPicPr>
                            <a:picLocks noChangeAspect="1"/>
                          </pic:cNvPicPr>
                        </pic:nvPicPr>
                        <pic:blipFill>
                          <a:blip r:embed="rId18"/>
                          <a:stretch>
                            <a:fillRect/>
                          </a:stretch>
                        </pic:blipFill>
                        <pic:spPr>
                          <a:xfrm>
                            <a:off x="0" y="0"/>
                            <a:ext cx="1470660" cy="280670"/>
                          </a:xfrm>
                          <a:prstGeom prst="rect">
                            <a:avLst/>
                          </a:prstGeom>
                          <a:noFill/>
                          <a:ln>
                            <a:noFill/>
                          </a:ln>
                        </pic:spPr>
                      </pic:pic>
                    </a:graphicData>
                  </a:graphic>
                </wp:inline>
              </w:drawing>
            </w:r>
          </w:p>
          <w:p w14:paraId="69D94E50">
            <w:pPr>
              <w:pageBreakBefore w:val="0"/>
              <w:wordWrap w:val="0"/>
              <w:topLinePunct w:val="0"/>
              <w:bidi w:val="0"/>
              <w:adjustRightInd w:val="0"/>
              <w:ind w:firstLine="480" w:firstLineChars="2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p1</w:t>
            </w:r>
            <w:r>
              <w:rPr>
                <w:rFonts w:hint="default" w:ascii="Times New Roman" w:hAnsi="Times New Roman" w:eastAsia="宋体" w:cs="Times New Roman"/>
                <w:bCs/>
                <w:color w:val="auto"/>
                <w:highlight w:val="none"/>
              </w:rPr>
              <w:t>—室内某倍频带的声压级或A声级，dB（A）；</w:t>
            </w:r>
          </w:p>
          <w:p w14:paraId="566CD214">
            <w:pPr>
              <w:pageBreakBefore w:val="0"/>
              <w:wordWrap w:val="0"/>
              <w:topLinePunct w:val="0"/>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p2</w:t>
            </w:r>
            <w:r>
              <w:rPr>
                <w:rFonts w:hint="default" w:ascii="Times New Roman" w:hAnsi="Times New Roman" w:eastAsia="宋体" w:cs="Times New Roman"/>
                <w:bCs/>
                <w:color w:val="auto"/>
                <w:highlight w:val="none"/>
              </w:rPr>
              <w:t>—室外某倍频带的声压级或A声级，dB（A）；</w:t>
            </w:r>
          </w:p>
          <w:p w14:paraId="258E0100">
            <w:pPr>
              <w:pageBreakBefore w:val="0"/>
              <w:wordWrap w:val="0"/>
              <w:topLinePunct w:val="0"/>
              <w:bidi w:val="0"/>
              <w:adjustRightInd w:val="0"/>
              <w:ind w:firstLine="1200" w:firstLineChars="500"/>
              <w:rPr>
                <w:rFonts w:hint="default" w:ascii="Times New Roman" w:hAnsi="Times New Roman" w:eastAsia="宋体" w:cs="Times New Roman"/>
                <w:bCs/>
                <w:color w:val="auto"/>
                <w:highlight w:val="none"/>
              </w:rPr>
            </w:pPr>
            <w:r>
              <w:rPr>
                <w:rFonts w:hint="default" w:ascii="Times New Roman" w:hAnsi="Times New Roman" w:eastAsia="宋体" w:cs="Times New Roman"/>
                <w:bCs/>
                <w:color w:val="auto"/>
                <w:highlight w:val="none"/>
              </w:rPr>
              <w:t>TL—隔墙（或窗户）倍频带或A声级的隔声量，dB。</w:t>
            </w:r>
          </w:p>
          <w:p w14:paraId="6F40CD46">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④预测点的预测等效声级（Leq）计算公式：</w:t>
            </w:r>
          </w:p>
          <w:p w14:paraId="08F75EA3">
            <w:pPr>
              <w:pageBreakBefore w:val="0"/>
              <w:wordWrap w:val="0"/>
              <w:topLinePunct w:val="0"/>
              <w:bidi w:val="0"/>
              <w:jc w:val="center"/>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drawing>
                <wp:inline distT="0" distB="0" distL="114300" distR="114300">
                  <wp:extent cx="1938020" cy="335915"/>
                  <wp:effectExtent l="0" t="0" r="5080" b="6985"/>
                  <wp:docPr id="26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6"/>
                          <pic:cNvPicPr>
                            <a:picLocks noChangeAspect="1"/>
                          </pic:cNvPicPr>
                        </pic:nvPicPr>
                        <pic:blipFill>
                          <a:blip r:embed="rId19"/>
                          <a:stretch>
                            <a:fillRect/>
                          </a:stretch>
                        </pic:blipFill>
                        <pic:spPr>
                          <a:xfrm>
                            <a:off x="0" y="0"/>
                            <a:ext cx="1938020" cy="335915"/>
                          </a:xfrm>
                          <a:prstGeom prst="rect">
                            <a:avLst/>
                          </a:prstGeom>
                          <a:noFill/>
                          <a:ln>
                            <a:noFill/>
                          </a:ln>
                        </pic:spPr>
                      </pic:pic>
                    </a:graphicData>
                  </a:graphic>
                </wp:inline>
              </w:drawing>
            </w:r>
          </w:p>
          <w:p w14:paraId="0013FB3F">
            <w:pPr>
              <w:pageBreakBefore w:val="0"/>
              <w:wordWrap w:val="0"/>
              <w:topLinePunct w:val="0"/>
              <w:bidi w:val="0"/>
              <w:adjustRightInd w:val="0"/>
              <w:ind w:firstLine="480" w:firstLineChars="200"/>
              <w:rPr>
                <w:rFonts w:hint="default" w:ascii="Times New Roman" w:hAnsi="Times New Roman" w:eastAsia="宋体" w:cs="Times New Roman"/>
                <w:bCs/>
                <w:color w:val="auto"/>
                <w:highlight w:val="none"/>
                <w:lang w:eastAsia="zh-CN"/>
              </w:rPr>
            </w:pPr>
            <w:r>
              <w:rPr>
                <w:rFonts w:hint="default" w:ascii="Times New Roman" w:hAnsi="Times New Roman" w:eastAsia="宋体" w:cs="Times New Roman"/>
                <w:bCs/>
                <w:color w:val="auto"/>
                <w:highlight w:val="none"/>
              </w:rPr>
              <w:t>式中：L</w:t>
            </w:r>
            <w:r>
              <w:rPr>
                <w:rFonts w:hint="default" w:ascii="Times New Roman" w:hAnsi="Times New Roman" w:eastAsia="宋体" w:cs="Times New Roman"/>
                <w:bCs/>
                <w:color w:val="auto"/>
                <w:highlight w:val="none"/>
                <w:vertAlign w:val="subscript"/>
              </w:rPr>
              <w:t>eqg</w:t>
            </w:r>
            <w:r>
              <w:rPr>
                <w:rFonts w:hint="default" w:ascii="Times New Roman" w:hAnsi="Times New Roman" w:eastAsia="宋体" w:cs="Times New Roman"/>
                <w:bCs/>
                <w:color w:val="auto"/>
                <w:highlight w:val="none"/>
              </w:rPr>
              <w:t>—建设项目声源在预测点的等效声级贡献值，dB（A）；</w:t>
            </w:r>
          </w:p>
          <w:p w14:paraId="515AE1CA">
            <w:pPr>
              <w:pageBreakBefore w:val="0"/>
              <w:wordWrap w:val="0"/>
              <w:topLinePunct w:val="0"/>
              <w:bidi w:val="0"/>
              <w:ind w:firstLine="1200" w:firstLineChars="500"/>
              <w:rPr>
                <w:rFonts w:hint="default" w:ascii="Times New Roman" w:hAnsi="Times New Roman" w:eastAsia="宋体" w:cs="Times New Roman"/>
                <w:color w:val="auto"/>
                <w:highlight w:val="none"/>
              </w:rPr>
            </w:pPr>
            <w:r>
              <w:rPr>
                <w:rFonts w:hint="default" w:ascii="Times New Roman" w:hAnsi="Times New Roman" w:eastAsia="宋体" w:cs="Times New Roman"/>
                <w:bCs/>
                <w:color w:val="auto"/>
                <w:highlight w:val="none"/>
              </w:rPr>
              <w:t>L</w:t>
            </w:r>
            <w:r>
              <w:rPr>
                <w:rFonts w:hint="default" w:ascii="Times New Roman" w:hAnsi="Times New Roman" w:eastAsia="宋体" w:cs="Times New Roman"/>
                <w:bCs/>
                <w:color w:val="auto"/>
                <w:highlight w:val="none"/>
                <w:vertAlign w:val="subscript"/>
              </w:rPr>
              <w:t>eqb</w:t>
            </w:r>
            <w:r>
              <w:rPr>
                <w:rFonts w:hint="default" w:ascii="Times New Roman" w:hAnsi="Times New Roman" w:eastAsia="宋体" w:cs="Times New Roman"/>
                <w:bCs/>
                <w:color w:val="auto"/>
                <w:highlight w:val="none"/>
              </w:rPr>
              <w:t>—预测点的背景值，dB（A）。</w:t>
            </w:r>
          </w:p>
          <w:p w14:paraId="5BCF9D44">
            <w:pPr>
              <w:pageBreakBefore w:val="0"/>
              <w:widowControl w:val="0"/>
              <w:wordWrap w:val="0"/>
              <w:topLinePunct w:val="0"/>
              <w:autoSpaceDE w:val="0"/>
              <w:autoSpaceDN w:val="0"/>
              <w:bidi w:val="0"/>
              <w:adjustRightInd w:val="0"/>
              <w:spacing w:line="360" w:lineRule="auto"/>
              <w:ind w:firstLine="480" w:firstLineChars="200"/>
              <w:jc w:val="both"/>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通过预测分析，生产噪声通过距离的衰减和厂房的声屏障效应后，</w:t>
            </w:r>
            <w:r>
              <w:rPr>
                <w:rFonts w:hint="default" w:ascii="Times New Roman" w:hAnsi="Times New Roman" w:eastAsia="宋体" w:cs="Times New Roman"/>
                <w:color w:val="auto"/>
                <w:kern w:val="0"/>
                <w:sz w:val="24"/>
                <w:szCs w:val="24"/>
                <w:highlight w:val="none"/>
                <w:lang w:val="en-US" w:eastAsia="zh-CN" w:bidi="ar-SA"/>
              </w:rPr>
              <w:t>项目厂房厂界外1米处</w:t>
            </w:r>
            <w:r>
              <w:rPr>
                <w:rFonts w:hint="default" w:ascii="Times New Roman" w:hAnsi="Times New Roman" w:eastAsia="宋体" w:cs="Times New Roman"/>
                <w:color w:val="auto"/>
                <w:kern w:val="2"/>
                <w:sz w:val="24"/>
                <w:szCs w:val="24"/>
                <w:highlight w:val="none"/>
                <w:lang w:val="en-US" w:eastAsia="zh-CN" w:bidi="ar-SA"/>
              </w:rPr>
              <w:t>可达到</w:t>
            </w:r>
            <w:r>
              <w:rPr>
                <w:rFonts w:hint="default" w:ascii="Times New Roman" w:hAnsi="Times New Roman" w:eastAsia="宋体" w:cs="Times New Roman"/>
                <w:color w:val="auto"/>
                <w:spacing w:val="-2"/>
                <w:kern w:val="2"/>
                <w:sz w:val="24"/>
                <w:szCs w:val="24"/>
                <w:highlight w:val="none"/>
                <w:lang w:val="en-US" w:eastAsia="zh-CN" w:bidi="ar-SA"/>
              </w:rPr>
              <w:t>《工业企业厂界环境噪声排放标准》（GB12348-2008）中的3类标准</w:t>
            </w:r>
            <w:r>
              <w:rPr>
                <w:rFonts w:hint="default" w:ascii="Times New Roman" w:hAnsi="Times New Roman" w:eastAsia="宋体" w:cs="Times New Roman"/>
                <w:color w:val="auto"/>
                <w:kern w:val="2"/>
                <w:sz w:val="24"/>
                <w:szCs w:val="24"/>
                <w:highlight w:val="none"/>
                <w:lang w:val="en-US" w:eastAsia="zh-CN" w:bidi="ar-SA"/>
              </w:rPr>
              <w:t>，即项目产生的噪声不会对周边环境造成太大影响。</w:t>
            </w:r>
          </w:p>
          <w:p w14:paraId="3DCD87C5">
            <w:pPr>
              <w:keepNext/>
              <w:keepLines/>
              <w:pageBreakBefore w:val="0"/>
              <w:widowControl w:val="0"/>
              <w:numPr>
                <w:ilvl w:val="3"/>
                <w:numId w:val="0"/>
              </w:numPr>
              <w:wordWrap w:val="0"/>
              <w:topLinePunct w:val="0"/>
              <w:bidi w:val="0"/>
              <w:spacing w:line="360" w:lineRule="auto"/>
              <w:ind w:left="0" w:firstLine="480" w:firstLineChars="200"/>
              <w:jc w:val="both"/>
              <w:outlineLvl w:val="3"/>
              <w:rPr>
                <w:rFonts w:hint="default" w:ascii="Times New Roman" w:hAnsi="Times New Roman" w:eastAsia="宋体" w:cs="Times New Roman"/>
                <w:b/>
                <w:bCs/>
                <w:color w:val="auto"/>
                <w:kern w:val="2"/>
                <w:sz w:val="24"/>
                <w:szCs w:val="28"/>
                <w:highlight w:val="none"/>
                <w:lang w:val="en-US" w:eastAsia="zh-CN" w:bidi="ar-SA"/>
              </w:rPr>
            </w:pPr>
            <w:r>
              <w:rPr>
                <w:rFonts w:hint="default" w:ascii="Times New Roman" w:hAnsi="Times New Roman" w:eastAsia="宋体" w:cs="Times New Roman"/>
                <w:b/>
                <w:bCs/>
                <w:color w:val="auto"/>
                <w:kern w:val="2"/>
                <w:sz w:val="24"/>
                <w:szCs w:val="28"/>
                <w:highlight w:val="none"/>
                <w:lang w:val="en-US" w:eastAsia="zh-CN" w:bidi="ar-SA"/>
              </w:rPr>
              <w:t>3、污染防治措施</w:t>
            </w:r>
          </w:p>
          <w:p w14:paraId="6192CBF9">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为确保厂界噪声满足《工业企业厂界环境噪声排放标准》（GB12348-2008）中的相应标准，项目拟采取以下治理措施：</w:t>
            </w:r>
          </w:p>
          <w:p w14:paraId="0389909A">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①合理布局：尽量将高噪声设备布置在厂房中间，尽可能地选择远离厂界的位置。</w:t>
            </w:r>
          </w:p>
          <w:p w14:paraId="24ECE4AC">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②落实设备基础减振以及厂房隔声：</w:t>
            </w:r>
          </w:p>
          <w:p w14:paraId="377E0D83">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A、在设备选型方面，在满足工艺生产的前提下，选用精度高、装配质量好、噪声低的设备；对设备基础进行减振；</w:t>
            </w:r>
          </w:p>
          <w:p w14:paraId="1C1A8035">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B、重视厂房的使用状况，不设门窗或设隔声玻璃门窗。</w:t>
            </w:r>
          </w:p>
          <w:p w14:paraId="7307BFBC">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③加强内部管理：建立设备定期维护、保养的管理制度，以防止设备故障形成的非生产噪声，同时确保环保措施发挥最有效的功能；加强职工环保意识教育，提倡文明生产，防止人为噪声。</w:t>
            </w:r>
          </w:p>
          <w:p w14:paraId="102640D0">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④合理安排生产时间：尽可能地安排在昼间进行生产，若夜间必须生产应控制夜间生产时间，特</w:t>
            </w:r>
            <w:r>
              <w:rPr>
                <w:rFonts w:hint="default" w:ascii="Times New Roman" w:hAnsi="Times New Roman" w:cs="Times New Roman"/>
                <w:color w:val="auto"/>
                <w:kern w:val="2"/>
                <w:sz w:val="24"/>
                <w:szCs w:val="21"/>
                <w:highlight w:val="none"/>
                <w:lang w:val="en-US" w:eastAsia="zh-CN" w:bidi="ar-SA"/>
              </w:rPr>
              <w:t>别是</w:t>
            </w:r>
            <w:r>
              <w:rPr>
                <w:rFonts w:hint="default" w:ascii="Times New Roman" w:hAnsi="Times New Roman" w:eastAsia="宋体" w:cs="Times New Roman"/>
                <w:color w:val="auto"/>
                <w:kern w:val="2"/>
                <w:sz w:val="24"/>
                <w:szCs w:val="21"/>
                <w:highlight w:val="none"/>
                <w:lang w:val="en-US" w:eastAsia="zh-CN" w:bidi="ar-SA"/>
              </w:rPr>
              <w:t>夜间应停止高噪声设备，减少机械的噪声影响。</w:t>
            </w:r>
          </w:p>
          <w:p w14:paraId="48D7E62E">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本项目周边50米范围内不存在声环境保护目标，经采取</w:t>
            </w:r>
            <w:r>
              <w:rPr>
                <w:rFonts w:hint="default" w:ascii="Times New Roman" w:hAnsi="Times New Roman" w:cs="Times New Roman"/>
                <w:color w:val="auto"/>
                <w:kern w:val="2"/>
                <w:sz w:val="24"/>
                <w:szCs w:val="21"/>
                <w:highlight w:val="none"/>
                <w:lang w:val="en-US" w:eastAsia="zh-CN" w:bidi="ar-SA"/>
              </w:rPr>
              <w:t>上述</w:t>
            </w:r>
            <w:r>
              <w:rPr>
                <w:rFonts w:hint="default" w:ascii="Times New Roman" w:hAnsi="Times New Roman" w:eastAsia="宋体" w:cs="Times New Roman"/>
                <w:color w:val="auto"/>
                <w:kern w:val="2"/>
                <w:sz w:val="24"/>
                <w:szCs w:val="21"/>
                <w:highlight w:val="none"/>
                <w:lang w:val="en-US" w:eastAsia="zh-CN" w:bidi="ar-SA"/>
              </w:rPr>
              <w:t>降噪措施后，预计项目厂界噪声排放可达到《工业企业厂界环境噪声排放标准》（GB12348-2008）3类标准，噪声对声环境影响不大。</w:t>
            </w:r>
          </w:p>
          <w:p w14:paraId="003C60B0">
            <w:pPr>
              <w:keepNext/>
              <w:keepLines/>
              <w:pageBreakBefore w:val="0"/>
              <w:tabs>
                <w:tab w:val="left" w:pos="0"/>
              </w:tabs>
              <w:wordWrap w:val="0"/>
              <w:topLinePunct w:val="0"/>
              <w:bidi w:val="0"/>
              <w:ind w:firstLine="480" w:firstLineChars="200"/>
              <w:outlineLvl w:val="3"/>
              <w:rPr>
                <w:rFonts w:hint="default" w:ascii="Times New Roman" w:hAnsi="Times New Roman" w:eastAsia="宋体" w:cs="Times New Roman"/>
                <w:color w:val="auto"/>
                <w:highlight w:val="none"/>
              </w:rPr>
            </w:pPr>
            <w:r>
              <w:rPr>
                <w:rFonts w:hint="default" w:ascii="Times New Roman" w:hAnsi="Times New Roman" w:eastAsia="宋体" w:cs="Times New Roman"/>
                <w:b/>
                <w:bCs/>
                <w:color w:val="auto"/>
                <w:highlight w:val="none"/>
              </w:rPr>
              <w:t>4、监测要求</w:t>
            </w:r>
          </w:p>
          <w:p w14:paraId="556AA514">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根据《排污单位自行监测技术指南总则》（HJ819-2017）</w:t>
            </w:r>
            <w:r>
              <w:rPr>
                <w:rFonts w:hint="default" w:ascii="Times New Roman" w:hAnsi="Times New Roman" w:cs="Times New Roman"/>
                <w:color w:val="auto"/>
                <w:highlight w:val="none"/>
                <w:lang w:eastAsia="zh-CN"/>
              </w:rPr>
              <w:t>、《排污单位自行监测技术指南 橡胶和塑料制品》（HJ 1207-2021）</w:t>
            </w:r>
            <w:r>
              <w:rPr>
                <w:rFonts w:hint="default" w:ascii="Times New Roman" w:hAnsi="Times New Roman" w:eastAsia="宋体" w:cs="Times New Roman"/>
                <w:color w:val="auto"/>
                <w:highlight w:val="none"/>
              </w:rPr>
              <w:t>，监测要求见下表。</w:t>
            </w:r>
          </w:p>
          <w:p w14:paraId="0CFE1AED">
            <w:pPr>
              <w:pageBreakBefore w:val="0"/>
              <w:widowControl w:val="0"/>
              <w:wordWrap w:val="0"/>
              <w:topLinePunct w:val="0"/>
              <w:autoSpaceDE w:val="0"/>
              <w:autoSpaceDN w:val="0"/>
              <w:bidi w:val="0"/>
              <w:adjustRightInd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15</w:t>
            </w:r>
            <w:r>
              <w:rPr>
                <w:rFonts w:hint="default" w:ascii="Times New Roman" w:hAnsi="Times New Roman" w:eastAsia="宋体" w:cs="Times New Roman"/>
                <w:b/>
                <w:bCs/>
                <w:color w:val="auto"/>
                <w:kern w:val="2"/>
                <w:sz w:val="21"/>
                <w:szCs w:val="21"/>
                <w:highlight w:val="none"/>
                <w:lang w:val="en-US" w:eastAsia="zh-CN" w:bidi="ar-SA"/>
              </w:rPr>
              <w:t>厂界噪声监测要求</w:t>
            </w:r>
          </w:p>
          <w:tbl>
            <w:tblPr>
              <w:tblStyle w:val="39"/>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85" w:type="dxa"/>
                <w:left w:w="51" w:type="dxa"/>
                <w:bottom w:w="0" w:type="dxa"/>
                <w:right w:w="51" w:type="dxa"/>
              </w:tblCellMar>
            </w:tblPr>
            <w:tblGrid>
              <w:gridCol w:w="659"/>
              <w:gridCol w:w="1395"/>
              <w:gridCol w:w="1163"/>
              <w:gridCol w:w="1268"/>
              <w:gridCol w:w="2149"/>
              <w:gridCol w:w="1928"/>
            </w:tblGrid>
            <w:tr w14:paraId="4121F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5266D5E1">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类别</w:t>
                  </w:r>
                </w:p>
              </w:tc>
              <w:tc>
                <w:tcPr>
                  <w:tcW w:w="814" w:type="pct"/>
                  <w:vAlign w:val="center"/>
                </w:tcPr>
                <w:p w14:paraId="029D43BD">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监测点位</w:t>
                  </w:r>
                </w:p>
              </w:tc>
              <w:tc>
                <w:tcPr>
                  <w:tcW w:w="679" w:type="pct"/>
                  <w:vAlign w:val="center"/>
                </w:tcPr>
                <w:p w14:paraId="08251C2D">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监测指标</w:t>
                  </w:r>
                </w:p>
              </w:tc>
              <w:tc>
                <w:tcPr>
                  <w:tcW w:w="740" w:type="pct"/>
                  <w:vAlign w:val="center"/>
                </w:tcPr>
                <w:p w14:paraId="73051AB1">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监测频次</w:t>
                  </w:r>
                </w:p>
              </w:tc>
              <w:tc>
                <w:tcPr>
                  <w:tcW w:w="1254" w:type="pct"/>
                  <w:vAlign w:val="center"/>
                </w:tcPr>
                <w:p w14:paraId="2A43951B">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监测采样和分析方法</w:t>
                  </w:r>
                </w:p>
              </w:tc>
              <w:tc>
                <w:tcPr>
                  <w:tcW w:w="1125" w:type="pct"/>
                  <w:vAlign w:val="center"/>
                </w:tcPr>
                <w:p w14:paraId="0F937EE3">
                  <w:pPr>
                    <w:pageBreakBefore w:val="0"/>
                    <w:wordWrap w:val="0"/>
                    <w:topLinePunct w:val="0"/>
                    <w:bidi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排放执行标准</w:t>
                  </w:r>
                </w:p>
              </w:tc>
            </w:tr>
            <w:tr w14:paraId="60DA0A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85" w:type="dxa"/>
                  <w:left w:w="51" w:type="dxa"/>
                  <w:bottom w:w="0" w:type="dxa"/>
                  <w:right w:w="51" w:type="dxa"/>
                </w:tblCellMar>
              </w:tblPrEx>
              <w:trPr>
                <w:trHeight w:val="397" w:hRule="atLeast"/>
                <w:jc w:val="center"/>
              </w:trPr>
              <w:tc>
                <w:tcPr>
                  <w:tcW w:w="385" w:type="pct"/>
                  <w:vAlign w:val="center"/>
                </w:tcPr>
                <w:p w14:paraId="38DAE50E">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814" w:type="pct"/>
                  <w:vAlign w:val="center"/>
                </w:tcPr>
                <w:p w14:paraId="7CB3C9E3">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东、南、西、北面厂界外1米处</w:t>
                  </w:r>
                </w:p>
              </w:tc>
              <w:tc>
                <w:tcPr>
                  <w:tcW w:w="679" w:type="pct"/>
                  <w:vAlign w:val="center"/>
                </w:tcPr>
                <w:p w14:paraId="21526C61">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等效连续A声级</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最大声级</w:t>
                  </w:r>
                </w:p>
              </w:tc>
              <w:tc>
                <w:tcPr>
                  <w:tcW w:w="740" w:type="pct"/>
                  <w:vAlign w:val="center"/>
                </w:tcPr>
                <w:p w14:paraId="2D9A5612">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每季度1次，监测昼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夜</w:t>
                  </w:r>
                  <w:r>
                    <w:rPr>
                      <w:rFonts w:hint="default" w:ascii="Times New Roman" w:hAnsi="Times New Roman" w:eastAsia="宋体" w:cs="Times New Roman"/>
                      <w:color w:val="auto"/>
                      <w:sz w:val="21"/>
                      <w:szCs w:val="21"/>
                      <w:highlight w:val="none"/>
                    </w:rPr>
                    <w:t>间</w:t>
                  </w:r>
                </w:p>
              </w:tc>
              <w:tc>
                <w:tcPr>
                  <w:tcW w:w="1254" w:type="pct"/>
                  <w:vAlign w:val="center"/>
                </w:tcPr>
                <w:p w14:paraId="5E5E979F">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《环境监测技术规范》</w:t>
                  </w:r>
                </w:p>
              </w:tc>
              <w:tc>
                <w:tcPr>
                  <w:tcW w:w="1125" w:type="pct"/>
                  <w:vAlign w:val="center"/>
                </w:tcPr>
                <w:p w14:paraId="51E4AA5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类标准</w:t>
                  </w:r>
                </w:p>
              </w:tc>
            </w:tr>
          </w:tbl>
          <w:p w14:paraId="77030DC7">
            <w:pPr>
              <w:keepNext/>
              <w:keepLines/>
              <w:pageBreakBefore w:val="0"/>
              <w:widowControl w:val="0"/>
              <w:numPr>
                <w:ilvl w:val="2"/>
                <w:numId w:val="0"/>
              </w:numPr>
              <w:wordWrap w:val="0"/>
              <w:topLinePunct w:val="0"/>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四、固体废物污染源</w:t>
            </w:r>
          </w:p>
          <w:p w14:paraId="07293792">
            <w:pPr>
              <w:keepNext/>
              <w:keepLines/>
              <w:pageBreakBefore w:val="0"/>
              <w:tabs>
                <w:tab w:val="left" w:pos="0"/>
              </w:tabs>
              <w:wordWrap w:val="0"/>
              <w:topLinePunct w:val="0"/>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1、固体废物源强</w:t>
            </w:r>
          </w:p>
          <w:p w14:paraId="12454092">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本项目营运期产生的固体废物主要为生活垃圾、一般工业固废（</w:t>
            </w:r>
            <w:r>
              <w:rPr>
                <w:rFonts w:hint="default" w:ascii="Times New Roman" w:hAnsi="Times New Roman" w:cs="Times New Roman"/>
                <w:color w:val="auto"/>
                <w:highlight w:val="none"/>
                <w:lang w:val="en-US" w:eastAsia="zh-CN"/>
              </w:rPr>
              <w:t>边角料、次品、废包装袋、废模具</w:t>
            </w:r>
            <w:r>
              <w:rPr>
                <w:rFonts w:hint="default" w:ascii="Times New Roman" w:hAnsi="Times New Roman" w:eastAsia="宋体" w:cs="Times New Roman"/>
                <w:color w:val="auto"/>
                <w:highlight w:val="none"/>
              </w:rPr>
              <w:t>）、危险废物（废矿物油、废油桶、含油废抹布及手套</w:t>
            </w:r>
            <w:r>
              <w:rPr>
                <w:rFonts w:hint="default" w:ascii="Times New Roman" w:hAnsi="Times New Roman" w:cs="Times New Roman"/>
                <w:color w:val="auto"/>
                <w:highlight w:val="none"/>
                <w:lang w:val="en-US" w:eastAsia="zh-CN"/>
              </w:rPr>
              <w:t>、废活性炭</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w:t>
            </w:r>
          </w:p>
          <w:p w14:paraId="1513DD0C">
            <w:pPr>
              <w:pageBreakBefore w:val="0"/>
              <w:wordWrap w:val="0"/>
              <w:topLinePunct w:val="0"/>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（1）生活垃圾</w:t>
            </w:r>
          </w:p>
          <w:p w14:paraId="3480823E">
            <w:pPr>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本项目劳动定员</w:t>
            </w:r>
            <w:r>
              <w:rPr>
                <w:rFonts w:hint="default" w:ascii="Times New Roman" w:hAnsi="Times New Roman" w:cs="Times New Roman"/>
                <w:color w:val="auto"/>
                <w:highlight w:val="none"/>
                <w:lang w:val="en-US" w:eastAsia="zh-CN"/>
              </w:rPr>
              <w:t>80</w:t>
            </w:r>
            <w:r>
              <w:rPr>
                <w:rFonts w:hint="default" w:ascii="Times New Roman" w:hAnsi="Times New Roman" w:cs="Times New Roman"/>
                <w:color w:val="auto"/>
                <w:highlight w:val="none"/>
              </w:rPr>
              <w:t>人，根据《社会区域类环境影响评价》（中国环境科学出版社），我国目前城市人均办公垃圾为0.5~1.0kg/人·d，本环评按员工每人每天办公生活垃圾产生量0.5kg计算，项目每年工作</w:t>
            </w:r>
            <w:r>
              <w:rPr>
                <w:rFonts w:hint="default" w:ascii="Times New Roman" w:hAnsi="Times New Roman" w:cs="Times New Roman"/>
                <w:color w:val="auto"/>
                <w:highlight w:val="none"/>
                <w:lang w:val="en-US" w:eastAsia="zh-CN"/>
              </w:rPr>
              <w:t>310</w:t>
            </w:r>
            <w:r>
              <w:rPr>
                <w:rFonts w:hint="default" w:ascii="Times New Roman" w:hAnsi="Times New Roman" w:cs="Times New Roman"/>
                <w:color w:val="auto"/>
                <w:highlight w:val="none"/>
              </w:rPr>
              <w:t>天，则生活垃圾产生量约为</w:t>
            </w:r>
            <w:r>
              <w:rPr>
                <w:rFonts w:hint="default" w:ascii="Times New Roman" w:hAnsi="Times New Roman" w:cs="Times New Roman"/>
                <w:color w:val="auto"/>
                <w:highlight w:val="none"/>
                <w:lang w:val="en-US" w:eastAsia="zh-CN"/>
              </w:rPr>
              <w:t>12.4</w:t>
            </w:r>
            <w:r>
              <w:rPr>
                <w:rFonts w:hint="default" w:ascii="Times New Roman" w:hAnsi="Times New Roman" w:cs="Times New Roman"/>
                <w:color w:val="auto"/>
                <w:highlight w:val="none"/>
              </w:rPr>
              <w:t>t/a。生活垃圾主要成分是废纸张、瓜果皮核、饮料包装瓶和塑料包装纸等，统一收集后交由环卫部门定期清运处理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属于SW64其他垃圾（900-099-S64生活垃圾）</w:t>
            </w:r>
            <w:r>
              <w:rPr>
                <w:rFonts w:hint="default" w:ascii="Times New Roman" w:hAnsi="Times New Roman" w:cs="Times New Roman"/>
                <w:color w:val="auto"/>
                <w:highlight w:val="none"/>
              </w:rPr>
              <w:t>。</w:t>
            </w:r>
          </w:p>
          <w:p w14:paraId="42CCA70C">
            <w:pPr>
              <w:pageBreakBefore w:val="0"/>
              <w:wordWrap w:val="0"/>
              <w:topLinePunct w:val="0"/>
              <w:bidi w:val="0"/>
              <w:ind w:firstLine="480" w:firstLineChars="200"/>
              <w:rPr>
                <w:rFonts w:hint="default" w:ascii="Times New Roman" w:hAnsi="Times New Roman" w:eastAsia="宋体" w:cs="Times New Roman"/>
                <w:b/>
                <w:bCs/>
                <w:color w:val="auto"/>
                <w:highlight w:val="none"/>
                <w:lang w:val="en-US" w:eastAsia="zh-CN"/>
              </w:rPr>
            </w:pPr>
            <w:r>
              <w:rPr>
                <w:rFonts w:hint="default" w:ascii="Times New Roman" w:hAnsi="Times New Roman" w:eastAsia="宋体" w:cs="Times New Roman"/>
                <w:b/>
                <w:bCs/>
                <w:color w:val="auto"/>
                <w:highlight w:val="none"/>
                <w:lang w:val="en-US" w:eastAsia="zh-CN"/>
              </w:rPr>
              <w:t>（2）一般工业固体废物</w:t>
            </w:r>
          </w:p>
          <w:p w14:paraId="3E389EA8">
            <w:pPr>
              <w:keepNext/>
              <w:keepLines/>
              <w:pageBreakBefore w:val="0"/>
              <w:widowControl w:val="0"/>
              <w:numPr>
                <w:ilvl w:val="5"/>
                <w:numId w:val="0"/>
              </w:numPr>
              <w:wordWrap w:val="0"/>
              <w:topLinePunct w:val="0"/>
              <w:bidi w:val="0"/>
              <w:spacing w:line="360" w:lineRule="auto"/>
              <w:ind w:firstLine="480" w:firstLineChars="200"/>
              <w:jc w:val="both"/>
              <w:outlineLvl w:val="5"/>
              <w:rPr>
                <w:rFonts w:hint="default" w:ascii="Times New Roman" w:hAnsi="Times New Roman" w:eastAsia="宋体" w:cs="Times New Roman"/>
                <w:b/>
                <w:bCs/>
                <w:color w:val="auto"/>
                <w:kern w:val="2"/>
                <w:sz w:val="24"/>
                <w:szCs w:val="21"/>
                <w:highlight w:val="none"/>
                <w:lang w:val="en-US" w:eastAsia="zh-CN" w:bidi="ar-SA"/>
              </w:rPr>
            </w:pPr>
            <w:r>
              <w:rPr>
                <w:rFonts w:hint="default" w:ascii="Times New Roman" w:hAnsi="Times New Roman" w:eastAsia="宋体" w:cs="Times New Roman"/>
                <w:b/>
                <w:bCs/>
                <w:color w:val="auto"/>
                <w:kern w:val="2"/>
                <w:sz w:val="24"/>
                <w:szCs w:val="21"/>
                <w:highlight w:val="none"/>
                <w:lang w:val="en-US" w:eastAsia="zh-CN" w:bidi="ar-SA"/>
              </w:rPr>
              <w:t>①</w:t>
            </w:r>
            <w:r>
              <w:rPr>
                <w:rFonts w:hint="default" w:ascii="Times New Roman" w:hAnsi="Times New Roman" w:cs="Times New Roman"/>
                <w:b/>
                <w:bCs/>
                <w:color w:val="auto"/>
                <w:kern w:val="2"/>
                <w:sz w:val="24"/>
                <w:szCs w:val="21"/>
                <w:highlight w:val="none"/>
                <w:lang w:val="en-US" w:eastAsia="zh-CN" w:bidi="ar-SA"/>
              </w:rPr>
              <w:t>次品、边角料</w:t>
            </w:r>
          </w:p>
          <w:p w14:paraId="2379E45C">
            <w:pPr>
              <w:keepNext/>
              <w:keepLines/>
              <w:pageBreakBefore w:val="0"/>
              <w:widowControl w:val="0"/>
              <w:numPr>
                <w:ilvl w:val="0"/>
                <w:numId w:val="0"/>
              </w:numPr>
              <w:wordWrap w:val="0"/>
              <w:topLinePunct w:val="0"/>
              <w:bidi w:val="0"/>
              <w:spacing w:line="360" w:lineRule="auto"/>
              <w:ind w:firstLine="480" w:firstLineChars="200"/>
              <w:jc w:val="both"/>
              <w:outlineLvl w:val="5"/>
              <w:rPr>
                <w:rFonts w:hint="default" w:ascii="Times New Roman" w:hAnsi="Times New Roman" w:eastAsia="宋体" w:cs="Times New Roman"/>
                <w:bCs/>
                <w:color w:val="auto"/>
                <w:kern w:val="24"/>
                <w:sz w:val="24"/>
                <w:szCs w:val="24"/>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项目</w:t>
            </w:r>
            <w:r>
              <w:rPr>
                <w:rFonts w:hint="default" w:ascii="Times New Roman" w:hAnsi="Times New Roman" w:cs="Times New Roman"/>
                <w:color w:val="auto"/>
                <w:kern w:val="2"/>
                <w:sz w:val="24"/>
                <w:szCs w:val="21"/>
                <w:highlight w:val="none"/>
                <w:lang w:val="en-US" w:eastAsia="zh-CN" w:bidi="ar-SA"/>
              </w:rPr>
              <w:t>注塑、品检等工序</w:t>
            </w:r>
            <w:r>
              <w:rPr>
                <w:rFonts w:hint="default" w:ascii="Times New Roman" w:hAnsi="Times New Roman" w:eastAsia="宋体" w:cs="Times New Roman"/>
                <w:color w:val="auto"/>
                <w:kern w:val="2"/>
                <w:sz w:val="24"/>
                <w:szCs w:val="21"/>
                <w:highlight w:val="none"/>
                <w:lang w:val="en-US" w:eastAsia="zh-CN" w:bidi="ar-SA"/>
              </w:rPr>
              <w:t>过程会产生少量边角料</w:t>
            </w:r>
            <w:r>
              <w:rPr>
                <w:rFonts w:hint="default" w:ascii="Times New Roman" w:hAnsi="Times New Roman" w:cs="Times New Roman"/>
                <w:color w:val="auto"/>
                <w:kern w:val="2"/>
                <w:sz w:val="24"/>
                <w:szCs w:val="21"/>
                <w:highlight w:val="none"/>
                <w:lang w:val="en-US" w:eastAsia="zh-CN" w:bidi="ar-SA"/>
              </w:rPr>
              <w:t>及次品</w:t>
            </w:r>
            <w:r>
              <w:rPr>
                <w:rFonts w:hint="default" w:ascii="Times New Roman" w:hAnsi="Times New Roman" w:eastAsia="宋体" w:cs="Times New Roman"/>
                <w:color w:val="auto"/>
                <w:kern w:val="2"/>
                <w:sz w:val="24"/>
                <w:szCs w:val="21"/>
                <w:highlight w:val="none"/>
                <w:lang w:val="en-US" w:eastAsia="zh-CN" w:bidi="ar-SA"/>
              </w:rPr>
              <w:t>，产生量</w:t>
            </w:r>
            <w:r>
              <w:rPr>
                <w:rFonts w:hint="default" w:ascii="Times New Roman" w:hAnsi="Times New Roman" w:cs="Times New Roman"/>
                <w:color w:val="auto"/>
                <w:kern w:val="2"/>
                <w:sz w:val="24"/>
                <w:szCs w:val="21"/>
                <w:highlight w:val="none"/>
                <w:lang w:val="en-US" w:eastAsia="zh-CN" w:bidi="ar-SA"/>
              </w:rPr>
              <w:t>占原料的1%，其产生量</w:t>
            </w:r>
            <w:r>
              <w:rPr>
                <w:rFonts w:hint="default" w:ascii="Times New Roman" w:hAnsi="Times New Roman" w:eastAsia="宋体" w:cs="Times New Roman"/>
                <w:color w:val="auto"/>
                <w:kern w:val="2"/>
                <w:sz w:val="24"/>
                <w:szCs w:val="21"/>
                <w:highlight w:val="none"/>
                <w:lang w:val="en-US" w:eastAsia="zh-CN" w:bidi="ar-SA"/>
              </w:rPr>
              <w:t>为</w:t>
            </w:r>
            <w:r>
              <w:rPr>
                <w:rFonts w:hint="default" w:ascii="Times New Roman" w:hAnsi="Times New Roman" w:cs="Times New Roman"/>
                <w:color w:val="auto"/>
                <w:kern w:val="2"/>
                <w:sz w:val="24"/>
                <w:szCs w:val="21"/>
                <w:highlight w:val="none"/>
                <w:lang w:val="en-US" w:eastAsia="zh-CN" w:bidi="ar-SA"/>
              </w:rPr>
              <w:t>6.3</w:t>
            </w:r>
            <w:r>
              <w:rPr>
                <w:rFonts w:hint="default" w:ascii="Times New Roman" w:hAnsi="Times New Roman" w:eastAsia="宋体" w:cs="Times New Roman"/>
                <w:color w:val="auto"/>
                <w:kern w:val="2"/>
                <w:sz w:val="24"/>
                <w:szCs w:val="21"/>
                <w:highlight w:val="none"/>
                <w:lang w:val="en-US" w:eastAsia="zh-CN" w:bidi="ar-SA"/>
              </w:rPr>
              <w:t>t/a，属于《固体废物分类与代码名录》（公告2024年第4号）SW17可再生类废物，代码为900-099-S17。塑料边角料和不合格品碎料后回用于生产中。</w:t>
            </w:r>
          </w:p>
          <w:p w14:paraId="62CA9167">
            <w:pPr>
              <w:pageBreakBefore w:val="0"/>
              <w:wordWrap w:val="0"/>
              <w:topLinePunct w:val="0"/>
              <w:bidi w:val="0"/>
              <w:ind w:firstLine="480" w:firstLineChars="200"/>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lang w:val="en-US" w:eastAsia="zh-CN"/>
              </w:rPr>
              <w:t>②</w:t>
            </w:r>
            <w:r>
              <w:rPr>
                <w:rFonts w:hint="default" w:ascii="Times New Roman" w:hAnsi="Times New Roman" w:cs="Times New Roman"/>
                <w:b/>
                <w:bCs/>
                <w:color w:val="auto"/>
                <w:highlight w:val="none"/>
                <w:lang w:val="en-US" w:eastAsia="zh-CN"/>
              </w:rPr>
              <w:t>废包装材料</w:t>
            </w:r>
          </w:p>
          <w:p w14:paraId="4792AAEF">
            <w:pPr>
              <w:pStyle w:val="120"/>
              <w:pageBreakBefore w:val="0"/>
              <w:wordWrap w:val="0"/>
              <w:topLinePunct w:val="0"/>
              <w:bidi w:val="0"/>
              <w:snapToGrid/>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本项目塑料粒原料包装主要为塑料袋和编织袋。项目塑料用量合计为</w:t>
            </w:r>
            <w:r>
              <w:rPr>
                <w:rFonts w:hint="default" w:ascii="Times New Roman" w:hAnsi="Times New Roman" w:cs="Times New Roman"/>
                <w:color w:val="auto"/>
                <w:highlight w:val="none"/>
                <w:lang w:val="en-US" w:eastAsia="zh-CN"/>
              </w:rPr>
              <w:t>630</w:t>
            </w:r>
            <w:r>
              <w:rPr>
                <w:rFonts w:hint="default" w:ascii="Times New Roman" w:hAnsi="Times New Roman" w:cs="Times New Roman"/>
                <w:color w:val="auto"/>
                <w:highlight w:val="none"/>
              </w:rPr>
              <w:t>t/a，包装规格为25kg/袋，约</w:t>
            </w:r>
            <w:r>
              <w:rPr>
                <w:rFonts w:hint="default" w:ascii="Times New Roman" w:hAnsi="Times New Roman" w:cs="Times New Roman"/>
                <w:color w:val="auto"/>
                <w:highlight w:val="none"/>
                <w:lang w:val="en-US" w:eastAsia="zh-CN"/>
              </w:rPr>
              <w:t>25200</w:t>
            </w:r>
            <w:r>
              <w:rPr>
                <w:rFonts w:hint="default" w:ascii="Times New Roman" w:hAnsi="Times New Roman" w:cs="Times New Roman"/>
                <w:color w:val="auto"/>
                <w:highlight w:val="none"/>
              </w:rPr>
              <w:t>个包装袋，每个约150g，</w:t>
            </w:r>
            <w:r>
              <w:rPr>
                <w:rFonts w:hint="default" w:ascii="Times New Roman" w:hAnsi="Times New Roman" w:cs="Times New Roman"/>
                <w:color w:val="auto"/>
                <w:highlight w:val="none"/>
                <w:lang w:eastAsia="zh-CN"/>
              </w:rPr>
              <w:t>废包装材料</w:t>
            </w:r>
            <w:r>
              <w:rPr>
                <w:rFonts w:hint="default" w:ascii="Times New Roman" w:hAnsi="Times New Roman" w:cs="Times New Roman"/>
                <w:color w:val="auto"/>
                <w:highlight w:val="none"/>
              </w:rPr>
              <w:t>产生量为</w:t>
            </w:r>
            <w:r>
              <w:rPr>
                <w:rFonts w:hint="default" w:ascii="Times New Roman" w:hAnsi="Times New Roman" w:cs="Times New Roman"/>
                <w:color w:val="auto"/>
                <w:highlight w:val="none"/>
                <w:lang w:val="en-US" w:eastAsia="zh-CN"/>
              </w:rPr>
              <w:t>3.78</w:t>
            </w:r>
            <w:r>
              <w:rPr>
                <w:rFonts w:hint="default" w:ascii="Times New Roman" w:hAnsi="Times New Roman" w:cs="Times New Roman"/>
                <w:color w:val="auto"/>
                <w:highlight w:val="none"/>
              </w:rPr>
              <w:t>t/a，</w:t>
            </w:r>
            <w:r>
              <w:rPr>
                <w:rFonts w:hint="default" w:ascii="Times New Roman" w:hAnsi="Times New Roman" w:cs="Times New Roman"/>
                <w:color w:val="auto"/>
                <w:kern w:val="24"/>
                <w:highlight w:val="none"/>
              </w:rPr>
              <w:t>属于一般工业固体废物，</w:t>
            </w:r>
            <w:r>
              <w:rPr>
                <w:rFonts w:hint="default" w:ascii="Times New Roman" w:hAnsi="Times New Roman" w:cs="Times New Roman"/>
                <w:color w:val="auto"/>
                <w:highlight w:val="none"/>
              </w:rPr>
              <w:t>属于《固体废物分类与代码名录》（公告2024年第4号）SW17可再生类废物，代码为900-099-S17。统一收集后交由相关回收单位处理。</w:t>
            </w:r>
          </w:p>
          <w:p w14:paraId="137D4E35">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eastAsia="zh-CN"/>
              </w:rPr>
              <w:t>③废</w:t>
            </w:r>
            <w:r>
              <w:rPr>
                <w:rFonts w:hint="default" w:ascii="Times New Roman" w:hAnsi="Times New Roman" w:cs="Times New Roman"/>
                <w:b/>
                <w:bCs/>
                <w:color w:val="auto"/>
                <w:sz w:val="24"/>
                <w:szCs w:val="24"/>
                <w:highlight w:val="none"/>
                <w:lang w:val="en-US" w:eastAsia="zh-CN"/>
              </w:rPr>
              <w:t>模具</w:t>
            </w:r>
          </w:p>
          <w:p w14:paraId="3FC60E52">
            <w:pPr>
              <w:keepNext w:val="0"/>
              <w:keepLines w:val="0"/>
              <w:pageBreakBefore w:val="0"/>
              <w:widowControl w:val="0"/>
              <w:kinsoku/>
              <w:wordWrap w:val="0"/>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u w:val="none"/>
                <w:lang w:val="en-US" w:eastAsia="zh-CN"/>
              </w:rPr>
              <w:t>本项目注塑过程会产生废模具，产生量约为2t/a，</w:t>
            </w:r>
            <w:r>
              <w:rPr>
                <w:rFonts w:hint="default" w:ascii="Times New Roman" w:hAnsi="Times New Roman" w:eastAsia="宋体" w:cs="Times New Roman"/>
                <w:color w:val="auto"/>
                <w:sz w:val="24"/>
                <w:szCs w:val="24"/>
                <w:highlight w:val="none"/>
                <w:lang w:val="en-US" w:eastAsia="zh-CN"/>
              </w:rPr>
              <w:t>属一般工业固废，</w:t>
            </w:r>
            <w:r>
              <w:rPr>
                <w:rFonts w:hint="default" w:ascii="Times New Roman" w:hAnsi="Times New Roman" w:eastAsia="宋体" w:cs="Times New Roman"/>
                <w:b w:val="0"/>
                <w:bCs w:val="0"/>
                <w:color w:val="auto"/>
                <w:sz w:val="24"/>
                <w:szCs w:val="24"/>
                <w:highlight w:val="none"/>
                <w:u w:val="none"/>
                <w:lang w:val="en-US" w:eastAsia="zh-CN"/>
              </w:rPr>
              <w:t>根据“关于发布《固体废物分类与代码目录》的公告”（生态环境部办公厅2024年1月22日印发），属SW17可再生类废物，类别为废钢铁（废物代码900-001-S17）</w:t>
            </w:r>
            <w:r>
              <w:rPr>
                <w:rFonts w:hint="default" w:ascii="Times New Roman" w:hAnsi="Times New Roman" w:eastAsia="宋体" w:cs="Times New Roman"/>
                <w:color w:val="auto"/>
                <w:sz w:val="24"/>
                <w:szCs w:val="24"/>
                <w:highlight w:val="none"/>
                <w:lang w:val="en-US" w:eastAsia="zh-CN"/>
              </w:rPr>
              <w:t>，集</w:t>
            </w:r>
            <w:r>
              <w:rPr>
                <w:rFonts w:hint="default" w:ascii="Times New Roman" w:hAnsi="Times New Roman" w:eastAsia="宋体" w:cs="Times New Roman"/>
                <w:bCs/>
                <w:color w:val="auto"/>
                <w:sz w:val="24"/>
                <w:szCs w:val="24"/>
                <w:highlight w:val="none"/>
                <w:lang w:val="en-US" w:eastAsia="zh-CN"/>
              </w:rPr>
              <w:t>中收集后交由专业公司回收处理。</w:t>
            </w:r>
          </w:p>
          <w:p w14:paraId="30D13FA9">
            <w:pPr>
              <w:pageBreakBefore w:val="0"/>
              <w:wordWrap w:val="0"/>
              <w:topLinePunct w:val="0"/>
              <w:bidi w:val="0"/>
              <w:adjustRightInd w:val="0"/>
              <w:snapToGrid w:val="0"/>
              <w:spacing w:line="360" w:lineRule="auto"/>
              <w:ind w:firstLine="480" w:firstLineChars="200"/>
              <w:rPr>
                <w:rFonts w:hint="default" w:ascii="Times New Roman" w:hAnsi="Times New Roman" w:cs="Times New Roman"/>
                <w:b/>
                <w:bCs/>
                <w:color w:val="auto"/>
                <w:kern w:val="2"/>
                <w:sz w:val="24"/>
                <w:szCs w:val="21"/>
                <w:highlight w:val="none"/>
                <w:lang w:val="en-US" w:eastAsia="zh-CN" w:bidi="ar-SA"/>
              </w:rPr>
            </w:pPr>
            <w:r>
              <w:rPr>
                <w:rFonts w:hint="default" w:ascii="Times New Roman" w:hAnsi="Times New Roman" w:cs="Times New Roman"/>
                <w:b/>
                <w:bCs/>
                <w:color w:val="auto"/>
                <w:kern w:val="2"/>
                <w:sz w:val="24"/>
                <w:szCs w:val="21"/>
                <w:highlight w:val="none"/>
                <w:lang w:val="en-US" w:eastAsia="zh-CN" w:bidi="ar-SA"/>
              </w:rPr>
              <w:t>④废金属零部件</w:t>
            </w:r>
          </w:p>
          <w:p w14:paraId="4AD5EAAD">
            <w:pPr>
              <w:pageBreakBefore w:val="0"/>
              <w:wordWrap w:val="0"/>
              <w:topLinePunct w:val="0"/>
              <w:bidi w:val="0"/>
              <w:adjustRightInd w:val="0"/>
              <w:snapToGrid w:val="0"/>
              <w:spacing w:line="360" w:lineRule="auto"/>
              <w:ind w:firstLine="480" w:firstLineChars="200"/>
              <w:rPr>
                <w:rFonts w:hint="default" w:ascii="Times New Roman" w:hAnsi="Times New Roman" w:eastAsia="宋体" w:cs="Times New Roman"/>
                <w:bCs/>
                <w:color w:val="auto"/>
                <w:sz w:val="24"/>
                <w:szCs w:val="24"/>
                <w:highlight w:val="none"/>
                <w:lang w:val="en-US" w:eastAsia="zh-CN"/>
              </w:rPr>
            </w:pPr>
            <w:r>
              <w:rPr>
                <w:rFonts w:hint="default" w:ascii="Times New Roman" w:hAnsi="Times New Roman" w:cs="Times New Roman"/>
                <w:color w:val="auto"/>
                <w:kern w:val="2"/>
                <w:sz w:val="24"/>
                <w:szCs w:val="21"/>
                <w:highlight w:val="none"/>
                <w:lang w:val="en-US" w:eastAsia="zh-CN" w:bidi="ar-SA"/>
              </w:rPr>
              <w:t>项目内需对模具进行简单的维修，会产生少量的废金属零部件，考产生量约0.2</w:t>
            </w:r>
            <w:r>
              <w:rPr>
                <w:rFonts w:hint="default" w:ascii="Times New Roman" w:hAnsi="Times New Roman" w:eastAsia="宋体" w:cs="Times New Roman"/>
                <w:color w:val="auto"/>
                <w:kern w:val="0"/>
                <w:sz w:val="24"/>
                <w:szCs w:val="21"/>
                <w:highlight w:val="none"/>
                <w:lang w:val="en-US" w:eastAsia="zh-CN" w:bidi="ar"/>
              </w:rPr>
              <w:t>t/a</w:t>
            </w:r>
            <w:r>
              <w:rPr>
                <w:rFonts w:hint="default" w:ascii="Times New Roman" w:hAnsi="Times New Roman" w:cs="Times New Roman"/>
                <w:color w:val="auto"/>
                <w:kern w:val="0"/>
                <w:sz w:val="24"/>
                <w:szCs w:val="21"/>
                <w:highlight w:val="none"/>
                <w:lang w:val="en-US" w:eastAsia="zh-CN" w:bidi="ar"/>
              </w:rPr>
              <w:t>。</w:t>
            </w:r>
            <w:r>
              <w:rPr>
                <w:rFonts w:hint="default" w:ascii="Times New Roman" w:hAnsi="Times New Roman" w:eastAsia="宋体" w:cs="Times New Roman"/>
                <w:b w:val="0"/>
                <w:bCs w:val="0"/>
                <w:color w:val="auto"/>
                <w:sz w:val="24"/>
                <w:szCs w:val="24"/>
                <w:highlight w:val="none"/>
                <w:u w:val="none"/>
                <w:lang w:val="en-US" w:eastAsia="zh-CN"/>
              </w:rPr>
              <w:t>根据“关于发布《固体废物分类与代码目录》的公告”（生态环境部办公厅2024年1月22日印发），属SW17可再生类废物</w:t>
            </w:r>
            <w:r>
              <w:rPr>
                <w:rFonts w:hint="default" w:ascii="Times New Roman" w:hAnsi="Times New Roman" w:eastAsia="宋体" w:cs="Times New Roman"/>
                <w:color w:val="auto"/>
                <w:kern w:val="2"/>
                <w:sz w:val="24"/>
                <w:szCs w:val="21"/>
                <w:highlight w:val="none"/>
                <w:lang w:val="en-US" w:eastAsia="zh-CN" w:bidi="ar-SA"/>
              </w:rPr>
              <w:t>，其代码为900-013-S17</w:t>
            </w:r>
            <w:r>
              <w:rPr>
                <w:rFonts w:hint="default" w:ascii="Times New Roman" w:hAnsi="Times New Roman" w:cs="Times New Roman"/>
                <w:color w:val="auto"/>
                <w:kern w:val="2"/>
                <w:sz w:val="24"/>
                <w:szCs w:val="21"/>
                <w:highlight w:val="none"/>
                <w:lang w:val="en-US" w:eastAsia="zh-CN" w:bidi="ar-SA"/>
              </w:rPr>
              <w:t>，</w:t>
            </w:r>
            <w:r>
              <w:rPr>
                <w:rFonts w:hint="default" w:ascii="Times New Roman" w:hAnsi="Times New Roman" w:eastAsia="宋体" w:cs="Times New Roman"/>
                <w:color w:val="auto"/>
                <w:kern w:val="2"/>
                <w:sz w:val="24"/>
                <w:szCs w:val="21"/>
                <w:highlight w:val="none"/>
                <w:lang w:val="en-US" w:eastAsia="zh-CN" w:bidi="ar-SA"/>
              </w:rPr>
              <w:t>统一收集后交由有危险废物处理资质的单位处理。</w:t>
            </w:r>
          </w:p>
          <w:p w14:paraId="7F6ED196">
            <w:pPr>
              <w:keepNext/>
              <w:keepLines/>
              <w:pageBreakBefore w:val="0"/>
              <w:numPr>
                <w:ilvl w:val="4"/>
                <w:numId w:val="0"/>
              </w:numPr>
              <w:tabs>
                <w:tab w:val="left" w:pos="0"/>
              </w:tabs>
              <w:wordWrap w:val="0"/>
              <w:topLinePunct w:val="0"/>
              <w:bidi w:val="0"/>
              <w:ind w:firstLine="480" w:firstLineChars="20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（3）危险废物</w:t>
            </w:r>
          </w:p>
          <w:p w14:paraId="6D61A339">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危险废物类别根据《国家危险废物名录》（202</w:t>
            </w:r>
            <w:r>
              <w:rPr>
                <w:rFonts w:hint="default" w:ascii="Times New Roman" w:hAnsi="Times New Roman"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年版）进行辨识，分类收集后委托危险废物资质单位处理。</w:t>
            </w:r>
          </w:p>
          <w:p w14:paraId="0CC7D504">
            <w:pPr>
              <w:keepNext/>
              <w:keepLines/>
              <w:pageBreakBefore w:val="0"/>
              <w:widowControl w:val="0"/>
              <w:numPr>
                <w:ilvl w:val="5"/>
                <w:numId w:val="0"/>
              </w:numPr>
              <w:wordWrap w:val="0"/>
              <w:topLinePunct w:val="0"/>
              <w:bidi w:val="0"/>
              <w:spacing w:line="360" w:lineRule="auto"/>
              <w:ind w:firstLine="480" w:firstLineChars="200"/>
              <w:jc w:val="both"/>
              <w:outlineLvl w:val="5"/>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cs="Times New Roman"/>
                <w:b/>
                <w:bCs/>
                <w:color w:val="auto"/>
                <w:kern w:val="2"/>
                <w:sz w:val="24"/>
                <w:szCs w:val="24"/>
                <w:highlight w:val="none"/>
                <w:lang w:val="en-US" w:eastAsia="zh-CN" w:bidi="ar-SA"/>
              </w:rPr>
              <w:t>①</w:t>
            </w:r>
            <w:r>
              <w:rPr>
                <w:rFonts w:hint="default" w:ascii="Times New Roman" w:hAnsi="Times New Roman" w:eastAsia="宋体" w:cs="Times New Roman"/>
                <w:b/>
                <w:bCs/>
                <w:color w:val="auto"/>
                <w:kern w:val="2"/>
                <w:sz w:val="24"/>
                <w:szCs w:val="24"/>
                <w:highlight w:val="none"/>
                <w:lang w:val="en-US" w:eastAsia="zh-CN" w:bidi="ar-SA"/>
              </w:rPr>
              <w:t>废</w:t>
            </w:r>
            <w:r>
              <w:rPr>
                <w:rFonts w:hint="default" w:ascii="Times New Roman" w:hAnsi="Times New Roman" w:cs="Times New Roman"/>
                <w:b/>
                <w:bCs/>
                <w:color w:val="auto"/>
                <w:kern w:val="2"/>
                <w:sz w:val="24"/>
                <w:szCs w:val="24"/>
                <w:highlight w:val="none"/>
                <w:lang w:val="en-US" w:eastAsia="zh-CN" w:bidi="ar-SA"/>
              </w:rPr>
              <w:t>矿物油及油桶</w:t>
            </w:r>
          </w:p>
          <w:p w14:paraId="2BEB02A3">
            <w:pPr>
              <w:pageBreakBefore w:val="0"/>
              <w:wordWrap w:val="0"/>
              <w:topLinePunct w:val="0"/>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rPr>
              <w:t>保养设备设施会用到</w:t>
            </w:r>
            <w:r>
              <w:rPr>
                <w:rFonts w:hint="default" w:ascii="Times New Roman" w:hAnsi="Times New Roman" w:cs="Times New Roman"/>
                <w:color w:val="auto"/>
                <w:highlight w:val="none"/>
                <w:lang w:val="en-US" w:eastAsia="zh-CN"/>
              </w:rPr>
              <w: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其规格为</w:t>
            </w:r>
            <w:r>
              <w:rPr>
                <w:rFonts w:hint="default" w:ascii="Times New Roman" w:hAnsi="Times New Roman" w:cs="Times New Roman"/>
                <w:color w:val="auto"/>
                <w:highlight w:val="none"/>
                <w:lang w:val="en-US" w:eastAsia="zh-CN"/>
              </w:rPr>
              <w:t>25</w:t>
            </w:r>
            <w:r>
              <w:rPr>
                <w:rFonts w:hint="default" w:ascii="Times New Roman" w:hAnsi="Times New Roman" w:eastAsia="宋体" w:cs="Times New Roman"/>
                <w:color w:val="auto"/>
                <w:highlight w:val="none"/>
              </w:rPr>
              <w:t>kg/桶，</w:t>
            </w:r>
            <w:r>
              <w:rPr>
                <w:rFonts w:hint="default" w:ascii="Times New Roman" w:hAnsi="Times New Roman" w:cs="Times New Roman"/>
                <w:color w:val="auto"/>
                <w:highlight w:val="none"/>
                <w:lang w:val="en-US" w:eastAsia="zh-CN"/>
              </w:rPr>
              <w:t>废机油产生量与年使用量相同为0.1t，机</w:t>
            </w:r>
            <w:r>
              <w:rPr>
                <w:rFonts w:hint="default" w:ascii="Times New Roman" w:hAnsi="Times New Roman" w:eastAsia="宋体" w:cs="Times New Roman"/>
                <w:color w:val="auto"/>
                <w:highlight w:val="none"/>
                <w:lang w:val="en-US" w:eastAsia="zh-CN"/>
              </w:rPr>
              <w:t>油</w:t>
            </w:r>
            <w:r>
              <w:rPr>
                <w:rFonts w:hint="default" w:ascii="Times New Roman" w:hAnsi="Times New Roman" w:eastAsia="宋体" w:cs="Times New Roman"/>
                <w:color w:val="auto"/>
                <w:highlight w:val="none"/>
              </w:rPr>
              <w:t>空桶按</w:t>
            </w:r>
            <w:r>
              <w:rPr>
                <w:rFonts w:hint="default"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kg/桶计算</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lang w:val="en-US" w:eastAsia="zh-CN"/>
              </w:rPr>
              <w:t>综上，</w:t>
            </w:r>
            <w:r>
              <w:rPr>
                <w:rFonts w:hint="default" w:ascii="Times New Roman" w:hAnsi="Times New Roman" w:eastAsia="宋体" w:cs="Times New Roman"/>
                <w:color w:val="auto"/>
                <w:highlight w:val="none"/>
              </w:rPr>
              <w:t>本项目产生废</w:t>
            </w:r>
            <w:r>
              <w:rPr>
                <w:rFonts w:hint="default" w:ascii="Times New Roman" w:hAnsi="Times New Roman" w:eastAsia="宋体" w:cs="Times New Roman"/>
                <w:color w:val="auto"/>
                <w:highlight w:val="none"/>
                <w:lang w:val="en-US" w:eastAsia="zh-CN"/>
              </w:rPr>
              <w:t>机</w:t>
            </w:r>
            <w:r>
              <w:rPr>
                <w:rFonts w:hint="default" w:ascii="Times New Roman" w:hAnsi="Times New Roman" w:eastAsia="宋体" w:cs="Times New Roman"/>
                <w:color w:val="auto"/>
                <w:highlight w:val="none"/>
              </w:rPr>
              <w:t>油</w:t>
            </w:r>
            <w:r>
              <w:rPr>
                <w:rFonts w:hint="default" w:ascii="Times New Roman" w:hAnsi="Times New Roman" w:eastAsia="宋体" w:cs="Times New Roman"/>
                <w:color w:val="auto"/>
                <w:highlight w:val="none"/>
                <w:lang w:eastAsia="zh-CN"/>
              </w:rPr>
              <w:t>及</w:t>
            </w:r>
            <w:r>
              <w:rPr>
                <w:rFonts w:hint="default" w:ascii="Times New Roman" w:hAnsi="Times New Roman" w:eastAsia="宋体" w:cs="Times New Roman"/>
                <w:color w:val="auto"/>
                <w:highlight w:val="none"/>
              </w:rPr>
              <w:t>桶约</w:t>
            </w:r>
            <w:r>
              <w:rPr>
                <w:rFonts w:hint="default" w:ascii="Times New Roman" w:hAnsi="Times New Roman" w:cs="Times New Roman"/>
                <w:color w:val="auto"/>
                <w:highlight w:val="none"/>
                <w:lang w:val="en-US" w:eastAsia="zh-CN"/>
              </w:rPr>
              <w:t>0.1t</w:t>
            </w:r>
            <w:r>
              <w:rPr>
                <w:rFonts w:hint="default" w:ascii="Times New Roman" w:hAnsi="Times New Roman" w:eastAsia="宋体" w:cs="Times New Roman"/>
                <w:color w:val="auto"/>
                <w:highlight w:val="none"/>
                <w:lang w:val="en-US" w:eastAsia="zh-CN"/>
              </w:rPr>
              <w:t>+</w:t>
            </w:r>
            <w:r>
              <w:rPr>
                <w:rFonts w:hint="default" w:ascii="Times New Roman" w:hAnsi="Times New Roman" w:cs="Times New Roman"/>
                <w:color w:val="auto"/>
                <w:highlight w:val="none"/>
                <w:lang w:val="en-US" w:eastAsia="zh-CN"/>
              </w:rPr>
              <w:t>（0.1/0.025）</w:t>
            </w:r>
            <w:r>
              <w:rPr>
                <w:rFonts w:hint="default" w:ascii="Times New Roman" w:hAnsi="Times New Roman" w:eastAsia="宋体" w:cs="Times New Roman"/>
                <w:color w:val="auto"/>
                <w:highlight w:val="none"/>
                <w:lang w:val="en-US" w:eastAsia="zh-CN"/>
              </w:rPr>
              <w:t>×1kg=</w:t>
            </w:r>
            <w:r>
              <w:rPr>
                <w:rFonts w:hint="default" w:ascii="Times New Roman" w:hAnsi="Times New Roman" w:cs="Times New Roman"/>
                <w:color w:val="auto"/>
                <w:highlight w:val="none"/>
                <w:lang w:val="en-US" w:eastAsia="zh-CN"/>
              </w:rPr>
              <w:t>0.104</w:t>
            </w:r>
            <w:r>
              <w:rPr>
                <w:rFonts w:hint="default" w:ascii="Times New Roman" w:hAnsi="Times New Roman" w:eastAsia="宋体" w:cs="Times New Roman"/>
                <w:color w:val="auto"/>
                <w:highlight w:val="none"/>
              </w:rPr>
              <w:t>t/a</w:t>
            </w:r>
          </w:p>
          <w:p w14:paraId="07E22479">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根据《国家危险废物名录》（202</w:t>
            </w:r>
            <w:r>
              <w:rPr>
                <w:rFonts w:hint="default" w:ascii="Times New Roman" w:hAnsi="Times New Roman" w:cs="Times New Roman"/>
                <w:color w:val="auto"/>
                <w:highlight w:val="none"/>
                <w:lang w:val="en-US" w:eastAsia="zh-CN"/>
              </w:rPr>
              <w:t>5</w:t>
            </w:r>
            <w:r>
              <w:rPr>
                <w:rFonts w:hint="default" w:ascii="Times New Roman" w:hAnsi="Times New Roman" w:eastAsia="宋体" w:cs="Times New Roman"/>
                <w:color w:val="auto"/>
                <w:highlight w:val="none"/>
              </w:rPr>
              <w:t>年版），废油桶</w:t>
            </w:r>
            <w:r>
              <w:rPr>
                <w:rFonts w:hint="default" w:ascii="Times New Roman" w:hAnsi="Times New Roman" w:eastAsia="宋体" w:cs="Times New Roman"/>
                <w:color w:val="auto"/>
                <w:highlight w:val="none"/>
                <w:lang w:val="en-US" w:eastAsia="zh-CN"/>
              </w:rPr>
              <w:t>按“</w:t>
            </w:r>
            <w:r>
              <w:rPr>
                <w:rFonts w:hint="default" w:ascii="Times New Roman" w:hAnsi="Times New Roman" w:eastAsia="宋体" w:cs="Times New Roman"/>
                <w:color w:val="auto"/>
                <w:highlight w:val="none"/>
              </w:rPr>
              <w:t>HW</w:t>
            </w:r>
            <w:r>
              <w:rPr>
                <w:rFonts w:hint="default" w:ascii="Times New Roman" w:hAnsi="Times New Roman" w:eastAsia="宋体" w:cs="Times New Roman"/>
                <w:color w:val="auto"/>
                <w:highlight w:val="none"/>
                <w:lang w:val="en-US" w:eastAsia="zh-CN"/>
              </w:rPr>
              <w:t>08废矿物油与含矿物油废物”分类</w:t>
            </w:r>
            <w:r>
              <w:rPr>
                <w:rFonts w:hint="default" w:ascii="Times New Roman" w:hAnsi="Times New Roman" w:eastAsia="宋体" w:cs="Times New Roman"/>
                <w:color w:val="auto"/>
                <w:highlight w:val="none"/>
              </w:rPr>
              <w:t>，</w:t>
            </w:r>
            <w:r>
              <w:rPr>
                <w:rFonts w:hint="default" w:ascii="Times New Roman" w:hAnsi="Times New Roman" w:eastAsia="宋体" w:cs="Times New Roman"/>
                <w:color w:val="auto"/>
                <w:highlight w:val="none"/>
                <w:lang w:val="en-US" w:eastAsia="zh-CN"/>
              </w:rPr>
              <w:t>其</w:t>
            </w:r>
            <w:r>
              <w:rPr>
                <w:rFonts w:hint="default" w:ascii="Times New Roman" w:hAnsi="Times New Roman" w:eastAsia="宋体" w:cs="Times New Roman"/>
                <w:color w:val="auto"/>
                <w:highlight w:val="none"/>
              </w:rPr>
              <w:t>代码</w:t>
            </w:r>
            <w:r>
              <w:rPr>
                <w:rFonts w:hint="default" w:ascii="Times New Roman" w:hAnsi="Times New Roman" w:eastAsia="宋体" w:cs="Times New Roman"/>
                <w:color w:val="auto"/>
                <w:highlight w:val="none"/>
                <w:lang w:val="en-US" w:eastAsia="zh-CN"/>
              </w:rPr>
              <w:t>为</w:t>
            </w:r>
            <w:r>
              <w:rPr>
                <w:rFonts w:hint="default" w:ascii="Times New Roman" w:hAnsi="Times New Roman" w:eastAsia="宋体" w:cs="Times New Roman"/>
                <w:color w:val="auto"/>
                <w:highlight w:val="none"/>
              </w:rPr>
              <w:t>900-249-08</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属于</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rPr>
              <w:t>其他生产、销售、使用过程中产生的废矿物油及沾染矿物油的废弃包装物”，经统一收集后交由有危险废物处理资质的单位处理。</w:t>
            </w:r>
          </w:p>
          <w:p w14:paraId="11A78CF6">
            <w:pPr>
              <w:pageBreakBefore w:val="0"/>
              <w:wordWrap w:val="0"/>
              <w:topLinePunct w:val="0"/>
              <w:bidi w:val="0"/>
              <w:ind w:firstLine="480" w:firstLineChars="200"/>
              <w:rPr>
                <w:rFonts w:hint="default" w:ascii="Times New Roman" w:hAnsi="Times New Roman" w:eastAsia="宋体" w:cs="Times New Roman"/>
                <w:b/>
                <w:bCs/>
                <w:color w:val="auto"/>
                <w:szCs w:val="24"/>
                <w:highlight w:val="none"/>
                <w:lang w:val="en-US" w:eastAsia="zh-CN"/>
              </w:rPr>
            </w:pPr>
            <w:r>
              <w:rPr>
                <w:rFonts w:hint="default" w:ascii="Times New Roman" w:hAnsi="Times New Roman" w:cs="Times New Roman"/>
                <w:b/>
                <w:bCs/>
                <w:color w:val="auto"/>
                <w:szCs w:val="24"/>
                <w:highlight w:val="none"/>
                <w:lang w:val="en-US" w:eastAsia="zh-CN"/>
              </w:rPr>
              <w:t>②</w:t>
            </w:r>
            <w:r>
              <w:rPr>
                <w:rFonts w:hint="default" w:ascii="Times New Roman" w:hAnsi="Times New Roman" w:eastAsia="宋体" w:cs="Times New Roman"/>
                <w:b/>
                <w:bCs/>
                <w:color w:val="auto"/>
                <w:szCs w:val="24"/>
                <w:highlight w:val="none"/>
                <w:lang w:val="en-US" w:eastAsia="zh-CN"/>
              </w:rPr>
              <w:t>废含油抹布及手套</w:t>
            </w:r>
          </w:p>
          <w:p w14:paraId="6BDD4697">
            <w:pPr>
              <w:keepNext/>
              <w:keepLines/>
              <w:pageBreakBefore w:val="0"/>
              <w:widowControl w:val="0"/>
              <w:numPr>
                <w:ilvl w:val="5"/>
                <w:numId w:val="0"/>
              </w:numPr>
              <w:wordWrap w:val="0"/>
              <w:topLinePunct w:val="0"/>
              <w:bidi w:val="0"/>
              <w:spacing w:line="360" w:lineRule="auto"/>
              <w:ind w:firstLine="480" w:firstLineChars="200"/>
              <w:jc w:val="both"/>
              <w:outlineLvl w:val="5"/>
              <w:rPr>
                <w:rFonts w:hint="default" w:ascii="Times New Roman" w:hAnsi="Times New Roman" w:eastAsia="宋体" w:cs="Times New Roman"/>
                <w:color w:val="auto"/>
                <w:kern w:val="0"/>
                <w:sz w:val="24"/>
                <w:szCs w:val="21"/>
                <w:highlight w:val="none"/>
                <w:lang w:val="en-US" w:eastAsia="zh-CN" w:bidi="ar"/>
              </w:rPr>
            </w:pPr>
            <w:r>
              <w:rPr>
                <w:rFonts w:hint="default" w:ascii="Times New Roman" w:hAnsi="Times New Roman" w:eastAsia="宋体" w:cs="Times New Roman"/>
                <w:color w:val="auto"/>
                <w:kern w:val="0"/>
                <w:sz w:val="24"/>
                <w:szCs w:val="21"/>
                <w:highlight w:val="none"/>
                <w:lang w:val="en-US" w:eastAsia="zh-CN" w:bidi="ar"/>
              </w:rPr>
              <w:t>设备维修和维护以及生产过程中会产生的沾染废</w:t>
            </w:r>
            <w:r>
              <w:rPr>
                <w:rFonts w:hint="default" w:ascii="Times New Roman" w:hAnsi="Times New Roman" w:cs="Times New Roman"/>
                <w:color w:val="auto"/>
                <w:kern w:val="0"/>
                <w:sz w:val="24"/>
                <w:szCs w:val="21"/>
                <w:highlight w:val="none"/>
                <w:lang w:val="en-US" w:eastAsia="zh-CN" w:bidi="ar"/>
              </w:rPr>
              <w:t>机</w:t>
            </w:r>
            <w:r>
              <w:rPr>
                <w:rFonts w:hint="default" w:ascii="Times New Roman" w:hAnsi="Times New Roman" w:eastAsia="宋体" w:cs="Times New Roman"/>
                <w:color w:val="auto"/>
                <w:kern w:val="0"/>
                <w:sz w:val="24"/>
                <w:szCs w:val="21"/>
                <w:highlight w:val="none"/>
                <w:lang w:val="en-US" w:eastAsia="zh-CN" w:bidi="ar"/>
              </w:rPr>
              <w:t>油的布料及手套，产生量约0.01t/a。</w:t>
            </w:r>
          </w:p>
          <w:p w14:paraId="1A640721">
            <w:pPr>
              <w:pageBreakBefore w:val="0"/>
              <w:wordWrap w:val="0"/>
              <w:topLinePunct w:val="0"/>
              <w:bidi w:val="0"/>
              <w:adjustRightInd w:val="0"/>
              <w:snapToGrid w:val="0"/>
              <w:spacing w:line="360" w:lineRule="auto"/>
              <w:ind w:firstLine="480" w:firstLineChars="200"/>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eastAsia="宋体" w:cs="Times New Roman"/>
                <w:color w:val="auto"/>
                <w:kern w:val="2"/>
                <w:sz w:val="24"/>
                <w:szCs w:val="21"/>
                <w:highlight w:val="none"/>
                <w:lang w:val="en-US" w:eastAsia="zh-CN" w:bidi="ar-SA"/>
              </w:rPr>
              <w:t>根据《国家危险废物名录》（202</w:t>
            </w:r>
            <w:r>
              <w:rPr>
                <w:rFonts w:hint="default" w:ascii="Times New Roman" w:hAnsi="Times New Roman" w:cs="Times New Roman"/>
                <w:color w:val="auto"/>
                <w:kern w:val="2"/>
                <w:sz w:val="24"/>
                <w:szCs w:val="21"/>
                <w:highlight w:val="none"/>
                <w:lang w:val="en-US" w:eastAsia="zh-CN" w:bidi="ar-SA"/>
              </w:rPr>
              <w:t>5</w:t>
            </w:r>
            <w:r>
              <w:rPr>
                <w:rFonts w:hint="default" w:ascii="Times New Roman" w:hAnsi="Times New Roman" w:eastAsia="宋体" w:cs="Times New Roman"/>
                <w:color w:val="auto"/>
                <w:kern w:val="2"/>
                <w:sz w:val="24"/>
                <w:szCs w:val="21"/>
                <w:highlight w:val="none"/>
                <w:lang w:val="en-US" w:eastAsia="zh-CN" w:bidi="ar-SA"/>
              </w:rPr>
              <w:t>年版），废含油抹布及手套按“HW49其他废物”分类，其代码为</w:t>
            </w:r>
            <w:r>
              <w:rPr>
                <w:rFonts w:hint="default" w:ascii="Times New Roman" w:hAnsi="Times New Roman" w:eastAsia="宋体" w:cs="Times New Roman"/>
                <w:color w:val="auto"/>
                <w:kern w:val="0"/>
                <w:sz w:val="24"/>
                <w:szCs w:val="21"/>
                <w:highlight w:val="none"/>
                <w:lang w:val="en-US" w:eastAsia="zh-CN" w:bidi="ar"/>
              </w:rPr>
              <w:t>900-041-49</w:t>
            </w:r>
            <w:r>
              <w:rPr>
                <w:rFonts w:hint="default" w:ascii="Times New Roman" w:hAnsi="Times New Roman" w:eastAsia="宋体" w:cs="Times New Roman"/>
                <w:color w:val="auto"/>
                <w:kern w:val="2"/>
                <w:sz w:val="24"/>
                <w:szCs w:val="21"/>
                <w:highlight w:val="none"/>
                <w:lang w:val="en-US" w:eastAsia="zh-CN" w:bidi="ar-SA"/>
              </w:rPr>
              <w:t>，属于“其他生产、销售、使用过程中产生的废矿物油及沾染矿物油的废弃包装物”，经统一收集后交由有危险废物处理资质的单位处理。</w:t>
            </w:r>
          </w:p>
          <w:p w14:paraId="65633F16">
            <w:pPr>
              <w:pageBreakBefore w:val="0"/>
              <w:wordWrap w:val="0"/>
              <w:topLinePunct w:val="0"/>
              <w:bidi w:val="0"/>
              <w:adjustRightInd w:val="0"/>
              <w:snapToGrid w:val="0"/>
              <w:spacing w:line="360" w:lineRule="auto"/>
              <w:ind w:firstLine="480" w:firstLineChars="200"/>
              <w:rPr>
                <w:rFonts w:hint="default" w:ascii="Times New Roman" w:hAnsi="Times New Roman" w:cs="Times New Roman"/>
                <w:b/>
                <w:bCs w:val="0"/>
                <w:color w:val="auto"/>
                <w:sz w:val="24"/>
                <w:highlight w:val="none"/>
              </w:rPr>
            </w:pPr>
            <w:r>
              <w:rPr>
                <w:rFonts w:hint="default" w:ascii="Times New Roman" w:hAnsi="Times New Roman" w:cs="Times New Roman"/>
                <w:b/>
                <w:bCs/>
                <w:color w:val="auto"/>
                <w:kern w:val="2"/>
                <w:sz w:val="24"/>
                <w:szCs w:val="21"/>
                <w:highlight w:val="none"/>
                <w:lang w:val="en-US" w:eastAsia="zh-CN" w:bidi="ar-SA"/>
              </w:rPr>
              <w:t>③</w:t>
            </w:r>
            <w:r>
              <w:rPr>
                <w:rFonts w:hint="default" w:ascii="Times New Roman" w:hAnsi="Times New Roman" w:cs="Times New Roman"/>
                <w:b/>
                <w:bCs w:val="0"/>
                <w:color w:val="auto"/>
                <w:sz w:val="24"/>
                <w:highlight w:val="none"/>
              </w:rPr>
              <w:t>废活性炭</w:t>
            </w:r>
          </w:p>
          <w:p w14:paraId="164B0E02">
            <w:pPr>
              <w:pageBreakBefore w:val="0"/>
              <w:wordWrap w:val="0"/>
              <w:topLinePunct w:val="0"/>
              <w:bidi w:val="0"/>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eastAsia="zh-CN"/>
              </w:rPr>
              <w:t>本项目</w:t>
            </w:r>
            <w:r>
              <w:rPr>
                <w:rFonts w:hint="default" w:ascii="Times New Roman" w:hAnsi="Times New Roman" w:cs="Times New Roman"/>
                <w:bCs/>
                <w:color w:val="auto"/>
                <w:sz w:val="24"/>
                <w:highlight w:val="none"/>
              </w:rPr>
              <w:t>生产废气采用二级活性炭吸附装置处理，定期更换活性炭会产生废活性炭。根据《国家危险废物名录》（202</w:t>
            </w:r>
            <w:r>
              <w:rPr>
                <w:rFonts w:hint="default" w:ascii="Times New Roman" w:hAnsi="Times New Roman" w:cs="Times New Roman"/>
                <w:bCs/>
                <w:color w:val="auto"/>
                <w:sz w:val="24"/>
                <w:highlight w:val="none"/>
                <w:lang w:val="en-US" w:eastAsia="zh-CN"/>
              </w:rPr>
              <w:t>5</w:t>
            </w:r>
            <w:r>
              <w:rPr>
                <w:rFonts w:hint="default" w:ascii="Times New Roman" w:hAnsi="Times New Roman" w:cs="Times New Roman"/>
                <w:bCs/>
                <w:color w:val="auto"/>
                <w:sz w:val="24"/>
                <w:highlight w:val="none"/>
              </w:rPr>
              <w:t>年版）属于HW49 其他废物，危废代码为900-039-49</w:t>
            </w:r>
            <w:r>
              <w:rPr>
                <w:rFonts w:hint="default" w:ascii="Times New Roman" w:hAnsi="Times New Roman" w:cs="Times New Roman"/>
                <w:bCs/>
                <w:color w:val="auto"/>
                <w:sz w:val="24"/>
                <w:highlight w:val="none"/>
                <w:lang w:val="en-US" w:eastAsia="zh-CN"/>
              </w:rPr>
              <w:t xml:space="preserve"> 烟气、VOCs治理过程（不包括餐饮行业油烟治理过程）产生的废活性炭</w:t>
            </w:r>
            <w:r>
              <w:rPr>
                <w:rFonts w:hint="default" w:ascii="Times New Roman" w:hAnsi="Times New Roman" w:cs="Times New Roman"/>
                <w:bCs/>
                <w:color w:val="auto"/>
                <w:sz w:val="24"/>
                <w:highlight w:val="none"/>
              </w:rPr>
              <w:t>，经收集后，暂存于危废暂存间，定期交由有危险废物处理资质单位处理。</w:t>
            </w:r>
          </w:p>
          <w:p w14:paraId="39FB3358">
            <w:pPr>
              <w:pageBreakBefore w:val="0"/>
              <w:wordWrap w:val="0"/>
              <w:topLinePunct w:val="0"/>
              <w:bidi w:val="0"/>
              <w:adjustRightInd w:val="0"/>
              <w:snapToGrid w:val="0"/>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lang w:val="en-US" w:eastAsia="zh-CN"/>
              </w:rPr>
              <w:t>建设单位拟设置</w:t>
            </w:r>
            <w:r>
              <w:rPr>
                <w:rFonts w:hint="default" w:ascii="Times New Roman" w:hAnsi="Times New Roman" w:cs="Times New Roman"/>
                <w:bCs/>
                <w:color w:val="auto"/>
                <w:sz w:val="24"/>
                <w:highlight w:val="none"/>
              </w:rPr>
              <w:t>1套</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二级活性炭吸附</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color w:val="auto"/>
                <w:sz w:val="24"/>
                <w:highlight w:val="none"/>
              </w:rPr>
              <w:t>装置，其装置的配套风机最高设计风量为</w:t>
            </w:r>
            <w:r>
              <w:rPr>
                <w:rFonts w:hint="eastAsia" w:ascii="Times New Roman" w:hAnsi="Times New Roman" w:cs="Times New Roman"/>
                <w:bCs/>
                <w:color w:val="auto"/>
                <w:sz w:val="24"/>
                <w:highlight w:val="none"/>
                <w:lang w:val="en-US" w:eastAsia="zh-CN"/>
              </w:rPr>
              <w:t>21600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/h，</w:t>
            </w:r>
            <w:r>
              <w:rPr>
                <w:rFonts w:hint="default" w:ascii="Times New Roman" w:hAnsi="Times New Roman" w:cs="Times New Roman"/>
                <w:bCs/>
                <w:color w:val="auto"/>
                <w:sz w:val="24"/>
                <w:highlight w:val="none"/>
              </w:rPr>
              <w:t>根据《广东省生态环境厅关于印发&lt;工业源挥发性有机物和氮氧化物减排量核算方法&gt;的通知》（粤环函〔2023〕538号）中表3.3-3治理效率参考值吸附比例建议取值15%，根据上文废气源强分析可知，</w:t>
            </w:r>
            <w:r>
              <w:rPr>
                <w:rFonts w:hint="default" w:ascii="Times New Roman" w:hAnsi="Times New Roman" w:cs="Times New Roman"/>
                <w:bCs/>
                <w:color w:val="auto"/>
                <w:sz w:val="24"/>
                <w:highlight w:val="none"/>
                <w:lang w:eastAsia="zh-CN"/>
              </w:rPr>
              <w:t>本项目</w:t>
            </w:r>
            <w:r>
              <w:rPr>
                <w:rFonts w:hint="default" w:ascii="Times New Roman" w:hAnsi="Times New Roman" w:cs="Times New Roman"/>
                <w:bCs/>
                <w:color w:val="auto"/>
                <w:sz w:val="24"/>
                <w:highlight w:val="none"/>
                <w:lang w:val="en-US" w:eastAsia="zh-CN"/>
              </w:rPr>
              <w:t>有机废气</w:t>
            </w:r>
            <w:r>
              <w:rPr>
                <w:rFonts w:hint="default" w:ascii="Times New Roman" w:hAnsi="Times New Roman" w:cs="Times New Roman"/>
                <w:bCs/>
                <w:color w:val="auto"/>
                <w:sz w:val="24"/>
                <w:highlight w:val="none"/>
              </w:rPr>
              <w:t>进入二级活性炭吸附装置的VOCs量为</w:t>
            </w:r>
            <w:r>
              <w:rPr>
                <w:rFonts w:hint="eastAsia" w:ascii="Times New Roman" w:hAnsi="Times New Roman" w:cs="Times New Roman"/>
                <w:bCs/>
                <w:color w:val="auto"/>
                <w:sz w:val="24"/>
                <w:highlight w:val="none"/>
                <w:lang w:val="en-US" w:eastAsia="zh-CN"/>
              </w:rPr>
              <w:t>1.3744</w:t>
            </w:r>
            <w:r>
              <w:rPr>
                <w:rFonts w:hint="default" w:ascii="Times New Roman" w:hAnsi="Times New Roman" w:cs="Times New Roman"/>
                <w:bCs/>
                <w:color w:val="auto"/>
                <w:sz w:val="24"/>
                <w:highlight w:val="none"/>
              </w:rPr>
              <w:t>t/a，理论上被活性炭吸附的VOCs量</w:t>
            </w:r>
            <w:r>
              <w:rPr>
                <w:rFonts w:hint="eastAsia" w:ascii="Times New Roman" w:hAnsi="Times New Roman" w:cs="Times New Roman"/>
                <w:bCs/>
                <w:color w:val="auto"/>
                <w:sz w:val="24"/>
                <w:highlight w:val="none"/>
                <w:lang w:val="en-US" w:eastAsia="zh-CN"/>
              </w:rPr>
              <w:t>=1.3744-0.275=1.0994</w:t>
            </w:r>
            <w:r>
              <w:rPr>
                <w:rFonts w:hint="default" w:ascii="Times New Roman" w:hAnsi="Times New Roman" w:cs="Times New Roman"/>
                <w:bCs/>
                <w:color w:val="auto"/>
                <w:sz w:val="24"/>
                <w:highlight w:val="none"/>
                <w:lang w:val="en-US" w:eastAsia="zh-CN"/>
              </w:rPr>
              <w:t>t</w:t>
            </w:r>
            <w:r>
              <w:rPr>
                <w:rFonts w:hint="default" w:ascii="Times New Roman" w:hAnsi="Times New Roman" w:cs="Times New Roman"/>
                <w:bCs/>
                <w:color w:val="auto"/>
                <w:sz w:val="24"/>
                <w:highlight w:val="none"/>
              </w:rPr>
              <w:t>/a。</w:t>
            </w:r>
          </w:p>
          <w:p w14:paraId="52712124">
            <w:pPr>
              <w:keepNext w:val="0"/>
              <w:keepLines w:val="0"/>
              <w:pageBreakBefore w:val="0"/>
              <w:widowControl/>
              <w:kinsoku/>
              <w:wordWrap w:val="0"/>
              <w:overflowPunct/>
              <w:topLinePunct w:val="0"/>
              <w:autoSpaceDE/>
              <w:autoSpaceDN/>
              <w:bidi w:val="0"/>
              <w:adjustRightInd/>
              <w:snapToGrid/>
              <w:ind w:firstLine="0"/>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w:t>
            </w:r>
            <w:r>
              <w:rPr>
                <w:rFonts w:hint="default" w:ascii="Times New Roman" w:hAnsi="Times New Roman" w:cs="Times New Roman"/>
                <w:b/>
                <w:color w:val="auto"/>
                <w:sz w:val="21"/>
                <w:szCs w:val="21"/>
                <w:highlight w:val="none"/>
              </w:rPr>
              <w:fldChar w:fldCharType="begin"/>
            </w:r>
            <w:r>
              <w:rPr>
                <w:rFonts w:hint="default" w:ascii="Times New Roman" w:hAnsi="Times New Roman" w:cs="Times New Roman"/>
                <w:b/>
                <w:color w:val="auto"/>
                <w:sz w:val="21"/>
                <w:szCs w:val="21"/>
                <w:highlight w:val="none"/>
              </w:rPr>
              <w:instrText xml:space="preserve"> STYLEREF 1 \s </w:instrText>
            </w:r>
            <w:r>
              <w:rPr>
                <w:rFonts w:hint="default" w:ascii="Times New Roman" w:hAnsi="Times New Roman" w:cs="Times New Roman"/>
                <w:b/>
                <w:color w:val="auto"/>
                <w:sz w:val="21"/>
                <w:szCs w:val="21"/>
                <w:highlight w:val="none"/>
              </w:rPr>
              <w:fldChar w:fldCharType="separate"/>
            </w:r>
            <w:r>
              <w:rPr>
                <w:rFonts w:hint="default" w:ascii="Times New Roman" w:hAnsi="Times New Roman" w:cs="Times New Roman"/>
                <w:b/>
                <w:color w:val="auto"/>
                <w:sz w:val="21"/>
                <w:szCs w:val="21"/>
                <w:highlight w:val="none"/>
              </w:rPr>
              <w:t>4</w:t>
            </w:r>
            <w:r>
              <w:rPr>
                <w:rFonts w:hint="default" w:ascii="Times New Roman" w:hAnsi="Times New Roman" w:cs="Times New Roman"/>
                <w:b/>
                <w:color w:val="auto"/>
                <w:sz w:val="21"/>
                <w:szCs w:val="21"/>
                <w:highlight w:val="none"/>
              </w:rPr>
              <w:fldChar w:fldCharType="end"/>
            </w:r>
            <w:r>
              <w:rPr>
                <w:rFonts w:hint="default" w:ascii="Times New Roman" w:hAnsi="Times New Roman" w:cs="Times New Roman"/>
                <w:b/>
                <w:color w:val="auto"/>
                <w:sz w:val="21"/>
                <w:szCs w:val="21"/>
                <w:highlight w:val="none"/>
              </w:rPr>
              <w:t>-</w:t>
            </w:r>
            <w:r>
              <w:rPr>
                <w:rFonts w:hint="default" w:ascii="Times New Roman" w:hAnsi="Times New Roman" w:cs="Times New Roman"/>
                <w:b/>
                <w:color w:val="auto"/>
                <w:sz w:val="21"/>
                <w:szCs w:val="21"/>
                <w:highlight w:val="none"/>
                <w:lang w:val="en-US" w:eastAsia="zh-CN"/>
              </w:rPr>
              <w:t>16</w:t>
            </w:r>
            <w:r>
              <w:rPr>
                <w:rFonts w:hint="default" w:ascii="Times New Roman" w:hAnsi="Times New Roman" w:cs="Times New Roman"/>
                <w:b/>
                <w:color w:val="auto"/>
                <w:sz w:val="21"/>
                <w:szCs w:val="21"/>
                <w:highlight w:val="none"/>
              </w:rPr>
              <w:t>二级活性炭吸附装置设计参数一览表</w:t>
            </w:r>
          </w:p>
          <w:tbl>
            <w:tblPr>
              <w:tblStyle w:val="38"/>
              <w:tblW w:w="8636"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868"/>
              <w:gridCol w:w="2110"/>
              <w:gridCol w:w="3658"/>
            </w:tblGrid>
            <w:tr w14:paraId="23CB0D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05FEC3F5">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参数</w:t>
                  </w:r>
                </w:p>
              </w:tc>
              <w:tc>
                <w:tcPr>
                  <w:tcW w:w="1221" w:type="pct"/>
                  <w:tcBorders>
                    <w:top w:val="single" w:color="000000" w:sz="4" w:space="0"/>
                    <w:left w:val="single" w:color="000000" w:sz="4" w:space="0"/>
                    <w:bottom w:val="single" w:color="000000" w:sz="4" w:space="0"/>
                    <w:right w:val="single" w:color="000000" w:sz="4" w:space="0"/>
                  </w:tcBorders>
                  <w:noWrap w:val="0"/>
                  <w:vAlign w:val="center"/>
                </w:tcPr>
                <w:p w14:paraId="04E0C465">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DA001排气筒活性炭参数</w:t>
                  </w:r>
                </w:p>
              </w:tc>
              <w:tc>
                <w:tcPr>
                  <w:tcW w:w="2117" w:type="pct"/>
                  <w:tcBorders>
                    <w:top w:val="single" w:color="000000" w:sz="4" w:space="0"/>
                    <w:left w:val="single" w:color="000000" w:sz="4" w:space="0"/>
                    <w:bottom w:val="single" w:color="000000" w:sz="4" w:space="0"/>
                    <w:right w:val="single" w:color="000000" w:sz="4" w:space="0"/>
                  </w:tcBorders>
                  <w:noWrap/>
                  <w:vAlign w:val="center"/>
                </w:tcPr>
                <w:p w14:paraId="0FEC7B6B">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备注</w:t>
                  </w:r>
                </w:p>
              </w:tc>
            </w:tr>
            <w:tr w14:paraId="19C6D7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0"/>
                  <w:vAlign w:val="center"/>
                </w:tcPr>
                <w:p w14:paraId="676CE2BB">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总风量（m³/h）</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5E344045">
                  <w:pPr>
                    <w:pStyle w:val="123"/>
                    <w:pageBreakBefore w:val="0"/>
                    <w:wordWrap w:val="0"/>
                    <w:topLinePunct w:val="0"/>
                    <w:bidi w:val="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21600</w:t>
                  </w:r>
                </w:p>
              </w:tc>
              <w:tc>
                <w:tcPr>
                  <w:tcW w:w="2117" w:type="pct"/>
                  <w:tcBorders>
                    <w:top w:val="single" w:color="000000" w:sz="4" w:space="0"/>
                    <w:left w:val="single" w:color="000000" w:sz="4" w:space="0"/>
                    <w:bottom w:val="single" w:color="000000" w:sz="4" w:space="0"/>
                    <w:right w:val="single" w:color="000000" w:sz="4" w:space="0"/>
                  </w:tcBorders>
                  <w:noWrap/>
                  <w:vAlign w:val="center"/>
                </w:tcPr>
                <w:p w14:paraId="03658830">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77AD9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13F8B3DA">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单级活性炭箱炭层层数（层）</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4D50D8CC">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7D0A8A58">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bCs/>
                      <w:color w:val="auto"/>
                      <w:spacing w:val="-10"/>
                      <w:highlight w:val="none"/>
                      <w:lang w:val="en-US" w:eastAsia="zh-CN"/>
                    </w:rPr>
                    <w:t>设</w:t>
                  </w:r>
                  <w:r>
                    <w:rPr>
                      <w:rFonts w:hint="default" w:ascii="Times New Roman" w:hAnsi="Times New Roman" w:cs="Times New Roman"/>
                      <w:bCs/>
                      <w:color w:val="auto"/>
                      <w:spacing w:val="-10"/>
                      <w:highlight w:val="none"/>
                    </w:rPr>
                    <w:t>置4行两列，共8个抽柜</w:t>
                  </w:r>
                </w:p>
              </w:tc>
            </w:tr>
            <w:tr w14:paraId="745A4C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39256CCA">
                  <w:pPr>
                    <w:pStyle w:val="123"/>
                    <w:pageBreakBefore w:val="0"/>
                    <w:wordWrap w:val="0"/>
                    <w:topLinePunct w:val="0"/>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单个抽柜尺寸</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4CC579C5">
                  <w:pPr>
                    <w:pStyle w:val="123"/>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bCs/>
                      <w:color w:val="auto"/>
                      <w:spacing w:val="-10"/>
                      <w:highlight w:val="none"/>
                      <w:lang w:val="en-US" w:eastAsia="zh-CN"/>
                    </w:rPr>
                    <w:t>80</w:t>
                  </w:r>
                  <w:r>
                    <w:rPr>
                      <w:rFonts w:hint="default" w:ascii="Times New Roman" w:hAnsi="Times New Roman" w:cs="Times New Roman"/>
                      <w:bCs/>
                      <w:color w:val="auto"/>
                      <w:spacing w:val="-10"/>
                      <w:highlight w:val="none"/>
                    </w:rPr>
                    <w:t>0mm×2</w:t>
                  </w:r>
                  <w:r>
                    <w:rPr>
                      <w:rFonts w:hint="default" w:ascii="Times New Roman" w:hAnsi="Times New Roman" w:cs="Times New Roman"/>
                      <w:bCs/>
                      <w:color w:val="auto"/>
                      <w:spacing w:val="-10"/>
                      <w:highlight w:val="none"/>
                      <w:lang w:val="en-US" w:eastAsia="zh-CN"/>
                    </w:rPr>
                    <w:t>0</w:t>
                  </w:r>
                  <w:r>
                    <w:rPr>
                      <w:rFonts w:hint="default" w:ascii="Times New Roman" w:hAnsi="Times New Roman" w:cs="Times New Roman"/>
                      <w:bCs/>
                      <w:color w:val="auto"/>
                      <w:spacing w:val="-10"/>
                      <w:highlight w:val="none"/>
                    </w:rPr>
                    <w:t>00m</w:t>
                  </w:r>
                  <w:r>
                    <w:rPr>
                      <w:rFonts w:hint="default" w:ascii="Times New Roman" w:hAnsi="Times New Roman" w:cs="Times New Roman"/>
                      <w:bCs/>
                      <w:color w:val="auto"/>
                      <w:spacing w:val="-10"/>
                      <w:highlight w:val="none"/>
                      <w:lang w:val="en-US" w:eastAsia="zh-CN"/>
                    </w:rPr>
                    <w:t>m</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15B775DE">
                  <w:pPr>
                    <w:pStyle w:val="123"/>
                    <w:pageBreakBefore w:val="0"/>
                    <w:wordWrap w:val="0"/>
                    <w:topLinePunct w:val="0"/>
                    <w:bidi w:val="0"/>
                    <w:jc w:val="center"/>
                    <w:rPr>
                      <w:rFonts w:hint="default" w:ascii="Times New Roman" w:hAnsi="Times New Roman" w:cs="Times New Roman"/>
                      <w:color w:val="auto"/>
                      <w:highlight w:val="none"/>
                      <w:lang w:val="en-US" w:eastAsia="zh-CN"/>
                    </w:rPr>
                  </w:pPr>
                </w:p>
              </w:tc>
            </w:tr>
            <w:tr w14:paraId="44C189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0"/>
                  <w:vAlign w:val="center"/>
                </w:tcPr>
                <w:p w14:paraId="65D5AE55">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活性炭形状</w:t>
                  </w:r>
                </w:p>
              </w:tc>
              <w:tc>
                <w:tcPr>
                  <w:tcW w:w="1221" w:type="pct"/>
                  <w:tcBorders>
                    <w:top w:val="single" w:color="000000" w:sz="4" w:space="0"/>
                    <w:left w:val="single" w:color="000000" w:sz="4" w:space="0"/>
                    <w:bottom w:val="single" w:color="000000" w:sz="4" w:space="0"/>
                    <w:right w:val="single" w:color="000000" w:sz="4" w:space="0"/>
                  </w:tcBorders>
                  <w:noWrap w:val="0"/>
                  <w:vAlign w:val="center"/>
                </w:tcPr>
                <w:p w14:paraId="451D6FCA">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颗粒状</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1B7443D4">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6AB6AF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0"/>
                  <w:vAlign w:val="center"/>
                </w:tcPr>
                <w:p w14:paraId="391F7B20">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设计单层炭层厚度（m）</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3F226308">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0.3</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7BD677A3">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根据《广东省工业源挥发性有机物减排量核算方法（2023年修订版）》，活性炭层装填厚度不低于300mm</w:t>
                  </w:r>
                </w:p>
              </w:tc>
            </w:tr>
            <w:tr w14:paraId="718411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5A232532">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设计过滤风速（m/s）</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781EE106">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0.46</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65DA2E55">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根据《广东省工业源挥发性有机物减排量核算方法（2023年修订版）》，颗粒状活性炭风速＜0.5m/s</w:t>
                  </w:r>
                </w:p>
              </w:tc>
            </w:tr>
            <w:tr w14:paraId="14987C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0"/>
                  <w:vAlign w:val="center"/>
                </w:tcPr>
                <w:p w14:paraId="64CA0946">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停留时间（s）</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2D029897">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0.65</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1ECF6B9D">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停留时间=活性炭层厚度/过滤风速</w:t>
                  </w:r>
                </w:p>
              </w:tc>
            </w:tr>
            <w:tr w14:paraId="5F4765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0"/>
                  <w:vAlign w:val="center"/>
                </w:tcPr>
                <w:p w14:paraId="5DBFC33D">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活性炭堆积密度（kg/m³）</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006DC6F7">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350</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7FA69970">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根据《简明通风设计手册》，粒状活性炭的填充密度为0.35~0.60g/c</w:t>
                  </w:r>
                  <w:r>
                    <w:rPr>
                      <w:rFonts w:hint="default" w:ascii="Times New Roman" w:hAnsi="Times New Roman" w:eastAsia="Times New Roman" w:cs="Times New Roman"/>
                      <w:color w:val="auto"/>
                      <w:highlight w:val="none"/>
                      <w:lang w:val="en-US" w:eastAsia="zh-CN"/>
                    </w:rPr>
                    <w:t>m³</w:t>
                  </w:r>
                  <w:r>
                    <w:rPr>
                      <w:rFonts w:hint="default" w:ascii="Times New Roman" w:hAnsi="Times New Roman" w:cs="Times New Roman"/>
                      <w:color w:val="auto"/>
                      <w:highlight w:val="none"/>
                      <w:lang w:val="en-US" w:eastAsia="zh-CN"/>
                    </w:rPr>
                    <w:t>，本项目取 0.35g/c</w:t>
                  </w:r>
                  <w:r>
                    <w:rPr>
                      <w:rFonts w:hint="default" w:ascii="Times New Roman" w:hAnsi="Times New Roman" w:eastAsia="Times New Roman" w:cs="Times New Roman"/>
                      <w:color w:val="auto"/>
                      <w:highlight w:val="none"/>
                      <w:lang w:val="en-US" w:eastAsia="zh-CN"/>
                    </w:rPr>
                    <w:t>m³</w:t>
                  </w:r>
                </w:p>
              </w:tc>
            </w:tr>
            <w:tr w14:paraId="691EBA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66AFB0E9">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二级活性炭炭层总体积（m³）</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6E5A79DA">
                  <w:pPr>
                    <w:pStyle w:val="123"/>
                    <w:pageBreakBefore w:val="0"/>
                    <w:wordWrap w:val="0"/>
                    <w:topLinePunct w:val="0"/>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7.68</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59A7D89E">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1A9F30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0"/>
                  <w:vAlign w:val="center"/>
                </w:tcPr>
                <w:p w14:paraId="425BEA87">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二级活性炭装填总量（t）</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25DA760A">
                  <w:pPr>
                    <w:pStyle w:val="123"/>
                    <w:pageBreakBefore w:val="0"/>
                    <w:wordWrap w:val="0"/>
                    <w:topLinePunct w:val="0"/>
                    <w:bidi w:val="0"/>
                    <w:jc w:val="center"/>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2.668</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42E842F5">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2CB568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706788AF">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年更换次数（次）</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0D2C1CD1">
                  <w:pPr>
                    <w:pStyle w:val="123"/>
                    <w:pageBreakBefore w:val="0"/>
                    <w:wordWrap w:val="0"/>
                    <w:topLinePunct w:val="0"/>
                    <w:bidi w:val="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4</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27382952">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0ADABFA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5C55812D">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吸附比例（%）</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25A1F265">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15</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2FA96907">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根据《广东省工业源挥发性有机物减排量核算方法（2023年修订版）》，活性炭吸附比例取值 15%</w:t>
                  </w:r>
                </w:p>
              </w:tc>
            </w:tr>
            <w:tr w14:paraId="36B4DA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2616ADA8">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废活性炭运维产生量（t/a）</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7ED70094">
                  <w:pPr>
                    <w:pStyle w:val="123"/>
                    <w:pageBreakBefore w:val="0"/>
                    <w:wordWrap w:val="0"/>
                    <w:topLinePunct w:val="0"/>
                    <w:bidi w:val="0"/>
                    <w:jc w:val="center"/>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10.672</w:t>
                  </w:r>
                </w:p>
              </w:tc>
              <w:tc>
                <w:tcPr>
                  <w:tcW w:w="2117" w:type="pct"/>
                  <w:tcBorders>
                    <w:top w:val="single" w:color="000000" w:sz="4" w:space="0"/>
                    <w:left w:val="single" w:color="000000" w:sz="4" w:space="0"/>
                    <w:bottom w:val="single" w:color="000000" w:sz="4" w:space="0"/>
                    <w:right w:val="single" w:color="000000" w:sz="4" w:space="0"/>
                  </w:tcBorders>
                  <w:noWrap/>
                  <w:vAlign w:val="center"/>
                </w:tcPr>
                <w:p w14:paraId="4C794910">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390660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01E6BBE6">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VOCs理论削减量（t/a）</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673F7473">
                  <w:pPr>
                    <w:pStyle w:val="123"/>
                    <w:pageBreakBefore w:val="0"/>
                    <w:wordWrap w:val="0"/>
                    <w:topLinePunct w:val="0"/>
                    <w:bidi w:val="0"/>
                    <w:jc w:val="center"/>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1.6008</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01828D13">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理论削减量=活性炭装年更换量×吸附比例</w:t>
                  </w:r>
                </w:p>
              </w:tc>
            </w:tr>
            <w:tr w14:paraId="67D3A7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5BF10AC9">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VOCs所需削减量（t/a）</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25412866">
                  <w:pPr>
                    <w:pStyle w:val="123"/>
                    <w:pageBreakBefore w:val="0"/>
                    <w:wordWrap w:val="0"/>
                    <w:topLinePunct w:val="0"/>
                    <w:bidi w:val="0"/>
                    <w:jc w:val="center"/>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1.0994</w:t>
                  </w:r>
                </w:p>
              </w:tc>
              <w:tc>
                <w:tcPr>
                  <w:tcW w:w="2117" w:type="pct"/>
                  <w:tcBorders>
                    <w:top w:val="single" w:color="000000" w:sz="4" w:space="0"/>
                    <w:left w:val="single" w:color="000000" w:sz="4" w:space="0"/>
                    <w:bottom w:val="single" w:color="000000" w:sz="4" w:space="0"/>
                    <w:right w:val="single" w:color="000000" w:sz="4" w:space="0"/>
                  </w:tcBorders>
                  <w:noWrap w:val="0"/>
                  <w:vAlign w:val="center"/>
                </w:tcPr>
                <w:p w14:paraId="69F2EECD">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w:t>
                  </w:r>
                </w:p>
              </w:tc>
            </w:tr>
            <w:tr w14:paraId="07D301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0" w:hRule="atLeast"/>
                <w:jc w:val="center"/>
              </w:trPr>
              <w:tc>
                <w:tcPr>
                  <w:tcW w:w="1660" w:type="pct"/>
                  <w:tcBorders>
                    <w:top w:val="single" w:color="000000" w:sz="4" w:space="0"/>
                    <w:left w:val="single" w:color="000000" w:sz="4" w:space="0"/>
                    <w:bottom w:val="single" w:color="000000" w:sz="4" w:space="0"/>
                    <w:right w:val="single" w:color="000000" w:sz="4" w:space="0"/>
                  </w:tcBorders>
                  <w:noWrap/>
                  <w:vAlign w:val="center"/>
                </w:tcPr>
                <w:p w14:paraId="01A4537E">
                  <w:pPr>
                    <w:pStyle w:val="123"/>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废活性炭理论产生量（t/a）</w:t>
                  </w:r>
                </w:p>
              </w:tc>
              <w:tc>
                <w:tcPr>
                  <w:tcW w:w="1221" w:type="pct"/>
                  <w:tcBorders>
                    <w:top w:val="single" w:color="000000" w:sz="4" w:space="0"/>
                    <w:left w:val="single" w:color="000000" w:sz="4" w:space="0"/>
                    <w:bottom w:val="single" w:color="000000" w:sz="4" w:space="0"/>
                    <w:right w:val="single" w:color="000000" w:sz="4" w:space="0"/>
                  </w:tcBorders>
                  <w:noWrap/>
                  <w:vAlign w:val="center"/>
                </w:tcPr>
                <w:p w14:paraId="4157A6BF">
                  <w:pPr>
                    <w:pStyle w:val="123"/>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12</w:t>
                  </w:r>
                </w:p>
              </w:tc>
              <w:tc>
                <w:tcPr>
                  <w:tcW w:w="2117" w:type="pct"/>
                  <w:tcBorders>
                    <w:top w:val="single" w:color="000000" w:sz="4" w:space="0"/>
                    <w:left w:val="single" w:color="000000" w:sz="4" w:space="0"/>
                    <w:bottom w:val="single" w:color="000000" w:sz="4" w:space="0"/>
                    <w:right w:val="single" w:color="000000" w:sz="4" w:space="0"/>
                  </w:tcBorders>
                  <w:noWrap/>
                  <w:vAlign w:val="center"/>
                </w:tcPr>
                <w:p w14:paraId="204EAC86">
                  <w:pPr>
                    <w:pStyle w:val="123"/>
                    <w:pageBreakBefore w:val="0"/>
                    <w:wordWrap w:val="0"/>
                    <w:topLinePunct w:val="0"/>
                    <w:bidi w:val="0"/>
                    <w:jc w:val="center"/>
                    <w:rPr>
                      <w:rFonts w:hint="default" w:ascii="Times New Roman" w:hAnsi="Times New Roman" w:cs="Times New Roman"/>
                      <w:color w:val="auto"/>
                      <w:highlight w:val="none"/>
                      <w:lang w:val="en-US"/>
                    </w:rPr>
                  </w:pPr>
                  <w:r>
                    <w:rPr>
                      <w:rFonts w:hint="eastAsia" w:ascii="Times New Roman" w:hAnsi="Times New Roman" w:cs="Times New Roman"/>
                      <w:color w:val="auto"/>
                      <w:highlight w:val="none"/>
                      <w:lang w:val="en-US" w:eastAsia="zh-CN"/>
                    </w:rPr>
                    <w:t>11.7714取整</w:t>
                  </w:r>
                </w:p>
              </w:tc>
            </w:tr>
          </w:tbl>
          <w:p w14:paraId="42335D01">
            <w:pPr>
              <w:pStyle w:val="2"/>
              <w:pageBreakBefore w:val="0"/>
              <w:wordWrap w:val="0"/>
              <w:topLinePunct w:val="0"/>
              <w:bidi w:val="0"/>
              <w:ind w:firstLine="480"/>
              <w:rPr>
                <w:rFonts w:hint="default" w:ascii="Times New Roman" w:hAnsi="Times New Roman" w:cs="Times New Roman"/>
                <w:bCs/>
                <w:color w:val="auto"/>
                <w:sz w:val="24"/>
                <w:highlight w:val="none"/>
              </w:rPr>
            </w:pPr>
            <w:r>
              <w:rPr>
                <w:rFonts w:hint="default" w:ascii="Times New Roman" w:hAnsi="Times New Roman" w:cs="Times New Roman"/>
                <w:color w:val="auto"/>
                <w:kern w:val="0"/>
                <w:highlight w:val="none"/>
                <w:lang w:bidi="ar"/>
              </w:rPr>
              <w:t>根据《广东省生态环境厅&lt;关于印发工业源挥发性有机物和氮氧化物减排量核算方法&gt;的通知》粤环函</w:t>
            </w:r>
            <w:r>
              <w:rPr>
                <w:rFonts w:hint="default" w:ascii="Times New Roman" w:hAnsi="Times New Roman" w:cs="Times New Roman"/>
                <w:bCs/>
                <w:color w:val="auto"/>
                <w:highlight w:val="none"/>
              </w:rPr>
              <w:t>〔2023〕</w:t>
            </w:r>
            <w:r>
              <w:rPr>
                <w:rFonts w:hint="default" w:ascii="Times New Roman" w:hAnsi="Times New Roman" w:cs="Times New Roman"/>
                <w:color w:val="auto"/>
                <w:kern w:val="0"/>
                <w:highlight w:val="none"/>
                <w:lang w:bidi="ar"/>
              </w:rPr>
              <w:t>538号文件要求</w:t>
            </w:r>
            <w:r>
              <w:rPr>
                <w:rFonts w:hint="default" w:ascii="Times New Roman" w:hAnsi="Times New Roman" w:cs="Times New Roman"/>
                <w:color w:val="auto"/>
                <w:highlight w:val="none"/>
              </w:rPr>
              <w:t>，活性炭吸附装置采用蜂窝状活性炭时，</w:t>
            </w:r>
            <w:r>
              <w:rPr>
                <w:rFonts w:hint="default" w:ascii="Times New Roman" w:hAnsi="Times New Roman" w:eastAsia="楷体_GB2312" w:cs="Times New Roman"/>
                <w:color w:val="auto"/>
                <w:kern w:val="0"/>
                <w:highlight w:val="none"/>
                <w:lang w:bidi="ar"/>
              </w:rPr>
              <w:t>蜂窝状活性炭风速＜</w:t>
            </w:r>
            <w:r>
              <w:rPr>
                <w:rFonts w:hint="default" w:ascii="Times New Roman" w:hAnsi="Times New Roman" w:cs="Times New Roman"/>
                <w:color w:val="auto"/>
                <w:kern w:val="0"/>
                <w:highlight w:val="none"/>
                <w:lang w:bidi="ar"/>
              </w:rPr>
              <w:t>1.2m/s</w:t>
            </w:r>
            <w:r>
              <w:rPr>
                <w:rFonts w:hint="default" w:ascii="Times New Roman" w:hAnsi="Times New Roman" w:eastAsia="楷体_GB2312" w:cs="Times New Roman"/>
                <w:color w:val="auto"/>
                <w:kern w:val="0"/>
                <w:highlight w:val="none"/>
                <w:lang w:bidi="ar"/>
              </w:rPr>
              <w:t>。活性炭层装填厚度不低于</w:t>
            </w:r>
            <w:r>
              <w:rPr>
                <w:rFonts w:hint="default" w:ascii="Times New Roman" w:hAnsi="Times New Roman" w:cs="Times New Roman"/>
                <w:color w:val="auto"/>
                <w:kern w:val="0"/>
                <w:highlight w:val="none"/>
                <w:lang w:bidi="ar"/>
              </w:rPr>
              <w:t>300mm</w:t>
            </w:r>
            <w:r>
              <w:rPr>
                <w:rFonts w:hint="default" w:ascii="Times New Roman" w:hAnsi="Times New Roman" w:eastAsia="楷体_GB2312" w:cs="Times New Roman"/>
                <w:color w:val="auto"/>
                <w:kern w:val="0"/>
                <w:highlight w:val="none"/>
                <w:lang w:bidi="ar"/>
              </w:rPr>
              <w:t>，</w:t>
            </w:r>
            <w:r>
              <w:rPr>
                <w:rFonts w:hint="default" w:ascii="Times New Roman" w:hAnsi="Times New Roman" w:cs="Times New Roman"/>
                <w:color w:val="auto"/>
                <w:highlight w:val="none"/>
              </w:rPr>
              <w:t>废气处理设施VOCs理论削减量应当大于实际需削减VOCs的量。项目拟设置二级蜂窝状活性炭吸附装置，蜂窝状活性炭风速为0.</w:t>
            </w:r>
            <w:r>
              <w:rPr>
                <w:rFonts w:hint="default" w:ascii="Times New Roman" w:hAnsi="Times New Roman" w:cs="Times New Roman"/>
                <w:color w:val="auto"/>
                <w:highlight w:val="none"/>
                <w:lang w:val="en-US" w:eastAsia="zh-CN"/>
              </w:rPr>
              <w:t>46</w:t>
            </w:r>
            <w:r>
              <w:rPr>
                <w:rFonts w:hint="default" w:ascii="Times New Roman" w:hAnsi="Times New Roman" w:cs="Times New Roman"/>
                <w:color w:val="auto"/>
                <w:highlight w:val="none"/>
              </w:rPr>
              <w:t>m/s，停留时间为</w:t>
            </w:r>
            <w:r>
              <w:rPr>
                <w:rFonts w:hint="default" w:ascii="Times New Roman" w:hAnsi="Times New Roman" w:cs="Times New Roman"/>
                <w:color w:val="auto"/>
                <w:highlight w:val="none"/>
                <w:lang w:val="en-US" w:eastAsia="zh-CN"/>
              </w:rPr>
              <w:t>0.65</w:t>
            </w:r>
            <w:r>
              <w:rPr>
                <w:rFonts w:hint="default" w:ascii="Times New Roman" w:hAnsi="Times New Roman" w:cs="Times New Roman"/>
                <w:color w:val="auto"/>
                <w:highlight w:val="none"/>
              </w:rPr>
              <w:t>s</w:t>
            </w:r>
            <w:r>
              <w:rPr>
                <w:rFonts w:hint="default" w:ascii="Times New Roman" w:hAnsi="Times New Roman" w:cs="Times New Roman"/>
                <w:color w:val="auto"/>
                <w:kern w:val="0"/>
                <w:highlight w:val="none"/>
                <w:lang w:bidi="ar"/>
              </w:rPr>
              <w:t>，</w:t>
            </w:r>
            <w:r>
              <w:rPr>
                <w:rFonts w:hint="default" w:ascii="Times New Roman" w:hAnsi="Times New Roman" w:cs="Times New Roman"/>
                <w:color w:val="auto"/>
                <w:highlight w:val="none"/>
              </w:rPr>
              <w:t>本项目废气处理设施VOCs理论削减量为</w:t>
            </w:r>
            <w:r>
              <w:rPr>
                <w:rFonts w:hint="eastAsia" w:ascii="Times New Roman" w:hAnsi="Times New Roman" w:cs="Times New Roman"/>
                <w:color w:val="auto"/>
                <w:highlight w:val="none"/>
                <w:lang w:val="en-US" w:eastAsia="zh-CN"/>
              </w:rPr>
              <w:t>10.672</w:t>
            </w:r>
            <w:r>
              <w:rPr>
                <w:rFonts w:hint="default" w:ascii="Times New Roman" w:hAnsi="Times New Roman" w:cs="Times New Roman"/>
                <w:color w:val="auto"/>
                <w:highlight w:val="none"/>
              </w:rPr>
              <w:t>t/a×15%=</w:t>
            </w:r>
            <w:r>
              <w:rPr>
                <w:rFonts w:hint="eastAsia" w:ascii="Times New Roman" w:hAnsi="Times New Roman" w:cs="Times New Roman"/>
                <w:color w:val="auto"/>
                <w:highlight w:val="none"/>
                <w:lang w:val="en-US" w:eastAsia="zh-CN"/>
              </w:rPr>
              <w:t>1.6008</w:t>
            </w:r>
            <w:r>
              <w:rPr>
                <w:rFonts w:hint="default" w:ascii="Times New Roman" w:hAnsi="Times New Roman" w:cs="Times New Roman"/>
                <w:color w:val="auto"/>
                <w:highlight w:val="none"/>
              </w:rPr>
              <w:t>t/a，本项目活性炭箱仅需削减VOCs量为</w:t>
            </w:r>
            <w:r>
              <w:rPr>
                <w:rFonts w:hint="eastAsia" w:ascii="Times New Roman" w:hAnsi="Times New Roman" w:cs="Times New Roman"/>
                <w:color w:val="auto"/>
                <w:highlight w:val="none"/>
                <w:lang w:val="en-US" w:eastAsia="zh-CN"/>
              </w:rPr>
              <w:t>1.0994</w:t>
            </w:r>
            <w:r>
              <w:rPr>
                <w:rFonts w:hint="default" w:ascii="Times New Roman" w:hAnsi="Times New Roman" w:cs="Times New Roman"/>
                <w:color w:val="auto"/>
                <w:highlight w:val="none"/>
              </w:rPr>
              <w:t>t/a。因此，本项目拟设置的活性炭吸附装置符合文件要求。</w:t>
            </w:r>
          </w:p>
          <w:p w14:paraId="26C7E24F">
            <w:pPr>
              <w:pageBreakBefore w:val="0"/>
              <w:widowControl w:val="0"/>
              <w:wordWrap w:val="0"/>
              <w:topLinePunct w:val="0"/>
              <w:bidi w:val="0"/>
              <w:spacing w:line="360" w:lineRule="auto"/>
              <w:jc w:val="center"/>
              <w:rPr>
                <w:rFonts w:hint="default" w:ascii="Times New Roman" w:hAnsi="Times New Roman" w:eastAsia="宋体" w:cs="Times New Roman"/>
                <w:b/>
                <w:bCs/>
                <w:color w:val="auto"/>
                <w:kern w:val="2"/>
                <w:sz w:val="21"/>
                <w:szCs w:val="21"/>
                <w:highlight w:val="none"/>
                <w:lang w:val="en-US" w:eastAsia="zh-CN" w:bidi="ar-SA"/>
              </w:rPr>
            </w:pPr>
            <w:bookmarkStart w:id="114" w:name="_Ref10519"/>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bookmarkEnd w:id="114"/>
            <w:r>
              <w:rPr>
                <w:rFonts w:hint="default" w:ascii="Times New Roman" w:hAnsi="Times New Roman" w:cs="Times New Roman"/>
                <w:b/>
                <w:bCs/>
                <w:color w:val="auto"/>
                <w:kern w:val="2"/>
                <w:sz w:val="21"/>
                <w:szCs w:val="21"/>
                <w:highlight w:val="none"/>
                <w:lang w:val="en-US" w:eastAsia="zh-CN" w:bidi="ar-SA"/>
              </w:rPr>
              <w:t>17</w:t>
            </w:r>
            <w:r>
              <w:rPr>
                <w:rFonts w:hint="default" w:ascii="Times New Roman" w:hAnsi="Times New Roman" w:eastAsia="宋体" w:cs="Times New Roman"/>
                <w:b/>
                <w:bCs/>
                <w:color w:val="auto"/>
                <w:kern w:val="2"/>
                <w:sz w:val="21"/>
                <w:szCs w:val="21"/>
                <w:highlight w:val="none"/>
                <w:lang w:val="en-US" w:eastAsia="zh-CN" w:bidi="ar-SA"/>
              </w:rPr>
              <w:t>固体废物污染源源强核算结果及相关参数一览表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1"/>
              <w:gridCol w:w="1033"/>
              <w:gridCol w:w="1321"/>
              <w:gridCol w:w="1033"/>
              <w:gridCol w:w="1035"/>
              <w:gridCol w:w="1033"/>
              <w:gridCol w:w="1036"/>
              <w:gridCol w:w="1038"/>
            </w:tblGrid>
            <w:tr w14:paraId="59AE6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Merge w:val="restart"/>
                  <w:vAlign w:val="center"/>
                </w:tcPr>
                <w:p w14:paraId="157437FC">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固体废物名称</w:t>
                  </w:r>
                </w:p>
              </w:tc>
              <w:tc>
                <w:tcPr>
                  <w:tcW w:w="603" w:type="pct"/>
                  <w:vMerge w:val="restart"/>
                  <w:vAlign w:val="center"/>
                </w:tcPr>
                <w:p w14:paraId="780E74C9">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固废属性</w:t>
                  </w:r>
                </w:p>
              </w:tc>
              <w:tc>
                <w:tcPr>
                  <w:tcW w:w="771" w:type="pct"/>
                  <w:vMerge w:val="restart"/>
                  <w:vAlign w:val="center"/>
                </w:tcPr>
                <w:p w14:paraId="29F7E7E3">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代码</w:t>
                  </w:r>
                </w:p>
              </w:tc>
              <w:tc>
                <w:tcPr>
                  <w:tcW w:w="1207" w:type="pct"/>
                  <w:gridSpan w:val="2"/>
                  <w:vAlign w:val="center"/>
                </w:tcPr>
                <w:p w14:paraId="33FB9811">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产生情况</w:t>
                  </w:r>
                </w:p>
              </w:tc>
              <w:tc>
                <w:tcPr>
                  <w:tcW w:w="1208" w:type="pct"/>
                  <w:gridSpan w:val="2"/>
                  <w:vAlign w:val="center"/>
                </w:tcPr>
                <w:p w14:paraId="14EC465F">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处理措施</w:t>
                  </w:r>
                </w:p>
              </w:tc>
              <w:tc>
                <w:tcPr>
                  <w:tcW w:w="606" w:type="pct"/>
                  <w:vMerge w:val="restart"/>
                  <w:vAlign w:val="center"/>
                </w:tcPr>
                <w:p w14:paraId="662A2274">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最终去向</w:t>
                  </w:r>
                </w:p>
              </w:tc>
            </w:tr>
            <w:tr w14:paraId="616D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Merge w:val="continue"/>
                  <w:vAlign w:val="center"/>
                </w:tcPr>
                <w:p w14:paraId="73D1E88C">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603" w:type="pct"/>
                  <w:vMerge w:val="continue"/>
                  <w:vAlign w:val="center"/>
                </w:tcPr>
                <w:p w14:paraId="66690A08">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71" w:type="pct"/>
                  <w:vMerge w:val="continue"/>
                  <w:vAlign w:val="center"/>
                </w:tcPr>
                <w:p w14:paraId="06630EC1">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p>
              </w:tc>
              <w:tc>
                <w:tcPr>
                  <w:tcW w:w="603" w:type="pct"/>
                  <w:vAlign w:val="center"/>
                </w:tcPr>
                <w:p w14:paraId="780D2EB0">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核算方法</w:t>
                  </w:r>
                </w:p>
              </w:tc>
              <w:tc>
                <w:tcPr>
                  <w:tcW w:w="604" w:type="pct"/>
                  <w:vAlign w:val="center"/>
                </w:tcPr>
                <w:p w14:paraId="47EA66C5">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产生量t/a</w:t>
                  </w:r>
                </w:p>
              </w:tc>
              <w:tc>
                <w:tcPr>
                  <w:tcW w:w="603" w:type="pct"/>
                  <w:vAlign w:val="center"/>
                </w:tcPr>
                <w:p w14:paraId="2F86F4DF">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工艺</w:t>
                  </w:r>
                </w:p>
              </w:tc>
              <w:tc>
                <w:tcPr>
                  <w:tcW w:w="605" w:type="pct"/>
                  <w:vAlign w:val="center"/>
                </w:tcPr>
                <w:p w14:paraId="0A80007B">
                  <w:pPr>
                    <w:pStyle w:val="44"/>
                    <w:pageBreakBefore w:val="0"/>
                    <w:wordWrap w:val="0"/>
                    <w:topLinePunct w:val="0"/>
                    <w:bidi w:val="0"/>
                    <w:spacing w:line="24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处置量t/a</w:t>
                  </w:r>
                </w:p>
              </w:tc>
              <w:tc>
                <w:tcPr>
                  <w:tcW w:w="606" w:type="pct"/>
                  <w:vMerge w:val="continue"/>
                  <w:vAlign w:val="center"/>
                </w:tcPr>
                <w:p w14:paraId="24EC53AC">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r>
            <w:tr w14:paraId="6E505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51B8CF4F">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2"/>
                      <w:sz w:val="21"/>
                      <w:szCs w:val="21"/>
                      <w:highlight w:val="none"/>
                    </w:rPr>
                    <w:t>生活垃圾</w:t>
                  </w:r>
                </w:p>
              </w:tc>
              <w:tc>
                <w:tcPr>
                  <w:tcW w:w="603" w:type="pct"/>
                  <w:vAlign w:val="center"/>
                </w:tcPr>
                <w:p w14:paraId="73BC26BD">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生活垃圾</w:t>
                  </w:r>
                </w:p>
              </w:tc>
              <w:tc>
                <w:tcPr>
                  <w:tcW w:w="771" w:type="pct"/>
                  <w:vAlign w:val="center"/>
                </w:tcPr>
                <w:p w14:paraId="5313FEBE">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900-099-S64</w:t>
                  </w:r>
                </w:p>
              </w:tc>
              <w:tc>
                <w:tcPr>
                  <w:tcW w:w="603" w:type="pct"/>
                  <w:vAlign w:val="center"/>
                </w:tcPr>
                <w:p w14:paraId="71E8C9CD">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产污系数法</w:t>
                  </w:r>
                </w:p>
              </w:tc>
              <w:tc>
                <w:tcPr>
                  <w:tcW w:w="604" w:type="pct"/>
                  <w:vAlign w:val="center"/>
                </w:tcPr>
                <w:p w14:paraId="4C49C44C">
                  <w:pPr>
                    <w:pStyle w:val="44"/>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w:t>
                  </w:r>
                </w:p>
              </w:tc>
              <w:tc>
                <w:tcPr>
                  <w:tcW w:w="603" w:type="pct"/>
                  <w:vAlign w:val="center"/>
                </w:tcPr>
                <w:p w14:paraId="7BC25279">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交由环卫部门处理</w:t>
                  </w:r>
                </w:p>
              </w:tc>
              <w:tc>
                <w:tcPr>
                  <w:tcW w:w="605" w:type="pct"/>
                  <w:vAlign w:val="center"/>
                </w:tcPr>
                <w:p w14:paraId="50DD8C15">
                  <w:pPr>
                    <w:pStyle w:val="44"/>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12.4</w:t>
                  </w:r>
                </w:p>
              </w:tc>
              <w:tc>
                <w:tcPr>
                  <w:tcW w:w="606" w:type="pct"/>
                  <w:vAlign w:val="center"/>
                </w:tcPr>
                <w:p w14:paraId="11A43956">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交由环卫部门处理</w:t>
                  </w:r>
                </w:p>
              </w:tc>
            </w:tr>
            <w:tr w14:paraId="30A5FA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7263246F">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eastAsia="zh-CN"/>
                    </w:rPr>
                  </w:pPr>
                  <w:r>
                    <w:rPr>
                      <w:rFonts w:hint="default" w:ascii="Times New Roman" w:hAnsi="Times New Roman" w:cs="Times New Roman"/>
                      <w:color w:val="auto"/>
                      <w:spacing w:val="-2"/>
                      <w:sz w:val="21"/>
                      <w:szCs w:val="21"/>
                      <w:highlight w:val="none"/>
                      <w:lang w:eastAsia="zh-CN"/>
                    </w:rPr>
                    <w:t>废包装材料</w:t>
                  </w:r>
                </w:p>
              </w:tc>
              <w:tc>
                <w:tcPr>
                  <w:tcW w:w="603" w:type="pct"/>
                  <w:vMerge w:val="restart"/>
                  <w:vAlign w:val="center"/>
                </w:tcPr>
                <w:p w14:paraId="5615BEE4">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一般固废</w:t>
                  </w:r>
                </w:p>
              </w:tc>
              <w:tc>
                <w:tcPr>
                  <w:tcW w:w="771" w:type="pct"/>
                  <w:vAlign w:val="center"/>
                </w:tcPr>
                <w:p w14:paraId="7F4F7259">
                  <w:pPr>
                    <w:pageBreakBefore w:val="0"/>
                    <w:wordWrap w:val="0"/>
                    <w:topLinePunct w:val="0"/>
                    <w:bidi w:val="0"/>
                    <w:spacing w:line="240" w:lineRule="auto"/>
                    <w:jc w:val="center"/>
                    <w:rPr>
                      <w:rFonts w:hint="default" w:ascii="Times New Roman" w:hAnsi="Times New Roman" w:cs="Times New Roman"/>
                      <w:color w:val="auto"/>
                      <w:kern w:val="0"/>
                      <w:position w:val="-10"/>
                      <w:sz w:val="21"/>
                      <w:szCs w:val="21"/>
                      <w:highlight w:val="none"/>
                    </w:rPr>
                  </w:pPr>
                  <w:r>
                    <w:rPr>
                      <w:rFonts w:hint="default" w:ascii="Times New Roman" w:hAnsi="Times New Roman" w:cs="Times New Roman"/>
                      <w:color w:val="auto"/>
                      <w:kern w:val="0"/>
                      <w:position w:val="-10"/>
                      <w:sz w:val="21"/>
                      <w:szCs w:val="21"/>
                      <w:highlight w:val="none"/>
                    </w:rPr>
                    <w:t>900-099-S17</w:t>
                  </w:r>
                </w:p>
              </w:tc>
              <w:tc>
                <w:tcPr>
                  <w:tcW w:w="603" w:type="pct"/>
                  <w:vAlign w:val="center"/>
                </w:tcPr>
                <w:p w14:paraId="27C31E35">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产污系数法</w:t>
                  </w:r>
                </w:p>
              </w:tc>
              <w:tc>
                <w:tcPr>
                  <w:tcW w:w="604" w:type="pct"/>
                  <w:vAlign w:val="center"/>
                </w:tcPr>
                <w:p w14:paraId="5AF2BE63">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3.78</w:t>
                  </w:r>
                </w:p>
              </w:tc>
              <w:tc>
                <w:tcPr>
                  <w:tcW w:w="603" w:type="pct"/>
                  <w:vAlign w:val="center"/>
                </w:tcPr>
                <w:p w14:paraId="0CCDC26F">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外售相关回收单位处理</w:t>
                  </w:r>
                </w:p>
              </w:tc>
              <w:tc>
                <w:tcPr>
                  <w:tcW w:w="605" w:type="pct"/>
                  <w:vAlign w:val="center"/>
                </w:tcPr>
                <w:p w14:paraId="34D95369">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3.78</w:t>
                  </w:r>
                </w:p>
              </w:tc>
              <w:tc>
                <w:tcPr>
                  <w:tcW w:w="606" w:type="pct"/>
                  <w:vAlign w:val="center"/>
                </w:tcPr>
                <w:p w14:paraId="47B04828">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外售相关回收单位处理</w:t>
                  </w:r>
                </w:p>
              </w:tc>
            </w:tr>
            <w:tr w14:paraId="67573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203E30B5">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rPr>
                    <w:t>边角料和</w:t>
                  </w:r>
                  <w:r>
                    <w:rPr>
                      <w:rFonts w:hint="default" w:ascii="Times New Roman" w:hAnsi="Times New Roman" w:cs="Times New Roman"/>
                      <w:color w:val="auto"/>
                      <w:spacing w:val="-2"/>
                      <w:sz w:val="21"/>
                      <w:szCs w:val="21"/>
                      <w:highlight w:val="none"/>
                      <w:lang w:val="en-US" w:eastAsia="zh-CN"/>
                    </w:rPr>
                    <w:t>次品</w:t>
                  </w:r>
                </w:p>
              </w:tc>
              <w:tc>
                <w:tcPr>
                  <w:tcW w:w="603" w:type="pct"/>
                  <w:vMerge w:val="continue"/>
                  <w:vAlign w:val="center"/>
                </w:tcPr>
                <w:p w14:paraId="392694D5">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71" w:type="pct"/>
                  <w:vAlign w:val="center"/>
                </w:tcPr>
                <w:p w14:paraId="71568CEC">
                  <w:pPr>
                    <w:pageBreakBefore w:val="0"/>
                    <w:wordWrap w:val="0"/>
                    <w:topLinePunct w:val="0"/>
                    <w:bidi w:val="0"/>
                    <w:spacing w:line="240" w:lineRule="auto"/>
                    <w:jc w:val="center"/>
                    <w:rPr>
                      <w:rFonts w:hint="default" w:ascii="Times New Roman" w:hAnsi="Times New Roman" w:cs="Times New Roman"/>
                      <w:color w:val="auto"/>
                      <w:kern w:val="0"/>
                      <w:position w:val="-10"/>
                      <w:sz w:val="21"/>
                      <w:szCs w:val="21"/>
                      <w:highlight w:val="none"/>
                    </w:rPr>
                  </w:pPr>
                  <w:r>
                    <w:rPr>
                      <w:rFonts w:hint="default" w:ascii="Times New Roman" w:hAnsi="Times New Roman" w:cs="Times New Roman"/>
                      <w:color w:val="auto"/>
                      <w:kern w:val="0"/>
                      <w:position w:val="-10"/>
                      <w:sz w:val="21"/>
                      <w:szCs w:val="21"/>
                      <w:highlight w:val="none"/>
                    </w:rPr>
                    <w:t>900-099-S17</w:t>
                  </w:r>
                </w:p>
              </w:tc>
              <w:tc>
                <w:tcPr>
                  <w:tcW w:w="603" w:type="pct"/>
                  <w:vAlign w:val="center"/>
                </w:tcPr>
                <w:p w14:paraId="11FBC1F5">
                  <w:pPr>
                    <w:pStyle w:val="44"/>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产污系数法</w:t>
                  </w:r>
                </w:p>
              </w:tc>
              <w:tc>
                <w:tcPr>
                  <w:tcW w:w="604" w:type="pct"/>
                  <w:vAlign w:val="center"/>
                </w:tcPr>
                <w:p w14:paraId="23C9336F">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6.3</w:t>
                  </w:r>
                </w:p>
              </w:tc>
              <w:tc>
                <w:tcPr>
                  <w:tcW w:w="603" w:type="pct"/>
                  <w:vAlign w:val="center"/>
                </w:tcPr>
                <w:p w14:paraId="5E4C7718">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碎料后回用于生产</w:t>
                  </w:r>
                </w:p>
              </w:tc>
              <w:tc>
                <w:tcPr>
                  <w:tcW w:w="605" w:type="pct"/>
                  <w:vAlign w:val="center"/>
                </w:tcPr>
                <w:p w14:paraId="4896C622">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6.3</w:t>
                  </w:r>
                </w:p>
              </w:tc>
              <w:tc>
                <w:tcPr>
                  <w:tcW w:w="606" w:type="pct"/>
                  <w:vAlign w:val="center"/>
                </w:tcPr>
                <w:p w14:paraId="7DC3C538">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碎料后回用于生产</w:t>
                  </w:r>
                </w:p>
              </w:tc>
            </w:tr>
            <w:tr w14:paraId="66537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32F8E013">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废模具</w:t>
                  </w:r>
                </w:p>
              </w:tc>
              <w:tc>
                <w:tcPr>
                  <w:tcW w:w="603" w:type="pct"/>
                  <w:vMerge w:val="continue"/>
                  <w:vAlign w:val="center"/>
                </w:tcPr>
                <w:p w14:paraId="5C1581D1">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71" w:type="pct"/>
                  <w:vAlign w:val="center"/>
                </w:tcPr>
                <w:p w14:paraId="09B59EEE">
                  <w:pPr>
                    <w:pageBreakBefore w:val="0"/>
                    <w:wordWrap w:val="0"/>
                    <w:topLinePunct w:val="0"/>
                    <w:bidi w:val="0"/>
                    <w:spacing w:line="240" w:lineRule="auto"/>
                    <w:jc w:val="center"/>
                    <w:rPr>
                      <w:rFonts w:hint="default" w:ascii="Times New Roman" w:hAnsi="Times New Roman" w:eastAsia="宋体" w:cs="Times New Roman"/>
                      <w:color w:val="auto"/>
                      <w:kern w:val="0"/>
                      <w:position w:val="-10"/>
                      <w:sz w:val="21"/>
                      <w:szCs w:val="21"/>
                      <w:highlight w:val="none"/>
                    </w:rPr>
                  </w:pPr>
                  <w:r>
                    <w:rPr>
                      <w:rFonts w:hint="default" w:ascii="Times New Roman" w:hAnsi="Times New Roman" w:eastAsia="宋体" w:cs="Times New Roman"/>
                      <w:color w:val="auto"/>
                      <w:kern w:val="0"/>
                      <w:position w:val="-10"/>
                      <w:sz w:val="21"/>
                      <w:szCs w:val="21"/>
                      <w:highlight w:val="none"/>
                      <w:lang w:val="en-US" w:eastAsia="zh-CN"/>
                    </w:rPr>
                    <w:t>900-001-S17</w:t>
                  </w:r>
                </w:p>
              </w:tc>
              <w:tc>
                <w:tcPr>
                  <w:tcW w:w="603" w:type="pct"/>
                  <w:shd w:val="clear" w:color="auto" w:fill="auto"/>
                  <w:vAlign w:val="center"/>
                </w:tcPr>
                <w:p w14:paraId="643D2698">
                  <w:pPr>
                    <w:pageBreakBefore w:val="0"/>
                    <w:wordWrap w:val="0"/>
                    <w:topLinePunct w:val="0"/>
                    <w:bidi w:val="0"/>
                    <w:spacing w:line="240" w:lineRule="auto"/>
                    <w:jc w:val="center"/>
                    <w:rPr>
                      <w:rFonts w:hint="default" w:ascii="Times New Roman" w:hAnsi="Times New Roman" w:eastAsia="宋体" w:cs="Times New Roman"/>
                      <w:color w:val="auto"/>
                      <w:kern w:val="0"/>
                      <w:position w:val="-10"/>
                      <w:sz w:val="21"/>
                      <w:szCs w:val="21"/>
                      <w:highlight w:val="none"/>
                      <w:lang w:val="en-US" w:eastAsia="zh-CN"/>
                    </w:rPr>
                  </w:pPr>
                  <w:r>
                    <w:rPr>
                      <w:rFonts w:hint="default" w:ascii="Times New Roman" w:hAnsi="Times New Roman" w:eastAsia="宋体" w:cs="Times New Roman"/>
                      <w:color w:val="auto"/>
                      <w:kern w:val="0"/>
                      <w:position w:val="-10"/>
                      <w:sz w:val="21"/>
                      <w:szCs w:val="21"/>
                      <w:highlight w:val="none"/>
                    </w:rPr>
                    <w:t>类比法</w:t>
                  </w:r>
                </w:p>
              </w:tc>
              <w:tc>
                <w:tcPr>
                  <w:tcW w:w="604" w:type="pct"/>
                  <w:vAlign w:val="center"/>
                </w:tcPr>
                <w:p w14:paraId="3C413B76">
                  <w:pPr>
                    <w:pageBreakBefore w:val="0"/>
                    <w:wordWrap w:val="0"/>
                    <w:topLinePunct w:val="0"/>
                    <w:bidi w:val="0"/>
                    <w:spacing w:line="240" w:lineRule="auto"/>
                    <w:jc w:val="center"/>
                    <w:rPr>
                      <w:rFonts w:hint="default" w:ascii="Times New Roman" w:hAnsi="Times New Roman" w:eastAsia="宋体" w:cs="Times New Roman"/>
                      <w:color w:val="auto"/>
                      <w:kern w:val="0"/>
                      <w:position w:val="-10"/>
                      <w:sz w:val="21"/>
                      <w:szCs w:val="21"/>
                      <w:highlight w:val="none"/>
                      <w:lang w:val="en-US" w:eastAsia="zh-CN"/>
                    </w:rPr>
                  </w:pPr>
                  <w:r>
                    <w:rPr>
                      <w:rFonts w:hint="default" w:ascii="Times New Roman" w:hAnsi="Times New Roman" w:eastAsia="宋体" w:cs="Times New Roman"/>
                      <w:color w:val="auto"/>
                      <w:kern w:val="0"/>
                      <w:position w:val="-10"/>
                      <w:sz w:val="21"/>
                      <w:szCs w:val="21"/>
                      <w:highlight w:val="none"/>
                      <w:lang w:val="en-US" w:eastAsia="zh-CN"/>
                    </w:rPr>
                    <w:t>2</w:t>
                  </w:r>
                </w:p>
              </w:tc>
              <w:tc>
                <w:tcPr>
                  <w:tcW w:w="603" w:type="pct"/>
                  <w:vMerge w:val="restart"/>
                  <w:vAlign w:val="center"/>
                </w:tcPr>
                <w:p w14:paraId="55126DEA">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外售相关回收单位处理</w:t>
                  </w:r>
                </w:p>
              </w:tc>
              <w:tc>
                <w:tcPr>
                  <w:tcW w:w="605" w:type="pct"/>
                  <w:vAlign w:val="center"/>
                </w:tcPr>
                <w:p w14:paraId="62D0712D">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2</w:t>
                  </w:r>
                </w:p>
              </w:tc>
              <w:tc>
                <w:tcPr>
                  <w:tcW w:w="606" w:type="pct"/>
                  <w:vMerge w:val="restart"/>
                  <w:vAlign w:val="center"/>
                </w:tcPr>
                <w:p w14:paraId="3647B59E">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外售相关回收单位处理</w:t>
                  </w:r>
                </w:p>
              </w:tc>
            </w:tr>
            <w:tr w14:paraId="2F0B3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70733866">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废金属零部件</w:t>
                  </w:r>
                </w:p>
              </w:tc>
              <w:tc>
                <w:tcPr>
                  <w:tcW w:w="603" w:type="pct"/>
                  <w:vMerge w:val="continue"/>
                  <w:vAlign w:val="center"/>
                </w:tcPr>
                <w:p w14:paraId="0A5ACD19">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p>
              </w:tc>
              <w:tc>
                <w:tcPr>
                  <w:tcW w:w="771" w:type="pct"/>
                  <w:vAlign w:val="center"/>
                </w:tcPr>
                <w:p w14:paraId="179E5013">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900-013-S17</w:t>
                  </w:r>
                </w:p>
              </w:tc>
              <w:tc>
                <w:tcPr>
                  <w:tcW w:w="603" w:type="pct"/>
                  <w:vAlign w:val="center"/>
                </w:tcPr>
                <w:p w14:paraId="75AB297B">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lang w:val="en-US" w:eastAsia="zh-CN"/>
                    </w:rPr>
                    <w:t>类比法</w:t>
                  </w:r>
                </w:p>
              </w:tc>
              <w:tc>
                <w:tcPr>
                  <w:tcW w:w="604" w:type="pct"/>
                  <w:vAlign w:val="center"/>
                </w:tcPr>
                <w:p w14:paraId="16C33210">
                  <w:pPr>
                    <w:pStyle w:val="44"/>
                    <w:pageBreakBefore w:val="0"/>
                    <w:wordWrap w:val="0"/>
                    <w:topLinePunct w:val="0"/>
                    <w:bidi w:val="0"/>
                    <w:spacing w:line="240" w:lineRule="auto"/>
                    <w:jc w:val="center"/>
                    <w:rPr>
                      <w:rFonts w:hint="default" w:ascii="Times New Roman" w:hAnsi="Times New Roman"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0.2</w:t>
                  </w:r>
                </w:p>
              </w:tc>
              <w:tc>
                <w:tcPr>
                  <w:tcW w:w="603" w:type="pct"/>
                  <w:vMerge w:val="continue"/>
                  <w:vAlign w:val="center"/>
                </w:tcPr>
                <w:p w14:paraId="1AEFB7DD">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p>
              </w:tc>
              <w:tc>
                <w:tcPr>
                  <w:tcW w:w="605" w:type="pct"/>
                  <w:vAlign w:val="center"/>
                </w:tcPr>
                <w:p w14:paraId="32EAAD60">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cs="Times New Roman"/>
                      <w:color w:val="auto"/>
                      <w:spacing w:val="-2"/>
                      <w:sz w:val="21"/>
                      <w:szCs w:val="21"/>
                      <w:highlight w:val="none"/>
                      <w:lang w:val="en-US" w:eastAsia="zh-CN"/>
                    </w:rPr>
                    <w:t>0.2</w:t>
                  </w:r>
                </w:p>
              </w:tc>
              <w:tc>
                <w:tcPr>
                  <w:tcW w:w="606" w:type="pct"/>
                  <w:vMerge w:val="continue"/>
                  <w:vAlign w:val="center"/>
                </w:tcPr>
                <w:p w14:paraId="009C429C">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r>
            <w:tr w14:paraId="060CE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00C77091">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废活性炭</w:t>
                  </w:r>
                </w:p>
              </w:tc>
              <w:tc>
                <w:tcPr>
                  <w:tcW w:w="603" w:type="pct"/>
                  <w:vMerge w:val="restart"/>
                  <w:vAlign w:val="center"/>
                </w:tcPr>
                <w:p w14:paraId="45289589">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危险废物</w:t>
                  </w:r>
                </w:p>
              </w:tc>
              <w:tc>
                <w:tcPr>
                  <w:tcW w:w="771" w:type="pct"/>
                  <w:vAlign w:val="center"/>
                </w:tcPr>
                <w:p w14:paraId="1F423B10">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900-039-49</w:t>
                  </w:r>
                </w:p>
              </w:tc>
              <w:tc>
                <w:tcPr>
                  <w:tcW w:w="603" w:type="pct"/>
                  <w:vAlign w:val="center"/>
                </w:tcPr>
                <w:p w14:paraId="5F9744A2">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产污系数法</w:t>
                  </w:r>
                </w:p>
              </w:tc>
              <w:tc>
                <w:tcPr>
                  <w:tcW w:w="604" w:type="pct"/>
                  <w:vAlign w:val="center"/>
                </w:tcPr>
                <w:p w14:paraId="6162AA88">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12</w:t>
                  </w:r>
                </w:p>
              </w:tc>
              <w:tc>
                <w:tcPr>
                  <w:tcW w:w="603" w:type="pct"/>
                  <w:vMerge w:val="restart"/>
                  <w:vAlign w:val="center"/>
                </w:tcPr>
                <w:p w14:paraId="0B291C69">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定期交由有资质的单位回收处理</w:t>
                  </w:r>
                </w:p>
              </w:tc>
              <w:tc>
                <w:tcPr>
                  <w:tcW w:w="605" w:type="pct"/>
                  <w:vAlign w:val="center"/>
                </w:tcPr>
                <w:p w14:paraId="03F161BA">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eastAsia" w:ascii="Times New Roman" w:hAnsi="Times New Roman" w:cs="Times New Roman"/>
                      <w:color w:val="auto"/>
                      <w:spacing w:val="-2"/>
                      <w:sz w:val="21"/>
                      <w:szCs w:val="21"/>
                      <w:highlight w:val="none"/>
                      <w:lang w:val="en-US" w:eastAsia="zh-CN"/>
                    </w:rPr>
                    <w:t>12</w:t>
                  </w:r>
                </w:p>
              </w:tc>
              <w:tc>
                <w:tcPr>
                  <w:tcW w:w="606" w:type="pct"/>
                  <w:vMerge w:val="restart"/>
                  <w:vAlign w:val="center"/>
                </w:tcPr>
                <w:p w14:paraId="7E8F89F7">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定期交由有资质的单位回收处理</w:t>
                  </w:r>
                </w:p>
              </w:tc>
            </w:tr>
            <w:tr w14:paraId="6D1E8E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236766FE">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废矿物油及油桶</w:t>
                  </w:r>
                </w:p>
              </w:tc>
              <w:tc>
                <w:tcPr>
                  <w:tcW w:w="603" w:type="pct"/>
                  <w:vMerge w:val="continue"/>
                  <w:vAlign w:val="center"/>
                </w:tcPr>
                <w:p w14:paraId="2A445EA6">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p>
              </w:tc>
              <w:tc>
                <w:tcPr>
                  <w:tcW w:w="771" w:type="pct"/>
                  <w:vAlign w:val="center"/>
                </w:tcPr>
                <w:p w14:paraId="2AC29A25">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900-249-08</w:t>
                  </w:r>
                </w:p>
              </w:tc>
              <w:tc>
                <w:tcPr>
                  <w:tcW w:w="603" w:type="pct"/>
                  <w:vAlign w:val="center"/>
                </w:tcPr>
                <w:p w14:paraId="43122D6B">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产污系数法</w:t>
                  </w:r>
                </w:p>
              </w:tc>
              <w:tc>
                <w:tcPr>
                  <w:tcW w:w="604" w:type="pct"/>
                  <w:vAlign w:val="center"/>
                </w:tcPr>
                <w:p w14:paraId="4CCC65DE">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0.104</w:t>
                  </w:r>
                </w:p>
              </w:tc>
              <w:tc>
                <w:tcPr>
                  <w:tcW w:w="603" w:type="pct"/>
                  <w:vMerge w:val="continue"/>
                  <w:vAlign w:val="center"/>
                </w:tcPr>
                <w:p w14:paraId="0362800E">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p>
              </w:tc>
              <w:tc>
                <w:tcPr>
                  <w:tcW w:w="605" w:type="pct"/>
                  <w:vAlign w:val="center"/>
                </w:tcPr>
                <w:p w14:paraId="5CE0945B">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0.104</w:t>
                  </w:r>
                </w:p>
              </w:tc>
              <w:tc>
                <w:tcPr>
                  <w:tcW w:w="606" w:type="pct"/>
                  <w:vMerge w:val="continue"/>
                  <w:vAlign w:val="center"/>
                </w:tcPr>
                <w:p w14:paraId="0336823F">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r>
            <w:tr w14:paraId="16DA6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602" w:type="pct"/>
                  <w:vAlign w:val="center"/>
                </w:tcPr>
                <w:p w14:paraId="5D5B5E56">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lang w:val="en-US" w:eastAsia="zh-CN"/>
                    </w:rPr>
                    <w:t>废含油抹布及手套</w:t>
                  </w:r>
                </w:p>
              </w:tc>
              <w:tc>
                <w:tcPr>
                  <w:tcW w:w="603" w:type="pct"/>
                  <w:vMerge w:val="continue"/>
                  <w:vAlign w:val="center"/>
                </w:tcPr>
                <w:p w14:paraId="2508526C">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p>
              </w:tc>
              <w:tc>
                <w:tcPr>
                  <w:tcW w:w="771" w:type="pct"/>
                  <w:vAlign w:val="center"/>
                </w:tcPr>
                <w:p w14:paraId="3DA92DCD">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r>
                    <w:rPr>
                      <w:rFonts w:hint="default" w:ascii="Times New Roman" w:hAnsi="Times New Roman" w:eastAsia="宋体" w:cs="Times New Roman"/>
                      <w:color w:val="auto"/>
                      <w:spacing w:val="-2"/>
                      <w:sz w:val="21"/>
                      <w:szCs w:val="21"/>
                      <w:highlight w:val="none"/>
                    </w:rPr>
                    <w:t>900-0</w:t>
                  </w:r>
                  <w:r>
                    <w:rPr>
                      <w:rFonts w:hint="default" w:ascii="Times New Roman" w:hAnsi="Times New Roman" w:eastAsia="宋体" w:cs="Times New Roman"/>
                      <w:color w:val="auto"/>
                      <w:spacing w:val="-2"/>
                      <w:sz w:val="21"/>
                      <w:szCs w:val="21"/>
                      <w:highlight w:val="none"/>
                      <w:lang w:val="en-US" w:eastAsia="zh-CN"/>
                    </w:rPr>
                    <w:t>41</w:t>
                  </w:r>
                  <w:r>
                    <w:rPr>
                      <w:rFonts w:hint="default" w:ascii="Times New Roman" w:hAnsi="Times New Roman" w:eastAsia="宋体" w:cs="Times New Roman"/>
                      <w:color w:val="auto"/>
                      <w:spacing w:val="-2"/>
                      <w:sz w:val="21"/>
                      <w:szCs w:val="21"/>
                      <w:highlight w:val="none"/>
                    </w:rPr>
                    <w:t>-49</w:t>
                  </w:r>
                </w:p>
              </w:tc>
              <w:tc>
                <w:tcPr>
                  <w:tcW w:w="603" w:type="pct"/>
                  <w:vAlign w:val="center"/>
                </w:tcPr>
                <w:p w14:paraId="194EAF25">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类比法</w:t>
                  </w:r>
                </w:p>
              </w:tc>
              <w:tc>
                <w:tcPr>
                  <w:tcW w:w="604" w:type="pct"/>
                  <w:vAlign w:val="center"/>
                </w:tcPr>
                <w:p w14:paraId="7606B1D6">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0.01</w:t>
                  </w:r>
                </w:p>
              </w:tc>
              <w:tc>
                <w:tcPr>
                  <w:tcW w:w="603" w:type="pct"/>
                  <w:vMerge w:val="continue"/>
                  <w:vAlign w:val="center"/>
                </w:tcPr>
                <w:p w14:paraId="7700AA55">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rPr>
                  </w:pPr>
                </w:p>
              </w:tc>
              <w:tc>
                <w:tcPr>
                  <w:tcW w:w="605" w:type="pct"/>
                  <w:vAlign w:val="center"/>
                </w:tcPr>
                <w:p w14:paraId="6D3B92C8">
                  <w:pPr>
                    <w:pStyle w:val="44"/>
                    <w:pageBreakBefore w:val="0"/>
                    <w:wordWrap w:val="0"/>
                    <w:topLinePunct w:val="0"/>
                    <w:bidi w:val="0"/>
                    <w:spacing w:line="240" w:lineRule="auto"/>
                    <w:jc w:val="center"/>
                    <w:rPr>
                      <w:rFonts w:hint="default" w:ascii="Times New Roman" w:hAnsi="Times New Roman" w:eastAsia="宋体" w:cs="Times New Roman"/>
                      <w:color w:val="auto"/>
                      <w:spacing w:val="-2"/>
                      <w:sz w:val="21"/>
                      <w:szCs w:val="21"/>
                      <w:highlight w:val="none"/>
                      <w:lang w:val="en-US" w:eastAsia="zh-CN"/>
                    </w:rPr>
                  </w:pPr>
                  <w:r>
                    <w:rPr>
                      <w:rFonts w:hint="default" w:ascii="Times New Roman" w:hAnsi="Times New Roman" w:eastAsia="宋体" w:cs="Times New Roman"/>
                      <w:color w:val="auto"/>
                      <w:spacing w:val="-2"/>
                      <w:sz w:val="21"/>
                      <w:szCs w:val="21"/>
                      <w:highlight w:val="none"/>
                      <w:lang w:val="en-US" w:eastAsia="zh-CN"/>
                    </w:rPr>
                    <w:t>0.01</w:t>
                  </w:r>
                </w:p>
              </w:tc>
              <w:tc>
                <w:tcPr>
                  <w:tcW w:w="606" w:type="pct"/>
                  <w:vMerge w:val="continue"/>
                  <w:vAlign w:val="center"/>
                </w:tcPr>
                <w:p w14:paraId="55E23045">
                  <w:pPr>
                    <w:pStyle w:val="44"/>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r>
          </w:tbl>
          <w:p w14:paraId="12DD77EB">
            <w:pPr>
              <w:keepNext/>
              <w:keepLines/>
              <w:pageBreakBefore w:val="0"/>
              <w:tabs>
                <w:tab w:val="left" w:pos="0"/>
              </w:tabs>
              <w:wordWrap w:val="0"/>
              <w:topLinePunct w:val="0"/>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2、固体废物贮存和处置情况</w:t>
            </w:r>
          </w:p>
          <w:p w14:paraId="01282BF3">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bookmarkStart w:id="115" w:name="_Ref10526"/>
            <w:r>
              <w:rPr>
                <w:rFonts w:hint="default" w:ascii="Times New Roman" w:hAnsi="Times New Roman" w:eastAsia="宋体" w:cs="Times New Roman"/>
                <w:color w:val="auto"/>
                <w:kern w:val="2"/>
                <w:sz w:val="24"/>
                <w:szCs w:val="24"/>
                <w:highlight w:val="none"/>
                <w:lang w:val="en-US" w:eastAsia="zh-CN" w:bidi="ar-SA"/>
              </w:rPr>
              <w:t>根据《国家危险废物名录》（202</w:t>
            </w:r>
            <w:r>
              <w:rPr>
                <w:rFonts w:hint="default" w:ascii="Times New Roman" w:hAnsi="Times New Roman" w:cs="Times New Roman"/>
                <w:color w:val="auto"/>
                <w:kern w:val="2"/>
                <w:sz w:val="24"/>
                <w:szCs w:val="24"/>
                <w:highlight w:val="none"/>
                <w:lang w:val="en-US" w:eastAsia="zh-CN" w:bidi="ar-SA"/>
              </w:rPr>
              <w:t>5</w:t>
            </w:r>
            <w:r>
              <w:rPr>
                <w:rFonts w:hint="default" w:ascii="Times New Roman" w:hAnsi="Times New Roman" w:eastAsia="宋体" w:cs="Times New Roman"/>
                <w:color w:val="auto"/>
                <w:kern w:val="2"/>
                <w:sz w:val="24"/>
                <w:szCs w:val="24"/>
                <w:highlight w:val="none"/>
                <w:lang w:val="en-US" w:eastAsia="zh-CN" w:bidi="ar-SA"/>
              </w:rPr>
              <w:t>年版），危险废物从产生、收集、贮运、转运、处置等各个环节都可能因管理不善而进入环境，因此在各个环节中，抛落、渗漏、丢弃等问题都可能存在，为了使各种危险废物能合法合理处置，本次评价拟按照《危险废物贮存污染控制标准》（GB18597-2023）等国家相关法律，提出相应的治理措施，进一步规范收集、贮运、处置等操作过程。</w:t>
            </w:r>
          </w:p>
          <w:p w14:paraId="1C4D8FA1">
            <w:pPr>
              <w:pageBreakBefore w:val="0"/>
              <w:widowControl w:val="0"/>
              <w:wordWrap w:val="0"/>
              <w:topLinePunct w:val="0"/>
              <w:bidi w:val="0"/>
              <w:spacing w:line="36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18</w:t>
            </w:r>
            <w:r>
              <w:rPr>
                <w:rFonts w:hint="default" w:ascii="Times New Roman" w:hAnsi="Times New Roman" w:eastAsia="宋体" w:cs="Times New Roman"/>
                <w:b/>
                <w:bCs/>
                <w:color w:val="auto"/>
                <w:kern w:val="2"/>
                <w:sz w:val="21"/>
                <w:szCs w:val="21"/>
                <w:highlight w:val="none"/>
                <w:lang w:val="en-US" w:eastAsia="zh-CN" w:bidi="ar-SA"/>
              </w:rPr>
              <w:t>危险废物汇总表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3"/>
              <w:gridCol w:w="773"/>
              <w:gridCol w:w="774"/>
              <w:gridCol w:w="774"/>
              <w:gridCol w:w="774"/>
              <w:gridCol w:w="774"/>
              <w:gridCol w:w="774"/>
              <w:gridCol w:w="776"/>
              <w:gridCol w:w="776"/>
              <w:gridCol w:w="777"/>
              <w:gridCol w:w="815"/>
            </w:tblGrid>
            <w:tr w14:paraId="62149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451" w:type="pct"/>
                  <w:vAlign w:val="center"/>
                </w:tcPr>
                <w:p w14:paraId="3B3E25C4">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危险废物名称</w:t>
                  </w:r>
                </w:p>
              </w:tc>
              <w:tc>
                <w:tcPr>
                  <w:tcW w:w="451" w:type="pct"/>
                  <w:vAlign w:val="center"/>
                </w:tcPr>
                <w:p w14:paraId="162931CC">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危险废物类别</w:t>
                  </w:r>
                </w:p>
              </w:tc>
              <w:tc>
                <w:tcPr>
                  <w:tcW w:w="452" w:type="pct"/>
                  <w:vAlign w:val="center"/>
                </w:tcPr>
                <w:p w14:paraId="4021255E">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危险废物代码</w:t>
                  </w:r>
                </w:p>
              </w:tc>
              <w:tc>
                <w:tcPr>
                  <w:tcW w:w="452" w:type="pct"/>
                  <w:vAlign w:val="center"/>
                </w:tcPr>
                <w:p w14:paraId="65A03081">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产生量</w:t>
                  </w:r>
                </w:p>
                <w:p w14:paraId="71DBAC04">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t/a</w:t>
                  </w:r>
                </w:p>
              </w:tc>
              <w:tc>
                <w:tcPr>
                  <w:tcW w:w="452" w:type="pct"/>
                  <w:vAlign w:val="center"/>
                </w:tcPr>
                <w:p w14:paraId="0C48ABE1">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产生工序及装置</w:t>
                  </w:r>
                </w:p>
              </w:tc>
              <w:tc>
                <w:tcPr>
                  <w:tcW w:w="452" w:type="pct"/>
                  <w:vAlign w:val="center"/>
                </w:tcPr>
                <w:p w14:paraId="76F1F0EE">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形态</w:t>
                  </w:r>
                </w:p>
              </w:tc>
              <w:tc>
                <w:tcPr>
                  <w:tcW w:w="452" w:type="pct"/>
                  <w:vAlign w:val="center"/>
                </w:tcPr>
                <w:p w14:paraId="562588D3">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主要成分</w:t>
                  </w:r>
                </w:p>
              </w:tc>
              <w:tc>
                <w:tcPr>
                  <w:tcW w:w="453" w:type="pct"/>
                  <w:vAlign w:val="center"/>
                </w:tcPr>
                <w:p w14:paraId="3DD3F6B6">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有害成分</w:t>
                  </w:r>
                </w:p>
              </w:tc>
              <w:tc>
                <w:tcPr>
                  <w:tcW w:w="453" w:type="pct"/>
                  <w:vAlign w:val="center"/>
                </w:tcPr>
                <w:p w14:paraId="6799960B">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产废周期</w:t>
                  </w:r>
                </w:p>
              </w:tc>
              <w:tc>
                <w:tcPr>
                  <w:tcW w:w="453" w:type="pct"/>
                  <w:vAlign w:val="center"/>
                </w:tcPr>
                <w:p w14:paraId="781CA455">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危险特性</w:t>
                  </w:r>
                </w:p>
              </w:tc>
              <w:tc>
                <w:tcPr>
                  <w:tcW w:w="476" w:type="pct"/>
                  <w:vAlign w:val="center"/>
                </w:tcPr>
                <w:p w14:paraId="239C695C">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污染防治措施</w:t>
                  </w:r>
                </w:p>
              </w:tc>
            </w:tr>
            <w:tr w14:paraId="42109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451" w:type="pct"/>
                  <w:vAlign w:val="center"/>
                </w:tcPr>
                <w:p w14:paraId="56A463D9">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废活性炭</w:t>
                  </w:r>
                </w:p>
              </w:tc>
              <w:tc>
                <w:tcPr>
                  <w:tcW w:w="451" w:type="pct"/>
                  <w:vAlign w:val="center"/>
                </w:tcPr>
                <w:p w14:paraId="6F3B616E">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HW49</w:t>
                  </w:r>
                </w:p>
              </w:tc>
              <w:tc>
                <w:tcPr>
                  <w:tcW w:w="452" w:type="pct"/>
                  <w:vAlign w:val="center"/>
                </w:tcPr>
                <w:p w14:paraId="6B648772">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900-039-49</w:t>
                  </w:r>
                </w:p>
              </w:tc>
              <w:tc>
                <w:tcPr>
                  <w:tcW w:w="452" w:type="pct"/>
                  <w:vAlign w:val="center"/>
                </w:tcPr>
                <w:p w14:paraId="6197263C">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12</w:t>
                  </w:r>
                </w:p>
              </w:tc>
              <w:tc>
                <w:tcPr>
                  <w:tcW w:w="452" w:type="pct"/>
                  <w:vAlign w:val="center"/>
                </w:tcPr>
                <w:p w14:paraId="69B2F85E">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废气处理设施</w:t>
                  </w:r>
                </w:p>
              </w:tc>
              <w:tc>
                <w:tcPr>
                  <w:tcW w:w="452" w:type="pct"/>
                  <w:vAlign w:val="center"/>
                </w:tcPr>
                <w:p w14:paraId="09E6F065">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固体</w:t>
                  </w:r>
                </w:p>
              </w:tc>
              <w:tc>
                <w:tcPr>
                  <w:tcW w:w="452" w:type="pct"/>
                  <w:vAlign w:val="center"/>
                </w:tcPr>
                <w:p w14:paraId="2A52E391">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炭、有机废气</w:t>
                  </w:r>
                </w:p>
              </w:tc>
              <w:tc>
                <w:tcPr>
                  <w:tcW w:w="453" w:type="pct"/>
                  <w:vAlign w:val="center"/>
                </w:tcPr>
                <w:p w14:paraId="0D436BD9">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有机废气</w:t>
                  </w:r>
                </w:p>
              </w:tc>
              <w:tc>
                <w:tcPr>
                  <w:tcW w:w="453" w:type="pct"/>
                  <w:vAlign w:val="center"/>
                </w:tcPr>
                <w:p w14:paraId="0D2A6612">
                  <w:pPr>
                    <w:pStyle w:val="60"/>
                    <w:pageBreakBefore w:val="0"/>
                    <w:wordWrap w:val="0"/>
                    <w:topLinePunct w:val="0"/>
                    <w:bidi w:val="0"/>
                    <w:jc w:val="center"/>
                    <w:rPr>
                      <w:rFonts w:hint="default" w:ascii="Times New Roman" w:hAnsi="Times New Roman" w:cs="Times New Roman"/>
                      <w:color w:val="auto"/>
                      <w:highlight w:val="none"/>
                    </w:rPr>
                  </w:pPr>
                  <w:r>
                    <w:rPr>
                      <w:rFonts w:hint="eastAsia" w:ascii="Times New Roman" w:hAnsi="Times New Roman" w:cs="Times New Roman"/>
                      <w:color w:val="auto"/>
                      <w:highlight w:val="none"/>
                      <w:lang w:val="en-US" w:eastAsia="zh-CN"/>
                    </w:rPr>
                    <w:t>3</w:t>
                  </w:r>
                  <w:r>
                    <w:rPr>
                      <w:rFonts w:hint="default" w:ascii="Times New Roman" w:hAnsi="Times New Roman" w:cs="Times New Roman"/>
                      <w:color w:val="auto"/>
                      <w:highlight w:val="none"/>
                    </w:rPr>
                    <w:t>个月</w:t>
                  </w:r>
                </w:p>
              </w:tc>
              <w:tc>
                <w:tcPr>
                  <w:tcW w:w="453" w:type="pct"/>
                  <w:vAlign w:val="center"/>
                </w:tcPr>
                <w:p w14:paraId="5BE451E3">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w:t>
                  </w:r>
                </w:p>
              </w:tc>
              <w:tc>
                <w:tcPr>
                  <w:tcW w:w="476" w:type="pct"/>
                  <w:vMerge w:val="restart"/>
                  <w:vAlign w:val="center"/>
                </w:tcPr>
                <w:p w14:paraId="65E13402">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定期交由危险废物资质单位处理</w:t>
                  </w:r>
                </w:p>
              </w:tc>
            </w:tr>
            <w:tr w14:paraId="2E69A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451" w:type="pct"/>
                  <w:vAlign w:val="center"/>
                </w:tcPr>
                <w:p w14:paraId="6F879B48">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eastAsia="宋体" w:cs="Times New Roman"/>
                      <w:b w:val="0"/>
                      <w:bCs w:val="0"/>
                      <w:color w:val="auto"/>
                      <w:szCs w:val="24"/>
                      <w:highlight w:val="none"/>
                      <w:lang w:val="en-US" w:eastAsia="zh-CN"/>
                    </w:rPr>
                    <w:t>废含油抹布及手套</w:t>
                  </w:r>
                </w:p>
              </w:tc>
              <w:tc>
                <w:tcPr>
                  <w:tcW w:w="451" w:type="pct"/>
                  <w:vAlign w:val="center"/>
                </w:tcPr>
                <w:p w14:paraId="559794E6">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HW49</w:t>
                  </w:r>
                </w:p>
              </w:tc>
              <w:tc>
                <w:tcPr>
                  <w:tcW w:w="452" w:type="pct"/>
                  <w:vAlign w:val="center"/>
                </w:tcPr>
                <w:p w14:paraId="6B009D12">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900-0</w:t>
                  </w:r>
                  <w:r>
                    <w:rPr>
                      <w:rFonts w:hint="default" w:ascii="Times New Roman" w:hAnsi="Times New Roman" w:cs="Times New Roman"/>
                      <w:color w:val="auto"/>
                      <w:highlight w:val="none"/>
                      <w:lang w:val="en-US" w:eastAsia="zh-CN"/>
                    </w:rPr>
                    <w:t>41</w:t>
                  </w:r>
                  <w:r>
                    <w:rPr>
                      <w:rFonts w:hint="default" w:ascii="Times New Roman" w:hAnsi="Times New Roman" w:cs="Times New Roman"/>
                      <w:color w:val="auto"/>
                      <w:highlight w:val="none"/>
                    </w:rPr>
                    <w:t>-49</w:t>
                  </w:r>
                </w:p>
              </w:tc>
              <w:tc>
                <w:tcPr>
                  <w:tcW w:w="452" w:type="pct"/>
                  <w:vAlign w:val="center"/>
                </w:tcPr>
                <w:p w14:paraId="0B7679B9">
                  <w:pPr>
                    <w:pStyle w:val="60"/>
                    <w:pageBreakBefore w:val="0"/>
                    <w:wordWrap w:val="0"/>
                    <w:topLinePunct w:val="0"/>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0.01</w:t>
                  </w:r>
                </w:p>
              </w:tc>
              <w:tc>
                <w:tcPr>
                  <w:tcW w:w="452" w:type="pct"/>
                  <w:vAlign w:val="center"/>
                </w:tcPr>
                <w:p w14:paraId="45FF37DC">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设备维保</w:t>
                  </w:r>
                </w:p>
              </w:tc>
              <w:tc>
                <w:tcPr>
                  <w:tcW w:w="452" w:type="pct"/>
                  <w:vAlign w:val="center"/>
                </w:tcPr>
                <w:p w14:paraId="1914C31B">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固体、液体</w:t>
                  </w:r>
                </w:p>
              </w:tc>
              <w:tc>
                <w:tcPr>
                  <w:tcW w:w="452" w:type="pct"/>
                  <w:vAlign w:val="center"/>
                </w:tcPr>
                <w:p w14:paraId="37A5C2BE">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矿物油</w:t>
                  </w:r>
                </w:p>
              </w:tc>
              <w:tc>
                <w:tcPr>
                  <w:tcW w:w="453" w:type="pct"/>
                  <w:vAlign w:val="center"/>
                </w:tcPr>
                <w:p w14:paraId="6B87A8C9">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矿物油</w:t>
                  </w:r>
                </w:p>
              </w:tc>
              <w:tc>
                <w:tcPr>
                  <w:tcW w:w="453" w:type="pct"/>
                  <w:vAlign w:val="center"/>
                </w:tcPr>
                <w:p w14:paraId="3DB328AD">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每天</w:t>
                  </w:r>
                </w:p>
              </w:tc>
              <w:tc>
                <w:tcPr>
                  <w:tcW w:w="453" w:type="pct"/>
                  <w:vAlign w:val="center"/>
                </w:tcPr>
                <w:p w14:paraId="401375B7">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w:t>
                  </w:r>
                </w:p>
              </w:tc>
              <w:tc>
                <w:tcPr>
                  <w:tcW w:w="476" w:type="pct"/>
                  <w:vMerge w:val="continue"/>
                  <w:vAlign w:val="center"/>
                </w:tcPr>
                <w:p w14:paraId="2A3AF66A">
                  <w:pPr>
                    <w:pStyle w:val="60"/>
                    <w:pageBreakBefore w:val="0"/>
                    <w:wordWrap w:val="0"/>
                    <w:topLinePunct w:val="0"/>
                    <w:bidi w:val="0"/>
                    <w:jc w:val="center"/>
                    <w:rPr>
                      <w:rFonts w:hint="default" w:ascii="Times New Roman" w:hAnsi="Times New Roman" w:cs="Times New Roman"/>
                      <w:color w:val="auto"/>
                      <w:highlight w:val="none"/>
                    </w:rPr>
                  </w:pPr>
                </w:p>
              </w:tc>
            </w:tr>
            <w:tr w14:paraId="33E182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451" w:type="pct"/>
                  <w:vAlign w:val="center"/>
                </w:tcPr>
                <w:p w14:paraId="07F5963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废矿物油及油桶</w:t>
                  </w:r>
                </w:p>
              </w:tc>
              <w:tc>
                <w:tcPr>
                  <w:tcW w:w="451" w:type="pct"/>
                  <w:vAlign w:val="center"/>
                </w:tcPr>
                <w:p w14:paraId="6302D2A5">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HW08</w:t>
                  </w:r>
                </w:p>
              </w:tc>
              <w:tc>
                <w:tcPr>
                  <w:tcW w:w="452" w:type="pct"/>
                  <w:vAlign w:val="center"/>
                </w:tcPr>
                <w:p w14:paraId="5F3E5D52">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900-249-08</w:t>
                  </w:r>
                </w:p>
              </w:tc>
              <w:tc>
                <w:tcPr>
                  <w:tcW w:w="452" w:type="pct"/>
                  <w:vAlign w:val="center"/>
                </w:tcPr>
                <w:p w14:paraId="08BA5B6B">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0.104</w:t>
                  </w:r>
                </w:p>
              </w:tc>
              <w:tc>
                <w:tcPr>
                  <w:tcW w:w="452" w:type="pct"/>
                  <w:vAlign w:val="center"/>
                </w:tcPr>
                <w:p w14:paraId="3598834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设备维保</w:t>
                  </w:r>
                </w:p>
              </w:tc>
              <w:tc>
                <w:tcPr>
                  <w:tcW w:w="452" w:type="pct"/>
                  <w:vAlign w:val="center"/>
                </w:tcPr>
                <w:p w14:paraId="64FDC681">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固体、液体</w:t>
                  </w:r>
                </w:p>
              </w:tc>
              <w:tc>
                <w:tcPr>
                  <w:tcW w:w="452" w:type="pct"/>
                  <w:vAlign w:val="center"/>
                </w:tcPr>
                <w:p w14:paraId="5A918314">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矿物油</w:t>
                  </w:r>
                </w:p>
              </w:tc>
              <w:tc>
                <w:tcPr>
                  <w:tcW w:w="453" w:type="pct"/>
                  <w:vAlign w:val="center"/>
                </w:tcPr>
                <w:p w14:paraId="7595210E">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矿物油</w:t>
                  </w:r>
                </w:p>
              </w:tc>
              <w:tc>
                <w:tcPr>
                  <w:tcW w:w="453" w:type="pct"/>
                  <w:vAlign w:val="center"/>
                </w:tcPr>
                <w:p w14:paraId="20104644">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2个月</w:t>
                  </w:r>
                </w:p>
              </w:tc>
              <w:tc>
                <w:tcPr>
                  <w:tcW w:w="453" w:type="pct"/>
                  <w:vAlign w:val="center"/>
                </w:tcPr>
                <w:p w14:paraId="2F5D3396">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T</w:t>
                  </w:r>
                </w:p>
              </w:tc>
              <w:tc>
                <w:tcPr>
                  <w:tcW w:w="476" w:type="pct"/>
                  <w:vMerge w:val="continue"/>
                  <w:vAlign w:val="center"/>
                </w:tcPr>
                <w:p w14:paraId="49787DFD">
                  <w:pPr>
                    <w:pStyle w:val="60"/>
                    <w:pageBreakBefore w:val="0"/>
                    <w:wordWrap w:val="0"/>
                    <w:topLinePunct w:val="0"/>
                    <w:bidi w:val="0"/>
                    <w:jc w:val="center"/>
                    <w:rPr>
                      <w:rFonts w:hint="default" w:ascii="Times New Roman" w:hAnsi="Times New Roman" w:cs="Times New Roman"/>
                      <w:color w:val="auto"/>
                      <w:highlight w:val="none"/>
                    </w:rPr>
                  </w:pPr>
                </w:p>
              </w:tc>
            </w:tr>
            <w:tr w14:paraId="3C94E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5000" w:type="pct"/>
                  <w:gridSpan w:val="11"/>
                  <w:vAlign w:val="center"/>
                </w:tcPr>
                <w:p w14:paraId="1E1A4D95">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注：T表示毒性</w:t>
                  </w:r>
                </w:p>
              </w:tc>
            </w:tr>
          </w:tbl>
          <w:p w14:paraId="6E166AAF">
            <w:pPr>
              <w:keepNext/>
              <w:keepLines/>
              <w:pageBreakBefore w:val="0"/>
              <w:numPr>
                <w:ilvl w:val="4"/>
                <w:numId w:val="0"/>
              </w:numPr>
              <w:wordWrap w:val="0"/>
              <w:topLinePunct w:val="0"/>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（1）产生和收集</w:t>
            </w:r>
          </w:p>
          <w:p w14:paraId="3AC58EE7">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本项目危险废物单次产生量很少，部分危险废物有</w:t>
            </w:r>
            <w:r>
              <w:rPr>
                <w:rFonts w:hint="default" w:ascii="Times New Roman" w:hAnsi="Times New Roman" w:cs="Times New Roman"/>
                <w:color w:val="auto"/>
                <w:kern w:val="2"/>
                <w:sz w:val="24"/>
                <w:szCs w:val="24"/>
                <w:highlight w:val="none"/>
                <w:lang w:val="en-US" w:eastAsia="zh-CN" w:bidi="ar-SA"/>
              </w:rPr>
              <w:t>易燃</w:t>
            </w:r>
            <w:r>
              <w:rPr>
                <w:rFonts w:hint="default" w:ascii="Times New Roman" w:hAnsi="Times New Roman" w:eastAsia="宋体" w:cs="Times New Roman"/>
                <w:color w:val="auto"/>
                <w:kern w:val="2"/>
                <w:sz w:val="24"/>
                <w:szCs w:val="24"/>
                <w:highlight w:val="none"/>
                <w:lang w:val="en-US" w:eastAsia="zh-CN" w:bidi="ar-SA"/>
              </w:rPr>
              <w:t>性和毒性，其性质相对比较稳定，如果露天堆放，沾染、吸附的有机废气可能会因为日晒雨淋而逐步释放出来，进入大气、地表水体、土壤等环境要素，造成污染影响。</w:t>
            </w:r>
          </w:p>
          <w:p w14:paraId="06C0265F">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这些危险废物如果收集不当，随意丢弃，其中的有害成分容易因为跑冒滴漏或者混入其他生活垃圾而进入外部环境，造成污染影响。对此，各类危险废物在产生源头需要立即采用密闭性好、耐腐蚀、相容的塑料容器分类封装，避免遗漏和撒漏；然后移入厂区内部独立专用的贮存设施存放。本项目从产生源头到贮存设施的收集过程基本上都在本项目内部进行，不涉及外部运输和厂区外部环境，因此产生和收集阶段不会对外部环境造成影响。</w:t>
            </w:r>
          </w:p>
          <w:p w14:paraId="155D35B8">
            <w:pPr>
              <w:keepNext/>
              <w:keepLines/>
              <w:pageBreakBefore w:val="0"/>
              <w:numPr>
                <w:ilvl w:val="4"/>
                <w:numId w:val="0"/>
              </w:numPr>
              <w:wordWrap w:val="0"/>
              <w:topLinePunct w:val="0"/>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（2）贮存库</w:t>
            </w:r>
          </w:p>
          <w:p w14:paraId="278B0737">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项目设置一个固定的危险废物贮存库，危险废物贮存过程满足《危险废物贮存污染控制标准》（GB18597-2023）的要求，建设单位应根据废物特性设置符合《危险废物贮存污染控制标准》</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GB18597-2023</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要求的危险废物暂存场所，且在暂存场所上空设有防雨淋设施，地面采取防渗措施，危险废物收集后分别临时贮存于</w:t>
            </w:r>
            <w:r>
              <w:rPr>
                <w:rFonts w:hint="default" w:ascii="Times New Roman" w:hAnsi="Times New Roman" w:cs="Times New Roman"/>
                <w:color w:val="auto"/>
                <w:kern w:val="2"/>
                <w:sz w:val="24"/>
                <w:szCs w:val="24"/>
                <w:highlight w:val="none"/>
                <w:lang w:val="en-US" w:eastAsia="zh-CN" w:bidi="ar-SA"/>
              </w:rPr>
              <w:t>危险废物暂存间</w:t>
            </w:r>
            <w:r>
              <w:rPr>
                <w:rFonts w:hint="default" w:ascii="Times New Roman" w:hAnsi="Times New Roman" w:eastAsia="宋体" w:cs="Times New Roman"/>
                <w:color w:val="auto"/>
                <w:kern w:val="2"/>
                <w:sz w:val="24"/>
                <w:szCs w:val="24"/>
                <w:highlight w:val="none"/>
                <w:lang w:val="en-US" w:eastAsia="zh-CN" w:bidi="ar-SA"/>
              </w:rPr>
              <w:t>；根据生产需要合理设置贮存量，尽量减少厂内的物料贮存量：严禁将危险废物混入生活垃圾；堆放危险废物的地方要有明显的标志。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危险废物贮存过程产生的液态废物和固态废物应分类收集，按其环境管理要求妥善处理。贮存库内不同贮存分区之间应采取隔离措施。隔离措施可根据危险废物特性采用过道、隔板或隔墙等方式。在贮存库内或通过贮存分区方式贮存液态危险废物的，应具有液体泄漏堵截设施，堵截设施最小容积不应低于对应贮存区域最大液态废物容器容积或液态废物总储量1/10（二者取较大者）；用于贮存可能产生渗滤液的危险废物的贮存库或贮存分区应设计渗滤液收集设施，收集设施容积应满足渗滤液的收集要求。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-7</w:t>
            </w:r>
            <w:r>
              <w:rPr>
                <w:rFonts w:hint="default" w:ascii="Times New Roman" w:hAnsi="Times New Roman" w:eastAsia="宋体" w:cs="Times New Roman"/>
                <w:color w:val="auto"/>
                <w:kern w:val="2"/>
                <w:sz w:val="24"/>
                <w:szCs w:val="24"/>
                <w:highlight w:val="none"/>
                <w:lang w:val="en-US" w:eastAsia="zh-CN" w:bidi="ar-SA"/>
              </w:rPr>
              <w:t>cm/s），或至少2mm厚高密度聚乙烯膜等人工防渗材料（渗透系数不大于10</w:t>
            </w:r>
            <w:r>
              <w:rPr>
                <w:rFonts w:hint="default" w:ascii="Times New Roman" w:hAnsi="Times New Roman" w:eastAsia="宋体" w:cs="Times New Roman"/>
                <w:color w:val="auto"/>
                <w:kern w:val="2"/>
                <w:sz w:val="24"/>
                <w:szCs w:val="24"/>
                <w:highlight w:val="none"/>
                <w:vertAlign w:val="superscript"/>
                <w:lang w:val="en-US" w:eastAsia="zh-CN" w:bidi="ar-SA"/>
              </w:rPr>
              <w:t>-10</w:t>
            </w:r>
            <w:r>
              <w:rPr>
                <w:rFonts w:hint="default" w:ascii="Times New Roman" w:hAnsi="Times New Roman" w:eastAsia="宋体" w:cs="Times New Roman"/>
                <w:color w:val="auto"/>
                <w:kern w:val="2"/>
                <w:sz w:val="24"/>
                <w:szCs w:val="24"/>
                <w:highlight w:val="none"/>
                <w:lang w:val="en-US" w:eastAsia="zh-CN" w:bidi="ar-SA"/>
              </w:rPr>
              <w:t>cm/s），或其他防渗性能等效的材料。</w:t>
            </w:r>
          </w:p>
          <w:p w14:paraId="7F3D5803">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项目危险废物贮存场所基本情况见下表。</w:t>
            </w:r>
          </w:p>
          <w:p w14:paraId="276820C4">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19</w:t>
            </w:r>
            <w:r>
              <w:rPr>
                <w:rFonts w:hint="default" w:ascii="Times New Roman" w:hAnsi="Times New Roman" w:eastAsia="宋体" w:cs="Times New Roman"/>
                <w:b/>
                <w:bCs/>
                <w:color w:val="auto"/>
                <w:kern w:val="2"/>
                <w:sz w:val="21"/>
                <w:szCs w:val="21"/>
                <w:highlight w:val="none"/>
                <w:lang w:val="en-US" w:eastAsia="zh-CN" w:bidi="ar-SA"/>
              </w:rPr>
              <w:t>危险废物贮存场所（设施）基本情况表</w:t>
            </w:r>
          </w:p>
          <w:tbl>
            <w:tblPr>
              <w:tblStyle w:val="38"/>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4"/>
              <w:gridCol w:w="1347"/>
              <w:gridCol w:w="812"/>
              <w:gridCol w:w="1242"/>
              <w:gridCol w:w="726"/>
              <w:gridCol w:w="661"/>
              <w:gridCol w:w="1078"/>
              <w:gridCol w:w="686"/>
              <w:gridCol w:w="794"/>
            </w:tblGrid>
            <w:tr w14:paraId="2769D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restart"/>
                  <w:vAlign w:val="center"/>
                </w:tcPr>
                <w:p w14:paraId="021E4CF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贮存场所（设施）名称</w:t>
                  </w:r>
                </w:p>
              </w:tc>
              <w:tc>
                <w:tcPr>
                  <w:tcW w:w="1986" w:type="pct"/>
                  <w:gridSpan w:val="3"/>
                  <w:vAlign w:val="center"/>
                </w:tcPr>
                <w:p w14:paraId="09BACB1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危险废物</w:t>
                  </w:r>
                </w:p>
              </w:tc>
              <w:tc>
                <w:tcPr>
                  <w:tcW w:w="424" w:type="pct"/>
                  <w:vMerge w:val="restart"/>
                  <w:vAlign w:val="center"/>
                </w:tcPr>
                <w:p w14:paraId="1B4D038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位置</w:t>
                  </w:r>
                </w:p>
              </w:tc>
              <w:tc>
                <w:tcPr>
                  <w:tcW w:w="386" w:type="pct"/>
                  <w:vMerge w:val="restart"/>
                  <w:vAlign w:val="center"/>
                </w:tcPr>
                <w:p w14:paraId="597427A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占地面积</w:t>
                  </w:r>
                </w:p>
              </w:tc>
              <w:tc>
                <w:tcPr>
                  <w:tcW w:w="629" w:type="pct"/>
                  <w:vMerge w:val="restart"/>
                  <w:vAlign w:val="center"/>
                </w:tcPr>
                <w:p w14:paraId="29F93D31">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贮存方式</w:t>
                  </w:r>
                </w:p>
              </w:tc>
              <w:tc>
                <w:tcPr>
                  <w:tcW w:w="400" w:type="pct"/>
                  <w:vMerge w:val="restart"/>
                  <w:vAlign w:val="center"/>
                </w:tcPr>
                <w:p w14:paraId="47D3510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贮存能力</w:t>
                  </w:r>
                </w:p>
              </w:tc>
              <w:tc>
                <w:tcPr>
                  <w:tcW w:w="463" w:type="pct"/>
                  <w:vMerge w:val="restart"/>
                  <w:vAlign w:val="center"/>
                </w:tcPr>
                <w:p w14:paraId="173E30F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贮存周期</w:t>
                  </w:r>
                </w:p>
              </w:tc>
            </w:tr>
            <w:tr w14:paraId="2B0D0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594B2B3B">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6A2619DC">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名称</w:t>
                  </w:r>
                </w:p>
              </w:tc>
              <w:tc>
                <w:tcPr>
                  <w:tcW w:w="474" w:type="pct"/>
                  <w:vAlign w:val="center"/>
                </w:tcPr>
                <w:p w14:paraId="599DD62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类别</w:t>
                  </w:r>
                </w:p>
              </w:tc>
              <w:tc>
                <w:tcPr>
                  <w:tcW w:w="725" w:type="pct"/>
                  <w:vAlign w:val="center"/>
                </w:tcPr>
                <w:p w14:paraId="50B4A2B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b/>
                      <w:bCs/>
                      <w:color w:val="auto"/>
                      <w:position w:val="-10"/>
                      <w:sz w:val="21"/>
                      <w:szCs w:val="21"/>
                      <w:highlight w:val="none"/>
                      <w:lang w:val="en-US" w:eastAsia="zh-CN" w:bidi="ar-SA"/>
                    </w:rPr>
                  </w:pPr>
                  <w:r>
                    <w:rPr>
                      <w:rFonts w:hint="default" w:ascii="Times New Roman" w:hAnsi="Times New Roman" w:eastAsia="宋体" w:cs="Times New Roman"/>
                      <w:b/>
                      <w:bCs/>
                      <w:color w:val="auto"/>
                      <w:position w:val="-10"/>
                      <w:sz w:val="21"/>
                      <w:szCs w:val="21"/>
                      <w:highlight w:val="none"/>
                      <w:lang w:val="en-US" w:eastAsia="zh-CN" w:bidi="ar-SA"/>
                    </w:rPr>
                    <w:t>代码</w:t>
                  </w:r>
                </w:p>
              </w:tc>
              <w:tc>
                <w:tcPr>
                  <w:tcW w:w="424" w:type="pct"/>
                  <w:vMerge w:val="continue"/>
                  <w:vAlign w:val="center"/>
                </w:tcPr>
                <w:p w14:paraId="75A7B236">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3227D7A4">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346C251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63563E6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Merge w:val="continue"/>
                  <w:vAlign w:val="center"/>
                </w:tcPr>
                <w:p w14:paraId="0D3D6EAA">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r>
            <w:tr w14:paraId="13D66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8" w:hRule="atLeast"/>
                <w:jc w:val="center"/>
              </w:trPr>
              <w:tc>
                <w:tcPr>
                  <w:tcW w:w="709" w:type="pct"/>
                  <w:vMerge w:val="restart"/>
                  <w:vAlign w:val="center"/>
                </w:tcPr>
                <w:p w14:paraId="280F5927">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危险废物贮存库</w:t>
                  </w:r>
                </w:p>
              </w:tc>
              <w:tc>
                <w:tcPr>
                  <w:tcW w:w="786" w:type="pct"/>
                  <w:vAlign w:val="center"/>
                </w:tcPr>
                <w:p w14:paraId="387A6EC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w:t>
                  </w:r>
                  <w:r>
                    <w:rPr>
                      <w:rFonts w:hint="default" w:ascii="Times New Roman" w:hAnsi="Times New Roman" w:cs="Times New Roman"/>
                      <w:color w:val="auto"/>
                      <w:position w:val="-10"/>
                      <w:sz w:val="21"/>
                      <w:szCs w:val="21"/>
                      <w:highlight w:val="none"/>
                      <w:lang w:val="en-US" w:eastAsia="zh-CN" w:bidi="ar-SA"/>
                    </w:rPr>
                    <w:t>矿物油及油桶</w:t>
                  </w:r>
                </w:p>
              </w:tc>
              <w:tc>
                <w:tcPr>
                  <w:tcW w:w="474" w:type="pct"/>
                  <w:vAlign w:val="center"/>
                </w:tcPr>
                <w:p w14:paraId="36C301AB">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w:t>
                  </w:r>
                  <w:r>
                    <w:rPr>
                      <w:rFonts w:hint="default" w:ascii="Times New Roman" w:hAnsi="Times New Roman" w:cs="Times New Roman"/>
                      <w:color w:val="auto"/>
                      <w:position w:val="-10"/>
                      <w:sz w:val="21"/>
                      <w:szCs w:val="21"/>
                      <w:highlight w:val="none"/>
                      <w:lang w:val="en-US" w:eastAsia="zh-CN" w:bidi="ar-SA"/>
                    </w:rPr>
                    <w:t>08</w:t>
                  </w:r>
                </w:p>
              </w:tc>
              <w:tc>
                <w:tcPr>
                  <w:tcW w:w="725" w:type="pct"/>
                  <w:vAlign w:val="center"/>
                </w:tcPr>
                <w:p w14:paraId="1E54EC2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900-249-08</w:t>
                  </w:r>
                </w:p>
              </w:tc>
              <w:tc>
                <w:tcPr>
                  <w:tcW w:w="424" w:type="pct"/>
                  <w:vMerge w:val="restart"/>
                  <w:vAlign w:val="center"/>
                </w:tcPr>
                <w:p w14:paraId="25EB662C">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1F西侧</w:t>
                  </w:r>
                </w:p>
              </w:tc>
              <w:tc>
                <w:tcPr>
                  <w:tcW w:w="386" w:type="pct"/>
                  <w:vMerge w:val="restart"/>
                  <w:vAlign w:val="center"/>
                </w:tcPr>
                <w:p w14:paraId="0C53C7D4">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10m</w:t>
                  </w:r>
                  <w:r>
                    <w:rPr>
                      <w:rFonts w:hint="default" w:ascii="Times New Roman" w:hAnsi="Times New Roman" w:eastAsia="宋体" w:cs="Times New Roman"/>
                      <w:color w:val="auto"/>
                      <w:position w:val="-10"/>
                      <w:sz w:val="21"/>
                      <w:szCs w:val="21"/>
                      <w:highlight w:val="none"/>
                      <w:vertAlign w:val="superscript"/>
                      <w:lang w:val="en-US" w:eastAsia="zh-CN" w:bidi="ar-SA"/>
                    </w:rPr>
                    <w:t>2</w:t>
                  </w:r>
                </w:p>
              </w:tc>
              <w:tc>
                <w:tcPr>
                  <w:tcW w:w="629" w:type="pct"/>
                  <w:vMerge w:val="restart"/>
                  <w:vAlign w:val="center"/>
                </w:tcPr>
                <w:p w14:paraId="4EF60363">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采用密闭性好、耐腐蚀的塑料容器封存</w:t>
                  </w:r>
                </w:p>
              </w:tc>
              <w:tc>
                <w:tcPr>
                  <w:tcW w:w="400" w:type="pct"/>
                  <w:vMerge w:val="restart"/>
                  <w:vAlign w:val="center"/>
                </w:tcPr>
                <w:p w14:paraId="34E8DC63">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cs="Times New Roman"/>
                      <w:color w:val="auto"/>
                      <w:position w:val="-10"/>
                      <w:sz w:val="21"/>
                      <w:szCs w:val="21"/>
                      <w:highlight w:val="none"/>
                      <w:lang w:val="en-US" w:eastAsia="zh-CN" w:bidi="ar-SA"/>
                    </w:rPr>
                    <w:t>10</w:t>
                  </w:r>
                  <w:r>
                    <w:rPr>
                      <w:rFonts w:hint="default" w:ascii="Times New Roman" w:hAnsi="Times New Roman" w:cs="Times New Roman"/>
                      <w:color w:val="auto"/>
                      <w:position w:val="-10"/>
                      <w:sz w:val="21"/>
                      <w:szCs w:val="21"/>
                      <w:highlight w:val="none"/>
                      <w:lang w:val="en-US" w:eastAsia="zh-CN" w:bidi="ar-SA"/>
                    </w:rPr>
                    <w:t>t</w:t>
                  </w:r>
                </w:p>
              </w:tc>
              <w:tc>
                <w:tcPr>
                  <w:tcW w:w="463" w:type="pct"/>
                  <w:vAlign w:val="center"/>
                </w:tcPr>
                <w:p w14:paraId="633355B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3个月</w:t>
                  </w:r>
                </w:p>
              </w:tc>
            </w:tr>
            <w:tr w14:paraId="19740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EC40210">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2D618EB9">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废含油抹布及手套</w:t>
                  </w:r>
                </w:p>
              </w:tc>
              <w:tc>
                <w:tcPr>
                  <w:tcW w:w="474" w:type="pct"/>
                  <w:vAlign w:val="center"/>
                </w:tcPr>
                <w:p w14:paraId="7D3D81F2">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vAlign w:val="center"/>
                </w:tcPr>
                <w:p w14:paraId="251023BA">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4" w:type="pct"/>
                  <w:vMerge w:val="continue"/>
                  <w:vAlign w:val="center"/>
                </w:tcPr>
                <w:p w14:paraId="437A28DE">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12289FAD">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6D5A258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691545B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Align w:val="center"/>
                </w:tcPr>
                <w:p w14:paraId="5D50F8D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每天</w:t>
                  </w:r>
                </w:p>
              </w:tc>
            </w:tr>
            <w:tr w14:paraId="499C0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09" w:type="pct"/>
                  <w:vMerge w:val="continue"/>
                  <w:vAlign w:val="center"/>
                </w:tcPr>
                <w:p w14:paraId="211AB8C3">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786" w:type="pct"/>
                  <w:vAlign w:val="center"/>
                </w:tcPr>
                <w:p w14:paraId="0B58017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废活性炭</w:t>
                  </w:r>
                </w:p>
              </w:tc>
              <w:tc>
                <w:tcPr>
                  <w:tcW w:w="474" w:type="pct"/>
                  <w:shd w:val="clear" w:color="auto" w:fill="auto"/>
                  <w:vAlign w:val="center"/>
                </w:tcPr>
                <w:p w14:paraId="649EFF4F">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HW49</w:t>
                  </w:r>
                </w:p>
              </w:tc>
              <w:tc>
                <w:tcPr>
                  <w:tcW w:w="725" w:type="pct"/>
                  <w:shd w:val="clear" w:color="auto" w:fill="auto"/>
                  <w:vAlign w:val="center"/>
                </w:tcPr>
                <w:p w14:paraId="22410E71">
                  <w:pPr>
                    <w:keepNext w:val="0"/>
                    <w:keepLines w:val="0"/>
                    <w:pageBreakBefore w:val="0"/>
                    <w:widowControl w:val="0"/>
                    <w:kinsoku/>
                    <w:wordWrap w:val="0"/>
                    <w:overflowPunct/>
                    <w:topLinePunct w:val="0"/>
                    <w:autoSpaceDE w:val="0"/>
                    <w:autoSpaceDN w:val="0"/>
                    <w:bidi w:val="0"/>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900-041-49</w:t>
                  </w:r>
                </w:p>
              </w:tc>
              <w:tc>
                <w:tcPr>
                  <w:tcW w:w="424" w:type="pct"/>
                  <w:vMerge w:val="continue"/>
                  <w:vAlign w:val="center"/>
                </w:tcPr>
                <w:p w14:paraId="1BE0139F">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386" w:type="pct"/>
                  <w:vMerge w:val="continue"/>
                  <w:vAlign w:val="center"/>
                </w:tcPr>
                <w:p w14:paraId="448870A2">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629" w:type="pct"/>
                  <w:vMerge w:val="continue"/>
                  <w:vAlign w:val="center"/>
                </w:tcPr>
                <w:p w14:paraId="222129D5">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00" w:type="pct"/>
                  <w:vMerge w:val="continue"/>
                  <w:vAlign w:val="center"/>
                </w:tcPr>
                <w:p w14:paraId="0CDC39A8">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p>
              </w:tc>
              <w:tc>
                <w:tcPr>
                  <w:tcW w:w="463" w:type="pct"/>
                  <w:vAlign w:val="center"/>
                </w:tcPr>
                <w:p w14:paraId="2B56E5B9">
                  <w:pPr>
                    <w:keepNext w:val="0"/>
                    <w:keepLines w:val="0"/>
                    <w:pageBreakBefore w:val="0"/>
                    <w:widowControl w:val="0"/>
                    <w:kinsoku/>
                    <w:wordWrap w:val="0"/>
                    <w:overflowPunct/>
                    <w:topLinePunct w:val="0"/>
                    <w:autoSpaceDE w:val="0"/>
                    <w:autoSpaceDN w:val="0"/>
                    <w:bidi w:val="0"/>
                    <w:adjustRightInd/>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cs="Times New Roman"/>
                      <w:color w:val="auto"/>
                      <w:position w:val="-10"/>
                      <w:sz w:val="21"/>
                      <w:szCs w:val="21"/>
                      <w:highlight w:val="none"/>
                      <w:lang w:val="en-US" w:eastAsia="zh-CN" w:bidi="ar-SA"/>
                    </w:rPr>
                    <w:t>3</w:t>
                  </w:r>
                  <w:r>
                    <w:rPr>
                      <w:rFonts w:hint="default" w:ascii="Times New Roman" w:hAnsi="Times New Roman" w:cs="Times New Roman"/>
                      <w:color w:val="auto"/>
                      <w:position w:val="-10"/>
                      <w:sz w:val="21"/>
                      <w:szCs w:val="21"/>
                      <w:highlight w:val="none"/>
                      <w:lang w:val="en-US" w:eastAsia="zh-CN" w:bidi="ar-SA"/>
                    </w:rPr>
                    <w:t>个月</w:t>
                  </w:r>
                </w:p>
              </w:tc>
            </w:tr>
          </w:tbl>
          <w:p w14:paraId="231C727B">
            <w:pPr>
              <w:keepNext/>
              <w:keepLines/>
              <w:pageBreakBefore w:val="0"/>
              <w:tabs>
                <w:tab w:val="left" w:pos="0"/>
              </w:tabs>
              <w:wordWrap w:val="0"/>
              <w:topLinePunct w:val="0"/>
              <w:bidi w:val="0"/>
              <w:ind w:left="480"/>
              <w:outlineLvl w:val="4"/>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（3）转运、处置</w:t>
            </w:r>
          </w:p>
          <w:bookmarkEnd w:id="115"/>
          <w:p w14:paraId="0DF8660B">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内部无利用或处置危险废物的能力和设施，需要委托具有危险废物处理资质的单位处置。根据广东省生态环境厅危险废物经营许可证颁发情况，广东省有可以处置本项目危险废物的企业，处理能力充足。建设单位可直接委托其转移处理。</w:t>
            </w:r>
          </w:p>
          <w:p w14:paraId="6C47BEC1">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w:t>
            </w:r>
            <w:r>
              <w:rPr>
                <w:rFonts w:hint="default" w:ascii="Times New Roman" w:hAnsi="Times New Roman" w:eastAsia="宋体" w:cs="Times New Roman"/>
                <w:b/>
                <w:bCs/>
                <w:color w:val="auto"/>
                <w:kern w:val="2"/>
                <w:sz w:val="21"/>
                <w:szCs w:val="21"/>
                <w:highlight w:val="none"/>
                <w:lang w:val="en-US" w:eastAsia="zh-CN" w:bidi="ar-SA"/>
              </w:rPr>
              <w:fldChar w:fldCharType="begin"/>
            </w:r>
            <w:r>
              <w:rPr>
                <w:rFonts w:hint="default" w:ascii="Times New Roman" w:hAnsi="Times New Roman" w:eastAsia="宋体" w:cs="Times New Roman"/>
                <w:b/>
                <w:bCs/>
                <w:color w:val="auto"/>
                <w:kern w:val="2"/>
                <w:sz w:val="21"/>
                <w:szCs w:val="21"/>
                <w:highlight w:val="none"/>
                <w:lang w:val="en-US" w:eastAsia="zh-CN" w:bidi="ar-SA"/>
              </w:rPr>
              <w:instrText xml:space="preserve"> STYLEREF 1 \s </w:instrText>
            </w:r>
            <w:r>
              <w:rPr>
                <w:rFonts w:hint="default" w:ascii="Times New Roman" w:hAnsi="Times New Roman" w:eastAsia="宋体" w:cs="Times New Roman"/>
                <w:b/>
                <w:bCs/>
                <w:color w:val="auto"/>
                <w:kern w:val="2"/>
                <w:sz w:val="21"/>
                <w:szCs w:val="21"/>
                <w:highlight w:val="none"/>
                <w:lang w:val="en-US" w:eastAsia="zh-CN" w:bidi="ar-SA"/>
              </w:rPr>
              <w:fldChar w:fldCharType="separate"/>
            </w:r>
            <w:r>
              <w:rPr>
                <w:rFonts w:hint="default" w:ascii="Times New Roman" w:hAnsi="Times New Roman" w:eastAsia="宋体" w:cs="Times New Roman"/>
                <w:b/>
                <w:bCs/>
                <w:color w:val="auto"/>
                <w:kern w:val="2"/>
                <w:sz w:val="21"/>
                <w:szCs w:val="21"/>
                <w:highlight w:val="none"/>
                <w:lang w:val="en-US" w:eastAsia="zh-CN" w:bidi="ar-SA"/>
              </w:rPr>
              <w:t>4</w:t>
            </w:r>
            <w:r>
              <w:rPr>
                <w:rFonts w:hint="default" w:ascii="Times New Roman" w:hAnsi="Times New Roman" w:eastAsia="宋体" w:cs="Times New Roman"/>
                <w:b/>
                <w:bCs/>
                <w:color w:val="auto"/>
                <w:kern w:val="2"/>
                <w:sz w:val="21"/>
                <w:szCs w:val="21"/>
                <w:highlight w:val="none"/>
                <w:lang w:val="en-US" w:eastAsia="zh-CN" w:bidi="ar-SA"/>
              </w:rPr>
              <w:fldChar w:fldCharType="end"/>
            </w:r>
            <w:r>
              <w:rPr>
                <w:rFonts w:hint="default" w:ascii="Times New Roman" w:hAnsi="Times New Roman" w:eastAsia="宋体" w:cs="Times New Roman"/>
                <w:b/>
                <w:bCs/>
                <w:color w:val="auto"/>
                <w:kern w:val="2"/>
                <w:sz w:val="21"/>
                <w:szCs w:val="21"/>
                <w:highlight w:val="none"/>
                <w:lang w:val="en-US" w:eastAsia="zh-CN" w:bidi="ar-SA"/>
              </w:rPr>
              <w:t>-</w:t>
            </w:r>
            <w:r>
              <w:rPr>
                <w:rFonts w:hint="default" w:ascii="Times New Roman" w:hAnsi="Times New Roman" w:cs="Times New Roman"/>
                <w:b/>
                <w:bCs/>
                <w:color w:val="auto"/>
                <w:kern w:val="2"/>
                <w:sz w:val="21"/>
                <w:szCs w:val="21"/>
                <w:highlight w:val="none"/>
                <w:lang w:val="en-US" w:eastAsia="zh-CN" w:bidi="ar-SA"/>
              </w:rPr>
              <w:t>20</w:t>
            </w:r>
            <w:r>
              <w:rPr>
                <w:rFonts w:hint="default" w:ascii="Times New Roman" w:hAnsi="Times New Roman" w:eastAsia="宋体" w:cs="Times New Roman"/>
                <w:b/>
                <w:bCs/>
                <w:color w:val="auto"/>
                <w:kern w:val="2"/>
                <w:sz w:val="21"/>
                <w:szCs w:val="21"/>
                <w:highlight w:val="none"/>
                <w:lang w:val="en-US" w:eastAsia="zh-CN" w:bidi="ar-SA"/>
              </w:rPr>
              <w:t>广东省内可接收本项目危险废物的处理单位一览表（摘录）</w:t>
            </w:r>
          </w:p>
          <w:tbl>
            <w:tblPr>
              <w:tblStyle w:val="38"/>
              <w:tblW w:w="871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8"/>
              <w:gridCol w:w="1093"/>
              <w:gridCol w:w="976"/>
              <w:gridCol w:w="706"/>
              <w:gridCol w:w="967"/>
              <w:gridCol w:w="4630"/>
            </w:tblGrid>
            <w:tr w14:paraId="3E791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1783378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627" w:type="pct"/>
                  <w:vAlign w:val="center"/>
                </w:tcPr>
                <w:p w14:paraId="184B76A7">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企业名称</w:t>
                  </w:r>
                </w:p>
              </w:tc>
              <w:tc>
                <w:tcPr>
                  <w:tcW w:w="560" w:type="pct"/>
                  <w:vAlign w:val="center"/>
                </w:tcPr>
                <w:p w14:paraId="2A540618">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设施地址</w:t>
                  </w:r>
                </w:p>
              </w:tc>
              <w:tc>
                <w:tcPr>
                  <w:tcW w:w="405" w:type="pct"/>
                  <w:vAlign w:val="center"/>
                </w:tcPr>
                <w:p w14:paraId="27CD690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许可证编号</w:t>
                  </w:r>
                </w:p>
              </w:tc>
              <w:tc>
                <w:tcPr>
                  <w:tcW w:w="555" w:type="pct"/>
                  <w:vAlign w:val="center"/>
                </w:tcPr>
                <w:p w14:paraId="099EBECD">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经营时间有效期</w:t>
                  </w:r>
                </w:p>
              </w:tc>
              <w:tc>
                <w:tcPr>
                  <w:tcW w:w="2656" w:type="pct"/>
                  <w:vAlign w:val="center"/>
                </w:tcPr>
                <w:p w14:paraId="27579EA5">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核准经营范围、类别</w:t>
                  </w:r>
                </w:p>
              </w:tc>
            </w:tr>
            <w:tr w14:paraId="653FF6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118AFDFA">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1</w:t>
                  </w:r>
                </w:p>
              </w:tc>
              <w:tc>
                <w:tcPr>
                  <w:tcW w:w="627" w:type="pct"/>
                  <w:vAlign w:val="center"/>
                </w:tcPr>
                <w:p w14:paraId="0D9A643F">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韶关鹏瑞环保科技有限公司</w:t>
                  </w:r>
                </w:p>
              </w:tc>
              <w:tc>
                <w:tcPr>
                  <w:tcW w:w="560" w:type="pct"/>
                  <w:vAlign w:val="center"/>
                </w:tcPr>
                <w:p w14:paraId="2B60EF4C">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韶关市翁源县官渡镇官渡经济开发区</w:t>
                  </w:r>
                </w:p>
              </w:tc>
              <w:tc>
                <w:tcPr>
                  <w:tcW w:w="405" w:type="pct"/>
                  <w:vAlign w:val="center"/>
                </w:tcPr>
                <w:p w14:paraId="6E2C13E1">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440229190731</w:t>
                  </w:r>
                </w:p>
              </w:tc>
              <w:tc>
                <w:tcPr>
                  <w:tcW w:w="555" w:type="pct"/>
                  <w:vAlign w:val="center"/>
                </w:tcPr>
                <w:p w14:paraId="7AB6FE9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至2025年7月30日</w:t>
                  </w:r>
                </w:p>
              </w:tc>
              <w:tc>
                <w:tcPr>
                  <w:tcW w:w="2656" w:type="pct"/>
                  <w:vAlign w:val="center"/>
                </w:tcPr>
                <w:p w14:paraId="0EA09EA3">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感光材料废物（HW16类中266-009~010-16、231-001~002-16、398-001-16、873-001-16、806-001-16、900-019-16，限感光废菲林2000吨/年、废定影液和显影液1000吨/年）3000吨/年，表面处理废物（HW17类中336-050-17、336-052-17、336-054~059-17、336-062~064-17、336-066-17，仅限污泥）50000吨/年，含铜废物（HW22类中304-001-22、398-004-22、398-005-22、398-051-22，仅限污泥）、有色金属采选和冶炼废物（HW48类中321-002-48，仅限污泥）50000吨/年，无机氰化物废物（HW33类中336-104-33、900-027~029-33）1000吨/年；</w:t>
                  </w:r>
                </w:p>
                <w:p w14:paraId="7F9B030E">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【收集、贮存、处置】废酸（HW34类中398-005~007-34、900-300~308-34、900-349-34）10000吨/年，废碱（HW35类中900-350~356-35、900-399-35）10000吨/年；共计124000吨/年。</w:t>
                  </w:r>
                </w:p>
              </w:tc>
            </w:tr>
            <w:tr w14:paraId="2D959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2841715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2</w:t>
                  </w:r>
                </w:p>
              </w:tc>
              <w:tc>
                <w:tcPr>
                  <w:tcW w:w="627" w:type="pct"/>
                  <w:vAlign w:val="center"/>
                </w:tcPr>
                <w:p w14:paraId="0AFEA2A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韶关东江环保再生资源发展有限公司</w:t>
                  </w:r>
                </w:p>
              </w:tc>
              <w:tc>
                <w:tcPr>
                  <w:tcW w:w="560" w:type="pct"/>
                  <w:vAlign w:val="center"/>
                </w:tcPr>
                <w:p w14:paraId="59A86B5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韶关市翁源县铁龙林场将军屯</w:t>
                  </w:r>
                </w:p>
              </w:tc>
              <w:tc>
                <w:tcPr>
                  <w:tcW w:w="405" w:type="pct"/>
                  <w:vAlign w:val="center"/>
                </w:tcPr>
                <w:p w14:paraId="5F4DBE76">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440229210121</w:t>
                  </w:r>
                </w:p>
              </w:tc>
              <w:tc>
                <w:tcPr>
                  <w:tcW w:w="555" w:type="pct"/>
                  <w:vAlign w:val="center"/>
                </w:tcPr>
                <w:p w14:paraId="785B3F90">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至2027年3月5日</w:t>
                  </w:r>
                </w:p>
              </w:tc>
              <w:tc>
                <w:tcPr>
                  <w:tcW w:w="2656" w:type="pct"/>
                  <w:vAlign w:val="center"/>
                </w:tcPr>
                <w:p w14:paraId="65C8B15E">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处置（填埋）】焚烧处置残渣（HW18类中的772-002~004-18）、含铍废物（HW20类）、含铬废物（HW21类中的193-001-21、261-041~044-21、314-001~003-21、336-100-21、398-002-21）、含铜废物（HW22类中的398-005-22、304-001-22）、含锌废物（HW23类中的336-103-23、384-001-23、312-001-23、900-021-23）、含砷废物（HW24类）、含硒废物（HW25类）、含镉废物（HW26类）、含锑废物（HW27类）、含碲废物（HW28类）、含汞废物（HW29类中的261-051~052-29、261-054-29、265-004-29、900-452-29，仅限低含汞污泥）、含铊废物（HW30类）、含铅废物（HW31类中的304-002-31）、石棉废物（HW36类）、含镍废物（HW46类）、含钡废物（HW47类）、有色金属冶炼废物（HW48类中的321-002~014-48、321-016~029-48）、其他废物（HW49类中的900-041~042-49、900-046~047-49），共3.45万吨/年。</w:t>
                  </w:r>
                </w:p>
              </w:tc>
            </w:tr>
            <w:tr w14:paraId="70487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94" w:type="pct"/>
                  <w:vAlign w:val="center"/>
                </w:tcPr>
                <w:p w14:paraId="36567D22">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3</w:t>
                  </w:r>
                </w:p>
              </w:tc>
              <w:tc>
                <w:tcPr>
                  <w:tcW w:w="627" w:type="pct"/>
                  <w:vAlign w:val="center"/>
                </w:tcPr>
                <w:p w14:paraId="4003DE9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广东华欣环保科技有限公司</w:t>
                  </w:r>
                </w:p>
              </w:tc>
              <w:tc>
                <w:tcPr>
                  <w:tcW w:w="560" w:type="pct"/>
                  <w:vAlign w:val="center"/>
                </w:tcPr>
                <w:p w14:paraId="565038A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韶关市曲江区广东韶钢松山股份有限公司厂区内</w:t>
                  </w:r>
                </w:p>
              </w:tc>
              <w:tc>
                <w:tcPr>
                  <w:tcW w:w="405" w:type="pct"/>
                  <w:vAlign w:val="center"/>
                </w:tcPr>
                <w:p w14:paraId="2495D739">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440205220412</w:t>
                  </w:r>
                </w:p>
              </w:tc>
              <w:tc>
                <w:tcPr>
                  <w:tcW w:w="555" w:type="pct"/>
                  <w:vAlign w:val="center"/>
                </w:tcPr>
                <w:p w14:paraId="37B9B183">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至2028年4月9日</w:t>
                  </w:r>
                </w:p>
              </w:tc>
              <w:tc>
                <w:tcPr>
                  <w:tcW w:w="2656" w:type="pct"/>
                  <w:vAlign w:val="center"/>
                </w:tcPr>
                <w:p w14:paraId="52D65525">
                  <w:pPr>
                    <w:keepNext w:val="0"/>
                    <w:keepLines w:val="0"/>
                    <w:pageBreakBefore w:val="0"/>
                    <w:widowControl w:val="0"/>
                    <w:kinsoku/>
                    <w:wordWrap w:val="0"/>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kern w:val="2"/>
                      <w:sz w:val="21"/>
                      <w:szCs w:val="21"/>
                      <w:highlight w:val="none"/>
                      <w:shd w:val="clear" w:color="auto" w:fill="FFFFFF"/>
                      <w:lang w:val="en-US" w:eastAsia="zh-CN" w:bidi="ar-SA"/>
                    </w:rPr>
                  </w:pPr>
                  <w:r>
                    <w:rPr>
                      <w:rFonts w:hint="default" w:ascii="Times New Roman" w:hAnsi="Times New Roman" w:eastAsia="宋体" w:cs="Times New Roman"/>
                      <w:color w:val="auto"/>
                      <w:kern w:val="2"/>
                      <w:sz w:val="21"/>
                      <w:szCs w:val="21"/>
                      <w:highlight w:val="none"/>
                      <w:shd w:val="clear" w:color="auto" w:fill="FFFFFF"/>
                      <w:lang w:val="en-US" w:eastAsia="zh-CN" w:bidi="ar-SA"/>
                    </w:rPr>
                    <w:t>【收集、贮存、利用】废矿物油与含矿物油废物（HW08类中的900-249-08，仅限沾染矿物油的废铁质包装桶）1.8万吨/年、其他废物（HW49类中的900-041-49，仅限废铁质包装桶）3.2万吨/年、含铬废物（HW21类中的314-001~002-21）10万吨/年、含锌废物（HW23类中的312-001-23、336-103-23（仅限集尘、除尘装置收集的粉尘））1万吨/年，共计16万吨/年。</w:t>
                  </w:r>
                </w:p>
              </w:tc>
            </w:tr>
          </w:tbl>
          <w:p w14:paraId="6A9EBBF1">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本项目的危险废物种类不多，单次产生量不大，性质较稳定，落实好上述措施后，从产生到转移处置的全过程环境风险均可得到有效控制，不存在重大隐患，不会对外部环境造成重大影响。</w:t>
            </w:r>
          </w:p>
          <w:p w14:paraId="691D4FEB">
            <w:pPr>
              <w:keepNext/>
              <w:keepLines/>
              <w:pageBreakBefore w:val="0"/>
              <w:widowControl w:val="0"/>
              <w:numPr>
                <w:ilvl w:val="2"/>
                <w:numId w:val="0"/>
              </w:numPr>
              <w:wordWrap w:val="0"/>
              <w:topLinePunct w:val="0"/>
              <w:bidi w:val="0"/>
              <w:spacing w:line="360" w:lineRule="auto"/>
              <w:ind w:firstLine="480" w:firstLineChars="200"/>
              <w:jc w:val="both"/>
              <w:outlineLvl w:val="2"/>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五、土壤、地下水环境影响分析</w:t>
            </w:r>
          </w:p>
          <w:p w14:paraId="5B514F5F">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本项目属于“</w:t>
            </w:r>
            <w:r>
              <w:rPr>
                <w:rFonts w:hint="default" w:ascii="Times New Roman" w:hAnsi="Times New Roman" w:cs="Times New Roman"/>
                <w:color w:val="auto"/>
                <w:kern w:val="2"/>
                <w:sz w:val="24"/>
                <w:szCs w:val="24"/>
                <w:highlight w:val="none"/>
                <w:lang w:val="en-US" w:eastAsia="zh-CN" w:bidi="ar-SA"/>
              </w:rPr>
              <w:t>二十六、橡胶和塑料制品业29-53 塑料制品业 292</w:t>
            </w:r>
            <w:r>
              <w:rPr>
                <w:rFonts w:hint="default" w:ascii="Times New Roman" w:hAnsi="Times New Roman" w:eastAsia="宋体" w:cs="Times New Roman"/>
                <w:color w:val="auto"/>
                <w:kern w:val="2"/>
                <w:sz w:val="24"/>
                <w:szCs w:val="24"/>
                <w:highlight w:val="none"/>
                <w:lang w:val="en-US" w:eastAsia="zh-CN" w:bidi="ar-SA"/>
              </w:rPr>
              <w:t>”，厂区地面已全部硬化，危废间地面硬化，并刷环氧树脂漆防渗层、设置围堰，正常情况下可有效阻止地下水污染途径，对地下水环境不产生影响。本项目所采用的原辅材料组成不含重金属等土壤污染成分，对土壤环境影响极小。本项目厂区按照规范和要求对生产车间、</w:t>
            </w:r>
            <w:r>
              <w:rPr>
                <w:rFonts w:hint="default" w:ascii="Times New Roman" w:hAnsi="Times New Roman" w:cs="Times New Roman"/>
                <w:color w:val="auto"/>
                <w:kern w:val="2"/>
                <w:sz w:val="24"/>
                <w:szCs w:val="24"/>
                <w:highlight w:val="none"/>
                <w:lang w:val="en-US" w:eastAsia="zh-CN" w:bidi="ar-SA"/>
              </w:rPr>
              <w:t>一般固废暂存区</w:t>
            </w:r>
            <w:r>
              <w:rPr>
                <w:rFonts w:hint="default" w:ascii="Times New Roman" w:hAnsi="Times New Roman" w:eastAsia="宋体" w:cs="Times New Roman"/>
                <w:color w:val="auto"/>
                <w:kern w:val="2"/>
                <w:sz w:val="24"/>
                <w:szCs w:val="24"/>
                <w:highlight w:val="none"/>
                <w:lang w:val="en-US" w:eastAsia="zh-CN" w:bidi="ar-SA"/>
              </w:rPr>
              <w:t>以及危险废物仓库等采取有效的防雨、防渗漏、防溢流等措施，生产车间、</w:t>
            </w:r>
            <w:r>
              <w:rPr>
                <w:rFonts w:hint="default" w:ascii="Times New Roman" w:hAnsi="Times New Roman" w:cs="Times New Roman"/>
                <w:color w:val="auto"/>
                <w:kern w:val="2"/>
                <w:sz w:val="24"/>
                <w:szCs w:val="24"/>
                <w:highlight w:val="none"/>
                <w:lang w:val="en-US" w:eastAsia="zh-CN" w:bidi="ar-SA"/>
              </w:rPr>
              <w:t>一般固废暂存区</w:t>
            </w:r>
            <w:r>
              <w:rPr>
                <w:rFonts w:hint="default" w:ascii="Times New Roman" w:hAnsi="Times New Roman" w:eastAsia="宋体" w:cs="Times New Roman"/>
                <w:color w:val="auto"/>
                <w:kern w:val="2"/>
                <w:sz w:val="24"/>
                <w:szCs w:val="24"/>
                <w:highlight w:val="none"/>
                <w:lang w:val="en-US" w:eastAsia="zh-CN" w:bidi="ar-SA"/>
              </w:rPr>
              <w:t>以及危险废物仓库已进行场地硬化，因此不进行土壤现状监测。</w:t>
            </w:r>
          </w:p>
          <w:p w14:paraId="3CA622F4">
            <w:pPr>
              <w:pageBreakBefore w:val="0"/>
              <w:widowControl w:val="0"/>
              <w:wordWrap w:val="0"/>
              <w:topLinePunct w:val="0"/>
              <w:bidi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各原料组分不含有毒有害的重金属等污染物，也不涉及建设用地、农用地土壤污染风险筛选值和管制值的其他污染物，即项目不涉及土壤影响特征因子，不会引起土壤环境的盐化、酸化、碱化等生态环境变化，因此本次评价不做进一步的土壤累积影响预测。</w:t>
            </w:r>
          </w:p>
          <w:p w14:paraId="06EC53C2">
            <w:pPr>
              <w:pageBreakBefore w:val="0"/>
              <w:widowControl w:val="0"/>
              <w:wordWrap w:val="0"/>
              <w:topLinePunct w:val="0"/>
              <w:autoSpaceDE w:val="0"/>
              <w:autoSpaceDN w:val="0"/>
              <w:bidi w:val="0"/>
              <w:adjustRightInd w:val="0"/>
              <w:spacing w:line="360" w:lineRule="auto"/>
              <w:ind w:firstLine="480" w:firstLineChars="200"/>
              <w:jc w:val="both"/>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分区管控：</w:t>
            </w:r>
          </w:p>
          <w:p w14:paraId="63E2A8AE">
            <w:pPr>
              <w:pageBreakBefore w:val="0"/>
              <w:widowControl w:val="0"/>
              <w:wordWrap w:val="0"/>
              <w:topLinePunct w:val="0"/>
              <w:bidi w:val="0"/>
              <w:spacing w:line="360" w:lineRule="auto"/>
              <w:ind w:left="0" w:firstLine="480" w:firstLineChars="200"/>
              <w:jc w:val="both"/>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①简单防渗区：办公室</w:t>
            </w:r>
            <w:r>
              <w:rPr>
                <w:rFonts w:hint="default" w:ascii="Times New Roman" w:hAnsi="Times New Roman" w:cs="Times New Roman"/>
                <w:b w:val="0"/>
                <w:bCs w:val="0"/>
                <w:color w:val="auto"/>
                <w:kern w:val="2"/>
                <w:sz w:val="24"/>
                <w:szCs w:val="24"/>
                <w:highlight w:val="none"/>
                <w:lang w:val="en-US" w:eastAsia="zh-CN" w:bidi="ar-SA"/>
              </w:rPr>
              <w:t>及仓库</w:t>
            </w:r>
            <w:r>
              <w:rPr>
                <w:rFonts w:hint="default" w:ascii="Times New Roman" w:hAnsi="Times New Roman" w:eastAsia="宋体" w:cs="Times New Roman"/>
                <w:b w:val="0"/>
                <w:bCs w:val="0"/>
                <w:color w:val="auto"/>
                <w:kern w:val="2"/>
                <w:sz w:val="24"/>
                <w:szCs w:val="24"/>
                <w:highlight w:val="none"/>
                <w:lang w:val="en-US" w:eastAsia="zh-CN" w:bidi="ar-SA"/>
              </w:rPr>
              <w:t>区域仅进行一般地面硬化，无需进行防渗处理。</w:t>
            </w:r>
          </w:p>
          <w:p w14:paraId="1FC5C067">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②一般防渗区：</w:t>
            </w:r>
            <w:r>
              <w:rPr>
                <w:rFonts w:hint="default" w:ascii="Times New Roman" w:hAnsi="Times New Roman" w:cs="Times New Roman"/>
                <w:color w:val="auto"/>
                <w:highlight w:val="none"/>
                <w:lang w:val="en-US" w:eastAsia="zh-CN"/>
              </w:rPr>
              <w:t>一般固废间、原料仓等区域</w:t>
            </w:r>
            <w:r>
              <w:rPr>
                <w:rFonts w:hint="default" w:ascii="Times New Roman" w:hAnsi="Times New Roman" w:eastAsia="宋体" w:cs="Times New Roman"/>
                <w:color w:val="auto"/>
                <w:highlight w:val="none"/>
              </w:rPr>
              <w:t>进行一般防渗处理，防渗要求按照等效黏土防渗层Mb≥1.5m，K≤1×10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cm/s或参照GB16889执行；</w:t>
            </w:r>
          </w:p>
          <w:p w14:paraId="378C0C7E">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③重点防渗区：</w:t>
            </w:r>
            <w:r>
              <w:rPr>
                <w:rFonts w:hint="default" w:ascii="Times New Roman" w:hAnsi="Times New Roman" w:cs="Times New Roman"/>
                <w:color w:val="auto"/>
                <w:highlight w:val="none"/>
                <w:lang w:val="en-US" w:eastAsia="zh-CN"/>
              </w:rPr>
              <w:t>危废间</w:t>
            </w:r>
            <w:r>
              <w:rPr>
                <w:rFonts w:hint="default" w:ascii="Times New Roman" w:hAnsi="Times New Roman" w:eastAsia="宋体" w:cs="Times New Roman"/>
                <w:color w:val="auto"/>
                <w:highlight w:val="none"/>
              </w:rPr>
              <w:t>进行重点防渗处理，要求按照等效黏土防渗层Mb≥6.0m，K≤1×10</w:t>
            </w:r>
            <w:r>
              <w:rPr>
                <w:rFonts w:hint="default" w:ascii="Times New Roman" w:hAnsi="Times New Roman" w:eastAsia="宋体" w:cs="Times New Roman"/>
                <w:color w:val="auto"/>
                <w:highlight w:val="none"/>
                <w:vertAlign w:val="superscript"/>
              </w:rPr>
              <w:t>-7</w:t>
            </w:r>
            <w:r>
              <w:rPr>
                <w:rFonts w:hint="default" w:ascii="Times New Roman" w:hAnsi="Times New Roman" w:eastAsia="宋体" w:cs="Times New Roman"/>
                <w:color w:val="auto"/>
                <w:highlight w:val="none"/>
              </w:rPr>
              <w:t>cm/s或参照GB18598执行</w:t>
            </w:r>
            <w:r>
              <w:rPr>
                <w:rFonts w:hint="default" w:ascii="Times New Roman" w:hAnsi="Times New Roman" w:eastAsia="宋体" w:cs="Times New Roman"/>
                <w:color w:val="auto"/>
                <w:highlight w:val="none"/>
                <w:lang w:eastAsia="zh-CN"/>
              </w:rPr>
              <w:t>，</w:t>
            </w:r>
            <w:r>
              <w:rPr>
                <w:rFonts w:hint="default" w:ascii="Times New Roman" w:hAnsi="Times New Roman" w:eastAsia="宋体" w:cs="Times New Roman"/>
                <w:color w:val="auto"/>
                <w:highlight w:val="none"/>
                <w:lang w:val="en-US" w:eastAsia="zh-CN"/>
              </w:rPr>
              <w:t>并设置围堰</w:t>
            </w:r>
            <w:r>
              <w:rPr>
                <w:rFonts w:hint="default" w:ascii="Times New Roman" w:hAnsi="Times New Roman" w:eastAsia="宋体" w:cs="Times New Roman"/>
                <w:color w:val="auto"/>
                <w:highlight w:val="none"/>
              </w:rPr>
              <w:t>。</w:t>
            </w:r>
          </w:p>
          <w:p w14:paraId="70F1BC8B">
            <w:pPr>
              <w:keepNext/>
              <w:keepLines/>
              <w:pageBreakBefore w:val="0"/>
              <w:tabs>
                <w:tab w:val="left" w:pos="0"/>
              </w:tabs>
              <w:wordWrap w:val="0"/>
              <w:topLinePunct w:val="0"/>
              <w:bidi w:val="0"/>
              <w:ind w:firstLine="480" w:firstLineChars="200"/>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六、生态环境影响分析</w:t>
            </w:r>
          </w:p>
          <w:p w14:paraId="4AFFA01F">
            <w:pPr>
              <w:pageBreakBefore w:val="0"/>
              <w:wordWrap w:val="0"/>
              <w:topLinePunct w:val="0"/>
              <w:bidi w:val="0"/>
              <w:ind w:firstLine="48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经现场调查，项目周边500m范围内未发现珍稀、濒危植物，主要为人工绿化植物群落，植被覆盖率一般，无明显水土流失区；陆生动物以家禽、家畜为主；项目所在地周围100m范围内由于人为开发活动，已逐渐由自然生态环境转为城市人工生态环境，项目所在地属于非重要生境，没有特别受保护的生境和生物及水产资源，对周边生态环境影响较小。</w:t>
            </w:r>
          </w:p>
          <w:p w14:paraId="2D3E32D3">
            <w:pPr>
              <w:keepNext/>
              <w:keepLines/>
              <w:pageBreakBefore w:val="0"/>
              <w:tabs>
                <w:tab w:val="left" w:pos="0"/>
              </w:tabs>
              <w:wordWrap w:val="0"/>
              <w:topLinePunct w:val="0"/>
              <w:bidi w:val="0"/>
              <w:ind w:left="478"/>
              <w:outlineLvl w:val="2"/>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七、环境风险影响分析</w:t>
            </w:r>
          </w:p>
          <w:p w14:paraId="20C5F022">
            <w:pPr>
              <w:keepNext/>
              <w:keepLines/>
              <w:pageBreakBefore w:val="0"/>
              <w:tabs>
                <w:tab w:val="left" w:pos="0"/>
              </w:tabs>
              <w:wordWrap w:val="0"/>
              <w:topLinePunct w:val="0"/>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1、环境风险识别</w:t>
            </w:r>
          </w:p>
          <w:p w14:paraId="04BEF2EC">
            <w:pPr>
              <w:pageBreakBefore w:val="0"/>
              <w:wordWrap w:val="0"/>
              <w:topLinePunct w:val="0"/>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环境风险评价应以突发事故导致的危险物质环境急性损害防控为目标，对建设项目的环境风险进行分析、预测和评估，提出环境风险预防、控制、减缓措施，明确环境风险监控及应急建议要求，为建设项目环境风险防控提供科学依据。</w:t>
            </w:r>
          </w:p>
          <w:p w14:paraId="26EAB0E5">
            <w:pPr>
              <w:keepNext/>
              <w:keepLines/>
              <w:pageBreakBefore w:val="0"/>
              <w:tabs>
                <w:tab w:val="left" w:pos="0"/>
              </w:tabs>
              <w:wordWrap w:val="0"/>
              <w:topLinePunct w:val="0"/>
              <w:bidi w:val="0"/>
              <w:ind w:left="480" w:leftChars="200"/>
              <w:outlineLvl w:val="3"/>
              <w:rPr>
                <w:rFonts w:hint="default" w:ascii="Times New Roman" w:hAnsi="Times New Roman" w:eastAsia="宋体" w:cs="Times New Roman"/>
                <w:b/>
                <w:bCs/>
                <w:color w:val="auto"/>
                <w:highlight w:val="none"/>
              </w:rPr>
            </w:pPr>
            <w:r>
              <w:rPr>
                <w:rFonts w:hint="default" w:ascii="Times New Roman" w:hAnsi="Times New Roman" w:eastAsia="宋体" w:cs="Times New Roman"/>
                <w:b/>
                <w:bCs/>
                <w:color w:val="auto"/>
                <w:highlight w:val="none"/>
              </w:rPr>
              <w:t>2、评价依据</w:t>
            </w:r>
          </w:p>
          <w:p w14:paraId="7F24E5FB">
            <w:pPr>
              <w:pageBreakBefore w:val="0"/>
              <w:wordWrap w:val="0"/>
              <w:topLinePunct w:val="0"/>
              <w:bidi w:val="0"/>
              <w:ind w:firstLine="480" w:firstLineChars="20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建设项目环境影响报告表编制技术指南（污染影响类）（试行）》表1专项评价设置原则表，环境风险设置专项评价原则为有毒有害和易燃易爆危险物质存储量超过临界量的建设项目，临界量及其计算方法参考《建设项目环境风险评价技术导则》（HJ169-2018）附录B、附录C。</w:t>
            </w:r>
          </w:p>
          <w:p w14:paraId="307868A4">
            <w:pPr>
              <w:pageBreakBefore w:val="0"/>
              <w:wordWrap w:val="0"/>
              <w:topLinePunct w:val="0"/>
              <w:bidi w:val="0"/>
              <w:ind w:firstLine="480" w:firstLineChars="200"/>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rPr>
              <w:t>本项目涉及的风险物质</w:t>
            </w:r>
            <w:r>
              <w:rPr>
                <w:rFonts w:hint="default" w:ascii="Times New Roman" w:hAnsi="Times New Roman" w:cs="Times New Roman"/>
                <w:color w:val="auto"/>
                <w:highlight w:val="none"/>
                <w:lang w:val="en-US" w:eastAsia="zh-CN"/>
              </w:rPr>
              <w:t>中</w:t>
            </w:r>
            <w:r>
              <w:rPr>
                <w:rFonts w:hint="default" w:ascii="Times New Roman" w:hAnsi="Times New Roman" w:eastAsia="宋体" w:cs="Times New Roman"/>
                <w:color w:val="auto"/>
                <w:highlight w:val="none"/>
              </w:rPr>
              <w:t>，</w:t>
            </w:r>
            <w:r>
              <w:rPr>
                <w:rFonts w:hint="default" w:ascii="Times New Roman" w:hAnsi="Times New Roman" w:cs="Times New Roman"/>
                <w:color w:val="auto"/>
                <w:highlight w:val="none"/>
                <w:lang w:val="en-US" w:eastAsia="zh-CN"/>
              </w:rPr>
              <w:t>机油、废机油及桶按“</w:t>
            </w:r>
            <w:r>
              <w:rPr>
                <w:rFonts w:hint="default" w:ascii="Times New Roman" w:hAnsi="Times New Roman" w:eastAsia="宋体" w:cs="Times New Roman"/>
                <w:color w:val="auto"/>
                <w:highlight w:val="none"/>
              </w:rPr>
              <w:t>表B.1油类物质（矿物油类，如石油、汽油、柴油等；生物柴油等）</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highlight w:val="none"/>
              </w:rPr>
              <w:t>临界值</w:t>
            </w:r>
            <w:r>
              <w:rPr>
                <w:rFonts w:hint="default" w:ascii="Times New Roman" w:hAnsi="Times New Roman" w:cs="Times New Roman"/>
                <w:color w:val="auto"/>
                <w:highlight w:val="none"/>
                <w:lang w:val="en-US" w:eastAsia="zh-CN"/>
              </w:rPr>
              <w:t>取</w:t>
            </w:r>
            <w:r>
              <w:rPr>
                <w:rFonts w:hint="default" w:ascii="Times New Roman" w:hAnsi="Times New Roman" w:eastAsia="宋体" w:cs="Times New Roman"/>
                <w:color w:val="auto"/>
                <w:highlight w:val="none"/>
              </w:rPr>
              <w:t>2500</w:t>
            </w:r>
            <w:r>
              <w:rPr>
                <w:rFonts w:hint="default" w:ascii="Times New Roman" w:hAnsi="Times New Roman" w:cs="Times New Roman"/>
                <w:color w:val="auto"/>
                <w:highlight w:val="none"/>
                <w:lang w:val="en-US" w:eastAsia="zh-CN"/>
              </w:rPr>
              <w:t>t</w:t>
            </w:r>
            <w:r>
              <w:rPr>
                <w:rFonts w:hint="default" w:ascii="Times New Roman" w:hAnsi="Times New Roman" w:cs="Times New Roman"/>
                <w:color w:val="auto"/>
                <w:highlight w:val="none"/>
                <w:lang w:eastAsia="zh-CN"/>
              </w:rPr>
              <w:t>；</w:t>
            </w:r>
          </w:p>
          <w:p w14:paraId="60B85E54">
            <w:pPr>
              <w:pageBreakBefore w:val="0"/>
              <w:wordWrap w:val="0"/>
              <w:topLinePunct w:val="0"/>
              <w:bidi w:val="0"/>
              <w:ind w:firstLine="480" w:firstLineChars="200"/>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lang w:val="en-US" w:eastAsia="zh-CN"/>
              </w:rPr>
              <w:t>废含油抹布及手套</w:t>
            </w:r>
            <w:r>
              <w:rPr>
                <w:rFonts w:hint="default" w:ascii="Times New Roman" w:hAnsi="Times New Roman" w:cs="Times New Roman"/>
                <w:color w:val="auto"/>
                <w:highlight w:val="none"/>
                <w:lang w:val="en-US" w:eastAsia="zh-CN"/>
              </w:rPr>
              <w:t>、废活性炭</w:t>
            </w:r>
            <w:r>
              <w:rPr>
                <w:rFonts w:hint="default" w:ascii="Times New Roman" w:hAnsi="Times New Roman" w:eastAsia="宋体" w:cs="Times New Roman"/>
                <w:color w:val="auto"/>
                <w:highlight w:val="none"/>
              </w:rPr>
              <w:t>Q值参照《建设项目环境风险评价技术导则》（HJ169-2018）中“表B.2其他危险物质临界量推荐值--健康危险急性毒性物质（类别2、类别3）的临界值50</w:t>
            </w:r>
            <w:r>
              <w:rPr>
                <w:rFonts w:hint="default" w:ascii="Times New Roman" w:hAnsi="Times New Roman" w:cs="Times New Roman"/>
                <w:color w:val="auto"/>
                <w:highlight w:val="none"/>
                <w:lang w:val="en-US" w:eastAsia="zh-CN"/>
              </w:rPr>
              <w:t>t</w:t>
            </w:r>
            <w:r>
              <w:rPr>
                <w:rFonts w:hint="default" w:ascii="Times New Roman" w:hAnsi="Times New Roman" w:eastAsia="宋体" w:cs="Times New Roman"/>
                <w:color w:val="auto"/>
                <w:highlight w:val="none"/>
              </w:rPr>
              <w:t>”。</w:t>
            </w:r>
          </w:p>
          <w:p w14:paraId="2D6AC875">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21</w:t>
            </w:r>
            <w:r>
              <w:rPr>
                <w:rFonts w:hint="default" w:ascii="Times New Roman" w:hAnsi="Times New Roman" w:eastAsia="宋体" w:cs="Times New Roman"/>
                <w:b/>
                <w:bCs/>
                <w:color w:val="auto"/>
                <w:kern w:val="2"/>
                <w:sz w:val="21"/>
                <w:szCs w:val="21"/>
                <w:highlight w:val="none"/>
                <w:lang w:val="en-US" w:eastAsia="zh-CN" w:bidi="ar-SA"/>
              </w:rPr>
              <w:t>危险物质识别一览表</w:t>
            </w:r>
          </w:p>
          <w:tbl>
            <w:tblPr>
              <w:tblStyle w:val="3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8"/>
              <w:gridCol w:w="1775"/>
              <w:gridCol w:w="2422"/>
              <w:gridCol w:w="2184"/>
              <w:gridCol w:w="1713"/>
            </w:tblGrid>
            <w:tr w14:paraId="3F7F01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143DDB7D">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序号</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5872010A">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物质名称</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25CE8915">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风险特性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5B1BFEF1">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危险物质</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9BB3D0C">
                  <w:pPr>
                    <w:pageBreakBefore w:val="0"/>
                    <w:widowControl w:val="0"/>
                    <w:wordWrap w:val="0"/>
                    <w:topLinePunct w:val="0"/>
                    <w:bidi w:val="0"/>
                    <w:spacing w:line="240" w:lineRule="auto"/>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判断依据</w:t>
                  </w:r>
                </w:p>
              </w:tc>
            </w:tr>
            <w:tr w14:paraId="333A0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1786A3F1">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1</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21067B1B">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机</w:t>
                  </w:r>
                  <w:r>
                    <w:rPr>
                      <w:rFonts w:hint="default" w:ascii="Times New Roman" w:hAnsi="Times New Roman" w:eastAsia="宋体" w:cs="Times New Roman"/>
                      <w:b w:val="0"/>
                      <w:color w:val="auto"/>
                      <w:kern w:val="2"/>
                      <w:sz w:val="21"/>
                      <w:szCs w:val="21"/>
                      <w:highlight w:val="none"/>
                      <w:lang w:val="en-US" w:eastAsia="zh-CN" w:bidi="ar-SA"/>
                    </w:rPr>
                    <w:t>油</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33EFC379">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restart"/>
                  <w:tcBorders>
                    <w:top w:val="single" w:color="auto" w:sz="4" w:space="0"/>
                    <w:left w:val="single" w:color="auto" w:sz="4" w:space="0"/>
                    <w:right w:val="single" w:color="auto" w:sz="4" w:space="0"/>
                    <w:tl2br w:val="nil"/>
                    <w:tr2bl w:val="nil"/>
                  </w:tcBorders>
                  <w:vAlign w:val="center"/>
                </w:tcPr>
                <w:p w14:paraId="5E3E2E30">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矿物油</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337E11A3">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HJ169-2018</w:t>
                  </w:r>
                </w:p>
              </w:tc>
            </w:tr>
            <w:tr w14:paraId="14422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ACDC525">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2</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62F7E802">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废矿物油及桶</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35C6665B">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vMerge w:val="continue"/>
                  <w:tcBorders>
                    <w:left w:val="single" w:color="auto" w:sz="4" w:space="0"/>
                    <w:right w:val="single" w:color="auto" w:sz="4" w:space="0"/>
                    <w:tl2br w:val="nil"/>
                    <w:tr2bl w:val="nil"/>
                  </w:tcBorders>
                  <w:vAlign w:val="center"/>
                </w:tcPr>
                <w:p w14:paraId="1FA513B8">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40200EC3">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HJ169-2018</w:t>
                  </w:r>
                </w:p>
              </w:tc>
            </w:tr>
            <w:tr w14:paraId="6F3B1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55DA844E">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3</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4BAC4CA7">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废含油抹布及手套</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74AAAB52">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易燃性</w:t>
                  </w:r>
                </w:p>
              </w:tc>
              <w:tc>
                <w:tcPr>
                  <w:tcW w:w="1275" w:type="pct"/>
                  <w:tcBorders>
                    <w:top w:val="single" w:color="auto" w:sz="4" w:space="0"/>
                    <w:left w:val="single" w:color="auto" w:sz="4" w:space="0"/>
                    <w:bottom w:val="single" w:color="auto" w:sz="4" w:space="0"/>
                    <w:right w:val="single" w:color="auto" w:sz="4" w:space="0"/>
                    <w:tl2br w:val="nil"/>
                    <w:tr2bl w:val="nil"/>
                  </w:tcBorders>
                  <w:vAlign w:val="center"/>
                </w:tcPr>
                <w:p w14:paraId="059F7764">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vAlign w:val="center"/>
                </w:tcPr>
                <w:p w14:paraId="24AD9C1A">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HJ169-2018</w:t>
                  </w:r>
                </w:p>
              </w:tc>
            </w:tr>
            <w:tr w14:paraId="213D3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273" w:type="pct"/>
                  <w:tcBorders>
                    <w:top w:val="single" w:color="auto" w:sz="4" w:space="0"/>
                    <w:left w:val="single" w:color="auto" w:sz="4" w:space="0"/>
                    <w:bottom w:val="single" w:color="auto" w:sz="4" w:space="0"/>
                    <w:right w:val="single" w:color="auto" w:sz="4" w:space="0"/>
                    <w:tl2br w:val="nil"/>
                    <w:tr2bl w:val="nil"/>
                  </w:tcBorders>
                  <w:vAlign w:val="center"/>
                </w:tcPr>
                <w:p w14:paraId="63249E65">
                  <w:pPr>
                    <w:pageBreakBefore w:val="0"/>
                    <w:widowControl w:val="0"/>
                    <w:wordWrap w:val="0"/>
                    <w:topLinePunct w:val="0"/>
                    <w:bidi w:val="0"/>
                    <w:spacing w:line="240" w:lineRule="auto"/>
                    <w:jc w:val="center"/>
                    <w:rPr>
                      <w:rFonts w:hint="default" w:ascii="Times New Roman" w:hAnsi="Times New Roman"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4</w:t>
                  </w:r>
                </w:p>
              </w:tc>
              <w:tc>
                <w:tcPr>
                  <w:tcW w:w="1036" w:type="pct"/>
                  <w:tcBorders>
                    <w:top w:val="single" w:color="auto" w:sz="4" w:space="0"/>
                    <w:left w:val="single" w:color="auto" w:sz="4" w:space="0"/>
                    <w:bottom w:val="single" w:color="auto" w:sz="4" w:space="0"/>
                    <w:right w:val="single" w:color="auto" w:sz="4" w:space="0"/>
                    <w:tl2br w:val="nil"/>
                    <w:tr2bl w:val="nil"/>
                  </w:tcBorders>
                  <w:vAlign w:val="center"/>
                </w:tcPr>
                <w:p w14:paraId="376CD170">
                  <w:pPr>
                    <w:pageBreakBefore w:val="0"/>
                    <w:widowControl w:val="0"/>
                    <w:wordWrap w:val="0"/>
                    <w:topLinePunct w:val="0"/>
                    <w:bidi w:val="0"/>
                    <w:spacing w:line="240" w:lineRule="auto"/>
                    <w:jc w:val="center"/>
                    <w:rPr>
                      <w:rFonts w:hint="default" w:ascii="Times New Roman" w:hAnsi="Times New Roman"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废活性炭</w:t>
                  </w:r>
                </w:p>
              </w:tc>
              <w:tc>
                <w:tcPr>
                  <w:tcW w:w="1414" w:type="pct"/>
                  <w:tcBorders>
                    <w:top w:val="single" w:color="auto" w:sz="4" w:space="0"/>
                    <w:left w:val="single" w:color="auto" w:sz="4" w:space="0"/>
                    <w:bottom w:val="single" w:color="auto" w:sz="4" w:space="0"/>
                    <w:right w:val="single" w:color="auto" w:sz="4" w:space="0"/>
                    <w:tl2br w:val="nil"/>
                    <w:tr2bl w:val="nil"/>
                  </w:tcBorders>
                  <w:vAlign w:val="center"/>
                </w:tcPr>
                <w:p w14:paraId="7DD19CB6">
                  <w:pPr>
                    <w:pageBreakBefore w:val="0"/>
                    <w:widowControl w:val="0"/>
                    <w:wordWrap w:val="0"/>
                    <w:topLinePunct w:val="0"/>
                    <w:bidi w:val="0"/>
                    <w:spacing w:line="240" w:lineRule="auto"/>
                    <w:jc w:val="center"/>
                    <w:rPr>
                      <w:rFonts w:hint="default" w:ascii="Times New Roman" w:hAnsi="Times New Roman"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毒性</w:t>
                  </w:r>
                </w:p>
              </w:tc>
              <w:tc>
                <w:tcPr>
                  <w:tcW w:w="1275"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56848A67">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危险废物</w:t>
                  </w:r>
                </w:p>
              </w:tc>
              <w:tc>
                <w:tcPr>
                  <w:tcW w:w="1000" w:type="pct"/>
                  <w:tcBorders>
                    <w:top w:val="single" w:color="auto" w:sz="4" w:space="0"/>
                    <w:left w:val="single" w:color="auto" w:sz="4" w:space="0"/>
                    <w:bottom w:val="single" w:color="auto" w:sz="4" w:space="0"/>
                    <w:right w:val="single" w:color="auto" w:sz="4" w:space="0"/>
                    <w:tl2br w:val="nil"/>
                    <w:tr2bl w:val="nil"/>
                  </w:tcBorders>
                  <w:shd w:val="clear" w:color="auto" w:fill="auto"/>
                  <w:vAlign w:val="center"/>
                </w:tcPr>
                <w:p w14:paraId="6D75E608">
                  <w:pPr>
                    <w:pageBreakBefore w:val="0"/>
                    <w:widowControl w:val="0"/>
                    <w:wordWrap w:val="0"/>
                    <w:topLinePunct w:val="0"/>
                    <w:bidi w:val="0"/>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HJ169-2018</w:t>
                  </w:r>
                </w:p>
              </w:tc>
            </w:tr>
          </w:tbl>
          <w:p w14:paraId="6D12E08E">
            <w:pPr>
              <w:pageBreakBefore w:val="0"/>
              <w:wordWrap w:val="0"/>
              <w:topLinePunct w:val="0"/>
              <w:bidi w:val="0"/>
              <w:adjustRightInd w:val="0"/>
              <w:ind w:firstLine="472" w:firstLineChars="200"/>
              <w:rPr>
                <w:rFonts w:hint="default" w:ascii="Times New Roman" w:hAnsi="Times New Roman" w:eastAsia="宋体" w:cs="Times New Roman"/>
                <w:color w:val="auto"/>
                <w:kern w:val="0"/>
                <w:highlight w:val="none"/>
              </w:rPr>
            </w:pPr>
            <w:r>
              <w:rPr>
                <w:rFonts w:hint="default" w:ascii="Times New Roman" w:hAnsi="Times New Roman" w:eastAsia="宋体" w:cs="Times New Roman"/>
                <w:color w:val="auto"/>
                <w:spacing w:val="-2"/>
                <w:highlight w:val="none"/>
              </w:rPr>
              <w:t>则本项目Q值确定见下表</w:t>
            </w:r>
            <w:r>
              <w:rPr>
                <w:rFonts w:hint="default" w:ascii="Times New Roman" w:hAnsi="Times New Roman" w:eastAsia="宋体" w:cs="Times New Roman"/>
                <w:color w:val="auto"/>
                <w:kern w:val="0"/>
                <w:highlight w:val="none"/>
              </w:rPr>
              <w:t>。</w:t>
            </w:r>
          </w:p>
          <w:p w14:paraId="51B3C344">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表4-</w:t>
            </w:r>
            <w:r>
              <w:rPr>
                <w:rFonts w:hint="default" w:ascii="Times New Roman" w:hAnsi="Times New Roman" w:cs="Times New Roman"/>
                <w:b/>
                <w:bCs/>
                <w:color w:val="auto"/>
                <w:kern w:val="2"/>
                <w:sz w:val="21"/>
                <w:szCs w:val="21"/>
                <w:highlight w:val="none"/>
                <w:lang w:val="en-US" w:eastAsia="zh-CN" w:bidi="ar-SA"/>
              </w:rPr>
              <w:t>22</w:t>
            </w:r>
            <w:r>
              <w:rPr>
                <w:rFonts w:hint="default" w:ascii="Times New Roman" w:hAnsi="Times New Roman" w:eastAsia="宋体" w:cs="Times New Roman"/>
                <w:b/>
                <w:bCs/>
                <w:color w:val="auto"/>
                <w:kern w:val="2"/>
                <w:sz w:val="21"/>
                <w:szCs w:val="21"/>
                <w:highlight w:val="none"/>
                <w:lang w:val="en-US" w:eastAsia="zh-CN" w:bidi="ar-SA"/>
              </w:rPr>
              <w:t>建设项目Q值确定表</w:t>
            </w:r>
          </w:p>
          <w:tbl>
            <w:tblPr>
              <w:tblStyle w:val="39"/>
              <w:tblW w:w="49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1917"/>
              <w:gridCol w:w="1250"/>
              <w:gridCol w:w="1850"/>
              <w:gridCol w:w="1321"/>
              <w:gridCol w:w="1426"/>
            </w:tblGrid>
            <w:tr w14:paraId="5FFBC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5DAC6045">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917" w:type="dxa"/>
                  <w:vAlign w:val="center"/>
                </w:tcPr>
                <w:p w14:paraId="55DBE9C8">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危险物质名称</w:t>
                  </w:r>
                </w:p>
              </w:tc>
              <w:tc>
                <w:tcPr>
                  <w:tcW w:w="1250" w:type="dxa"/>
                  <w:vAlign w:val="center"/>
                </w:tcPr>
                <w:p w14:paraId="6BB67E46">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CAS号</w:t>
                  </w:r>
                </w:p>
              </w:tc>
              <w:tc>
                <w:tcPr>
                  <w:tcW w:w="1850" w:type="dxa"/>
                  <w:vAlign w:val="center"/>
                </w:tcPr>
                <w:p w14:paraId="332D7EFF">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最大存储总量（t）</w:t>
                  </w:r>
                </w:p>
              </w:tc>
              <w:tc>
                <w:tcPr>
                  <w:tcW w:w="1321" w:type="dxa"/>
                  <w:vAlign w:val="center"/>
                </w:tcPr>
                <w:p w14:paraId="159A4814">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临界量Qn/t</w:t>
                  </w:r>
                </w:p>
              </w:tc>
              <w:tc>
                <w:tcPr>
                  <w:tcW w:w="1426" w:type="dxa"/>
                  <w:vAlign w:val="center"/>
                </w:tcPr>
                <w:p w14:paraId="30CDDF39">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该种危险物质Q值</w:t>
                  </w:r>
                </w:p>
              </w:tc>
            </w:tr>
            <w:tr w14:paraId="54BFD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shd w:val="clear" w:color="auto" w:fill="auto"/>
                  <w:vAlign w:val="center"/>
                </w:tcPr>
                <w:p w14:paraId="6E0B830F">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1</w:t>
                  </w:r>
                </w:p>
              </w:tc>
              <w:tc>
                <w:tcPr>
                  <w:tcW w:w="1917" w:type="dxa"/>
                  <w:vAlign w:val="center"/>
                </w:tcPr>
                <w:p w14:paraId="6650A6D7">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机油</w:t>
                  </w:r>
                </w:p>
              </w:tc>
              <w:tc>
                <w:tcPr>
                  <w:tcW w:w="1250" w:type="dxa"/>
                  <w:vAlign w:val="center"/>
                </w:tcPr>
                <w:p w14:paraId="26BDD22C">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850" w:type="dxa"/>
                  <w:vAlign w:val="center"/>
                </w:tcPr>
                <w:p w14:paraId="6CC79DE8">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0.1</w:t>
                  </w:r>
                </w:p>
              </w:tc>
              <w:tc>
                <w:tcPr>
                  <w:tcW w:w="1321" w:type="dxa"/>
                  <w:vAlign w:val="center"/>
                </w:tcPr>
                <w:p w14:paraId="490302B3">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2500</w:t>
                  </w:r>
                </w:p>
              </w:tc>
              <w:tc>
                <w:tcPr>
                  <w:tcW w:w="1426" w:type="dxa"/>
                  <w:vAlign w:val="center"/>
                </w:tcPr>
                <w:p w14:paraId="1F60BF51">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0.00004</w:t>
                  </w:r>
                </w:p>
              </w:tc>
            </w:tr>
            <w:tr w14:paraId="2EAED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shd w:val="clear" w:color="auto" w:fill="auto"/>
                  <w:vAlign w:val="center"/>
                </w:tcPr>
                <w:p w14:paraId="2B6CB1DE">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2</w:t>
                  </w:r>
                </w:p>
              </w:tc>
              <w:tc>
                <w:tcPr>
                  <w:tcW w:w="1917" w:type="dxa"/>
                  <w:vAlign w:val="center"/>
                </w:tcPr>
                <w:p w14:paraId="0FDDBEF8">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废机油及桶</w:t>
                  </w:r>
                </w:p>
              </w:tc>
              <w:tc>
                <w:tcPr>
                  <w:tcW w:w="1250" w:type="dxa"/>
                  <w:vAlign w:val="center"/>
                </w:tcPr>
                <w:p w14:paraId="12148CA7">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850" w:type="dxa"/>
                  <w:vAlign w:val="center"/>
                </w:tcPr>
                <w:p w14:paraId="24981EE2">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0.104</w:t>
                  </w:r>
                </w:p>
              </w:tc>
              <w:tc>
                <w:tcPr>
                  <w:tcW w:w="1321" w:type="dxa"/>
                  <w:vAlign w:val="center"/>
                </w:tcPr>
                <w:p w14:paraId="20ED4F30">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2500</w:t>
                  </w:r>
                </w:p>
              </w:tc>
              <w:tc>
                <w:tcPr>
                  <w:tcW w:w="1426" w:type="dxa"/>
                  <w:vAlign w:val="center"/>
                </w:tcPr>
                <w:p w14:paraId="331686E9">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0.00004</w:t>
                  </w:r>
                </w:p>
              </w:tc>
            </w:tr>
            <w:tr w14:paraId="2481A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shd w:val="clear" w:color="auto" w:fill="auto"/>
                  <w:vAlign w:val="center"/>
                </w:tcPr>
                <w:p w14:paraId="1D3B0BC8">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3</w:t>
                  </w:r>
                </w:p>
              </w:tc>
              <w:tc>
                <w:tcPr>
                  <w:tcW w:w="1917" w:type="dxa"/>
                  <w:vAlign w:val="center"/>
                </w:tcPr>
                <w:p w14:paraId="257EAF07">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废含油抹布及手套</w:t>
                  </w:r>
                </w:p>
              </w:tc>
              <w:tc>
                <w:tcPr>
                  <w:tcW w:w="1250" w:type="dxa"/>
                  <w:vAlign w:val="center"/>
                </w:tcPr>
                <w:p w14:paraId="3EF58E44">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850" w:type="dxa"/>
                  <w:vAlign w:val="center"/>
                </w:tcPr>
                <w:p w14:paraId="129E656B">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0.01</w:t>
                  </w:r>
                </w:p>
              </w:tc>
              <w:tc>
                <w:tcPr>
                  <w:tcW w:w="1321" w:type="dxa"/>
                  <w:vAlign w:val="center"/>
                </w:tcPr>
                <w:p w14:paraId="6D19CAC7">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1426" w:type="dxa"/>
                  <w:vAlign w:val="center"/>
                </w:tcPr>
                <w:p w14:paraId="715C61A4">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0.0002</w:t>
                  </w:r>
                </w:p>
              </w:tc>
            </w:tr>
            <w:tr w14:paraId="6C599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84" w:type="dxa"/>
                  <w:vAlign w:val="center"/>
                </w:tcPr>
                <w:p w14:paraId="4C0EE4E4">
                  <w:pPr>
                    <w:keepNext w:val="0"/>
                    <w:keepLines w:val="0"/>
                    <w:pageBreakBefore w:val="0"/>
                    <w:widowControl w:val="0"/>
                    <w:kinsoku/>
                    <w:wordWrap w:val="0"/>
                    <w:overflowPunct/>
                    <w:topLinePunct w:val="0"/>
                    <w:autoSpaceDE/>
                    <w:autoSpaceDN/>
                    <w:bidi w:val="0"/>
                    <w:snapToGrid/>
                    <w:spacing w:line="240" w:lineRule="auto"/>
                    <w:jc w:val="center"/>
                    <w:rPr>
                      <w:rFonts w:hint="default" w:ascii="Times New Roman" w:hAnsi="Times New Roman"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4</w:t>
                  </w:r>
                </w:p>
              </w:tc>
              <w:tc>
                <w:tcPr>
                  <w:tcW w:w="1917" w:type="dxa"/>
                  <w:vAlign w:val="center"/>
                </w:tcPr>
                <w:p w14:paraId="2F3E09BE">
                  <w:pPr>
                    <w:pageBreakBefore w:val="0"/>
                    <w:widowControl w:val="0"/>
                    <w:wordWrap w:val="0"/>
                    <w:topLinePunct w:val="0"/>
                    <w:bidi w:val="0"/>
                    <w:spacing w:line="240" w:lineRule="auto"/>
                    <w:jc w:val="center"/>
                    <w:rPr>
                      <w:rFonts w:hint="default" w:ascii="Times New Roman" w:hAnsi="Times New Roman" w:cs="Times New Roman"/>
                      <w:b w:val="0"/>
                      <w:color w:val="auto"/>
                      <w:kern w:val="2"/>
                      <w:sz w:val="21"/>
                      <w:szCs w:val="21"/>
                      <w:highlight w:val="none"/>
                      <w:lang w:val="en-US" w:eastAsia="zh-CN" w:bidi="ar-SA"/>
                    </w:rPr>
                  </w:pPr>
                  <w:r>
                    <w:rPr>
                      <w:rFonts w:hint="default" w:ascii="Times New Roman" w:hAnsi="Times New Roman" w:cs="Times New Roman"/>
                      <w:b w:val="0"/>
                      <w:color w:val="auto"/>
                      <w:kern w:val="2"/>
                      <w:sz w:val="21"/>
                      <w:szCs w:val="21"/>
                      <w:highlight w:val="none"/>
                      <w:lang w:val="en-US" w:eastAsia="zh-CN" w:bidi="ar-SA"/>
                    </w:rPr>
                    <w:t>废活性炭</w:t>
                  </w:r>
                </w:p>
              </w:tc>
              <w:tc>
                <w:tcPr>
                  <w:tcW w:w="1250" w:type="dxa"/>
                  <w:shd w:val="clear" w:color="auto" w:fill="auto"/>
                  <w:vAlign w:val="center"/>
                </w:tcPr>
                <w:p w14:paraId="7E1EBC8C">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p>
              </w:tc>
              <w:tc>
                <w:tcPr>
                  <w:tcW w:w="1850" w:type="dxa"/>
                  <w:vAlign w:val="center"/>
                </w:tcPr>
                <w:p w14:paraId="41CA89EE">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c>
                <w:tcPr>
                  <w:tcW w:w="1321" w:type="dxa"/>
                  <w:vAlign w:val="center"/>
                </w:tcPr>
                <w:p w14:paraId="48AE2823">
                  <w:pPr>
                    <w:keepNext w:val="0"/>
                    <w:keepLines w:val="0"/>
                    <w:pageBreakBefore w:val="0"/>
                    <w:kinsoku/>
                    <w:wordWrap w:val="0"/>
                    <w:overflowPunct/>
                    <w:topLinePunct w:val="0"/>
                    <w:autoSpaceDE/>
                    <w:autoSpaceDN/>
                    <w:bidi w:val="0"/>
                    <w:adjustRightInd w:val="0"/>
                    <w:snapToGrid/>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w:t>
                  </w:r>
                </w:p>
              </w:tc>
              <w:tc>
                <w:tcPr>
                  <w:tcW w:w="1426" w:type="dxa"/>
                  <w:vAlign w:val="center"/>
                </w:tcPr>
                <w:p w14:paraId="6706487D">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0.06</w:t>
                  </w:r>
                </w:p>
              </w:tc>
            </w:tr>
            <w:tr w14:paraId="4C98F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22" w:type="dxa"/>
                  <w:gridSpan w:val="5"/>
                  <w:vAlign w:val="center"/>
                </w:tcPr>
                <w:p w14:paraId="11F0EB10">
                  <w:pPr>
                    <w:keepNext w:val="0"/>
                    <w:keepLines w:val="0"/>
                    <w:pageBreakBefore w:val="0"/>
                    <w:widowControl/>
                    <w:kinsoku/>
                    <w:wordWrap w:val="0"/>
                    <w:overflowPunct/>
                    <w:topLinePunct w:val="0"/>
                    <w:autoSpaceDE/>
                    <w:autoSpaceDN/>
                    <w:bidi w:val="0"/>
                    <w:snapToGrid/>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项目Q值</w:t>
                  </w:r>
                </w:p>
              </w:tc>
              <w:tc>
                <w:tcPr>
                  <w:tcW w:w="1426" w:type="dxa"/>
                  <w:shd w:val="clear" w:color="auto" w:fill="auto"/>
                  <w:vAlign w:val="center"/>
                </w:tcPr>
                <w:p w14:paraId="79E62882">
                  <w:pPr>
                    <w:keepNext w:val="0"/>
                    <w:keepLines w:val="0"/>
                    <w:pageBreakBefore w:val="0"/>
                    <w:widowControl/>
                    <w:suppressLineNumbers w:val="0"/>
                    <w:wordWrap w:val="0"/>
                    <w:topLinePunct w:val="0"/>
                    <w:bidi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cs="Times New Roman"/>
                      <w:i w:val="0"/>
                      <w:iCs w:val="0"/>
                      <w:color w:val="auto"/>
                      <w:kern w:val="0"/>
                      <w:sz w:val="21"/>
                      <w:szCs w:val="21"/>
                      <w:highlight w:val="none"/>
                      <w:u w:val="none"/>
                      <w:lang w:val="en-US" w:eastAsia="zh-CN" w:bidi="ar"/>
                    </w:rPr>
                    <w:t>0.06028</w:t>
                  </w:r>
                </w:p>
              </w:tc>
            </w:tr>
          </w:tbl>
          <w:p w14:paraId="5DC306B1">
            <w:pPr>
              <w:pageBreakBefore w:val="0"/>
              <w:wordWrap w:val="0"/>
              <w:topLinePunct w:val="0"/>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w:t>
            </w:r>
            <w:r>
              <w:rPr>
                <w:rFonts w:hint="default" w:ascii="Times New Roman" w:hAnsi="Times New Roman" w:eastAsia="宋体" w:cs="Times New Roman"/>
                <w:color w:val="auto"/>
                <w:spacing w:val="-2"/>
                <w:highlight w:val="none"/>
              </w:rPr>
              <w:t>《建设项目环境</w:t>
            </w:r>
            <w:r>
              <w:rPr>
                <w:rFonts w:hint="default" w:ascii="Times New Roman" w:hAnsi="Times New Roman" w:eastAsia="宋体" w:cs="Times New Roman"/>
                <w:color w:val="auto"/>
                <w:spacing w:val="-2"/>
                <w:highlight w:val="none"/>
                <w:lang w:val="en-US" w:eastAsia="zh-CN"/>
              </w:rPr>
              <w:t>影响报告表编制技术指南</w:t>
            </w:r>
            <w:r>
              <w:rPr>
                <w:rFonts w:hint="default" w:ascii="Times New Roman" w:hAnsi="Times New Roman" w:eastAsia="宋体" w:cs="Times New Roman"/>
                <w:color w:val="auto"/>
                <w:spacing w:val="-2"/>
                <w:highlight w:val="none"/>
              </w:rPr>
              <w:t>》（</w:t>
            </w:r>
            <w:r>
              <w:rPr>
                <w:rFonts w:hint="default" w:ascii="Times New Roman" w:hAnsi="Times New Roman" w:eastAsia="宋体" w:cs="Times New Roman"/>
                <w:color w:val="auto"/>
                <w:spacing w:val="-2"/>
                <w:highlight w:val="none"/>
                <w:lang w:val="en-US" w:eastAsia="zh-CN"/>
              </w:rPr>
              <w:t>污染影响类</w:t>
            </w:r>
            <w:r>
              <w:rPr>
                <w:rFonts w:hint="default" w:ascii="Times New Roman" w:hAnsi="Times New Roman" w:eastAsia="宋体" w:cs="Times New Roman"/>
                <w:color w:val="auto"/>
                <w:spacing w:val="-2"/>
                <w:highlight w:val="none"/>
              </w:rPr>
              <w:t>）</w:t>
            </w:r>
            <w:r>
              <w:rPr>
                <w:rFonts w:hint="default" w:ascii="Times New Roman" w:hAnsi="Times New Roman"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lang w:val="en-US" w:eastAsia="zh-CN"/>
              </w:rPr>
              <w:t>试行</w:t>
            </w:r>
            <w:r>
              <w:rPr>
                <w:rFonts w:hint="default" w:ascii="Times New Roman" w:hAnsi="Times New Roman" w:eastAsia="宋体" w:cs="Times New Roman"/>
                <w:color w:val="auto"/>
                <w:spacing w:val="-2"/>
                <w:highlight w:val="none"/>
                <w:lang w:eastAsia="zh-CN"/>
              </w:rPr>
              <w:t>）</w:t>
            </w:r>
            <w:r>
              <w:rPr>
                <w:rFonts w:hint="default" w:ascii="Times New Roman" w:hAnsi="Times New Roman" w:eastAsia="宋体" w:cs="Times New Roman"/>
                <w:color w:val="auto"/>
                <w:spacing w:val="-2"/>
                <w:highlight w:val="none"/>
              </w:rPr>
              <w:t>，当Q</w:t>
            </w:r>
            <w:r>
              <w:rPr>
                <w:rFonts w:hint="default" w:ascii="Times New Roman" w:hAnsi="Times New Roman" w:cs="Times New Roman"/>
                <w:color w:val="auto"/>
                <w:spacing w:val="-2"/>
                <w:highlight w:val="none"/>
                <w:lang w:val="en-US" w:eastAsia="zh-CN"/>
              </w:rPr>
              <w:t>&lt;</w:t>
            </w:r>
            <w:r>
              <w:rPr>
                <w:rFonts w:hint="default" w:ascii="Times New Roman" w:hAnsi="Times New Roman" w:eastAsia="宋体" w:cs="Times New Roman"/>
                <w:color w:val="auto"/>
                <w:spacing w:val="-2"/>
                <w:highlight w:val="none"/>
              </w:rPr>
              <w:t>1时，</w:t>
            </w:r>
            <w:r>
              <w:rPr>
                <w:rFonts w:hint="default" w:ascii="Times New Roman" w:hAnsi="Times New Roman" w:cs="Times New Roman"/>
                <w:color w:val="auto"/>
                <w:sz w:val="24"/>
                <w:szCs w:val="32"/>
                <w:highlight w:val="none"/>
                <w:lang w:val="en-US" w:eastAsia="zh-CN"/>
              </w:rPr>
              <w:t>项目环境风险潜势为Ⅰ</w:t>
            </w:r>
            <w:r>
              <w:rPr>
                <w:rFonts w:hint="default" w:ascii="Times New Roman" w:hAnsi="Times New Roman" w:eastAsia="宋体" w:cs="Times New Roman"/>
                <w:color w:val="auto"/>
                <w:spacing w:val="-2"/>
                <w:highlight w:val="none"/>
              </w:rPr>
              <w:t>。</w:t>
            </w:r>
          </w:p>
          <w:p w14:paraId="7BAF5541">
            <w:pPr>
              <w:keepNext/>
              <w:keepLines/>
              <w:pageBreakBefore w:val="0"/>
              <w:numPr>
                <w:ilvl w:val="4"/>
                <w:numId w:val="0"/>
              </w:numPr>
              <w:wordWrap w:val="0"/>
              <w:topLinePunct w:val="0"/>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3、环境敏感目标调查</w:t>
            </w:r>
          </w:p>
          <w:p w14:paraId="2BD3E118">
            <w:pPr>
              <w:pageBreakBefore w:val="0"/>
              <w:wordWrap w:val="0"/>
              <w:topLinePunct w:val="0"/>
              <w:bidi w:val="0"/>
              <w:ind w:firstLine="480" w:firstLineChars="200"/>
              <w:jc w:val="left"/>
              <w:rPr>
                <w:rFonts w:hint="default" w:ascii="Times New Roman" w:hAnsi="Times New Roman" w:eastAsia="宋体" w:cs="Times New Roman"/>
                <w:color w:val="auto"/>
                <w:highlight w:val="none"/>
              </w:rPr>
            </w:pPr>
            <w:r>
              <w:rPr>
                <w:rFonts w:hint="default" w:ascii="Times New Roman" w:hAnsi="Times New Roman" w:cs="Times New Roman"/>
                <w:color w:val="auto"/>
                <w:kern w:val="0"/>
                <w:sz w:val="24"/>
                <w:szCs w:val="24"/>
                <w:highlight w:val="none"/>
                <w:lang w:val="en-US" w:eastAsia="zh-CN" w:bidi="ar"/>
              </w:rPr>
              <w:t>本项目位于韶关市乐昌市廊田镇乐园大道22号（3号厂房）</w:t>
            </w:r>
            <w:r>
              <w:rPr>
                <w:rFonts w:hint="default" w:ascii="Times New Roman" w:hAnsi="Times New Roman" w:eastAsia="宋体" w:cs="Times New Roman"/>
                <w:color w:val="auto"/>
                <w:highlight w:val="none"/>
              </w:rPr>
              <w:t>，厂区四周为其他企业、园区公园、空地、山地，项目边界周围500m范围内无学校、医院、文物古迹、风景名胜区、自然保护区、水源保护区。本项目最近的环境保护目标为</w:t>
            </w:r>
            <w:r>
              <w:rPr>
                <w:rFonts w:hint="default" w:ascii="Times New Roman" w:hAnsi="Times New Roman" w:cs="Times New Roman"/>
                <w:color w:val="auto"/>
                <w:highlight w:val="none"/>
                <w:lang w:val="en-US" w:eastAsia="zh-CN"/>
              </w:rPr>
              <w:t>东南侧265m处的居民区：江屋村</w:t>
            </w:r>
            <w:r>
              <w:rPr>
                <w:rFonts w:hint="default" w:ascii="Times New Roman" w:hAnsi="Times New Roman" w:eastAsia="宋体" w:cs="Times New Roman"/>
                <w:color w:val="auto"/>
                <w:highlight w:val="none"/>
              </w:rPr>
              <w:t>。</w:t>
            </w:r>
          </w:p>
          <w:p w14:paraId="19542862">
            <w:pPr>
              <w:keepNext/>
              <w:keepLines/>
              <w:pageBreakBefore w:val="0"/>
              <w:numPr>
                <w:ilvl w:val="4"/>
                <w:numId w:val="0"/>
              </w:numPr>
              <w:wordWrap w:val="0"/>
              <w:topLinePunct w:val="0"/>
              <w:bidi w:val="0"/>
              <w:spacing w:line="360" w:lineRule="auto"/>
              <w:ind w:firstLine="480" w:firstLineChars="200"/>
              <w:outlineLvl w:val="4"/>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eastAsia="宋体" w:cs="Times New Roman"/>
                <w:b/>
                <w:bCs/>
                <w:color w:val="auto"/>
                <w:sz w:val="24"/>
                <w:szCs w:val="24"/>
                <w:highlight w:val="none"/>
                <w:lang w:val="en-US" w:eastAsia="zh-CN" w:bidi="ar-SA"/>
              </w:rPr>
              <w:t>4、环境风险</w:t>
            </w:r>
            <w:r>
              <w:rPr>
                <w:rFonts w:hint="default" w:ascii="Times New Roman" w:hAnsi="Times New Roman" w:cs="Times New Roman"/>
                <w:b/>
                <w:bCs/>
                <w:color w:val="auto"/>
                <w:sz w:val="24"/>
                <w:szCs w:val="24"/>
                <w:highlight w:val="none"/>
                <w:lang w:val="en-US" w:eastAsia="zh-CN" w:bidi="ar-SA"/>
              </w:rPr>
              <w:t>识别</w:t>
            </w:r>
          </w:p>
          <w:p w14:paraId="36EEC2ED">
            <w:pPr>
              <w:keepNext/>
              <w:keepLines/>
              <w:pageBreakBefore w:val="0"/>
              <w:numPr>
                <w:ilvl w:val="4"/>
                <w:numId w:val="0"/>
              </w:numPr>
              <w:wordWrap w:val="0"/>
              <w:topLinePunct w:val="0"/>
              <w:bidi w:val="0"/>
              <w:spacing w:line="360" w:lineRule="auto"/>
              <w:ind w:firstLine="480" w:firstLineChars="200"/>
              <w:outlineLvl w:val="4"/>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本项目风险物质储存量较小，未构成重大危险源，环境风险识别见下表。</w:t>
            </w:r>
          </w:p>
          <w:p w14:paraId="5C2E9422">
            <w:pPr>
              <w:pStyle w:val="15"/>
              <w:pageBreakBefore w:val="0"/>
              <w:wordWrap w:val="0"/>
              <w:topLinePunct w:val="0"/>
              <w:bidi w:val="0"/>
              <w:spacing w:line="360" w:lineRule="auto"/>
              <w:rPr>
                <w:rFonts w:hint="default" w:ascii="Times New Roman" w:hAnsi="Times New Roman" w:eastAsia="宋体" w:cs="Times New Roman"/>
                <w:b/>
                <w:bCs/>
                <w:color w:val="auto"/>
                <w:sz w:val="24"/>
                <w:szCs w:val="24"/>
                <w:highlight w:val="none"/>
                <w:lang w:val="en-US" w:eastAsia="zh-CN" w:bidi="ar-SA"/>
              </w:rPr>
            </w:pPr>
            <w:r>
              <w:rPr>
                <w:rFonts w:hint="default" w:ascii="Times New Roman" w:hAnsi="Times New Roman" w:cs="Times New Roman"/>
                <w:color w:val="auto"/>
                <w:highlight w:val="none"/>
              </w:rPr>
              <w:t>表</w:t>
            </w:r>
            <w:r>
              <w:rPr>
                <w:rFonts w:hint="default" w:ascii="Times New Roman" w:hAnsi="Times New Roman" w:cs="Times New Roman"/>
                <w:color w:val="auto"/>
                <w:highlight w:val="none"/>
              </w:rPr>
              <w:fldChar w:fldCharType="begin"/>
            </w:r>
            <w:r>
              <w:rPr>
                <w:rFonts w:hint="default" w:ascii="Times New Roman" w:hAnsi="Times New Roman" w:cs="Times New Roman"/>
                <w:color w:val="auto"/>
                <w:highlight w:val="none"/>
              </w:rPr>
              <w:instrText xml:space="preserve"> STYLEREF 1 \s </w:instrText>
            </w:r>
            <w:r>
              <w:rPr>
                <w:rFonts w:hint="default" w:ascii="Times New Roman" w:hAnsi="Times New Roman" w:cs="Times New Roman"/>
                <w:color w:val="auto"/>
                <w:highlight w:val="none"/>
              </w:rPr>
              <w:fldChar w:fldCharType="separate"/>
            </w:r>
            <w:r>
              <w:rPr>
                <w:rFonts w:hint="default" w:ascii="Times New Roman" w:hAnsi="Times New Roman" w:cs="Times New Roman"/>
                <w:color w:val="auto"/>
                <w:highlight w:val="none"/>
              </w:rPr>
              <w:t>4</w:t>
            </w:r>
            <w:r>
              <w:rPr>
                <w:rFonts w:hint="default" w:ascii="Times New Roman" w:hAnsi="Times New Roman" w:cs="Times New Roman"/>
                <w:color w:val="auto"/>
                <w:highlight w:val="none"/>
              </w:rPr>
              <w:fldChar w:fldCharType="end"/>
            </w:r>
            <w:r>
              <w:rPr>
                <w:rFonts w:hint="default" w:ascii="Times New Roman" w:hAnsi="Times New Roman" w:cs="Times New Roman"/>
                <w:color w:val="auto"/>
                <w:highlight w:val="none"/>
              </w:rPr>
              <w:t>-2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建设项目环境风险识别表</w:t>
            </w:r>
          </w:p>
          <w:tbl>
            <w:tblPr>
              <w:tblStyle w:val="38"/>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81"/>
              <w:gridCol w:w="1790"/>
              <w:gridCol w:w="1160"/>
              <w:gridCol w:w="1713"/>
              <w:gridCol w:w="2916"/>
            </w:tblGrid>
            <w:tr w14:paraId="0C126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573" w:type="pct"/>
                  <w:noWrap w:val="0"/>
                  <w:vAlign w:val="center"/>
                </w:tcPr>
                <w:p w14:paraId="79681D24">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事故起因</w:t>
                  </w:r>
                </w:p>
              </w:tc>
              <w:tc>
                <w:tcPr>
                  <w:tcW w:w="1045" w:type="pct"/>
                  <w:noWrap w:val="0"/>
                  <w:vAlign w:val="center"/>
                </w:tcPr>
                <w:p w14:paraId="401D85D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环境风险描述</w:t>
                  </w:r>
                </w:p>
              </w:tc>
              <w:tc>
                <w:tcPr>
                  <w:tcW w:w="677" w:type="pct"/>
                  <w:noWrap w:val="0"/>
                  <w:vAlign w:val="center"/>
                </w:tcPr>
                <w:p w14:paraId="5E4583D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危险物质</w:t>
                  </w:r>
                </w:p>
              </w:tc>
              <w:tc>
                <w:tcPr>
                  <w:tcW w:w="1000" w:type="pct"/>
                  <w:noWrap w:val="0"/>
                  <w:vAlign w:val="center"/>
                </w:tcPr>
                <w:p w14:paraId="14B71E89">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环境风险类型</w:t>
                  </w:r>
                </w:p>
              </w:tc>
              <w:tc>
                <w:tcPr>
                  <w:tcW w:w="1702" w:type="pct"/>
                  <w:noWrap w:val="0"/>
                  <w:vAlign w:val="center"/>
                </w:tcPr>
                <w:p w14:paraId="3670A361">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环境影响途径</w:t>
                  </w:r>
                </w:p>
              </w:tc>
            </w:tr>
            <w:tr w14:paraId="0E2E66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trPr>
              <w:tc>
                <w:tcPr>
                  <w:tcW w:w="573" w:type="pct"/>
                  <w:noWrap w:val="0"/>
                  <w:vAlign w:val="center"/>
                </w:tcPr>
                <w:p w14:paraId="309274A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危险废物</w:t>
                  </w:r>
                </w:p>
                <w:p w14:paraId="3157541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泄漏</w:t>
                  </w:r>
                </w:p>
              </w:tc>
              <w:tc>
                <w:tcPr>
                  <w:tcW w:w="1045" w:type="pct"/>
                  <w:noWrap w:val="0"/>
                  <w:vAlign w:val="center"/>
                </w:tcPr>
                <w:p w14:paraId="26BEC90A">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泄漏危险废物污染地表水及地下水</w:t>
                  </w:r>
                </w:p>
              </w:tc>
              <w:tc>
                <w:tcPr>
                  <w:tcW w:w="677" w:type="pct"/>
                  <w:noWrap w:val="0"/>
                  <w:vAlign w:val="center"/>
                </w:tcPr>
                <w:p w14:paraId="1A2FE854">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危险废物</w:t>
                  </w:r>
                </w:p>
              </w:tc>
              <w:tc>
                <w:tcPr>
                  <w:tcW w:w="1000" w:type="pct"/>
                  <w:noWrap w:val="0"/>
                  <w:vAlign w:val="center"/>
                </w:tcPr>
                <w:p w14:paraId="727E5966">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地表</w:t>
                  </w:r>
                  <w:r>
                    <w:rPr>
                      <w:rFonts w:hint="default" w:ascii="Times New Roman" w:hAnsi="Times New Roman" w:eastAsia="宋体" w:cs="Times New Roman"/>
                      <w:color w:val="auto"/>
                      <w:sz w:val="21"/>
                      <w:szCs w:val="21"/>
                      <w:highlight w:val="none"/>
                    </w:rPr>
                    <w:t>水环境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地下水环境</w:t>
                  </w:r>
                </w:p>
              </w:tc>
              <w:tc>
                <w:tcPr>
                  <w:tcW w:w="1702" w:type="pct"/>
                  <w:noWrap w:val="0"/>
                  <w:vAlign w:val="center"/>
                </w:tcPr>
                <w:p w14:paraId="01060AA9">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通过雨水管排放到附近水体，影响内河涌水质，影响水生环境</w:t>
                  </w:r>
                </w:p>
              </w:tc>
            </w:tr>
            <w:tr w14:paraId="7C0D50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573" w:type="pct"/>
                  <w:noWrap w:val="0"/>
                  <w:vAlign w:val="center"/>
                </w:tcPr>
                <w:p w14:paraId="3B1A0AB9">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废气治理设施故障</w:t>
                  </w:r>
                </w:p>
              </w:tc>
              <w:tc>
                <w:tcPr>
                  <w:tcW w:w="1045" w:type="pct"/>
                  <w:noWrap w:val="0"/>
                  <w:vAlign w:val="center"/>
                </w:tcPr>
                <w:p w14:paraId="11998600">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废气治理设施故障，导致废气超标排放</w:t>
                  </w:r>
                </w:p>
              </w:tc>
              <w:tc>
                <w:tcPr>
                  <w:tcW w:w="677" w:type="pct"/>
                  <w:noWrap w:val="0"/>
                  <w:vAlign w:val="center"/>
                </w:tcPr>
                <w:p w14:paraId="61FFA254">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非甲烷总烃</w:t>
                  </w:r>
                </w:p>
              </w:tc>
              <w:tc>
                <w:tcPr>
                  <w:tcW w:w="1000" w:type="pct"/>
                  <w:noWrap w:val="0"/>
                  <w:vAlign w:val="center"/>
                </w:tcPr>
                <w:p w14:paraId="0DB85D6B">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大气环境</w:t>
                  </w:r>
                </w:p>
              </w:tc>
              <w:tc>
                <w:tcPr>
                  <w:tcW w:w="1702" w:type="pct"/>
                  <w:noWrap w:val="0"/>
                  <w:vAlign w:val="center"/>
                </w:tcPr>
                <w:p w14:paraId="1F295AF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对周围大气环境造成短时污染</w:t>
                  </w:r>
                </w:p>
              </w:tc>
            </w:tr>
            <w:tr w14:paraId="7CE4BB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573" w:type="pct"/>
                  <w:vMerge w:val="restart"/>
                  <w:noWrap w:val="0"/>
                  <w:vAlign w:val="center"/>
                </w:tcPr>
                <w:p w14:paraId="16EAD230">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火灾、爆炸</w:t>
                  </w:r>
                </w:p>
              </w:tc>
              <w:tc>
                <w:tcPr>
                  <w:tcW w:w="1045" w:type="pct"/>
                  <w:noWrap w:val="0"/>
                  <w:vAlign w:val="center"/>
                </w:tcPr>
                <w:p w14:paraId="78B0A691">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燃烧烟尘及污染物污染周围大气环境</w:t>
                  </w:r>
                </w:p>
              </w:tc>
              <w:tc>
                <w:tcPr>
                  <w:tcW w:w="677" w:type="pct"/>
                  <w:noWrap w:val="0"/>
                  <w:vAlign w:val="center"/>
                </w:tcPr>
                <w:p w14:paraId="61A8F466">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CO、颗粒物</w:t>
                  </w:r>
                </w:p>
              </w:tc>
              <w:tc>
                <w:tcPr>
                  <w:tcW w:w="1000" w:type="pct"/>
                  <w:noWrap w:val="0"/>
                  <w:vAlign w:val="center"/>
                </w:tcPr>
                <w:p w14:paraId="682C4AC1">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w:t>
                  </w:r>
                </w:p>
              </w:tc>
              <w:tc>
                <w:tcPr>
                  <w:tcW w:w="1702" w:type="pct"/>
                  <w:noWrap w:val="0"/>
                  <w:vAlign w:val="center"/>
                </w:tcPr>
                <w:p w14:paraId="5F292920">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通过燃烧烟气扩散，对周围大气环境造成短时污染</w:t>
                  </w:r>
                </w:p>
              </w:tc>
            </w:tr>
            <w:tr w14:paraId="305843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0" w:hRule="atLeast"/>
              </w:trPr>
              <w:tc>
                <w:tcPr>
                  <w:tcW w:w="573" w:type="pct"/>
                  <w:vMerge w:val="continue"/>
                  <w:noWrap w:val="0"/>
                  <w:vAlign w:val="center"/>
                </w:tcPr>
                <w:p w14:paraId="3DF30291">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p>
              </w:tc>
              <w:tc>
                <w:tcPr>
                  <w:tcW w:w="1045" w:type="pct"/>
                  <w:noWrap w:val="0"/>
                  <w:vAlign w:val="center"/>
                </w:tcPr>
                <w:p w14:paraId="7416E227">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消防废水进入附近水体</w:t>
                  </w:r>
                </w:p>
              </w:tc>
              <w:tc>
                <w:tcPr>
                  <w:tcW w:w="677" w:type="pct"/>
                  <w:noWrap w:val="0"/>
                  <w:vAlign w:val="center"/>
                </w:tcPr>
                <w:p w14:paraId="011A871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COD</w:t>
                  </w:r>
                  <w:r>
                    <w:rPr>
                      <w:rFonts w:hint="default" w:ascii="Times New Roman" w:hAnsi="Times New Roman" w:cs="Times New Roman"/>
                      <w:color w:val="auto"/>
                      <w:sz w:val="21"/>
                      <w:szCs w:val="21"/>
                      <w:highlight w:val="none"/>
                      <w:lang w:val="en-US" w:eastAsia="zh-CN"/>
                    </w:rPr>
                    <w:t>cr、氨氮、SS</w:t>
                  </w:r>
                  <w:r>
                    <w:rPr>
                      <w:rFonts w:hint="default" w:ascii="Times New Roman" w:hAnsi="Times New Roman" w:cs="Times New Roman"/>
                      <w:color w:val="auto"/>
                      <w:sz w:val="21"/>
                      <w:szCs w:val="21"/>
                      <w:highlight w:val="none"/>
                      <w:lang w:eastAsia="zh-CN"/>
                    </w:rPr>
                    <w:t>等</w:t>
                  </w:r>
                </w:p>
              </w:tc>
              <w:tc>
                <w:tcPr>
                  <w:tcW w:w="1000" w:type="pct"/>
                  <w:noWrap w:val="0"/>
                  <w:vAlign w:val="center"/>
                </w:tcPr>
                <w:p w14:paraId="49DFC3BF">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地表</w:t>
                  </w:r>
                  <w:r>
                    <w:rPr>
                      <w:rFonts w:hint="default" w:ascii="Times New Roman" w:hAnsi="Times New Roman" w:eastAsia="宋体" w:cs="Times New Roman"/>
                      <w:color w:val="auto"/>
                      <w:sz w:val="21"/>
                      <w:szCs w:val="21"/>
                      <w:highlight w:val="none"/>
                    </w:rPr>
                    <w:t>水环境</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地下水环境</w:t>
                  </w:r>
                </w:p>
              </w:tc>
              <w:tc>
                <w:tcPr>
                  <w:tcW w:w="1702" w:type="pct"/>
                  <w:noWrap w:val="0"/>
                  <w:vAlign w:val="center"/>
                </w:tcPr>
                <w:p w14:paraId="5C193F5D">
                  <w:pPr>
                    <w:pStyle w:val="114"/>
                    <w:keepNext w:val="0"/>
                    <w:keepLines w:val="0"/>
                    <w:pageBreakBefore w:val="0"/>
                    <w:widowControl w:val="0"/>
                    <w:kinsoku/>
                    <w:wordWrap w:val="0"/>
                    <w:overflowPunct/>
                    <w:topLinePunct w:val="0"/>
                    <w:autoSpaceDE w:val="0"/>
                    <w:autoSpaceDN w:val="0"/>
                    <w:bidi w:val="0"/>
                    <w:adjustRightInd/>
                    <w:snapToGrid/>
                    <w:spacing w:before="20" w:after="2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通过雨水管对附近河涌水质造成影响</w:t>
                  </w:r>
                </w:p>
              </w:tc>
            </w:tr>
          </w:tbl>
          <w:p w14:paraId="174BD826">
            <w:pPr>
              <w:pStyle w:val="6"/>
              <w:pageBreakBefore w:val="0"/>
              <w:numPr>
                <w:ilvl w:val="0"/>
                <w:numId w:val="0"/>
              </w:numPr>
              <w:wordWrap w:val="0"/>
              <w:topLinePunct w:val="0"/>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5、环境风险分析</w:t>
            </w:r>
          </w:p>
          <w:p w14:paraId="5A56087A">
            <w:pPr>
              <w:pStyle w:val="8"/>
              <w:pageBreakBefore w:val="0"/>
              <w:numPr>
                <w:ilvl w:val="0"/>
                <w:numId w:val="0"/>
              </w:numPr>
              <w:wordWrap w:val="0"/>
              <w:topLinePunct w:val="0"/>
              <w:bidi w:val="0"/>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（1）大气环境风险分析</w:t>
            </w:r>
          </w:p>
          <w:p w14:paraId="1E754E85">
            <w:pPr>
              <w:pageBreakBefore w:val="0"/>
              <w:widowControl/>
              <w:wordWrap w:val="0"/>
              <w:topLinePunct w:val="0"/>
              <w:bidi w:val="0"/>
              <w:ind w:firstLine="48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物料在运输、装卸、储存和使用过程中发生泄漏、火灾，有毒有害物质在高温情况下散发到空气中，泄漏的物料、物料燃烧产生的次生污染物如烟尘、CO等将对周边的环境空气带来较为严重的污染甚至对人群健康造成危害。</w:t>
            </w:r>
          </w:p>
          <w:p w14:paraId="41B960F9">
            <w:pPr>
              <w:pStyle w:val="8"/>
              <w:pageBreakBefore w:val="0"/>
              <w:numPr>
                <w:ilvl w:val="0"/>
                <w:numId w:val="0"/>
              </w:numPr>
              <w:wordWrap w:val="0"/>
              <w:topLinePunct w:val="0"/>
              <w:bidi w:val="0"/>
              <w:ind w:left="480"/>
              <w:rPr>
                <w:rFonts w:hint="default" w:ascii="Times New Roman" w:hAnsi="Times New Roman" w:cs="Times New Roman"/>
                <w:color w:val="auto"/>
                <w:highlight w:val="none"/>
              </w:rPr>
            </w:pPr>
            <w:r>
              <w:rPr>
                <w:rFonts w:hint="default" w:ascii="Times New Roman" w:hAnsi="Times New Roman" w:cs="Times New Roman"/>
                <w:color w:val="auto"/>
                <w:highlight w:val="none"/>
              </w:rPr>
              <w:t>（2）地表水、地下水环境风险分析</w:t>
            </w:r>
          </w:p>
          <w:p w14:paraId="638EF385">
            <w:pPr>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液态有毒有害物质经地表径流或雨水管进入周边水体，或通过地表下渗污染地下水水质，严重污染河涌、水道水质，比如，液态有毒有害物质在运输、装卸、储存和使用过程中发生泄漏，危废间防渗层损坏等，对地表水、地下水环境带来较为严重的污染。本项目</w:t>
            </w:r>
            <w:r>
              <w:rPr>
                <w:rFonts w:hint="default" w:ascii="Times New Roman" w:hAnsi="Times New Roman" w:cs="Times New Roman"/>
                <w:color w:val="auto"/>
                <w:highlight w:val="none"/>
                <w:lang w:eastAsia="zh-CN"/>
              </w:rPr>
              <w:t>机油</w:t>
            </w:r>
            <w:r>
              <w:rPr>
                <w:rFonts w:hint="default" w:ascii="Times New Roman" w:hAnsi="Times New Roman" w:cs="Times New Roman"/>
                <w:color w:val="auto"/>
                <w:highlight w:val="none"/>
              </w:rPr>
              <w:t>使用量较少，不使用时密闭封存，本项目厂区内均已进行地面硬化，因此不存在地表水、地下水环境污染途径。</w:t>
            </w:r>
          </w:p>
          <w:p w14:paraId="17845662">
            <w:pPr>
              <w:pStyle w:val="6"/>
              <w:pageBreakBefore w:val="0"/>
              <w:numPr>
                <w:ilvl w:val="0"/>
                <w:numId w:val="0"/>
              </w:numPr>
              <w:wordWrap w:val="0"/>
              <w:topLinePunct w:val="0"/>
              <w:bidi w:val="0"/>
              <w:ind w:left="480" w:leftChars="200"/>
              <w:rPr>
                <w:rFonts w:hint="default" w:ascii="Times New Roman" w:hAnsi="Times New Roman" w:cs="Times New Roman"/>
                <w:color w:val="auto"/>
                <w:highlight w:val="none"/>
              </w:rPr>
            </w:pPr>
            <w:r>
              <w:rPr>
                <w:rFonts w:hint="default" w:ascii="Times New Roman" w:hAnsi="Times New Roman" w:cs="Times New Roman"/>
                <w:color w:val="auto"/>
                <w:highlight w:val="none"/>
              </w:rPr>
              <w:t>6、环境风险防范措施及应急要求</w:t>
            </w:r>
          </w:p>
          <w:p w14:paraId="49323641">
            <w:pPr>
              <w:pStyle w:val="9"/>
              <w:pageBreakBefore w:val="0"/>
              <w:numPr>
                <w:ilvl w:val="5"/>
                <w:numId w:val="0"/>
              </w:numPr>
              <w:wordWrap w:val="0"/>
              <w:topLinePunct w:val="0"/>
              <w:bidi w:val="0"/>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①</w:t>
            </w:r>
            <w:r>
              <w:rPr>
                <w:rFonts w:hint="default" w:ascii="Times New Roman" w:hAnsi="Times New Roman" w:cs="Times New Roman"/>
                <w:color w:val="auto"/>
                <w:highlight w:val="none"/>
              </w:rPr>
              <w:t>严格执行应急管理、消防等相关规范，从总图布置和建筑安全方面进行风险防范，预留疏散通道或安置场所。</w:t>
            </w:r>
          </w:p>
          <w:p w14:paraId="23021977">
            <w:pPr>
              <w:pStyle w:val="9"/>
              <w:pageBreakBefore w:val="0"/>
              <w:numPr>
                <w:ilvl w:val="5"/>
                <w:numId w:val="0"/>
              </w:numPr>
              <w:wordWrap w:val="0"/>
              <w:topLinePunct w:val="0"/>
              <w:bidi w:val="0"/>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②</w:t>
            </w:r>
            <w:r>
              <w:rPr>
                <w:rFonts w:hint="default" w:ascii="Times New Roman" w:hAnsi="Times New Roman" w:cs="Times New Roman"/>
                <w:color w:val="auto"/>
                <w:highlight w:val="none"/>
              </w:rPr>
              <w:t>从优化改进生产工艺、减少储存量、改善储存条件等方面降低风险程度。</w:t>
            </w:r>
          </w:p>
          <w:p w14:paraId="13FB2B57">
            <w:pPr>
              <w:pStyle w:val="9"/>
              <w:pageBreakBefore w:val="0"/>
              <w:numPr>
                <w:ilvl w:val="5"/>
                <w:numId w:val="0"/>
              </w:numPr>
              <w:wordWrap w:val="0"/>
              <w:topLinePunct w:val="0"/>
              <w:bidi w:val="0"/>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③</w:t>
            </w:r>
            <w:r>
              <w:rPr>
                <w:rFonts w:hint="default" w:ascii="Times New Roman" w:hAnsi="Times New Roman" w:cs="Times New Roman"/>
                <w:color w:val="auto"/>
                <w:highlight w:val="none"/>
              </w:rPr>
              <w:t>加强日常管理，降低管理失误而出现的风险事故，提高员工规范性操作水平，减少误操作引发的风险事故。</w:t>
            </w:r>
          </w:p>
          <w:p w14:paraId="7DCE8299">
            <w:pPr>
              <w:pStyle w:val="9"/>
              <w:pageBreakBefore w:val="0"/>
              <w:numPr>
                <w:ilvl w:val="5"/>
                <w:numId w:val="0"/>
              </w:numPr>
              <w:wordWrap w:val="0"/>
              <w:topLinePunct w:val="0"/>
              <w:bidi w:val="0"/>
              <w:ind w:firstLine="420" w:firstLineChars="200"/>
              <w:rPr>
                <w:rFonts w:hint="default" w:ascii="Times New Roman" w:hAnsi="Times New Roman" w:cs="Times New Roman"/>
                <w:color w:val="auto"/>
                <w:highlight w:val="none"/>
              </w:rPr>
            </w:pPr>
            <w:r>
              <w:rPr>
                <w:rFonts w:hint="default" w:ascii="Times New Roman" w:hAnsi="Times New Roman" w:cs="Times New Roman"/>
                <w:color w:val="auto"/>
                <w:sz w:val="21"/>
                <w:highlight w:val="none"/>
              </w:rPr>
              <w:t>④</w:t>
            </w:r>
            <w:r>
              <w:rPr>
                <w:rFonts w:hint="default" w:ascii="Times New Roman" w:hAnsi="Times New Roman" w:cs="Times New Roman"/>
                <w:color w:val="auto"/>
                <w:highlight w:val="none"/>
              </w:rPr>
              <w:t>根据贮存的相关要求进行贮存、使用，设置满足要求的围堰区。遵循“源头控制，分区防渗”的原则，做好仓库、车间、危废暂存间的防渗措施，满足相应标准要求。危废间在建筑物内部，达到防风防雨防晒要求，地面硬化并刷环氧树脂漆防渗，四周设置围堰，满足四防要求。</w:t>
            </w:r>
          </w:p>
          <w:p w14:paraId="5488CFB8">
            <w:pPr>
              <w:pStyle w:val="6"/>
              <w:pageBreakBefore w:val="0"/>
              <w:numPr>
                <w:ilvl w:val="0"/>
                <w:numId w:val="0"/>
              </w:numPr>
              <w:wordWrap w:val="0"/>
              <w:topLinePunct w:val="0"/>
              <w:bidi w:val="0"/>
              <w:ind w:left="480" w:leftChars="200"/>
              <w:rPr>
                <w:rFonts w:hint="default" w:ascii="Times New Roman" w:hAnsi="Times New Roman" w:eastAsia="宋体" w:cs="Times New Roman"/>
                <w:color w:val="auto"/>
                <w:highlight w:val="none"/>
              </w:rPr>
            </w:pPr>
            <w:r>
              <w:rPr>
                <w:rFonts w:hint="eastAsia" w:ascii="Times New Roman" w:hAnsi="Times New Roman" w:eastAsia="宋体" w:cs="Times New Roman"/>
                <w:color w:val="auto"/>
                <w:highlight w:val="none"/>
                <w:lang w:val="en-US" w:eastAsia="zh-CN"/>
              </w:rPr>
              <w:t>7、三级防控体系及</w:t>
            </w:r>
            <w:r>
              <w:rPr>
                <w:rFonts w:hint="default" w:ascii="Times New Roman" w:hAnsi="Times New Roman" w:eastAsia="宋体" w:cs="Times New Roman"/>
                <w:color w:val="auto"/>
                <w:highlight w:val="none"/>
                <w:lang w:val="en-US" w:eastAsia="zh-CN"/>
              </w:rPr>
              <w:t>风险区域联动</w:t>
            </w:r>
          </w:p>
          <w:p w14:paraId="22F72768">
            <w:pPr>
              <w:widowControl/>
              <w:spacing w:line="360" w:lineRule="auto"/>
              <w:ind w:firstLine="480" w:firstLineChars="200"/>
              <w:rPr>
                <w:rFonts w:hint="default" w:ascii="Times New Roman" w:hAnsi="Times New Roman" w:eastAsia="宋体" w:cs="Times New Roman"/>
                <w:color w:val="auto"/>
                <w:kern w:val="0"/>
                <w:sz w:val="24"/>
                <w:highlight w:val="none"/>
                <w:lang w:val="en-US" w:eastAsia="zh-CN" w:bidi="ar"/>
              </w:rPr>
            </w:pPr>
            <w:r>
              <w:rPr>
                <w:rFonts w:hint="eastAsia" w:cs="Times New Roman"/>
                <w:color w:val="auto"/>
                <w:kern w:val="0"/>
                <w:sz w:val="24"/>
                <w:highlight w:val="none"/>
                <w:lang w:val="en-US" w:eastAsia="zh-CN" w:bidi="ar"/>
              </w:rPr>
              <w:t>（1）三级防控体系</w:t>
            </w:r>
          </w:p>
          <w:p w14:paraId="5C9A947E">
            <w:pPr>
              <w:widowControl/>
              <w:spacing w:line="360" w:lineRule="auto"/>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一级防控：仓库围堰（单元）：危险废物暂存间、</w:t>
            </w:r>
            <w:r>
              <w:rPr>
                <w:rFonts w:hint="eastAsia" w:ascii="Times New Roman" w:hAnsi="Times New Roman" w:eastAsia="宋体" w:cs="Times New Roman"/>
                <w:color w:val="auto"/>
                <w:kern w:val="0"/>
                <w:sz w:val="24"/>
                <w:highlight w:val="none"/>
                <w:lang w:val="en-US" w:eastAsia="zh-CN" w:bidi="ar"/>
              </w:rPr>
              <w:t>原料</w:t>
            </w:r>
            <w:r>
              <w:rPr>
                <w:rFonts w:hint="default" w:ascii="Times New Roman" w:hAnsi="Times New Roman" w:eastAsia="宋体" w:cs="Times New Roman"/>
                <w:color w:val="auto"/>
                <w:kern w:val="0"/>
                <w:sz w:val="24"/>
                <w:highlight w:val="none"/>
                <w:lang w:val="en-US" w:eastAsia="zh-CN" w:bidi="ar"/>
              </w:rPr>
              <w:t>仓库、生产区等风险单元环保防渗，并设置围堰，当发生泄漏时可暂存于围堰内，再配备应急砂等处理泄漏物。管理人员必须经过专业知识培训，熟悉贮存物品的特性、事故处理办法和防护知识，持证上岗，同时，必须配合有关的个人防护用品。在各风险单元配备足量的泡沫、干粉等灭火器，当由于各种化学品等引起的火灾时用泡沫、干粉等来灭火，用水降温。</w:t>
            </w:r>
          </w:p>
          <w:p w14:paraId="7396F323">
            <w:pPr>
              <w:widowControl/>
              <w:spacing w:line="360" w:lineRule="auto"/>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二级防控：厂区缓坡、沙袋（厂区）：在生产厂房出入口处设置缓坡，并配备相应的数量的阻水沙袋，当危险物质泄漏或事故废水流出风险单元时，可通过门口缓坡以及沙袋及时抑制泄漏扩散至厂区外。</w:t>
            </w:r>
          </w:p>
          <w:p w14:paraId="25DB693D">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三级防控：园区雨水管网（区域）：当本项目危险物质泄漏或事故废水流出厂区时，可通过雨水阀门、缓坡和沙袋将事故废水截留至园区内，防止事故废水流至外环境。重点做好与项目周边水体水环境污染防控措施的和应急救援队伍衔接，当极端状况下厂区无法控制污染物时，及时与政府联动，实行区域联防联控。</w:t>
            </w:r>
          </w:p>
          <w:p w14:paraId="469EE1CB">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（2）风险区域联动</w:t>
            </w:r>
          </w:p>
          <w:p w14:paraId="3468D142">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建立信息共享机制：项目应与周边建筑及企业建立常态化的信息共享平台或渠道，确保在事故发生时能迅速传递事故信息，包括事故类型、规模、影响范围等，以便各方及时评估自身风险并作出响应。 </w:t>
            </w:r>
          </w:p>
          <w:p w14:paraId="4062E838">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开展联合演练：定期组织联合应急演练，模拟不同类型的事故场景，检验预案的可行性和有效性，提升各方协同作战的能力。演练后要及时总结经验教训，对预案进行修订完善。 </w:t>
            </w:r>
          </w:p>
          <w:p w14:paraId="3F377307">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加强人员培训与交流：定期对项目内部及周边企业的应急管理人员进行专业培训，提高应急知识和技能水平。同时，加强人员间的交流与沟通，增进彼此了解和信任，为应急联动打下坚实基础。 </w:t>
            </w:r>
          </w:p>
          <w:p w14:paraId="5427D6B3">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设立应急联络员制度：在各方指定专门的应急联络员，负责日常的应急信息沟通和事故发生时的联络协调工作。确保在紧急情况下，能够快速、准确地传达指令和信息。 </w:t>
            </w:r>
          </w:p>
          <w:p w14:paraId="383A0C5B">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 xml:space="preserve">遵守法律法规和行业标准：在应急预案的制定和实施过程中，要严格遵守国家和地方关于安全生产、应急管理等方面的法律法规和行业标准，确保预案的合法性和有效性。 </w:t>
            </w:r>
          </w:p>
          <w:p w14:paraId="0D252493">
            <w:pPr>
              <w:ind w:firstLine="480" w:firstLineChars="200"/>
              <w:rPr>
                <w:rFonts w:hint="default" w:ascii="Times New Roman" w:hAnsi="Times New Roman" w:eastAsia="宋体" w:cs="Times New Roman"/>
                <w:color w:val="auto"/>
                <w:kern w:val="0"/>
                <w:sz w:val="24"/>
                <w:highlight w:val="none"/>
                <w:lang w:val="en-US" w:eastAsia="zh-CN" w:bidi="ar"/>
              </w:rPr>
            </w:pPr>
            <w:r>
              <w:rPr>
                <w:rFonts w:hint="default" w:ascii="Times New Roman" w:hAnsi="Times New Roman" w:eastAsia="宋体" w:cs="Times New Roman"/>
                <w:color w:val="auto"/>
                <w:kern w:val="0"/>
                <w:sz w:val="24"/>
                <w:highlight w:val="none"/>
                <w:lang w:val="en-US" w:eastAsia="zh-CN" w:bidi="ar"/>
              </w:rPr>
              <w:t>发生事故时，项目应急作业流程如下：消防灾害发生现场发现者向应急指挥部报告→启动应急预案→关闭</w:t>
            </w:r>
            <w:r>
              <w:rPr>
                <w:rFonts w:hint="eastAsia" w:ascii="Times New Roman" w:hAnsi="Times New Roman" w:eastAsia="宋体" w:cs="Times New Roman"/>
                <w:color w:val="auto"/>
                <w:kern w:val="0"/>
                <w:sz w:val="24"/>
                <w:highlight w:val="none"/>
                <w:lang w:val="en-US" w:eastAsia="zh-CN" w:bidi="ar"/>
              </w:rPr>
              <w:t>园区</w:t>
            </w:r>
            <w:r>
              <w:rPr>
                <w:rFonts w:hint="default" w:ascii="Times New Roman" w:hAnsi="Times New Roman" w:eastAsia="宋体" w:cs="Times New Roman"/>
                <w:color w:val="auto"/>
                <w:kern w:val="0"/>
                <w:sz w:val="24"/>
                <w:highlight w:val="none"/>
                <w:lang w:val="en-US" w:eastAsia="zh-CN" w:bidi="ar"/>
              </w:rPr>
              <w:t>雨水总排口，进行灭火→用缓坡、沙包拦截事故废水→交由持有相应资质的处理单位处理。</w:t>
            </w:r>
          </w:p>
          <w:p w14:paraId="3163B4FF">
            <w:pPr>
              <w:pStyle w:val="6"/>
              <w:pageBreakBefore w:val="0"/>
              <w:numPr>
                <w:ilvl w:val="0"/>
                <w:numId w:val="0"/>
              </w:numPr>
              <w:wordWrap w:val="0"/>
              <w:topLinePunct w:val="0"/>
              <w:bidi w:val="0"/>
              <w:ind w:left="480" w:leftChars="200"/>
              <w:rPr>
                <w:rFonts w:hint="default" w:ascii="Times New Roman" w:hAnsi="Times New Roman" w:cs="Times New Roman"/>
                <w:color w:val="auto"/>
                <w:highlight w:val="none"/>
              </w:rPr>
            </w:pPr>
            <w:r>
              <w:rPr>
                <w:rFonts w:hint="eastAsia" w:cs="Times New Roman"/>
                <w:color w:val="auto"/>
                <w:highlight w:val="none"/>
                <w:lang w:val="en-US" w:eastAsia="zh-CN"/>
              </w:rPr>
              <w:t>8</w:t>
            </w:r>
            <w:r>
              <w:rPr>
                <w:rFonts w:hint="default" w:ascii="Times New Roman" w:hAnsi="Times New Roman" w:cs="Times New Roman"/>
                <w:color w:val="auto"/>
                <w:highlight w:val="none"/>
              </w:rPr>
              <w:t>、环境风险分析小结与建议</w:t>
            </w:r>
          </w:p>
          <w:p w14:paraId="502D5FA2">
            <w:pPr>
              <w:pageBreakBefore w:val="0"/>
              <w:wordWrap w:val="0"/>
              <w:topLinePunct w:val="0"/>
              <w:bidi w:val="0"/>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的风险物质数量较少，泄漏、火灾、爆炸等事故发生概率较低，物质泄漏、火灾、爆炸等事故下引发的伴生/次生污染物排放的风险隐患较低，环境风险潜势为Ⅰ，在落实上述防范措施后，生产过程的环境风险总体可控。</w:t>
            </w:r>
          </w:p>
          <w:p w14:paraId="78E08A8D">
            <w:pPr>
              <w:keepNext/>
              <w:keepLines/>
              <w:pageBreakBefore w:val="0"/>
              <w:tabs>
                <w:tab w:val="left" w:pos="0"/>
              </w:tabs>
              <w:wordWrap w:val="0"/>
              <w:topLinePunct w:val="0"/>
              <w:bidi w:val="0"/>
              <w:ind w:left="478"/>
              <w:outlineLvl w:val="2"/>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九、电磁辐射环境</w:t>
            </w:r>
          </w:p>
          <w:p w14:paraId="72E29C41">
            <w:pPr>
              <w:pStyle w:val="2"/>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本项目不存在电磁辐射影响。</w:t>
            </w:r>
          </w:p>
          <w:p w14:paraId="1EE40474">
            <w:pPr>
              <w:pageBreakBefore w:val="0"/>
              <w:wordWrap w:val="0"/>
              <w:topLinePunct w:val="0"/>
              <w:bidi w:val="0"/>
              <w:ind w:firstLine="480" w:firstLineChars="200"/>
              <w:rPr>
                <w:rFonts w:hint="default" w:ascii="Times New Roman" w:hAnsi="Times New Roman" w:cs="Times New Roman"/>
                <w:color w:val="auto"/>
                <w:highlight w:val="none"/>
              </w:rPr>
            </w:pPr>
          </w:p>
        </w:tc>
      </w:tr>
    </w:tbl>
    <w:p w14:paraId="4DAA2538">
      <w:pPr>
        <w:pageBreakBefore w:val="0"/>
        <w:wordWrap w:val="0"/>
        <w:topLinePunct w:val="0"/>
        <w:bidi w:val="0"/>
        <w:rPr>
          <w:rFonts w:hint="default" w:ascii="Times New Roman" w:hAnsi="Times New Roman" w:cs="Times New Roman"/>
          <w:color w:val="auto"/>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0DA571F4">
      <w:pPr>
        <w:pStyle w:val="3"/>
        <w:pageBreakBefore w:val="0"/>
        <w:numPr>
          <w:ilvl w:val="0"/>
          <w:numId w:val="0"/>
        </w:numPr>
        <w:wordWrap w:val="0"/>
        <w:topLinePunct w:val="0"/>
        <w:bidi w:val="0"/>
        <w:rPr>
          <w:rFonts w:hint="default" w:ascii="Times New Roman" w:hAnsi="Times New Roman" w:cs="Times New Roman"/>
          <w:color w:val="auto"/>
          <w:highlight w:val="none"/>
        </w:rPr>
      </w:pPr>
      <w:bookmarkStart w:id="116" w:name="_Toc26895"/>
      <w:bookmarkStart w:id="117" w:name="_Toc17252"/>
      <w:r>
        <w:rPr>
          <w:rFonts w:hint="default" w:ascii="Times New Roman" w:hAnsi="Times New Roman" w:cs="Times New Roman"/>
          <w:color w:val="auto"/>
          <w:highlight w:val="none"/>
        </w:rPr>
        <w:t>五、环境保护措施监督检查清单</w:t>
      </w:r>
      <w:bookmarkEnd w:id="113"/>
      <w:bookmarkEnd w:id="116"/>
      <w:bookmarkEnd w:id="117"/>
    </w:p>
    <w:tbl>
      <w:tblPr>
        <w:tblStyle w:val="3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9"/>
        <w:gridCol w:w="998"/>
        <w:gridCol w:w="1121"/>
        <w:gridCol w:w="1544"/>
        <w:gridCol w:w="2417"/>
        <w:gridCol w:w="2422"/>
      </w:tblGrid>
      <w:tr w14:paraId="3F7F5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tcBorders>
              <w:tl2br w:val="single" w:color="auto" w:sz="4" w:space="0"/>
            </w:tcBorders>
            <w:vAlign w:val="center"/>
          </w:tcPr>
          <w:p w14:paraId="7E0BF26D">
            <w:pPr>
              <w:pStyle w:val="60"/>
              <w:pageBreakBefore w:val="0"/>
              <w:wordWrap w:val="0"/>
              <w:topLinePunct w:val="0"/>
              <w:bidi w:val="0"/>
              <w:jc w:val="center"/>
              <w:rPr>
                <w:rFonts w:hint="default" w:ascii="Times New Roman" w:hAnsi="Times New Roman" w:cs="Times New Roman"/>
                <w:b/>
                <w:bCs/>
                <w:color w:val="auto"/>
                <w:highlight w:val="none"/>
              </w:rPr>
            </w:pPr>
            <w:bookmarkStart w:id="118" w:name="_Toc5989"/>
            <w:bookmarkStart w:id="119" w:name="_Toc15960"/>
            <w:r>
              <w:rPr>
                <w:rFonts w:hint="default" w:ascii="Times New Roman" w:hAnsi="Times New Roman" w:cs="Times New Roman"/>
                <w:b/>
                <w:bCs/>
                <w:color w:val="auto"/>
                <w:highlight w:val="none"/>
              </w:rPr>
              <w:t>内容</w:t>
            </w:r>
          </w:p>
          <w:p w14:paraId="3480BFC1">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要素</w:t>
            </w:r>
          </w:p>
        </w:tc>
        <w:tc>
          <w:tcPr>
            <w:tcW w:w="1141" w:type="pct"/>
            <w:gridSpan w:val="2"/>
            <w:vAlign w:val="center"/>
          </w:tcPr>
          <w:p w14:paraId="4D2C31A6">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排放口（编号、名称）/污染源</w:t>
            </w:r>
          </w:p>
        </w:tc>
        <w:tc>
          <w:tcPr>
            <w:tcW w:w="831" w:type="pct"/>
            <w:vAlign w:val="center"/>
          </w:tcPr>
          <w:p w14:paraId="70C2D384">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污染物项目</w:t>
            </w:r>
          </w:p>
        </w:tc>
        <w:tc>
          <w:tcPr>
            <w:tcW w:w="1302" w:type="pct"/>
            <w:vAlign w:val="center"/>
          </w:tcPr>
          <w:p w14:paraId="6D2C7500">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环境保护措施</w:t>
            </w:r>
          </w:p>
        </w:tc>
        <w:tc>
          <w:tcPr>
            <w:tcW w:w="1304" w:type="pct"/>
            <w:vAlign w:val="center"/>
          </w:tcPr>
          <w:p w14:paraId="191F6D3B">
            <w:pPr>
              <w:pStyle w:val="60"/>
              <w:pageBreakBefore w:val="0"/>
              <w:wordWrap w:val="0"/>
              <w:topLinePunct w:val="0"/>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执行标准</w:t>
            </w:r>
          </w:p>
        </w:tc>
      </w:tr>
      <w:tr w14:paraId="5EDE9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2" w:hRule="atLeast"/>
          <w:jc w:val="center"/>
        </w:trPr>
        <w:tc>
          <w:tcPr>
            <w:tcW w:w="419" w:type="pct"/>
            <w:vMerge w:val="restart"/>
            <w:textDirection w:val="tbLrV"/>
            <w:vAlign w:val="center"/>
          </w:tcPr>
          <w:p w14:paraId="0F03F0E9">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大气环境</w:t>
            </w:r>
          </w:p>
        </w:tc>
        <w:tc>
          <w:tcPr>
            <w:tcW w:w="537" w:type="pct"/>
            <w:vMerge w:val="restart"/>
            <w:vAlign w:val="center"/>
          </w:tcPr>
          <w:p w14:paraId="64B5593F">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有组织排放（DA001）</w:t>
            </w:r>
          </w:p>
        </w:tc>
        <w:tc>
          <w:tcPr>
            <w:tcW w:w="603" w:type="pct"/>
            <w:vAlign w:val="center"/>
          </w:tcPr>
          <w:p w14:paraId="6B97E9D7">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有机</w:t>
            </w:r>
            <w:r>
              <w:rPr>
                <w:rFonts w:hint="default" w:ascii="Times New Roman" w:hAnsi="Times New Roman" w:cs="Times New Roman"/>
                <w:color w:val="auto"/>
                <w:highlight w:val="none"/>
              </w:rPr>
              <w:t>废气</w:t>
            </w:r>
          </w:p>
        </w:tc>
        <w:tc>
          <w:tcPr>
            <w:tcW w:w="831" w:type="pct"/>
            <w:vAlign w:val="center"/>
          </w:tcPr>
          <w:p w14:paraId="65A5AEAC">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1302" w:type="pct"/>
            <w:vMerge w:val="restart"/>
            <w:vAlign w:val="center"/>
          </w:tcPr>
          <w:p w14:paraId="6B46D29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由</w:t>
            </w:r>
            <w:r>
              <w:rPr>
                <w:rFonts w:hint="eastAsia" w:ascii="Times New Roman" w:hAnsi="Times New Roman" w:cs="Times New Roman"/>
                <w:color w:val="auto"/>
                <w:highlight w:val="none"/>
                <w:lang w:val="en-US" w:eastAsia="zh-CN"/>
              </w:rPr>
              <w:t>密闭车间整体换风</w:t>
            </w:r>
            <w:r>
              <w:rPr>
                <w:rFonts w:hint="default" w:ascii="Times New Roman" w:hAnsi="Times New Roman" w:cs="Times New Roman"/>
                <w:color w:val="auto"/>
                <w:highlight w:val="none"/>
              </w:rPr>
              <w:t>收集，汇入1套“二级活性炭吸附装置”处理后，经1条</w:t>
            </w:r>
            <w:r>
              <w:rPr>
                <w:rFonts w:hint="default" w:ascii="Times New Roman" w:hAnsi="Times New Roman" w:cs="Times New Roman"/>
                <w:color w:val="auto"/>
                <w:highlight w:val="none"/>
                <w:lang w:val="en-US" w:eastAsia="zh-CN"/>
              </w:rPr>
              <w:t>30</w:t>
            </w:r>
            <w:r>
              <w:rPr>
                <w:rFonts w:hint="default" w:ascii="Times New Roman" w:hAnsi="Times New Roman" w:cs="Times New Roman"/>
                <w:color w:val="auto"/>
                <w:highlight w:val="none"/>
              </w:rPr>
              <w:t>m高排气筒排放</w:t>
            </w:r>
          </w:p>
          <w:p w14:paraId="4F4619F0">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（DA001）</w:t>
            </w:r>
          </w:p>
        </w:tc>
        <w:tc>
          <w:tcPr>
            <w:tcW w:w="1304" w:type="pct"/>
            <w:vAlign w:val="center"/>
          </w:tcPr>
          <w:p w14:paraId="6F59762E">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《合成树脂工业污染物排放标准》（GB31572-2015，含2024年修改单）</w:t>
            </w:r>
            <w:r>
              <w:rPr>
                <w:rFonts w:hint="default" w:ascii="Times New Roman" w:hAnsi="Times New Roman" w:cs="Times New Roman"/>
                <w:color w:val="auto"/>
                <w:highlight w:val="none"/>
              </w:rPr>
              <w:t>表5大气污染物特别排放限</w:t>
            </w:r>
            <w:r>
              <w:rPr>
                <w:rFonts w:hint="default" w:ascii="Times New Roman" w:hAnsi="Times New Roman" w:cs="Times New Roman"/>
                <w:color w:val="auto"/>
                <w:highlight w:val="none"/>
                <w:lang w:val="en-US" w:eastAsia="zh-CN"/>
              </w:rPr>
              <w:t>值</w:t>
            </w:r>
          </w:p>
        </w:tc>
      </w:tr>
      <w:tr w14:paraId="3F41F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textDirection w:val="tbLrV"/>
            <w:vAlign w:val="center"/>
          </w:tcPr>
          <w:p w14:paraId="26ED040D">
            <w:pPr>
              <w:pStyle w:val="60"/>
              <w:pageBreakBefore w:val="0"/>
              <w:wordWrap w:val="0"/>
              <w:topLinePunct w:val="0"/>
              <w:bidi w:val="0"/>
              <w:jc w:val="center"/>
              <w:rPr>
                <w:rFonts w:hint="default" w:ascii="Times New Roman" w:hAnsi="Times New Roman" w:cs="Times New Roman"/>
                <w:color w:val="auto"/>
                <w:highlight w:val="none"/>
              </w:rPr>
            </w:pPr>
          </w:p>
        </w:tc>
        <w:tc>
          <w:tcPr>
            <w:tcW w:w="537" w:type="pct"/>
            <w:vMerge w:val="continue"/>
            <w:vAlign w:val="center"/>
          </w:tcPr>
          <w:p w14:paraId="6F49A19C">
            <w:pPr>
              <w:pStyle w:val="60"/>
              <w:pageBreakBefore w:val="0"/>
              <w:wordWrap w:val="0"/>
              <w:topLinePunct w:val="0"/>
              <w:bidi w:val="0"/>
              <w:jc w:val="center"/>
              <w:rPr>
                <w:rFonts w:hint="default" w:ascii="Times New Roman" w:hAnsi="Times New Roman" w:cs="Times New Roman"/>
                <w:color w:val="auto"/>
                <w:highlight w:val="none"/>
              </w:rPr>
            </w:pPr>
          </w:p>
        </w:tc>
        <w:tc>
          <w:tcPr>
            <w:tcW w:w="603" w:type="pct"/>
            <w:vAlign w:val="center"/>
          </w:tcPr>
          <w:p w14:paraId="26C993CB">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生产异味</w:t>
            </w:r>
          </w:p>
        </w:tc>
        <w:tc>
          <w:tcPr>
            <w:tcW w:w="831" w:type="pct"/>
            <w:vAlign w:val="center"/>
          </w:tcPr>
          <w:p w14:paraId="7A5C08AB">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臭气浓度</w:t>
            </w:r>
          </w:p>
        </w:tc>
        <w:tc>
          <w:tcPr>
            <w:tcW w:w="1302" w:type="pct"/>
            <w:vMerge w:val="continue"/>
            <w:vAlign w:val="center"/>
          </w:tcPr>
          <w:p w14:paraId="5AF6B8E4">
            <w:pPr>
              <w:pStyle w:val="60"/>
              <w:pageBreakBefore w:val="0"/>
              <w:wordWrap w:val="0"/>
              <w:topLinePunct w:val="0"/>
              <w:bidi w:val="0"/>
              <w:jc w:val="center"/>
              <w:rPr>
                <w:rFonts w:hint="default" w:ascii="Times New Roman" w:hAnsi="Times New Roman" w:cs="Times New Roman"/>
                <w:color w:val="auto"/>
                <w:highlight w:val="none"/>
              </w:rPr>
            </w:pPr>
          </w:p>
        </w:tc>
        <w:tc>
          <w:tcPr>
            <w:tcW w:w="1304" w:type="pct"/>
            <w:vAlign w:val="center"/>
          </w:tcPr>
          <w:p w14:paraId="0562A55B">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《恶臭污染物排放标准》（GB14554-93）</w:t>
            </w:r>
            <w:r>
              <w:rPr>
                <w:rFonts w:hint="default" w:ascii="Times New Roman" w:hAnsi="Times New Roman" w:cs="Times New Roman"/>
                <w:color w:val="auto"/>
                <w:highlight w:val="none"/>
              </w:rPr>
              <w:t>表2恶臭污染物排放标准</w:t>
            </w:r>
          </w:p>
        </w:tc>
      </w:tr>
      <w:tr w14:paraId="2C83C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419" w:type="pct"/>
            <w:vMerge w:val="continue"/>
            <w:vAlign w:val="center"/>
          </w:tcPr>
          <w:p w14:paraId="6D1DE79D">
            <w:pPr>
              <w:pStyle w:val="60"/>
              <w:pageBreakBefore w:val="0"/>
              <w:wordWrap w:val="0"/>
              <w:topLinePunct w:val="0"/>
              <w:bidi w:val="0"/>
              <w:jc w:val="center"/>
              <w:rPr>
                <w:rFonts w:hint="default" w:ascii="Times New Roman" w:hAnsi="Times New Roman" w:cs="Times New Roman"/>
                <w:color w:val="auto"/>
                <w:highlight w:val="none"/>
              </w:rPr>
            </w:pPr>
          </w:p>
        </w:tc>
        <w:tc>
          <w:tcPr>
            <w:tcW w:w="537" w:type="pct"/>
            <w:vMerge w:val="restart"/>
            <w:vAlign w:val="center"/>
          </w:tcPr>
          <w:p w14:paraId="7BA3EE9E">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无组织排放</w:t>
            </w:r>
          </w:p>
        </w:tc>
        <w:tc>
          <w:tcPr>
            <w:tcW w:w="603" w:type="pct"/>
            <w:vAlign w:val="center"/>
          </w:tcPr>
          <w:p w14:paraId="2F292821">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有机废气</w:t>
            </w:r>
          </w:p>
        </w:tc>
        <w:tc>
          <w:tcPr>
            <w:tcW w:w="831" w:type="pct"/>
            <w:vAlign w:val="center"/>
          </w:tcPr>
          <w:p w14:paraId="23B2C3E3">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非甲烷总烃</w:t>
            </w:r>
          </w:p>
        </w:tc>
        <w:tc>
          <w:tcPr>
            <w:tcW w:w="1302" w:type="pct"/>
            <w:vMerge w:val="restart"/>
            <w:vAlign w:val="center"/>
          </w:tcPr>
          <w:p w14:paraId="76AB3C30">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采取加强厂内通风、设备加盖密闭的措施后，于车间内无组织排放</w:t>
            </w:r>
          </w:p>
        </w:tc>
        <w:tc>
          <w:tcPr>
            <w:tcW w:w="1304" w:type="pct"/>
            <w:vAlign w:val="center"/>
          </w:tcPr>
          <w:p w14:paraId="5284174F">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《合成树脂工业污染物排放标准》（GB31572-2015，含2024年修改单）</w:t>
            </w:r>
            <w:r>
              <w:rPr>
                <w:rFonts w:hint="default" w:ascii="Times New Roman" w:hAnsi="Times New Roman" w:cs="Times New Roman"/>
                <w:color w:val="auto"/>
                <w:highlight w:val="none"/>
              </w:rPr>
              <w:t>表 9 企业边界浓度限值</w:t>
            </w:r>
          </w:p>
        </w:tc>
      </w:tr>
      <w:tr w14:paraId="22291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419" w:type="pct"/>
            <w:vMerge w:val="continue"/>
            <w:vAlign w:val="center"/>
          </w:tcPr>
          <w:p w14:paraId="1305F59D">
            <w:pPr>
              <w:pStyle w:val="60"/>
              <w:pageBreakBefore w:val="0"/>
              <w:wordWrap w:val="0"/>
              <w:topLinePunct w:val="0"/>
              <w:bidi w:val="0"/>
              <w:jc w:val="center"/>
              <w:rPr>
                <w:rFonts w:hint="default" w:ascii="Times New Roman" w:hAnsi="Times New Roman" w:cs="Times New Roman"/>
                <w:color w:val="auto"/>
                <w:highlight w:val="none"/>
              </w:rPr>
            </w:pPr>
          </w:p>
        </w:tc>
        <w:tc>
          <w:tcPr>
            <w:tcW w:w="537" w:type="pct"/>
            <w:vMerge w:val="continue"/>
            <w:vAlign w:val="center"/>
          </w:tcPr>
          <w:p w14:paraId="5931314E">
            <w:pPr>
              <w:pStyle w:val="60"/>
              <w:pageBreakBefore w:val="0"/>
              <w:wordWrap w:val="0"/>
              <w:topLinePunct w:val="0"/>
              <w:bidi w:val="0"/>
              <w:jc w:val="center"/>
              <w:rPr>
                <w:rFonts w:hint="default" w:ascii="Times New Roman" w:hAnsi="Times New Roman" w:cs="Times New Roman"/>
                <w:color w:val="auto"/>
                <w:highlight w:val="none"/>
              </w:rPr>
            </w:pPr>
          </w:p>
        </w:tc>
        <w:tc>
          <w:tcPr>
            <w:tcW w:w="603" w:type="pct"/>
            <w:vAlign w:val="center"/>
          </w:tcPr>
          <w:p w14:paraId="70B3DDF8">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生产异味</w:t>
            </w:r>
          </w:p>
        </w:tc>
        <w:tc>
          <w:tcPr>
            <w:tcW w:w="831" w:type="pct"/>
            <w:vAlign w:val="center"/>
          </w:tcPr>
          <w:p w14:paraId="4DF411E7">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臭气浓度</w:t>
            </w:r>
          </w:p>
        </w:tc>
        <w:tc>
          <w:tcPr>
            <w:tcW w:w="1302" w:type="pct"/>
            <w:vMerge w:val="continue"/>
            <w:vAlign w:val="center"/>
          </w:tcPr>
          <w:p w14:paraId="7F076926">
            <w:pPr>
              <w:pStyle w:val="60"/>
              <w:pageBreakBefore w:val="0"/>
              <w:wordWrap w:val="0"/>
              <w:topLinePunct w:val="0"/>
              <w:bidi w:val="0"/>
              <w:jc w:val="center"/>
              <w:rPr>
                <w:rFonts w:hint="default" w:ascii="Times New Roman" w:hAnsi="Times New Roman" w:cs="Times New Roman"/>
                <w:color w:val="auto"/>
                <w:highlight w:val="none"/>
              </w:rPr>
            </w:pPr>
          </w:p>
        </w:tc>
        <w:tc>
          <w:tcPr>
            <w:tcW w:w="1304" w:type="pct"/>
            <w:vAlign w:val="center"/>
          </w:tcPr>
          <w:p w14:paraId="6B11453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《恶臭污染物排放标准》（GB14554-93）</w:t>
            </w:r>
            <w:r>
              <w:rPr>
                <w:rFonts w:hint="default" w:ascii="Times New Roman" w:hAnsi="Times New Roman" w:cs="Times New Roman"/>
                <w:color w:val="auto"/>
                <w:highlight w:val="none"/>
              </w:rPr>
              <w:t>表1新扩改建二级厂界标准值</w:t>
            </w:r>
          </w:p>
        </w:tc>
      </w:tr>
      <w:tr w14:paraId="0AF6F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8" w:hRule="atLeast"/>
          <w:jc w:val="center"/>
        </w:trPr>
        <w:tc>
          <w:tcPr>
            <w:tcW w:w="419" w:type="pct"/>
            <w:vMerge w:val="continue"/>
            <w:vAlign w:val="center"/>
          </w:tcPr>
          <w:p w14:paraId="74DCF104">
            <w:pPr>
              <w:pStyle w:val="60"/>
              <w:pageBreakBefore w:val="0"/>
              <w:wordWrap w:val="0"/>
              <w:topLinePunct w:val="0"/>
              <w:bidi w:val="0"/>
              <w:jc w:val="center"/>
              <w:rPr>
                <w:rFonts w:hint="default" w:ascii="Times New Roman" w:hAnsi="Times New Roman" w:cs="Times New Roman"/>
                <w:color w:val="auto"/>
                <w:highlight w:val="none"/>
              </w:rPr>
            </w:pPr>
          </w:p>
        </w:tc>
        <w:tc>
          <w:tcPr>
            <w:tcW w:w="537" w:type="pct"/>
            <w:vMerge w:val="continue"/>
            <w:vAlign w:val="center"/>
          </w:tcPr>
          <w:p w14:paraId="119FD372">
            <w:pPr>
              <w:pStyle w:val="60"/>
              <w:pageBreakBefore w:val="0"/>
              <w:wordWrap w:val="0"/>
              <w:topLinePunct w:val="0"/>
              <w:bidi w:val="0"/>
              <w:jc w:val="center"/>
              <w:rPr>
                <w:rFonts w:hint="default" w:ascii="Times New Roman" w:hAnsi="Times New Roman" w:cs="Times New Roman"/>
                <w:color w:val="auto"/>
                <w:highlight w:val="none"/>
              </w:rPr>
            </w:pPr>
          </w:p>
        </w:tc>
        <w:tc>
          <w:tcPr>
            <w:tcW w:w="603" w:type="pct"/>
            <w:vAlign w:val="center"/>
          </w:tcPr>
          <w:p w14:paraId="5D2F30E5">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碎料粉尘</w:t>
            </w:r>
          </w:p>
        </w:tc>
        <w:tc>
          <w:tcPr>
            <w:tcW w:w="831" w:type="pct"/>
            <w:vAlign w:val="center"/>
          </w:tcPr>
          <w:p w14:paraId="1253979A">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颗粒物</w:t>
            </w:r>
          </w:p>
        </w:tc>
        <w:tc>
          <w:tcPr>
            <w:tcW w:w="1302" w:type="pct"/>
            <w:vMerge w:val="continue"/>
            <w:vAlign w:val="center"/>
          </w:tcPr>
          <w:p w14:paraId="50755F90">
            <w:pPr>
              <w:pStyle w:val="60"/>
              <w:pageBreakBefore w:val="0"/>
              <w:wordWrap w:val="0"/>
              <w:topLinePunct w:val="0"/>
              <w:bidi w:val="0"/>
              <w:jc w:val="center"/>
              <w:rPr>
                <w:rFonts w:hint="default" w:ascii="Times New Roman" w:hAnsi="Times New Roman" w:cs="Times New Roman"/>
                <w:color w:val="auto"/>
                <w:highlight w:val="none"/>
              </w:rPr>
            </w:pPr>
          </w:p>
        </w:tc>
        <w:tc>
          <w:tcPr>
            <w:tcW w:w="1304" w:type="pct"/>
            <w:vAlign w:val="center"/>
          </w:tcPr>
          <w:p w14:paraId="2C903DF0">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《合成树脂工业污染物排放标准》（GB31572-2015）表9企业边界大气污染物浓度限值</w:t>
            </w:r>
          </w:p>
        </w:tc>
      </w:tr>
      <w:tr w14:paraId="3736F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Align w:val="center"/>
          </w:tcPr>
          <w:p w14:paraId="24F2FF39">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地表水环境</w:t>
            </w:r>
          </w:p>
        </w:tc>
        <w:tc>
          <w:tcPr>
            <w:tcW w:w="1141" w:type="pct"/>
            <w:gridSpan w:val="2"/>
            <w:vAlign w:val="center"/>
          </w:tcPr>
          <w:p w14:paraId="1D1DED6A">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lang w:val="en-US" w:eastAsia="zh-CN"/>
              </w:rPr>
              <w:t>DW001</w:t>
            </w:r>
          </w:p>
        </w:tc>
        <w:tc>
          <w:tcPr>
            <w:tcW w:w="831" w:type="pct"/>
            <w:vAlign w:val="center"/>
          </w:tcPr>
          <w:p w14:paraId="38D126BB">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highlight w:val="none"/>
                <w:lang w:val="en-US"/>
              </w:rPr>
            </w:pPr>
            <w:r>
              <w:rPr>
                <w:rFonts w:hint="default" w:ascii="Times New Roman" w:hAnsi="Times New Roman" w:cs="Times New Roman"/>
                <w:color w:val="auto"/>
                <w:sz w:val="21"/>
                <w:szCs w:val="21"/>
                <w:highlight w:val="none"/>
                <w:lang w:val="en-US" w:eastAsia="zh-CN"/>
              </w:rPr>
              <w:t>CODcr、BOD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、氨氮、SS</w:t>
            </w:r>
          </w:p>
        </w:tc>
        <w:tc>
          <w:tcPr>
            <w:tcW w:w="1302" w:type="pct"/>
            <w:vAlign w:val="center"/>
          </w:tcPr>
          <w:p w14:paraId="158706F2">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highlight w:val="none"/>
                <w:lang w:val="en-US"/>
              </w:rPr>
            </w:pPr>
            <w:r>
              <w:rPr>
                <w:rFonts w:hint="default" w:ascii="Times New Roman" w:hAnsi="Times New Roman" w:eastAsia="宋体" w:cs="Times New Roman"/>
                <w:color w:val="auto"/>
                <w:sz w:val="21"/>
                <w:szCs w:val="21"/>
                <w:highlight w:val="none"/>
                <w:lang w:val="en-US" w:eastAsia="zh-CN"/>
              </w:rPr>
              <w:t>厂区</w:t>
            </w:r>
            <w:r>
              <w:rPr>
                <w:rFonts w:hint="default" w:ascii="Times New Roman" w:hAnsi="Times New Roman" w:cs="Times New Roman"/>
                <w:color w:val="auto"/>
                <w:sz w:val="21"/>
                <w:szCs w:val="21"/>
                <w:highlight w:val="none"/>
                <w:lang w:val="en-US" w:eastAsia="zh-CN"/>
              </w:rPr>
              <w:t>三级</w:t>
            </w:r>
            <w:r>
              <w:rPr>
                <w:rFonts w:hint="default" w:ascii="Times New Roman" w:hAnsi="Times New Roman" w:eastAsia="宋体" w:cs="Times New Roman"/>
                <w:color w:val="auto"/>
                <w:sz w:val="21"/>
                <w:szCs w:val="21"/>
                <w:highlight w:val="none"/>
                <w:lang w:val="en-US" w:eastAsia="zh-CN"/>
              </w:rPr>
              <w:t>化粪池预处理后，接管排入</w:t>
            </w:r>
            <w:r>
              <w:rPr>
                <w:rFonts w:hint="default" w:ascii="Times New Roman" w:hAnsi="Times New Roman" w:cs="Times New Roman"/>
                <w:color w:val="auto"/>
                <w:sz w:val="21"/>
                <w:szCs w:val="21"/>
                <w:highlight w:val="none"/>
                <w:lang w:val="en-US" w:eastAsia="zh-CN"/>
              </w:rPr>
              <w:t>园区污水处理厂；间接冷却废水进入园区污水厂处理</w:t>
            </w:r>
          </w:p>
        </w:tc>
        <w:tc>
          <w:tcPr>
            <w:tcW w:w="1304" w:type="pct"/>
            <w:vAlign w:val="center"/>
          </w:tcPr>
          <w:p w14:paraId="2A063D23">
            <w:pPr>
              <w:keepNext w:val="0"/>
              <w:keepLines w:val="0"/>
              <w:pageBreakBefore w:val="0"/>
              <w:widowControl w:val="0"/>
              <w:suppressLineNumbers w:val="0"/>
              <w:kinsoku/>
              <w:wordWrap w:val="0"/>
              <w:overflowPunct/>
              <w:topLinePunct w:val="0"/>
              <w:autoSpaceDE/>
              <w:autoSpaceDN/>
              <w:bidi w:val="0"/>
              <w:adjustRightInd w:val="0"/>
              <w:snapToGrid w:val="0"/>
              <w:spacing w:beforeAutospacing="0" w:afterAutospacing="0" w:line="240" w:lineRule="auto"/>
              <w:ind w:left="0" w:leftChars="0" w:right="0" w:rightChars="0"/>
              <w:jc w:val="center"/>
              <w:textAlignment w:val="auto"/>
              <w:rPr>
                <w:rFonts w:hint="default" w:ascii="Times New Roman" w:hAnsi="Times New Roman" w:cs="Times New Roman"/>
                <w:color w:val="auto"/>
                <w:highlight w:val="none"/>
              </w:rPr>
            </w:pPr>
            <w:r>
              <w:rPr>
                <w:rFonts w:hint="default" w:ascii="Times New Roman" w:hAnsi="Times New Roman" w:eastAsia="宋体" w:cs="Times New Roman"/>
                <w:color w:val="auto"/>
                <w:sz w:val="21"/>
                <w:szCs w:val="21"/>
                <w:highlight w:val="none"/>
                <w:lang w:val="en-US" w:eastAsia="zh-CN"/>
              </w:rPr>
              <w:t>园区污水处理厂接管水质要求及广东省《水污染</w:t>
            </w:r>
            <w:r>
              <w:rPr>
                <w:rFonts w:hint="default" w:ascii="Times New Roman" w:hAnsi="Times New Roman" w:cs="Times New Roman"/>
                <w:color w:val="auto"/>
                <w:sz w:val="21"/>
                <w:szCs w:val="21"/>
                <w:highlight w:val="none"/>
                <w:lang w:val="en-US" w:eastAsia="zh-CN"/>
              </w:rPr>
              <w:t>物</w:t>
            </w:r>
            <w:r>
              <w:rPr>
                <w:rFonts w:hint="default" w:ascii="Times New Roman" w:hAnsi="Times New Roman" w:eastAsia="宋体" w:cs="Times New Roman"/>
                <w:color w:val="auto"/>
                <w:sz w:val="21"/>
                <w:szCs w:val="21"/>
                <w:highlight w:val="none"/>
                <w:lang w:val="en-US" w:eastAsia="zh-CN"/>
              </w:rPr>
              <w:t>排放限值》（DB44/26-2001）第二时段三级标准两者较严值</w:t>
            </w:r>
          </w:p>
        </w:tc>
      </w:tr>
      <w:tr w14:paraId="7F01E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Align w:val="center"/>
          </w:tcPr>
          <w:p w14:paraId="0228EF9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声环境</w:t>
            </w:r>
          </w:p>
        </w:tc>
        <w:tc>
          <w:tcPr>
            <w:tcW w:w="1141" w:type="pct"/>
            <w:gridSpan w:val="2"/>
            <w:vAlign w:val="center"/>
          </w:tcPr>
          <w:p w14:paraId="78967D6D">
            <w:pPr>
              <w:pageBreakBefore w:val="0"/>
              <w:wordWrap w:val="0"/>
              <w:topLinePunct w:val="0"/>
              <w:bidi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机械设备</w:t>
            </w:r>
          </w:p>
        </w:tc>
        <w:tc>
          <w:tcPr>
            <w:tcW w:w="831" w:type="pct"/>
            <w:vAlign w:val="center"/>
          </w:tcPr>
          <w:p w14:paraId="64D18224">
            <w:pPr>
              <w:pageBreakBefore w:val="0"/>
              <w:wordWrap w:val="0"/>
              <w:topLinePunct w:val="0"/>
              <w:bidi w:val="0"/>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噪声</w:t>
            </w:r>
          </w:p>
        </w:tc>
        <w:tc>
          <w:tcPr>
            <w:tcW w:w="1302" w:type="pct"/>
            <w:vAlign w:val="center"/>
          </w:tcPr>
          <w:p w14:paraId="58ADA770">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采取防振、隔声、降噪等措施</w:t>
            </w:r>
          </w:p>
        </w:tc>
        <w:tc>
          <w:tcPr>
            <w:tcW w:w="1304" w:type="pct"/>
            <w:vAlign w:val="center"/>
          </w:tcPr>
          <w:p w14:paraId="38A8C04A">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《工业企业厂界环境噪声排放标准》（GB12348-2008）中的</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类标准</w:t>
            </w:r>
          </w:p>
        </w:tc>
      </w:tr>
      <w:tr w14:paraId="53E35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419" w:type="pct"/>
            <w:vAlign w:val="center"/>
          </w:tcPr>
          <w:p w14:paraId="1E17FF55">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电磁辐射</w:t>
            </w:r>
          </w:p>
        </w:tc>
        <w:tc>
          <w:tcPr>
            <w:tcW w:w="1141" w:type="pct"/>
            <w:gridSpan w:val="2"/>
            <w:vAlign w:val="center"/>
          </w:tcPr>
          <w:p w14:paraId="431C7747">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831" w:type="pct"/>
            <w:vAlign w:val="center"/>
          </w:tcPr>
          <w:p w14:paraId="07D1296B">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02" w:type="pct"/>
            <w:vAlign w:val="center"/>
          </w:tcPr>
          <w:p w14:paraId="6A4BA2A7">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1304" w:type="pct"/>
            <w:vAlign w:val="center"/>
          </w:tcPr>
          <w:p w14:paraId="1A4E081A">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14:paraId="6D56A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3" w:hRule="atLeast"/>
          <w:jc w:val="center"/>
        </w:trPr>
        <w:tc>
          <w:tcPr>
            <w:tcW w:w="419" w:type="pct"/>
            <w:vMerge w:val="restart"/>
            <w:vAlign w:val="center"/>
          </w:tcPr>
          <w:p w14:paraId="29BAB3C5">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固体废物</w:t>
            </w:r>
          </w:p>
        </w:tc>
        <w:tc>
          <w:tcPr>
            <w:tcW w:w="1141" w:type="pct"/>
            <w:gridSpan w:val="2"/>
            <w:vAlign w:val="center"/>
          </w:tcPr>
          <w:p w14:paraId="05549E5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办公生活</w:t>
            </w:r>
          </w:p>
        </w:tc>
        <w:tc>
          <w:tcPr>
            <w:tcW w:w="831" w:type="pct"/>
            <w:vAlign w:val="center"/>
          </w:tcPr>
          <w:p w14:paraId="527BDD40">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生活垃圾</w:t>
            </w:r>
          </w:p>
        </w:tc>
        <w:tc>
          <w:tcPr>
            <w:tcW w:w="1302" w:type="pct"/>
            <w:vAlign w:val="center"/>
          </w:tcPr>
          <w:p w14:paraId="45A33A17">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交由环卫部门清运</w:t>
            </w:r>
          </w:p>
        </w:tc>
        <w:tc>
          <w:tcPr>
            <w:tcW w:w="1304" w:type="pct"/>
            <w:vAlign w:val="center"/>
          </w:tcPr>
          <w:p w14:paraId="198F0C16">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《中华人民共和国固体废物污染环境防治法》、《广东省固体废物污染环境防治条例》</w:t>
            </w:r>
          </w:p>
        </w:tc>
      </w:tr>
      <w:tr w14:paraId="5BC497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vMerge w:val="continue"/>
            <w:vAlign w:val="center"/>
          </w:tcPr>
          <w:p w14:paraId="1DC917BE">
            <w:pPr>
              <w:pStyle w:val="60"/>
              <w:pageBreakBefore w:val="0"/>
              <w:wordWrap w:val="0"/>
              <w:topLinePunct w:val="0"/>
              <w:bidi w:val="0"/>
              <w:jc w:val="center"/>
              <w:rPr>
                <w:rFonts w:hint="default" w:ascii="Times New Roman" w:hAnsi="Times New Roman" w:cs="Times New Roman"/>
                <w:color w:val="auto"/>
                <w:highlight w:val="none"/>
              </w:rPr>
            </w:pPr>
          </w:p>
        </w:tc>
        <w:tc>
          <w:tcPr>
            <w:tcW w:w="1141" w:type="pct"/>
            <w:gridSpan w:val="2"/>
            <w:vMerge w:val="restart"/>
            <w:vAlign w:val="center"/>
          </w:tcPr>
          <w:p w14:paraId="36D529BB">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生产过程</w:t>
            </w:r>
          </w:p>
        </w:tc>
        <w:tc>
          <w:tcPr>
            <w:tcW w:w="831" w:type="pct"/>
            <w:vAlign w:val="center"/>
          </w:tcPr>
          <w:p w14:paraId="6CC68A48">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废模具、废金属零部件</w:t>
            </w:r>
          </w:p>
        </w:tc>
        <w:tc>
          <w:tcPr>
            <w:tcW w:w="1302" w:type="pct"/>
            <w:vMerge w:val="restart"/>
            <w:vAlign w:val="center"/>
          </w:tcPr>
          <w:p w14:paraId="7404248C">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统一收集后外售给回收单位处理</w:t>
            </w:r>
          </w:p>
        </w:tc>
        <w:tc>
          <w:tcPr>
            <w:tcW w:w="1304" w:type="pct"/>
            <w:vMerge w:val="restart"/>
            <w:vAlign w:val="center"/>
          </w:tcPr>
          <w:p w14:paraId="26FD7E8C">
            <w:pPr>
              <w:pageBreakBefore w:val="0"/>
              <w:wordWrap w:val="0"/>
              <w:topLinePunct w:val="0"/>
              <w:bidi w:val="0"/>
              <w:spacing w:line="276"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在厂内采用库房或包装工具贮存，贮存过程应满足相应防渗漏、防雨淋、防扬尘等环境保护要求</w:t>
            </w:r>
          </w:p>
        </w:tc>
      </w:tr>
      <w:tr w14:paraId="60E9F8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vMerge w:val="continue"/>
            <w:vAlign w:val="center"/>
          </w:tcPr>
          <w:p w14:paraId="2B1317D4">
            <w:pPr>
              <w:pStyle w:val="60"/>
              <w:pageBreakBefore w:val="0"/>
              <w:wordWrap w:val="0"/>
              <w:topLinePunct w:val="0"/>
              <w:bidi w:val="0"/>
              <w:jc w:val="center"/>
              <w:rPr>
                <w:rFonts w:hint="default" w:ascii="Times New Roman" w:hAnsi="Times New Roman" w:cs="Times New Roman"/>
                <w:color w:val="auto"/>
                <w:highlight w:val="none"/>
              </w:rPr>
            </w:pPr>
          </w:p>
        </w:tc>
        <w:tc>
          <w:tcPr>
            <w:tcW w:w="1141" w:type="pct"/>
            <w:gridSpan w:val="2"/>
            <w:vMerge w:val="continue"/>
            <w:vAlign w:val="center"/>
          </w:tcPr>
          <w:p w14:paraId="584CB8A7">
            <w:pPr>
              <w:pStyle w:val="60"/>
              <w:pageBreakBefore w:val="0"/>
              <w:wordWrap w:val="0"/>
              <w:topLinePunct w:val="0"/>
              <w:bidi w:val="0"/>
              <w:jc w:val="center"/>
              <w:rPr>
                <w:rFonts w:hint="default" w:ascii="Times New Roman" w:hAnsi="Times New Roman" w:cs="Times New Roman"/>
                <w:color w:val="auto"/>
                <w:highlight w:val="none"/>
              </w:rPr>
            </w:pPr>
          </w:p>
        </w:tc>
        <w:tc>
          <w:tcPr>
            <w:tcW w:w="831" w:type="pct"/>
            <w:vAlign w:val="center"/>
          </w:tcPr>
          <w:p w14:paraId="69B9B7EB">
            <w:pPr>
              <w:pStyle w:val="44"/>
              <w:pageBreakBefore w:val="0"/>
              <w:wordWrap w:val="0"/>
              <w:topLinePunct w:val="0"/>
              <w:bidi w:val="0"/>
              <w:jc w:val="center"/>
              <w:rPr>
                <w:rFonts w:hint="default" w:ascii="Times New Roman" w:hAnsi="Times New Roman" w:eastAsia="宋体" w:cs="Times New Roman"/>
                <w:color w:val="auto"/>
                <w:spacing w:val="-2"/>
                <w:sz w:val="21"/>
                <w:szCs w:val="21"/>
                <w:highlight w:val="none"/>
                <w:lang w:eastAsia="zh-CN"/>
              </w:rPr>
            </w:pPr>
            <w:r>
              <w:rPr>
                <w:rFonts w:hint="default" w:ascii="Times New Roman" w:hAnsi="Times New Roman" w:cs="Times New Roman"/>
                <w:color w:val="auto"/>
                <w:spacing w:val="-2"/>
                <w:sz w:val="21"/>
                <w:szCs w:val="21"/>
                <w:highlight w:val="none"/>
                <w:lang w:eastAsia="zh-CN"/>
              </w:rPr>
              <w:t>废包装材料</w:t>
            </w:r>
          </w:p>
        </w:tc>
        <w:tc>
          <w:tcPr>
            <w:tcW w:w="1302" w:type="pct"/>
            <w:vMerge w:val="continue"/>
            <w:vAlign w:val="center"/>
          </w:tcPr>
          <w:p w14:paraId="00AEC302">
            <w:pPr>
              <w:pStyle w:val="60"/>
              <w:pageBreakBefore w:val="0"/>
              <w:wordWrap w:val="0"/>
              <w:topLinePunct w:val="0"/>
              <w:bidi w:val="0"/>
              <w:jc w:val="center"/>
              <w:rPr>
                <w:rFonts w:hint="default" w:ascii="Times New Roman" w:hAnsi="Times New Roman" w:cs="Times New Roman"/>
                <w:color w:val="auto"/>
                <w:highlight w:val="none"/>
              </w:rPr>
            </w:pPr>
          </w:p>
        </w:tc>
        <w:tc>
          <w:tcPr>
            <w:tcW w:w="1304" w:type="pct"/>
            <w:vMerge w:val="continue"/>
            <w:vAlign w:val="center"/>
          </w:tcPr>
          <w:p w14:paraId="313E6CD3">
            <w:pPr>
              <w:pageBreakBefore w:val="0"/>
              <w:wordWrap w:val="0"/>
              <w:topLinePunct w:val="0"/>
              <w:bidi w:val="0"/>
              <w:spacing w:line="276" w:lineRule="auto"/>
              <w:jc w:val="center"/>
              <w:rPr>
                <w:rFonts w:hint="default" w:ascii="Times New Roman" w:hAnsi="Times New Roman" w:cs="Times New Roman"/>
                <w:color w:val="auto"/>
                <w:sz w:val="21"/>
                <w:szCs w:val="21"/>
                <w:highlight w:val="none"/>
              </w:rPr>
            </w:pPr>
          </w:p>
        </w:tc>
      </w:tr>
      <w:tr w14:paraId="0749A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0" w:hRule="atLeast"/>
          <w:jc w:val="center"/>
        </w:trPr>
        <w:tc>
          <w:tcPr>
            <w:tcW w:w="419" w:type="pct"/>
            <w:vMerge w:val="continue"/>
            <w:vAlign w:val="center"/>
          </w:tcPr>
          <w:p w14:paraId="1C4DD9DA">
            <w:pPr>
              <w:pStyle w:val="60"/>
              <w:pageBreakBefore w:val="0"/>
              <w:wordWrap w:val="0"/>
              <w:topLinePunct w:val="0"/>
              <w:bidi w:val="0"/>
              <w:jc w:val="center"/>
              <w:rPr>
                <w:rFonts w:hint="default" w:ascii="Times New Roman" w:hAnsi="Times New Roman" w:cs="Times New Roman"/>
                <w:color w:val="auto"/>
                <w:highlight w:val="none"/>
              </w:rPr>
            </w:pPr>
          </w:p>
        </w:tc>
        <w:tc>
          <w:tcPr>
            <w:tcW w:w="1141" w:type="pct"/>
            <w:gridSpan w:val="2"/>
            <w:vMerge w:val="continue"/>
            <w:vAlign w:val="center"/>
          </w:tcPr>
          <w:p w14:paraId="1430345B">
            <w:pPr>
              <w:pStyle w:val="60"/>
              <w:pageBreakBefore w:val="0"/>
              <w:wordWrap w:val="0"/>
              <w:topLinePunct w:val="0"/>
              <w:bidi w:val="0"/>
              <w:jc w:val="center"/>
              <w:rPr>
                <w:rFonts w:hint="default" w:ascii="Times New Roman" w:hAnsi="Times New Roman" w:cs="Times New Roman"/>
                <w:color w:val="auto"/>
                <w:highlight w:val="none"/>
              </w:rPr>
            </w:pPr>
          </w:p>
        </w:tc>
        <w:tc>
          <w:tcPr>
            <w:tcW w:w="831" w:type="pct"/>
            <w:vAlign w:val="center"/>
          </w:tcPr>
          <w:p w14:paraId="67F37492">
            <w:pPr>
              <w:pStyle w:val="44"/>
              <w:pageBreakBefore w:val="0"/>
              <w:wordWrap w:val="0"/>
              <w:topLinePunct w:val="0"/>
              <w:bidi w:val="0"/>
              <w:spacing w:line="240" w:lineRule="auto"/>
              <w:jc w:val="center"/>
              <w:rPr>
                <w:rFonts w:hint="default" w:ascii="Times New Roman" w:hAnsi="Times New Roman" w:cs="Times New Roman"/>
                <w:color w:val="auto"/>
                <w:spacing w:val="-2"/>
                <w:sz w:val="21"/>
                <w:szCs w:val="21"/>
                <w:highlight w:val="none"/>
              </w:rPr>
            </w:pPr>
            <w:r>
              <w:rPr>
                <w:rFonts w:hint="default" w:ascii="Times New Roman" w:hAnsi="Times New Roman" w:cs="Times New Roman"/>
                <w:color w:val="auto"/>
                <w:spacing w:val="-2"/>
                <w:sz w:val="21"/>
                <w:szCs w:val="21"/>
                <w:highlight w:val="none"/>
              </w:rPr>
              <w:t>塑料边角料及不合格品</w:t>
            </w:r>
          </w:p>
        </w:tc>
        <w:tc>
          <w:tcPr>
            <w:tcW w:w="1302" w:type="pct"/>
            <w:vAlign w:val="center"/>
          </w:tcPr>
          <w:p w14:paraId="4863E6B8">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统一收集后回用于生产中</w:t>
            </w:r>
          </w:p>
        </w:tc>
        <w:tc>
          <w:tcPr>
            <w:tcW w:w="1304" w:type="pct"/>
            <w:vMerge w:val="continue"/>
            <w:vAlign w:val="center"/>
          </w:tcPr>
          <w:p w14:paraId="004585F9">
            <w:pPr>
              <w:pStyle w:val="60"/>
              <w:pageBreakBefore w:val="0"/>
              <w:wordWrap w:val="0"/>
              <w:topLinePunct w:val="0"/>
              <w:bidi w:val="0"/>
              <w:jc w:val="center"/>
              <w:rPr>
                <w:rFonts w:hint="default" w:ascii="Times New Roman" w:hAnsi="Times New Roman" w:cs="Times New Roman"/>
                <w:color w:val="auto"/>
                <w:highlight w:val="none"/>
              </w:rPr>
            </w:pPr>
          </w:p>
        </w:tc>
      </w:tr>
      <w:tr w14:paraId="4F874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419" w:type="pct"/>
            <w:vMerge w:val="continue"/>
            <w:vAlign w:val="center"/>
          </w:tcPr>
          <w:p w14:paraId="68A6A655">
            <w:pPr>
              <w:pStyle w:val="60"/>
              <w:pageBreakBefore w:val="0"/>
              <w:wordWrap w:val="0"/>
              <w:topLinePunct w:val="0"/>
              <w:bidi w:val="0"/>
              <w:jc w:val="center"/>
              <w:rPr>
                <w:rFonts w:hint="default" w:ascii="Times New Roman" w:hAnsi="Times New Roman" w:cs="Times New Roman"/>
                <w:color w:val="auto"/>
                <w:highlight w:val="none"/>
              </w:rPr>
            </w:pPr>
          </w:p>
        </w:tc>
        <w:tc>
          <w:tcPr>
            <w:tcW w:w="1141" w:type="pct"/>
            <w:gridSpan w:val="2"/>
            <w:vAlign w:val="center"/>
          </w:tcPr>
          <w:p w14:paraId="5E1272A1">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废气处理</w:t>
            </w:r>
          </w:p>
        </w:tc>
        <w:tc>
          <w:tcPr>
            <w:tcW w:w="831" w:type="pct"/>
            <w:vAlign w:val="center"/>
          </w:tcPr>
          <w:p w14:paraId="1B96480A">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废活性炭</w:t>
            </w:r>
          </w:p>
        </w:tc>
        <w:tc>
          <w:tcPr>
            <w:tcW w:w="1302" w:type="pct"/>
            <w:vMerge w:val="restart"/>
            <w:vAlign w:val="center"/>
          </w:tcPr>
          <w:p w14:paraId="183B5405">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委托危险废物资质单位处理</w:t>
            </w:r>
          </w:p>
        </w:tc>
        <w:tc>
          <w:tcPr>
            <w:tcW w:w="1304" w:type="pct"/>
            <w:vMerge w:val="restart"/>
            <w:vAlign w:val="center"/>
          </w:tcPr>
          <w:p w14:paraId="201400EF">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《危险废物贮存污染控制标准》（GB 18597-2023）</w:t>
            </w:r>
          </w:p>
        </w:tc>
      </w:tr>
      <w:tr w14:paraId="2470C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Merge w:val="continue"/>
            <w:vAlign w:val="center"/>
          </w:tcPr>
          <w:p w14:paraId="086797F5">
            <w:pPr>
              <w:pStyle w:val="60"/>
              <w:pageBreakBefore w:val="0"/>
              <w:wordWrap w:val="0"/>
              <w:topLinePunct w:val="0"/>
              <w:bidi w:val="0"/>
              <w:jc w:val="center"/>
              <w:rPr>
                <w:rFonts w:hint="default" w:ascii="Times New Roman" w:hAnsi="Times New Roman" w:cs="Times New Roman"/>
                <w:color w:val="auto"/>
                <w:highlight w:val="none"/>
              </w:rPr>
            </w:pPr>
          </w:p>
        </w:tc>
        <w:tc>
          <w:tcPr>
            <w:tcW w:w="1141" w:type="pct"/>
            <w:gridSpan w:val="2"/>
            <w:vAlign w:val="center"/>
          </w:tcPr>
          <w:p w14:paraId="63A13576">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设备维保</w:t>
            </w:r>
          </w:p>
        </w:tc>
        <w:tc>
          <w:tcPr>
            <w:tcW w:w="831" w:type="pct"/>
            <w:vAlign w:val="center"/>
          </w:tcPr>
          <w:p w14:paraId="41558F29">
            <w:pPr>
              <w:pStyle w:val="60"/>
              <w:pageBreakBefore w:val="0"/>
              <w:wordWrap w:val="0"/>
              <w:topLinePunct w:val="0"/>
              <w:bidi w:val="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废矿物油及油桶</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含油废抹布及手套</w:t>
            </w:r>
          </w:p>
        </w:tc>
        <w:tc>
          <w:tcPr>
            <w:tcW w:w="1302" w:type="pct"/>
            <w:vMerge w:val="continue"/>
            <w:vAlign w:val="center"/>
          </w:tcPr>
          <w:p w14:paraId="595540B6">
            <w:pPr>
              <w:pStyle w:val="60"/>
              <w:pageBreakBefore w:val="0"/>
              <w:wordWrap w:val="0"/>
              <w:topLinePunct w:val="0"/>
              <w:bidi w:val="0"/>
              <w:jc w:val="center"/>
              <w:rPr>
                <w:rFonts w:hint="default" w:ascii="Times New Roman" w:hAnsi="Times New Roman" w:cs="Times New Roman"/>
                <w:color w:val="auto"/>
                <w:highlight w:val="none"/>
              </w:rPr>
            </w:pPr>
          </w:p>
        </w:tc>
        <w:tc>
          <w:tcPr>
            <w:tcW w:w="1304" w:type="pct"/>
            <w:vMerge w:val="continue"/>
            <w:vAlign w:val="center"/>
          </w:tcPr>
          <w:p w14:paraId="5C7ABADC">
            <w:pPr>
              <w:pStyle w:val="60"/>
              <w:pageBreakBefore w:val="0"/>
              <w:wordWrap w:val="0"/>
              <w:topLinePunct w:val="0"/>
              <w:bidi w:val="0"/>
              <w:jc w:val="center"/>
              <w:rPr>
                <w:rFonts w:hint="default" w:ascii="Times New Roman" w:hAnsi="Times New Roman" w:cs="Times New Roman"/>
                <w:color w:val="auto"/>
                <w:highlight w:val="none"/>
              </w:rPr>
            </w:pPr>
          </w:p>
        </w:tc>
      </w:tr>
      <w:tr w14:paraId="1DDAA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Align w:val="center"/>
          </w:tcPr>
          <w:p w14:paraId="713803D1">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土壤及地下水污染防治措施</w:t>
            </w:r>
          </w:p>
        </w:tc>
        <w:tc>
          <w:tcPr>
            <w:tcW w:w="4580" w:type="pct"/>
            <w:gridSpan w:val="5"/>
            <w:vAlign w:val="center"/>
          </w:tcPr>
          <w:p w14:paraId="4D8E6D7D">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厂区地面已全部硬化，危废间在建筑物外部，已达到防风防雨防晒要求，地面硬化良好并刷环氧树脂漆防渗，四周设置围堰，满足四防要求。</w:t>
            </w:r>
          </w:p>
        </w:tc>
      </w:tr>
      <w:tr w14:paraId="4336E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Align w:val="center"/>
          </w:tcPr>
          <w:p w14:paraId="493C55F8">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生态保护措施</w:t>
            </w:r>
          </w:p>
        </w:tc>
        <w:tc>
          <w:tcPr>
            <w:tcW w:w="4580" w:type="pct"/>
            <w:gridSpan w:val="5"/>
            <w:vAlign w:val="center"/>
          </w:tcPr>
          <w:p w14:paraId="68B769BF">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厂房已建设安装完成，选址四周主要为厂房和道路，不存在建设期间的生态影响。项目</w:t>
            </w:r>
            <w:r>
              <w:rPr>
                <w:rFonts w:hint="default" w:ascii="Times New Roman" w:hAnsi="Times New Roman" w:cs="Times New Roman"/>
                <w:color w:val="auto"/>
                <w:highlight w:val="none"/>
                <w:lang w:eastAsia="zh-CN"/>
              </w:rPr>
              <w:t>运营</w:t>
            </w:r>
            <w:r>
              <w:rPr>
                <w:rFonts w:hint="default" w:ascii="Times New Roman" w:hAnsi="Times New Roman" w:cs="Times New Roman"/>
                <w:color w:val="auto"/>
                <w:highlight w:val="none"/>
              </w:rPr>
              <w:t>中产生的污染物通过采取以上环境保护治理措施</w:t>
            </w:r>
            <w:r>
              <w:rPr>
                <w:rFonts w:hint="default" w:ascii="Times New Roman" w:hAnsi="Times New Roman" w:cs="Times New Roman"/>
                <w:color w:val="auto"/>
                <w:highlight w:val="none"/>
                <w:lang w:eastAsia="zh-CN"/>
              </w:rPr>
              <w:t>并</w:t>
            </w:r>
            <w:r>
              <w:rPr>
                <w:rFonts w:hint="default" w:ascii="Times New Roman" w:hAnsi="Times New Roman" w:cs="Times New Roman"/>
                <w:color w:val="auto"/>
                <w:highlight w:val="none"/>
              </w:rPr>
              <w:t>加强日常的管理和监督，同时搞好厂区绿化后，均可达标排放。因此，项目</w:t>
            </w:r>
            <w:r>
              <w:rPr>
                <w:rFonts w:hint="default" w:ascii="Times New Roman" w:hAnsi="Times New Roman" w:cs="Times New Roman"/>
                <w:color w:val="auto"/>
                <w:highlight w:val="none"/>
                <w:lang w:eastAsia="zh-CN"/>
              </w:rPr>
              <w:t>运营</w:t>
            </w:r>
            <w:r>
              <w:rPr>
                <w:rFonts w:hint="default" w:ascii="Times New Roman" w:hAnsi="Times New Roman" w:cs="Times New Roman"/>
                <w:color w:val="auto"/>
                <w:highlight w:val="none"/>
              </w:rPr>
              <w:t>期间不会对周边的生态环境造成明显的不利影响。</w:t>
            </w:r>
          </w:p>
        </w:tc>
      </w:tr>
      <w:tr w14:paraId="7F849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9" w:type="pct"/>
            <w:vAlign w:val="center"/>
          </w:tcPr>
          <w:p w14:paraId="2BD9905D">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环境风险防范措施</w:t>
            </w:r>
          </w:p>
        </w:tc>
        <w:tc>
          <w:tcPr>
            <w:tcW w:w="4580" w:type="pct"/>
            <w:gridSpan w:val="5"/>
            <w:vAlign w:val="center"/>
          </w:tcPr>
          <w:p w14:paraId="3669787D">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1、严格执行应急管理、消防等相关规范，从总图布置和建筑安全方面进行风险防范，预留疏散通道或安置场所；</w:t>
            </w:r>
          </w:p>
          <w:p w14:paraId="38F51F46">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2、从优化改进生产工艺、减少储存量、改善储存条件等方面降低风险程度；</w:t>
            </w:r>
          </w:p>
          <w:p w14:paraId="25A8BEAC">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3、加强日常管理，降低管理失误而出现的风险事故，提高员工规范性操作水平，减少误操作引发的风险事故；</w:t>
            </w:r>
          </w:p>
          <w:p w14:paraId="32131C28">
            <w:pPr>
              <w:pStyle w:val="60"/>
              <w:pageBreakBefore w:val="0"/>
              <w:wordWrap w:val="0"/>
              <w:topLinePunct w:val="0"/>
              <w:bidi w:val="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4、按《危险废物贮存污染控制标准》（GB 18597-2023）的相关要求做好危废暂存间的防渗措施，加强管理，避免装卸或存储过程中危险物质发生泄漏。</w:t>
            </w:r>
          </w:p>
        </w:tc>
      </w:tr>
      <w:tr w14:paraId="40320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68" w:hRule="atLeast"/>
          <w:jc w:val="center"/>
        </w:trPr>
        <w:tc>
          <w:tcPr>
            <w:tcW w:w="419" w:type="pct"/>
            <w:vAlign w:val="center"/>
          </w:tcPr>
          <w:p w14:paraId="18E08C92">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其他环境管理要求</w:t>
            </w:r>
          </w:p>
        </w:tc>
        <w:tc>
          <w:tcPr>
            <w:tcW w:w="4580" w:type="pct"/>
            <w:gridSpan w:val="5"/>
            <w:vAlign w:val="center"/>
          </w:tcPr>
          <w:p w14:paraId="74888042">
            <w:pPr>
              <w:pStyle w:val="60"/>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无</w:t>
            </w:r>
          </w:p>
        </w:tc>
      </w:tr>
    </w:tbl>
    <w:p w14:paraId="3D2AD152">
      <w:pPr>
        <w:pStyle w:val="3"/>
        <w:pageBreakBefore w:val="0"/>
        <w:numPr>
          <w:ilvl w:val="0"/>
          <w:numId w:val="0"/>
        </w:numPr>
        <w:wordWrap w:val="0"/>
        <w:topLinePunct w:val="0"/>
        <w:bidi w:val="0"/>
        <w:rPr>
          <w:rFonts w:hint="default" w:ascii="Times New Roman" w:hAnsi="Times New Roman" w:cs="Times New Roman"/>
          <w:color w:val="auto"/>
          <w:highlight w:val="none"/>
        </w:rPr>
      </w:pPr>
      <w:bookmarkStart w:id="120" w:name="_Toc18434"/>
      <w:r>
        <w:rPr>
          <w:rFonts w:hint="default" w:ascii="Times New Roman" w:hAnsi="Times New Roman" w:cs="Times New Roman"/>
          <w:color w:val="auto"/>
          <w:highlight w:val="none"/>
        </w:rPr>
        <w:t>六、结论</w:t>
      </w:r>
      <w:bookmarkEnd w:id="118"/>
      <w:bookmarkEnd w:id="119"/>
      <w:bookmarkEnd w:id="120"/>
    </w:p>
    <w:tbl>
      <w:tblPr>
        <w:tblStyle w:val="3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8"/>
      </w:tblGrid>
      <w:tr w14:paraId="32B27F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64" w:hRule="atLeast"/>
        </w:trPr>
        <w:tc>
          <w:tcPr>
            <w:tcW w:w="5000" w:type="pct"/>
          </w:tcPr>
          <w:p w14:paraId="20E9A56D">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48045B3A">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1FFA828D">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16904AD3">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3178D62D">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05CCEE8A">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2A1951E5">
            <w:pPr>
              <w:pageBreakBefore w:val="0"/>
              <w:wordWrap w:val="0"/>
              <w:topLinePunct w:val="0"/>
              <w:bidi w:val="0"/>
              <w:rPr>
                <w:rFonts w:hint="default" w:ascii="Times New Roman" w:hAnsi="Times New Roman" w:cs="Times New Roman"/>
                <w:color w:val="auto"/>
                <w:highlight w:val="none"/>
              </w:rPr>
            </w:pPr>
          </w:p>
          <w:p w14:paraId="4EB3303C">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p>
          <w:p w14:paraId="0CE7DC56">
            <w:pPr>
              <w:pageBreakBefore w:val="0"/>
              <w:wordWrap w:val="0"/>
              <w:topLinePunct w:val="0"/>
              <w:bidi w:val="0"/>
              <w:adjustRightInd w:val="0"/>
              <w:ind w:firstLine="480" w:firstLineChars="200"/>
              <w:rPr>
                <w:rFonts w:hint="default" w:ascii="Times New Roman" w:hAnsi="Times New Roman" w:cs="Times New Roman"/>
                <w:bCs/>
                <w:color w:val="auto"/>
                <w:kern w:val="0"/>
                <w:highlight w:val="none"/>
              </w:rPr>
            </w:pPr>
            <w:r>
              <w:rPr>
                <w:rFonts w:hint="default" w:ascii="Times New Roman" w:hAnsi="Times New Roman" w:cs="Times New Roman"/>
                <w:bCs/>
                <w:color w:val="auto"/>
                <w:kern w:val="0"/>
                <w:highlight w:val="none"/>
              </w:rPr>
              <w:t>按照本次评价，在严格落实前文提出的各项环境保护措施，并加强污染防治设施维护管理的情况下，本项目产生的污染物及不良环境影响能够得到有效控制，</w:t>
            </w:r>
            <w:r>
              <w:rPr>
                <w:rFonts w:hint="default" w:ascii="Times New Roman" w:hAnsi="Times New Roman" w:cs="Times New Roman"/>
                <w:b/>
                <w:color w:val="auto"/>
                <w:kern w:val="0"/>
                <w:highlight w:val="none"/>
              </w:rPr>
              <w:t>从环境保护角度分析，项目的建设是可行的</w:t>
            </w:r>
            <w:r>
              <w:rPr>
                <w:rFonts w:hint="default" w:ascii="Times New Roman" w:hAnsi="Times New Roman" w:cs="Times New Roman"/>
                <w:bCs/>
                <w:color w:val="auto"/>
                <w:kern w:val="0"/>
                <w:highlight w:val="none"/>
              </w:rPr>
              <w:t>。</w:t>
            </w:r>
          </w:p>
          <w:p w14:paraId="3F3FC1A9">
            <w:pPr>
              <w:pageBreakBefore w:val="0"/>
              <w:wordWrap w:val="0"/>
              <w:topLinePunct w:val="0"/>
              <w:bidi w:val="0"/>
              <w:ind w:firstLine="480"/>
              <w:rPr>
                <w:rFonts w:hint="default" w:ascii="Times New Roman" w:hAnsi="Times New Roman" w:cs="Times New Roman"/>
                <w:color w:val="auto"/>
                <w:highlight w:val="none"/>
              </w:rPr>
            </w:pPr>
            <w:r>
              <w:rPr>
                <w:rFonts w:hint="default" w:ascii="Times New Roman" w:hAnsi="Times New Roman" w:cs="Times New Roman"/>
                <w:bCs/>
                <w:color w:val="auto"/>
                <w:highlight w:val="none"/>
              </w:rPr>
              <w:t>本环境影响报告表通过审批后</w:t>
            </w:r>
            <w:r>
              <w:rPr>
                <w:rFonts w:hint="default" w:ascii="Times New Roman" w:hAnsi="Times New Roman" w:cs="Times New Roman"/>
                <w:color w:val="auto"/>
                <w:highlight w:val="none"/>
              </w:rPr>
              <w:t>，建设内容和需要配套的污染防治设施如发生重大变动，建设单位需要重新组织编制和报批环境影响评价文件。建设单位应当严格执行配套建设的环境保护设施与主体工程同时设计、同时施工、同时投产使用的环境保护“三同时”制度。本项目竣工后，建设单位应当按照国家和地方规定的标准和程序，对配套建设的环境保护设施进行验收，编制验收报告，提出验收意见，并依法向社会公开。本项目配套建设的环境保护设施经验收合格后，主体工程方可正式投入生产。</w:t>
            </w:r>
          </w:p>
          <w:p w14:paraId="6202B31F">
            <w:pPr>
              <w:pageBreakBefore w:val="0"/>
              <w:wordWrap w:val="0"/>
              <w:topLinePunct w:val="0"/>
              <w:bidi w:val="0"/>
              <w:rPr>
                <w:rFonts w:hint="default" w:ascii="Times New Roman" w:hAnsi="Times New Roman" w:cs="Times New Roman"/>
                <w:color w:val="auto"/>
                <w:highlight w:val="none"/>
              </w:rPr>
            </w:pPr>
          </w:p>
          <w:p w14:paraId="12DDF19C">
            <w:pPr>
              <w:pageBreakBefore w:val="0"/>
              <w:wordWrap w:val="0"/>
              <w:topLinePunct w:val="0"/>
              <w:bidi w:val="0"/>
              <w:rPr>
                <w:rFonts w:hint="default" w:ascii="Times New Roman" w:hAnsi="Times New Roman" w:cs="Times New Roman"/>
                <w:color w:val="auto"/>
                <w:highlight w:val="none"/>
              </w:rPr>
            </w:pPr>
          </w:p>
          <w:p w14:paraId="6C7B5380">
            <w:pPr>
              <w:pageBreakBefore w:val="0"/>
              <w:wordWrap w:val="0"/>
              <w:topLinePunct w:val="0"/>
              <w:bidi w:val="0"/>
              <w:rPr>
                <w:rFonts w:hint="default" w:ascii="Times New Roman" w:hAnsi="Times New Roman" w:cs="Times New Roman"/>
                <w:color w:val="auto"/>
                <w:highlight w:val="none"/>
              </w:rPr>
            </w:pPr>
          </w:p>
          <w:p w14:paraId="0F6A577F">
            <w:pPr>
              <w:pageBreakBefore w:val="0"/>
              <w:wordWrap w:val="0"/>
              <w:topLinePunct w:val="0"/>
              <w:bidi w:val="0"/>
              <w:rPr>
                <w:rFonts w:hint="default" w:ascii="Times New Roman" w:hAnsi="Times New Roman" w:cs="Times New Roman"/>
                <w:color w:val="auto"/>
                <w:highlight w:val="none"/>
              </w:rPr>
            </w:pPr>
          </w:p>
          <w:p w14:paraId="4DBF3827">
            <w:pPr>
              <w:pageBreakBefore w:val="0"/>
              <w:wordWrap w:val="0"/>
              <w:topLinePunct w:val="0"/>
              <w:bidi w:val="0"/>
              <w:rPr>
                <w:rFonts w:hint="default" w:ascii="Times New Roman" w:hAnsi="Times New Roman" w:cs="Times New Roman"/>
                <w:color w:val="auto"/>
                <w:highlight w:val="none"/>
              </w:rPr>
            </w:pPr>
          </w:p>
          <w:p w14:paraId="78B51E91">
            <w:pPr>
              <w:pageBreakBefore w:val="0"/>
              <w:wordWrap w:val="0"/>
              <w:topLinePunct w:val="0"/>
              <w:bidi w:val="0"/>
              <w:rPr>
                <w:rFonts w:hint="default" w:ascii="Times New Roman" w:hAnsi="Times New Roman" w:cs="Times New Roman"/>
                <w:color w:val="auto"/>
                <w:highlight w:val="none"/>
              </w:rPr>
            </w:pPr>
          </w:p>
        </w:tc>
      </w:tr>
    </w:tbl>
    <w:p w14:paraId="4666C19F">
      <w:pPr>
        <w:pageBreakBefore w:val="0"/>
        <w:wordWrap w:val="0"/>
        <w:topLinePunct w:val="0"/>
        <w:bidi w:val="0"/>
        <w:rPr>
          <w:rFonts w:hint="default" w:ascii="Times New Roman" w:hAnsi="Times New Roman" w:eastAsia="黑体" w:cs="Times New Roman"/>
          <w:snapToGrid w:val="0"/>
          <w:color w:val="auto"/>
          <w:sz w:val="32"/>
          <w:szCs w:val="32"/>
          <w:highlight w:val="none"/>
        </w:rPr>
        <w:sectPr>
          <w:pgSz w:w="11906" w:h="16838"/>
          <w:pgMar w:top="1440" w:right="1417" w:bottom="1440" w:left="1417"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561C3BDE">
      <w:pPr>
        <w:pageBreakBefore w:val="0"/>
        <w:wordWrap w:val="0"/>
        <w:topLinePunct w:val="0"/>
        <w:bidi w:val="0"/>
        <w:jc w:val="left"/>
        <w:outlineLvl w:val="0"/>
        <w:rPr>
          <w:rFonts w:hint="default" w:ascii="Times New Roman" w:hAnsi="Times New Roman" w:eastAsia="宋体" w:cs="Times New Roman"/>
          <w:color w:val="auto"/>
          <w:sz w:val="28"/>
          <w:szCs w:val="28"/>
          <w:highlight w:val="none"/>
          <w:lang w:val="en-US" w:eastAsia="zh-CN"/>
        </w:rPr>
      </w:pPr>
      <w:bookmarkStart w:id="121" w:name="_Toc10423"/>
      <w:bookmarkStart w:id="122" w:name="_Toc11777"/>
      <w:bookmarkStart w:id="123" w:name="_Toc19831"/>
      <w:r>
        <w:rPr>
          <w:rFonts w:hint="default" w:ascii="Times New Roman" w:hAnsi="Times New Roman" w:eastAsia="宋体" w:cs="Times New Roman"/>
          <w:color w:val="auto"/>
          <w:sz w:val="28"/>
          <w:szCs w:val="28"/>
          <w:highlight w:val="none"/>
          <w:lang w:val="en-US" w:eastAsia="zh-CN"/>
        </w:rPr>
        <w:t>附表</w:t>
      </w:r>
      <w:bookmarkEnd w:id="121"/>
      <w:bookmarkEnd w:id="122"/>
    </w:p>
    <w:p w14:paraId="657A7C77">
      <w:pPr>
        <w:pageBreakBefore w:val="0"/>
        <w:wordWrap w:val="0"/>
        <w:topLinePunct w:val="0"/>
        <w:bidi w:val="0"/>
        <w:jc w:val="center"/>
        <w:outlineLvl w:val="9"/>
        <w:rPr>
          <w:rFonts w:hint="default" w:ascii="Times New Roman" w:hAnsi="Times New Roman" w:eastAsia="黑体" w:cs="Times New Roman"/>
          <w:color w:val="auto"/>
          <w:sz w:val="40"/>
          <w:szCs w:val="40"/>
          <w:highlight w:val="none"/>
        </w:rPr>
      </w:pPr>
      <w:r>
        <w:rPr>
          <w:rFonts w:hint="default" w:ascii="Times New Roman" w:hAnsi="Times New Roman" w:eastAsia="黑体" w:cs="Times New Roman"/>
          <w:color w:val="auto"/>
          <w:sz w:val="40"/>
          <w:szCs w:val="40"/>
          <w:highlight w:val="none"/>
        </w:rPr>
        <w:t>建设项目污染物排放量汇总表</w:t>
      </w:r>
      <w:bookmarkEnd w:id="123"/>
    </w:p>
    <w:tbl>
      <w:tblPr>
        <w:tblStyle w:val="39"/>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8"/>
        <w:gridCol w:w="2219"/>
        <w:gridCol w:w="1395"/>
        <w:gridCol w:w="1571"/>
        <w:gridCol w:w="1489"/>
        <w:gridCol w:w="1662"/>
        <w:gridCol w:w="1574"/>
        <w:gridCol w:w="1730"/>
        <w:gridCol w:w="1415"/>
      </w:tblGrid>
      <w:tr w14:paraId="6DC37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tcBorders>
              <w:tl2br w:val="single" w:color="auto" w:sz="4" w:space="0"/>
            </w:tcBorders>
            <w:vAlign w:val="center"/>
          </w:tcPr>
          <w:p w14:paraId="67580B03">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lang w:val="en-US" w:eastAsia="zh-CN"/>
              </w:rPr>
              <w:t xml:space="preserve">    </w:t>
            </w:r>
            <w:r>
              <w:rPr>
                <w:rFonts w:hint="default" w:ascii="Times New Roman" w:hAnsi="Times New Roman" w:eastAsia="黑体" w:cs="Times New Roman"/>
                <w:color w:val="auto"/>
                <w:sz w:val="21"/>
                <w:szCs w:val="21"/>
                <w:highlight w:val="none"/>
              </w:rPr>
              <w:t>项目</w:t>
            </w:r>
          </w:p>
          <w:p w14:paraId="5EA254AD">
            <w:pPr>
              <w:pageBreakBefore w:val="0"/>
              <w:wordWrap w:val="0"/>
              <w:topLinePunct w:val="0"/>
              <w:bidi w:val="0"/>
              <w:spacing w:line="240" w:lineRule="auto"/>
              <w:jc w:val="both"/>
              <w:rPr>
                <w:rFonts w:hint="default" w:ascii="Times New Roman" w:hAnsi="Times New Roman" w:cs="Times New Roman"/>
                <w:color w:val="auto"/>
                <w:sz w:val="21"/>
                <w:szCs w:val="21"/>
                <w:highlight w:val="none"/>
              </w:rPr>
            </w:pPr>
            <w:r>
              <w:rPr>
                <w:rFonts w:hint="default" w:ascii="Times New Roman" w:hAnsi="Times New Roman" w:eastAsia="黑体" w:cs="Times New Roman"/>
                <w:color w:val="auto"/>
                <w:sz w:val="21"/>
                <w:szCs w:val="21"/>
                <w:highlight w:val="none"/>
              </w:rPr>
              <w:t>分类</w:t>
            </w:r>
          </w:p>
        </w:tc>
        <w:tc>
          <w:tcPr>
            <w:tcW w:w="783" w:type="pct"/>
            <w:vAlign w:val="center"/>
          </w:tcPr>
          <w:p w14:paraId="05CB1918">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污染物名称</w:t>
            </w:r>
          </w:p>
        </w:tc>
        <w:tc>
          <w:tcPr>
            <w:tcW w:w="492" w:type="pct"/>
            <w:vAlign w:val="center"/>
          </w:tcPr>
          <w:p w14:paraId="2E7F68BE">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现有工程排放量（固体废物产生量）①</w:t>
            </w:r>
          </w:p>
        </w:tc>
        <w:tc>
          <w:tcPr>
            <w:tcW w:w="554" w:type="pct"/>
            <w:vAlign w:val="center"/>
          </w:tcPr>
          <w:p w14:paraId="769EC350">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现有工程排污许可排放量②</w:t>
            </w:r>
          </w:p>
        </w:tc>
        <w:tc>
          <w:tcPr>
            <w:tcW w:w="525" w:type="pct"/>
            <w:vAlign w:val="center"/>
          </w:tcPr>
          <w:p w14:paraId="2FE48CFC">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在建工程排放量（固体废物产生量）③</w:t>
            </w:r>
          </w:p>
        </w:tc>
        <w:tc>
          <w:tcPr>
            <w:tcW w:w="586" w:type="pct"/>
            <w:vAlign w:val="center"/>
          </w:tcPr>
          <w:p w14:paraId="28C196DC">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本项目排放量（固体废物产生量）④</w:t>
            </w:r>
          </w:p>
        </w:tc>
        <w:tc>
          <w:tcPr>
            <w:tcW w:w="555" w:type="pct"/>
            <w:vAlign w:val="center"/>
          </w:tcPr>
          <w:p w14:paraId="76A365B0">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以新带老削减量（新建项目不填）⑤</w:t>
            </w:r>
          </w:p>
        </w:tc>
        <w:tc>
          <w:tcPr>
            <w:tcW w:w="610" w:type="pct"/>
            <w:vAlign w:val="center"/>
          </w:tcPr>
          <w:p w14:paraId="2BA083CD">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本项目建成后全厂排放量（固体废物产生量）⑥</w:t>
            </w:r>
          </w:p>
        </w:tc>
        <w:tc>
          <w:tcPr>
            <w:tcW w:w="499" w:type="pct"/>
            <w:vAlign w:val="center"/>
          </w:tcPr>
          <w:p w14:paraId="21664CAA">
            <w:pPr>
              <w:pageBreakBefore w:val="0"/>
              <w:wordWrap w:val="0"/>
              <w:topLinePunct w:val="0"/>
              <w:bidi w:val="0"/>
              <w:spacing w:line="240" w:lineRule="auto"/>
              <w:jc w:val="center"/>
              <w:rPr>
                <w:rFonts w:hint="default" w:ascii="Times New Roman" w:hAnsi="Times New Roman" w:eastAsia="黑体" w:cs="Times New Roman"/>
                <w:color w:val="auto"/>
                <w:sz w:val="21"/>
                <w:szCs w:val="21"/>
                <w:highlight w:val="none"/>
              </w:rPr>
            </w:pPr>
            <w:r>
              <w:rPr>
                <w:rFonts w:hint="default" w:ascii="Times New Roman" w:hAnsi="Times New Roman" w:eastAsia="黑体" w:cs="Times New Roman"/>
                <w:color w:val="auto"/>
                <w:sz w:val="21"/>
                <w:szCs w:val="21"/>
                <w:highlight w:val="none"/>
              </w:rPr>
              <w:t>变化量⑦</w:t>
            </w:r>
          </w:p>
        </w:tc>
      </w:tr>
      <w:tr w14:paraId="044B43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restart"/>
            <w:vAlign w:val="center"/>
          </w:tcPr>
          <w:p w14:paraId="6C26A163">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w:t>
            </w:r>
          </w:p>
        </w:tc>
        <w:tc>
          <w:tcPr>
            <w:tcW w:w="783" w:type="pct"/>
            <w:vAlign w:val="center"/>
          </w:tcPr>
          <w:p w14:paraId="2380F0B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r>
              <w:rPr>
                <w:rFonts w:hint="default" w:ascii="Times New Roman" w:hAnsi="Times New Roman" w:cs="Times New Roman"/>
                <w:color w:val="auto"/>
                <w:kern w:val="0"/>
                <w:sz w:val="21"/>
                <w:szCs w:val="21"/>
                <w:highlight w:val="none"/>
                <w:lang w:bidi="ar"/>
              </w:rPr>
              <w:t>（万t/a）</w:t>
            </w:r>
          </w:p>
        </w:tc>
        <w:tc>
          <w:tcPr>
            <w:tcW w:w="492" w:type="pct"/>
            <w:vAlign w:val="center"/>
          </w:tcPr>
          <w:p w14:paraId="38C0B0D6">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557FB3CB">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03A9A74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vAlign w:val="center"/>
          </w:tcPr>
          <w:p w14:paraId="4CF903D8">
            <w:pPr>
              <w:pStyle w:val="60"/>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position w:val="-10"/>
                <w:sz w:val="21"/>
                <w:szCs w:val="21"/>
                <w:highlight w:val="none"/>
                <w:lang w:val="en-US" w:eastAsia="zh-CN" w:bidi="ar-SA"/>
              </w:rPr>
              <w:t>0721766</w:t>
            </w:r>
          </w:p>
        </w:tc>
        <w:tc>
          <w:tcPr>
            <w:tcW w:w="555" w:type="pct"/>
            <w:vAlign w:val="center"/>
          </w:tcPr>
          <w:p w14:paraId="67C8AB1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30" w:type="dxa"/>
            <w:vAlign w:val="center"/>
          </w:tcPr>
          <w:p w14:paraId="58BCA771">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position w:val="-10"/>
                <w:sz w:val="21"/>
                <w:szCs w:val="21"/>
                <w:highlight w:val="none"/>
                <w:lang w:val="en-US" w:eastAsia="zh-CN" w:bidi="ar-SA"/>
              </w:rPr>
              <w:t>0721766</w:t>
            </w:r>
          </w:p>
        </w:tc>
        <w:tc>
          <w:tcPr>
            <w:tcW w:w="1415" w:type="dxa"/>
            <w:vAlign w:val="center"/>
          </w:tcPr>
          <w:p w14:paraId="36D5D3E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r>
              <w:rPr>
                <w:rFonts w:hint="default" w:ascii="Times New Roman" w:hAnsi="Times New Roman" w:cs="Times New Roman"/>
                <w:color w:val="auto"/>
                <w:position w:val="-10"/>
                <w:sz w:val="21"/>
                <w:szCs w:val="21"/>
                <w:highlight w:val="none"/>
                <w:lang w:val="en-US" w:eastAsia="zh-CN" w:bidi="ar-SA"/>
              </w:rPr>
              <w:t>0721766</w:t>
            </w:r>
          </w:p>
        </w:tc>
      </w:tr>
      <w:tr w14:paraId="3F478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37641253">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1F26F871">
            <w:pPr>
              <w:pageBreakBefore w:val="0"/>
              <w:widowControl/>
              <w:wordWrap w:val="0"/>
              <w:topLinePunct w:val="0"/>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COD</w:t>
            </w:r>
            <w:r>
              <w:rPr>
                <w:rFonts w:hint="default" w:ascii="Times New Roman" w:hAnsi="Times New Roman" w:cs="Times New Roman"/>
                <w:color w:val="auto"/>
                <w:kern w:val="0"/>
                <w:sz w:val="21"/>
                <w:szCs w:val="21"/>
                <w:highlight w:val="none"/>
                <w:vertAlign w:val="subscript"/>
                <w:lang w:bidi="ar"/>
              </w:rPr>
              <w:t>Cr</w:t>
            </w:r>
            <w:r>
              <w:rPr>
                <w:rFonts w:hint="default" w:ascii="Times New Roman" w:hAnsi="Times New Roman" w:cs="Times New Roman"/>
                <w:color w:val="auto"/>
                <w:kern w:val="0"/>
                <w:sz w:val="21"/>
                <w:szCs w:val="21"/>
                <w:highlight w:val="none"/>
                <w:lang w:bidi="ar"/>
              </w:rPr>
              <w:t>（t/a）</w:t>
            </w:r>
          </w:p>
        </w:tc>
        <w:tc>
          <w:tcPr>
            <w:tcW w:w="492" w:type="pct"/>
            <w:vAlign w:val="center"/>
          </w:tcPr>
          <w:p w14:paraId="3EB3CC7B">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15DB6ED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6B54BAF2">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62" w:type="dxa"/>
            <w:vAlign w:val="center"/>
          </w:tcPr>
          <w:p w14:paraId="36F863FC">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0.144</w:t>
            </w:r>
          </w:p>
        </w:tc>
        <w:tc>
          <w:tcPr>
            <w:tcW w:w="555" w:type="pct"/>
            <w:vAlign w:val="center"/>
          </w:tcPr>
          <w:p w14:paraId="6CA80AED">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30" w:type="dxa"/>
            <w:vAlign w:val="center"/>
          </w:tcPr>
          <w:p w14:paraId="429B1890">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0.144</w:t>
            </w:r>
          </w:p>
        </w:tc>
        <w:tc>
          <w:tcPr>
            <w:tcW w:w="1415" w:type="dxa"/>
            <w:vAlign w:val="center"/>
          </w:tcPr>
          <w:p w14:paraId="7638F642">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+0.144</w:t>
            </w:r>
          </w:p>
        </w:tc>
      </w:tr>
      <w:tr w14:paraId="6BA2C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64D5C2E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5A4754C8">
            <w:pPr>
              <w:pageBreakBefore w:val="0"/>
              <w:widowControl/>
              <w:wordWrap w:val="0"/>
              <w:topLinePunct w:val="0"/>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BOD</w:t>
            </w:r>
            <w:r>
              <w:rPr>
                <w:rFonts w:hint="default" w:ascii="Times New Roman" w:hAnsi="Times New Roman" w:cs="Times New Roman"/>
                <w:color w:val="auto"/>
                <w:kern w:val="0"/>
                <w:sz w:val="21"/>
                <w:szCs w:val="21"/>
                <w:highlight w:val="none"/>
                <w:vertAlign w:val="subscript"/>
                <w:lang w:bidi="ar"/>
              </w:rPr>
              <w:t>5</w:t>
            </w:r>
            <w:r>
              <w:rPr>
                <w:rFonts w:hint="default" w:ascii="Times New Roman" w:hAnsi="Times New Roman" w:cs="Times New Roman"/>
                <w:color w:val="auto"/>
                <w:kern w:val="0"/>
                <w:sz w:val="21"/>
                <w:szCs w:val="21"/>
                <w:highlight w:val="none"/>
                <w:lang w:bidi="ar"/>
              </w:rPr>
              <w:t>（t/a）</w:t>
            </w:r>
          </w:p>
        </w:tc>
        <w:tc>
          <w:tcPr>
            <w:tcW w:w="492" w:type="pct"/>
            <w:vAlign w:val="center"/>
          </w:tcPr>
          <w:p w14:paraId="2715D7BA">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0A7EC873">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5403B726">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62" w:type="dxa"/>
            <w:vAlign w:val="center"/>
          </w:tcPr>
          <w:p w14:paraId="1CC9A3FB">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0.0568</w:t>
            </w:r>
          </w:p>
        </w:tc>
        <w:tc>
          <w:tcPr>
            <w:tcW w:w="555" w:type="pct"/>
            <w:vAlign w:val="center"/>
          </w:tcPr>
          <w:p w14:paraId="0B7EB2EB">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30" w:type="dxa"/>
            <w:vAlign w:val="center"/>
          </w:tcPr>
          <w:p w14:paraId="2AE40B3F">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0.0568</w:t>
            </w:r>
          </w:p>
        </w:tc>
        <w:tc>
          <w:tcPr>
            <w:tcW w:w="1415" w:type="dxa"/>
            <w:vAlign w:val="center"/>
          </w:tcPr>
          <w:p w14:paraId="69341F33">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+0.0568</w:t>
            </w:r>
          </w:p>
        </w:tc>
      </w:tr>
      <w:tr w14:paraId="4CBC10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40198EF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45271220">
            <w:pPr>
              <w:pageBreakBefore w:val="0"/>
              <w:widowControl/>
              <w:wordWrap w:val="0"/>
              <w:topLinePunct w:val="0"/>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SS（t/a）</w:t>
            </w:r>
          </w:p>
        </w:tc>
        <w:tc>
          <w:tcPr>
            <w:tcW w:w="492" w:type="pct"/>
            <w:vAlign w:val="center"/>
          </w:tcPr>
          <w:p w14:paraId="0ACE5D1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506F80DB">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173ED7C0">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62" w:type="dxa"/>
            <w:vAlign w:val="center"/>
          </w:tcPr>
          <w:p w14:paraId="641D7E00">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0.049</w:t>
            </w:r>
          </w:p>
        </w:tc>
        <w:tc>
          <w:tcPr>
            <w:tcW w:w="555" w:type="pct"/>
            <w:vAlign w:val="center"/>
          </w:tcPr>
          <w:p w14:paraId="467C3AF9">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30" w:type="dxa"/>
            <w:vAlign w:val="center"/>
          </w:tcPr>
          <w:p w14:paraId="2313A08C">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0.049</w:t>
            </w:r>
          </w:p>
        </w:tc>
        <w:tc>
          <w:tcPr>
            <w:tcW w:w="1415" w:type="dxa"/>
            <w:vAlign w:val="center"/>
          </w:tcPr>
          <w:p w14:paraId="0FCC0E83">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+0.049</w:t>
            </w:r>
          </w:p>
        </w:tc>
      </w:tr>
      <w:tr w14:paraId="3DC38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4DD1D4F5">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6CCBDF0A">
            <w:pPr>
              <w:pageBreakBefore w:val="0"/>
              <w:widowControl/>
              <w:wordWrap w:val="0"/>
              <w:topLinePunct w:val="0"/>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氨氮（t/a）</w:t>
            </w:r>
          </w:p>
        </w:tc>
        <w:tc>
          <w:tcPr>
            <w:tcW w:w="492" w:type="pct"/>
            <w:vAlign w:val="center"/>
          </w:tcPr>
          <w:p w14:paraId="2D6713A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524EE0C2">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4A6494C9">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62" w:type="dxa"/>
            <w:vAlign w:val="center"/>
          </w:tcPr>
          <w:p w14:paraId="3FD018E4">
            <w:pPr>
              <w:pStyle w:val="53"/>
              <w:pageBreakBefore w:val="0"/>
              <w:wordWrap w:val="0"/>
              <w:topLinePunct w:val="0"/>
              <w:bidi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0.0097</w:t>
            </w:r>
          </w:p>
        </w:tc>
        <w:tc>
          <w:tcPr>
            <w:tcW w:w="555" w:type="pct"/>
            <w:vAlign w:val="center"/>
          </w:tcPr>
          <w:p w14:paraId="50488A7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30" w:type="dxa"/>
            <w:vAlign w:val="center"/>
          </w:tcPr>
          <w:p w14:paraId="54AE212D">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0.0097</w:t>
            </w:r>
          </w:p>
        </w:tc>
        <w:tc>
          <w:tcPr>
            <w:tcW w:w="1415" w:type="dxa"/>
            <w:vAlign w:val="center"/>
          </w:tcPr>
          <w:p w14:paraId="4F2AA866">
            <w:pPr>
              <w:pStyle w:val="53"/>
              <w:pageBreakBefore w:val="0"/>
              <w:wordWrap w:val="0"/>
              <w:topLinePunct w:val="0"/>
              <w:bidi w:val="0"/>
              <w:ind w:left="0" w:leftChars="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b w:val="0"/>
                <w:bCs w:val="0"/>
                <w:color w:val="auto"/>
                <w:sz w:val="21"/>
                <w:szCs w:val="21"/>
                <w:highlight w:val="none"/>
                <w:lang w:val="en-US" w:eastAsia="zh-CN"/>
              </w:rPr>
              <w:t>+0.0097</w:t>
            </w:r>
          </w:p>
        </w:tc>
      </w:tr>
      <w:tr w14:paraId="2187A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restart"/>
            <w:vAlign w:val="center"/>
          </w:tcPr>
          <w:p w14:paraId="7B7791E0">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废气</w:t>
            </w:r>
          </w:p>
        </w:tc>
        <w:tc>
          <w:tcPr>
            <w:tcW w:w="783" w:type="pct"/>
            <w:vAlign w:val="center"/>
          </w:tcPr>
          <w:p w14:paraId="6BEB18AE">
            <w:pPr>
              <w:pageBreakBefore w:val="0"/>
              <w:widowControl/>
              <w:wordWrap w:val="0"/>
              <w:topLinePunct w:val="0"/>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废气量（万m</w:t>
            </w:r>
            <w:r>
              <w:rPr>
                <w:rFonts w:hint="default" w:ascii="Times New Roman" w:hAnsi="Times New Roman" w:cs="Times New Roman"/>
                <w:color w:val="auto"/>
                <w:kern w:val="0"/>
                <w:sz w:val="21"/>
                <w:szCs w:val="21"/>
                <w:highlight w:val="none"/>
                <w:vertAlign w:val="superscript"/>
                <w:lang w:bidi="ar"/>
              </w:rPr>
              <w:t>3</w:t>
            </w:r>
            <w:r>
              <w:rPr>
                <w:rFonts w:hint="default" w:ascii="Times New Roman" w:hAnsi="Times New Roman" w:cs="Times New Roman"/>
                <w:color w:val="auto"/>
                <w:kern w:val="0"/>
                <w:sz w:val="21"/>
                <w:szCs w:val="21"/>
                <w:highlight w:val="none"/>
                <w:lang w:bidi="ar"/>
              </w:rPr>
              <w:t>/a）</w:t>
            </w:r>
          </w:p>
        </w:tc>
        <w:tc>
          <w:tcPr>
            <w:tcW w:w="492" w:type="pct"/>
            <w:vAlign w:val="center"/>
          </w:tcPr>
          <w:p w14:paraId="08FB274D">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667AD437">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6E395169">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vAlign w:val="center"/>
          </w:tcPr>
          <w:p w14:paraId="6E263151">
            <w:pPr>
              <w:pStyle w:val="60"/>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16070.4</w:t>
            </w:r>
          </w:p>
        </w:tc>
        <w:tc>
          <w:tcPr>
            <w:tcW w:w="555" w:type="pct"/>
            <w:vAlign w:val="center"/>
          </w:tcPr>
          <w:p w14:paraId="59CA161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730" w:type="dxa"/>
            <w:vAlign w:val="center"/>
          </w:tcPr>
          <w:p w14:paraId="5B452B04">
            <w:pPr>
              <w:pStyle w:val="60"/>
              <w:pageBreakBefore w:val="0"/>
              <w:wordWrap w:val="0"/>
              <w:topLinePunct w:val="0"/>
              <w:bidi w:val="0"/>
              <w:spacing w:line="240" w:lineRule="auto"/>
              <w:jc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16070.4</w:t>
            </w:r>
          </w:p>
        </w:tc>
        <w:tc>
          <w:tcPr>
            <w:tcW w:w="1415" w:type="dxa"/>
            <w:vAlign w:val="center"/>
          </w:tcPr>
          <w:p w14:paraId="732B2720">
            <w:pPr>
              <w:pStyle w:val="60"/>
              <w:pageBreakBefore w:val="0"/>
              <w:wordWrap w:val="0"/>
              <w:topLinePunct w:val="0"/>
              <w:bidi w:val="0"/>
              <w:spacing w:line="240" w:lineRule="auto"/>
              <w:jc w:val="center"/>
              <w:rPr>
                <w:rFonts w:hint="default" w:ascii="Times New Roman" w:hAnsi="Times New Roman" w:eastAsia="宋体" w:cs="Times New Roman"/>
                <w:color w:val="auto"/>
                <w:position w:val="-10"/>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16070.4</w:t>
            </w:r>
          </w:p>
        </w:tc>
      </w:tr>
      <w:tr w14:paraId="14E3E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01ADD1E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6DEF593E">
            <w:pPr>
              <w:pageBreakBefore w:val="0"/>
              <w:widowControl/>
              <w:wordWrap w:val="0"/>
              <w:topLinePunct w:val="0"/>
              <w:bidi w:val="0"/>
              <w:spacing w:line="240" w:lineRule="auto"/>
              <w:jc w:val="center"/>
              <w:textAlignment w:val="center"/>
              <w:rPr>
                <w:rFonts w:hint="default" w:ascii="Times New Roman" w:hAnsi="Times New Roman" w:eastAsia="宋体" w:cs="Times New Roman"/>
                <w:color w:val="auto"/>
                <w:kern w:val="0"/>
                <w:sz w:val="21"/>
                <w:szCs w:val="21"/>
                <w:highlight w:val="none"/>
                <w:lang w:eastAsia="zh-CN" w:bidi="ar"/>
              </w:rPr>
            </w:pPr>
            <w:r>
              <w:rPr>
                <w:rFonts w:hint="default" w:ascii="Times New Roman" w:hAnsi="Times New Roman" w:cs="Times New Roman"/>
                <w:color w:val="auto"/>
                <w:kern w:val="0"/>
                <w:sz w:val="21"/>
                <w:szCs w:val="21"/>
                <w:highlight w:val="none"/>
                <w:lang w:eastAsia="zh-CN" w:bidi="ar"/>
              </w:rPr>
              <w:t>非甲烷总烃</w:t>
            </w:r>
          </w:p>
        </w:tc>
        <w:tc>
          <w:tcPr>
            <w:tcW w:w="492" w:type="pct"/>
            <w:vAlign w:val="center"/>
          </w:tcPr>
          <w:p w14:paraId="06422A9E">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0CF8023E">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3140D209">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vAlign w:val="center"/>
          </w:tcPr>
          <w:p w14:paraId="1252411F">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0.6186</w:t>
            </w:r>
          </w:p>
        </w:tc>
        <w:tc>
          <w:tcPr>
            <w:tcW w:w="555" w:type="pct"/>
            <w:vAlign w:val="center"/>
          </w:tcPr>
          <w:p w14:paraId="3C31C49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730" w:type="dxa"/>
            <w:vAlign w:val="center"/>
          </w:tcPr>
          <w:p w14:paraId="29DF4D36">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0.6186</w:t>
            </w:r>
          </w:p>
        </w:tc>
        <w:tc>
          <w:tcPr>
            <w:tcW w:w="1415" w:type="dxa"/>
            <w:vAlign w:val="center"/>
          </w:tcPr>
          <w:p w14:paraId="3384D6FF">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+0.6186</w:t>
            </w:r>
          </w:p>
        </w:tc>
      </w:tr>
      <w:tr w14:paraId="1439D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56D504E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20A91CFA">
            <w:pPr>
              <w:pageBreakBefore w:val="0"/>
              <w:widowControl/>
              <w:wordWrap w:val="0"/>
              <w:topLinePunct w:val="0"/>
              <w:bidi w:val="0"/>
              <w:spacing w:line="240" w:lineRule="auto"/>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eastAsia="zh-CN" w:bidi="ar"/>
              </w:rPr>
              <w:t>颗粒物</w:t>
            </w:r>
          </w:p>
        </w:tc>
        <w:tc>
          <w:tcPr>
            <w:tcW w:w="492" w:type="pct"/>
            <w:vAlign w:val="center"/>
          </w:tcPr>
          <w:p w14:paraId="50F7C3B0">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7D1E98E7">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24147D71">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vAlign w:val="center"/>
          </w:tcPr>
          <w:p w14:paraId="1EBE0C91">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0.003</w:t>
            </w:r>
          </w:p>
        </w:tc>
        <w:tc>
          <w:tcPr>
            <w:tcW w:w="555" w:type="pct"/>
            <w:vAlign w:val="center"/>
          </w:tcPr>
          <w:p w14:paraId="0B00EE4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30" w:type="dxa"/>
            <w:vAlign w:val="center"/>
          </w:tcPr>
          <w:p w14:paraId="13F8C9EE">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0.0032</w:t>
            </w:r>
          </w:p>
        </w:tc>
        <w:tc>
          <w:tcPr>
            <w:tcW w:w="1415" w:type="dxa"/>
            <w:vAlign w:val="center"/>
          </w:tcPr>
          <w:p w14:paraId="77DC2523">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+0.003</w:t>
            </w:r>
          </w:p>
        </w:tc>
      </w:tr>
      <w:tr w14:paraId="0A775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restart"/>
            <w:vAlign w:val="center"/>
          </w:tcPr>
          <w:p w14:paraId="23F1EFC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一般工业固体废物（t/a）</w:t>
            </w:r>
          </w:p>
        </w:tc>
        <w:tc>
          <w:tcPr>
            <w:tcW w:w="783" w:type="pct"/>
            <w:vAlign w:val="center"/>
          </w:tcPr>
          <w:p w14:paraId="6F6AD4E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position w:val="-10"/>
                <w:sz w:val="21"/>
                <w:szCs w:val="21"/>
                <w:highlight w:val="none"/>
                <w:lang w:val="en-US" w:eastAsia="zh-CN" w:bidi="ar-SA"/>
              </w:rPr>
              <w:t>生活垃圾</w:t>
            </w:r>
          </w:p>
        </w:tc>
        <w:tc>
          <w:tcPr>
            <w:tcW w:w="492" w:type="pct"/>
            <w:vAlign w:val="center"/>
          </w:tcPr>
          <w:p w14:paraId="65BE18D8">
            <w:pPr>
              <w:pStyle w:val="60"/>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554" w:type="pct"/>
            <w:vAlign w:val="center"/>
          </w:tcPr>
          <w:p w14:paraId="40C43C5C">
            <w:pPr>
              <w:pStyle w:val="60"/>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525" w:type="pct"/>
            <w:vAlign w:val="center"/>
          </w:tcPr>
          <w:p w14:paraId="47B9567A">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586" w:type="pct"/>
            <w:vAlign w:val="center"/>
          </w:tcPr>
          <w:p w14:paraId="706E6FA8">
            <w:pPr>
              <w:pStyle w:val="60"/>
              <w:pageBreakBefore w:val="0"/>
              <w:wordWrap w:val="0"/>
              <w:topLinePunct w:val="0"/>
              <w:bidi w:val="0"/>
              <w:snapToGri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12.4</w:t>
            </w:r>
          </w:p>
        </w:tc>
        <w:tc>
          <w:tcPr>
            <w:tcW w:w="555" w:type="pct"/>
            <w:vAlign w:val="center"/>
          </w:tcPr>
          <w:p w14:paraId="5EA78EED">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218F4544">
            <w:pPr>
              <w:pStyle w:val="60"/>
              <w:pageBreakBefore w:val="0"/>
              <w:wordWrap w:val="0"/>
              <w:topLinePunct w:val="0"/>
              <w:bidi w:val="0"/>
              <w:snapToGrid w:val="0"/>
              <w:spacing w:line="240" w:lineRule="auto"/>
              <w:jc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12.4</w:t>
            </w:r>
          </w:p>
        </w:tc>
        <w:tc>
          <w:tcPr>
            <w:tcW w:w="1415" w:type="dxa"/>
            <w:shd w:val="clear" w:color="auto" w:fill="auto"/>
            <w:vAlign w:val="center"/>
          </w:tcPr>
          <w:p w14:paraId="76086964">
            <w:pPr>
              <w:pStyle w:val="60"/>
              <w:pageBreakBefore w:val="0"/>
              <w:wordWrap w:val="0"/>
              <w:topLinePunct w:val="0"/>
              <w:bidi w:val="0"/>
              <w:snapToGrid w:val="0"/>
              <w:spacing w:line="240" w:lineRule="auto"/>
              <w:jc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+12.4</w:t>
            </w:r>
          </w:p>
        </w:tc>
      </w:tr>
      <w:tr w14:paraId="2E581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6CD17FCB">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13C9EB8C">
            <w:pPr>
              <w:keepNext w:val="0"/>
              <w:keepLines w:val="0"/>
              <w:pageBreakBefore w:val="0"/>
              <w:widowControl w:val="0"/>
              <w:tabs>
                <w:tab w:val="left" w:pos="527"/>
                <w:tab w:val="center" w:pos="1053"/>
              </w:tabs>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b/>
                <w:bCs/>
                <w:color w:val="auto"/>
                <w:sz w:val="21"/>
                <w:szCs w:val="21"/>
                <w:highlight w:val="none"/>
                <w:lang w:val="en-US"/>
              </w:rPr>
            </w:pPr>
            <w:r>
              <w:rPr>
                <w:rFonts w:hint="default" w:ascii="Times New Roman" w:hAnsi="Times New Roman" w:cs="Times New Roman"/>
                <w:color w:val="auto"/>
                <w:kern w:val="2"/>
                <w:position w:val="0"/>
                <w:sz w:val="21"/>
                <w:szCs w:val="21"/>
                <w:highlight w:val="none"/>
                <w:lang w:val="en-US" w:eastAsia="zh-CN" w:bidi="ar-SA"/>
              </w:rPr>
              <w:t>边角料及次品</w:t>
            </w:r>
          </w:p>
        </w:tc>
        <w:tc>
          <w:tcPr>
            <w:tcW w:w="492" w:type="pct"/>
            <w:vAlign w:val="center"/>
          </w:tcPr>
          <w:p w14:paraId="5BBB184F">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2D4B0D71">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0C863F2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vAlign w:val="center"/>
          </w:tcPr>
          <w:p w14:paraId="2B4AE9B3">
            <w:pPr>
              <w:pStyle w:val="60"/>
              <w:pageBreakBefore w:val="0"/>
              <w:wordWrap w:val="0"/>
              <w:topLinePunct w:val="0"/>
              <w:bidi w:val="0"/>
              <w:snapToGrid w:val="0"/>
              <w:spacing w:line="240" w:lineRule="auto"/>
              <w:jc w:val="center"/>
              <w:rPr>
                <w:rFonts w:hint="default" w:ascii="Times New Roman" w:hAnsi="Times New Roman" w:eastAsia="宋体"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6.3</w:t>
            </w:r>
          </w:p>
        </w:tc>
        <w:tc>
          <w:tcPr>
            <w:tcW w:w="555" w:type="pct"/>
            <w:vAlign w:val="center"/>
          </w:tcPr>
          <w:p w14:paraId="457EB3F7">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78C709BD">
            <w:pPr>
              <w:pStyle w:val="60"/>
              <w:pageBreakBefore w:val="0"/>
              <w:wordWrap w:val="0"/>
              <w:topLinePunct w:val="0"/>
              <w:bidi w:val="0"/>
              <w:snapToGrid w:val="0"/>
              <w:spacing w:line="240" w:lineRule="auto"/>
              <w:jc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6.3</w:t>
            </w:r>
          </w:p>
        </w:tc>
        <w:tc>
          <w:tcPr>
            <w:tcW w:w="1415" w:type="dxa"/>
            <w:shd w:val="clear" w:color="auto" w:fill="auto"/>
            <w:vAlign w:val="center"/>
          </w:tcPr>
          <w:p w14:paraId="44BC1219">
            <w:pPr>
              <w:pStyle w:val="60"/>
              <w:pageBreakBefore w:val="0"/>
              <w:wordWrap w:val="0"/>
              <w:topLinePunct w:val="0"/>
              <w:bidi w:val="0"/>
              <w:snapToGrid w:val="0"/>
              <w:spacing w:line="240" w:lineRule="auto"/>
              <w:jc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cs="Times New Roman"/>
                <w:color w:val="auto"/>
                <w:kern w:val="2"/>
                <w:sz w:val="21"/>
                <w:szCs w:val="21"/>
                <w:highlight w:val="none"/>
                <w:lang w:val="en-US" w:eastAsia="zh-CN"/>
              </w:rPr>
              <w:t>+6.3</w:t>
            </w:r>
          </w:p>
        </w:tc>
      </w:tr>
      <w:tr w14:paraId="76EFD1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06BB7BE4">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51B4968F">
            <w:pPr>
              <w:keepNext w:val="0"/>
              <w:keepLines w:val="0"/>
              <w:pageBreakBefore w:val="0"/>
              <w:widowControl w:val="0"/>
              <w:tabs>
                <w:tab w:val="left" w:pos="527"/>
                <w:tab w:val="center" w:pos="1053"/>
              </w:tabs>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废金属零部件</w:t>
            </w:r>
          </w:p>
        </w:tc>
        <w:tc>
          <w:tcPr>
            <w:tcW w:w="1395" w:type="dxa"/>
            <w:vAlign w:val="center"/>
          </w:tcPr>
          <w:p w14:paraId="10EA9CD2">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71" w:type="dxa"/>
            <w:vAlign w:val="center"/>
          </w:tcPr>
          <w:p w14:paraId="25CB66A8">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89" w:type="dxa"/>
            <w:vAlign w:val="center"/>
          </w:tcPr>
          <w:p w14:paraId="4D0D69D3">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vAlign w:val="center"/>
          </w:tcPr>
          <w:p w14:paraId="249E3F95">
            <w:pPr>
              <w:pStyle w:val="60"/>
              <w:pageBreakBefore w:val="0"/>
              <w:wordWrap w:val="0"/>
              <w:topLinePunct w:val="0"/>
              <w:bidi w:val="0"/>
              <w:snapToGrid w:val="0"/>
              <w:spacing w:line="240" w:lineRule="auto"/>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0.2</w:t>
            </w:r>
          </w:p>
        </w:tc>
        <w:tc>
          <w:tcPr>
            <w:tcW w:w="555" w:type="pct"/>
            <w:vAlign w:val="center"/>
          </w:tcPr>
          <w:p w14:paraId="5A77D25A">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6E2B1C8C">
            <w:pPr>
              <w:pageBreakBefore w:val="0"/>
              <w:wordWrap w:val="0"/>
              <w:topLinePunct w:val="0"/>
              <w:bidi w:val="0"/>
              <w:snapToGrid w:val="0"/>
              <w:spacing w:line="240" w:lineRule="auto"/>
              <w:jc w:val="center"/>
              <w:rPr>
                <w:rFonts w:hint="default" w:ascii="Times New Roman" w:hAnsi="Times New Roman" w:cs="Times New Roman"/>
                <w:b/>
                <w:bCs/>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0.2</w:t>
            </w:r>
          </w:p>
        </w:tc>
        <w:tc>
          <w:tcPr>
            <w:tcW w:w="1415" w:type="dxa"/>
            <w:shd w:val="clear" w:color="auto" w:fill="auto"/>
            <w:vAlign w:val="center"/>
          </w:tcPr>
          <w:p w14:paraId="75FA071A">
            <w:pPr>
              <w:pageBreakBefore w:val="0"/>
              <w:wordWrap w:val="0"/>
              <w:topLinePunct w:val="0"/>
              <w:bidi w:val="0"/>
              <w:snapToGrid w:val="0"/>
              <w:spacing w:line="240" w:lineRule="auto"/>
              <w:jc w:val="center"/>
              <w:rPr>
                <w:rFonts w:hint="default" w:ascii="Times New Roman" w:hAnsi="Times New Roman" w:cs="Times New Roman"/>
                <w:b/>
                <w:bCs/>
                <w:color w:val="auto"/>
                <w:kern w:val="2"/>
                <w:sz w:val="21"/>
                <w:szCs w:val="21"/>
                <w:highlight w:val="none"/>
                <w:lang w:val="en-US" w:eastAsia="zh-CN"/>
              </w:rPr>
            </w:pPr>
            <w:r>
              <w:rPr>
                <w:rFonts w:hint="default" w:ascii="Times New Roman" w:hAnsi="Times New Roman" w:cs="Times New Roman"/>
                <w:color w:val="auto"/>
                <w:kern w:val="2"/>
                <w:sz w:val="21"/>
                <w:szCs w:val="21"/>
                <w:highlight w:val="none"/>
                <w:lang w:val="en-US" w:eastAsia="zh-CN"/>
              </w:rPr>
              <w:t>+0.2</w:t>
            </w:r>
          </w:p>
        </w:tc>
      </w:tr>
      <w:tr w14:paraId="59B9B1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53C31C9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23BAFAB9">
            <w:pPr>
              <w:keepNext w:val="0"/>
              <w:keepLines w:val="0"/>
              <w:pageBreakBefore w:val="0"/>
              <w:widowControl w:val="0"/>
              <w:tabs>
                <w:tab w:val="left" w:pos="527"/>
                <w:tab w:val="center" w:pos="1053"/>
              </w:tabs>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废包装材料</w:t>
            </w:r>
          </w:p>
        </w:tc>
        <w:tc>
          <w:tcPr>
            <w:tcW w:w="1395" w:type="dxa"/>
            <w:vAlign w:val="center"/>
          </w:tcPr>
          <w:p w14:paraId="0436E067">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571" w:type="dxa"/>
            <w:vAlign w:val="center"/>
          </w:tcPr>
          <w:p w14:paraId="7D932197">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489" w:type="dxa"/>
            <w:vAlign w:val="center"/>
          </w:tcPr>
          <w:p w14:paraId="60CBB7B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662" w:type="dxa"/>
            <w:vAlign w:val="center"/>
          </w:tcPr>
          <w:p w14:paraId="5D41E31E">
            <w:pPr>
              <w:pStyle w:val="60"/>
              <w:pageBreakBefore w:val="0"/>
              <w:wordWrap w:val="0"/>
              <w:topLinePunct w:val="0"/>
              <w:bidi w:val="0"/>
              <w:spacing w:line="240" w:lineRule="auto"/>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lang w:val="en-US" w:eastAsia="zh-CN"/>
              </w:rPr>
              <w:t>3.78</w:t>
            </w:r>
          </w:p>
        </w:tc>
        <w:tc>
          <w:tcPr>
            <w:tcW w:w="1574" w:type="dxa"/>
            <w:vAlign w:val="center"/>
          </w:tcPr>
          <w:p w14:paraId="2A28530F">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0</w:t>
            </w:r>
          </w:p>
        </w:tc>
        <w:tc>
          <w:tcPr>
            <w:tcW w:w="1730" w:type="dxa"/>
            <w:shd w:val="clear" w:color="auto" w:fill="auto"/>
            <w:vAlign w:val="center"/>
          </w:tcPr>
          <w:p w14:paraId="319C3CB1">
            <w:pPr>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sz w:val="21"/>
                <w:szCs w:val="21"/>
                <w:highlight w:val="none"/>
                <w:lang w:val="en-US" w:eastAsia="zh-CN"/>
              </w:rPr>
              <w:t>3.78</w:t>
            </w:r>
          </w:p>
        </w:tc>
        <w:tc>
          <w:tcPr>
            <w:tcW w:w="1415" w:type="dxa"/>
            <w:shd w:val="clear" w:color="auto" w:fill="auto"/>
            <w:vAlign w:val="center"/>
          </w:tcPr>
          <w:p w14:paraId="6BC83278">
            <w:pPr>
              <w:pStyle w:val="60"/>
              <w:pageBreakBefore w:val="0"/>
              <w:wordWrap w:val="0"/>
              <w:topLinePunct w:val="0"/>
              <w:bidi w:val="0"/>
              <w:spacing w:line="240" w:lineRule="auto"/>
              <w:jc w:val="center"/>
              <w:rPr>
                <w:rFonts w:hint="default" w:ascii="Times New Roman" w:hAnsi="Times New Roman" w:cs="Times New Roman"/>
                <w:color w:val="auto"/>
                <w:kern w:val="2"/>
                <w:sz w:val="21"/>
                <w:szCs w:val="21"/>
                <w:highlight w:val="none"/>
                <w:lang w:val="en-US" w:eastAsia="zh-CN"/>
              </w:rPr>
            </w:pPr>
            <w:r>
              <w:rPr>
                <w:rFonts w:hint="default" w:ascii="Times New Roman" w:hAnsi="Times New Roman" w:cs="Times New Roman"/>
                <w:color w:val="auto"/>
                <w:sz w:val="21"/>
                <w:szCs w:val="21"/>
                <w:highlight w:val="none"/>
                <w:lang w:val="en-US" w:eastAsia="zh-CN"/>
              </w:rPr>
              <w:t>+3.78</w:t>
            </w:r>
          </w:p>
        </w:tc>
      </w:tr>
      <w:tr w14:paraId="75815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2CA1A5F9">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45D7617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废模具</w:t>
            </w:r>
          </w:p>
        </w:tc>
        <w:tc>
          <w:tcPr>
            <w:tcW w:w="492" w:type="pct"/>
            <w:vAlign w:val="center"/>
          </w:tcPr>
          <w:p w14:paraId="372474E4">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554" w:type="pct"/>
            <w:vAlign w:val="center"/>
          </w:tcPr>
          <w:p w14:paraId="64FEB0C3">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525" w:type="pct"/>
            <w:vAlign w:val="center"/>
          </w:tcPr>
          <w:p w14:paraId="0FFD0C7D">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586" w:type="pct"/>
            <w:shd w:val="clear" w:color="auto" w:fill="auto"/>
            <w:vAlign w:val="center"/>
          </w:tcPr>
          <w:p w14:paraId="67640E9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2</w:t>
            </w:r>
          </w:p>
        </w:tc>
        <w:tc>
          <w:tcPr>
            <w:tcW w:w="555" w:type="pct"/>
            <w:vAlign w:val="center"/>
          </w:tcPr>
          <w:p w14:paraId="19A197C6">
            <w:pPr>
              <w:pageBreakBefore w:val="0"/>
              <w:wordWrap w:val="0"/>
              <w:topLinePunct w:val="0"/>
              <w:bidi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7D972F97">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pacing w:val="-2"/>
                <w:kern w:val="2"/>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2</w:t>
            </w:r>
          </w:p>
        </w:tc>
        <w:tc>
          <w:tcPr>
            <w:tcW w:w="1415" w:type="dxa"/>
            <w:shd w:val="clear" w:color="auto" w:fill="auto"/>
            <w:vAlign w:val="center"/>
          </w:tcPr>
          <w:p w14:paraId="09D7946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spacing w:val="-2"/>
                <w:kern w:val="2"/>
                <w:sz w:val="21"/>
                <w:szCs w:val="21"/>
                <w:highlight w:val="none"/>
                <w:lang w:val="en-US" w:eastAsia="zh-CN"/>
              </w:rPr>
            </w:pPr>
            <w:r>
              <w:rPr>
                <w:rFonts w:hint="default" w:ascii="Times New Roman" w:hAnsi="Times New Roman" w:cs="Times New Roman"/>
                <w:color w:val="auto"/>
                <w:kern w:val="2"/>
                <w:position w:val="0"/>
                <w:sz w:val="21"/>
                <w:szCs w:val="21"/>
                <w:highlight w:val="none"/>
                <w:lang w:val="en-US" w:eastAsia="zh-CN" w:bidi="ar-SA"/>
              </w:rPr>
              <w:t>+2</w:t>
            </w:r>
          </w:p>
        </w:tc>
      </w:tr>
      <w:tr w14:paraId="4B8FC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restart"/>
            <w:vAlign w:val="center"/>
          </w:tcPr>
          <w:p w14:paraId="43F8A4CC">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危险废物（t/a）</w:t>
            </w:r>
          </w:p>
        </w:tc>
        <w:tc>
          <w:tcPr>
            <w:tcW w:w="783" w:type="pct"/>
            <w:vAlign w:val="center"/>
          </w:tcPr>
          <w:p w14:paraId="58012E40">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废机油及桶</w:t>
            </w:r>
          </w:p>
        </w:tc>
        <w:tc>
          <w:tcPr>
            <w:tcW w:w="492" w:type="pct"/>
            <w:vAlign w:val="center"/>
          </w:tcPr>
          <w:p w14:paraId="4B4CA4D7">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5D3E93BB">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720992A8">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shd w:val="clear" w:color="auto" w:fill="auto"/>
            <w:vAlign w:val="center"/>
          </w:tcPr>
          <w:p w14:paraId="0E56A68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0.104</w:t>
            </w:r>
          </w:p>
        </w:tc>
        <w:tc>
          <w:tcPr>
            <w:tcW w:w="555" w:type="pct"/>
            <w:vAlign w:val="center"/>
          </w:tcPr>
          <w:p w14:paraId="39ED69B1">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6323AEC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pacing w:val="-2"/>
                <w:kern w:val="2"/>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0.104</w:t>
            </w:r>
          </w:p>
        </w:tc>
        <w:tc>
          <w:tcPr>
            <w:tcW w:w="1415" w:type="dxa"/>
            <w:shd w:val="clear" w:color="auto" w:fill="auto"/>
            <w:vAlign w:val="center"/>
          </w:tcPr>
          <w:p w14:paraId="796B7FA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spacing w:val="-2"/>
                <w:kern w:val="2"/>
                <w:position w:val="-10"/>
                <w:sz w:val="21"/>
                <w:szCs w:val="21"/>
                <w:highlight w:val="none"/>
                <w:lang w:val="en-US" w:eastAsia="zh-CN" w:bidi="ar-SA"/>
              </w:rPr>
            </w:pPr>
            <w:r>
              <w:rPr>
                <w:rFonts w:hint="default" w:ascii="Times New Roman" w:hAnsi="Times New Roman" w:cs="Times New Roman"/>
                <w:color w:val="auto"/>
                <w:kern w:val="2"/>
                <w:position w:val="0"/>
                <w:sz w:val="21"/>
                <w:szCs w:val="21"/>
                <w:highlight w:val="none"/>
                <w:lang w:val="en-US" w:eastAsia="zh-CN" w:bidi="ar-SA"/>
              </w:rPr>
              <w:t>+0.104</w:t>
            </w:r>
          </w:p>
        </w:tc>
      </w:tr>
      <w:tr w14:paraId="59ACD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2121C12A">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27747F79">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kern w:val="2"/>
                <w:position w:val="0"/>
                <w:sz w:val="21"/>
                <w:szCs w:val="21"/>
                <w:highlight w:val="none"/>
                <w:lang w:val="en-US" w:eastAsia="zh-CN" w:bidi="ar-SA"/>
              </w:rPr>
              <w:t>废含油抹布及手套</w:t>
            </w:r>
          </w:p>
        </w:tc>
        <w:tc>
          <w:tcPr>
            <w:tcW w:w="492" w:type="pct"/>
            <w:vAlign w:val="center"/>
          </w:tcPr>
          <w:p w14:paraId="219ED64B">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150314BE">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2189B4DE">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shd w:val="clear" w:color="auto" w:fill="auto"/>
            <w:vAlign w:val="center"/>
          </w:tcPr>
          <w:p w14:paraId="2D25AAB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1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0.01</w:t>
            </w:r>
          </w:p>
        </w:tc>
        <w:tc>
          <w:tcPr>
            <w:tcW w:w="555" w:type="pct"/>
            <w:vAlign w:val="center"/>
          </w:tcPr>
          <w:p w14:paraId="6138C70D">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73748795">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0.01</w:t>
            </w:r>
          </w:p>
        </w:tc>
        <w:tc>
          <w:tcPr>
            <w:tcW w:w="1415" w:type="dxa"/>
            <w:shd w:val="clear" w:color="auto" w:fill="auto"/>
            <w:vAlign w:val="center"/>
          </w:tcPr>
          <w:p w14:paraId="68A7DF3B">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eastAsia="宋体" w:cs="Times New Roman"/>
                <w:color w:val="auto"/>
                <w:position w:val="-10"/>
                <w:sz w:val="21"/>
                <w:szCs w:val="21"/>
                <w:highlight w:val="none"/>
                <w:lang w:val="en-US" w:eastAsia="zh-CN" w:bidi="ar-SA"/>
              </w:rPr>
              <w:t>+0.01</w:t>
            </w:r>
          </w:p>
        </w:tc>
      </w:tr>
      <w:tr w14:paraId="55848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91" w:type="pct"/>
            <w:vMerge w:val="continue"/>
            <w:vAlign w:val="center"/>
          </w:tcPr>
          <w:p w14:paraId="5C1C4F76">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p>
        </w:tc>
        <w:tc>
          <w:tcPr>
            <w:tcW w:w="783" w:type="pct"/>
            <w:vAlign w:val="center"/>
          </w:tcPr>
          <w:p w14:paraId="02AA80CE">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kern w:val="2"/>
                <w:position w:val="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废活性炭</w:t>
            </w:r>
          </w:p>
        </w:tc>
        <w:tc>
          <w:tcPr>
            <w:tcW w:w="492" w:type="pct"/>
            <w:vAlign w:val="center"/>
          </w:tcPr>
          <w:p w14:paraId="26024822">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54" w:type="pct"/>
            <w:vAlign w:val="center"/>
          </w:tcPr>
          <w:p w14:paraId="7725E892">
            <w:pPr>
              <w:pStyle w:val="60"/>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25" w:type="pct"/>
            <w:vAlign w:val="center"/>
          </w:tcPr>
          <w:p w14:paraId="49F8E402">
            <w:pPr>
              <w:pageBreakBefore w:val="0"/>
              <w:wordWrap w:val="0"/>
              <w:topLinePunct w:val="0"/>
              <w:bidi w:val="0"/>
              <w:spacing w:line="24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586" w:type="pct"/>
            <w:shd w:val="clear" w:color="auto" w:fill="auto"/>
            <w:vAlign w:val="center"/>
          </w:tcPr>
          <w:p w14:paraId="739312CD">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cs="Times New Roman"/>
                <w:color w:val="auto"/>
                <w:position w:val="-10"/>
                <w:sz w:val="21"/>
                <w:szCs w:val="21"/>
                <w:highlight w:val="none"/>
                <w:lang w:val="en-US" w:eastAsia="zh-CN" w:bidi="ar-SA"/>
              </w:rPr>
              <w:t>12</w:t>
            </w:r>
          </w:p>
        </w:tc>
        <w:tc>
          <w:tcPr>
            <w:tcW w:w="555" w:type="pct"/>
            <w:vAlign w:val="center"/>
          </w:tcPr>
          <w:p w14:paraId="5BE75CC2">
            <w:pPr>
              <w:pageBreakBefore w:val="0"/>
              <w:wordWrap w:val="0"/>
              <w:topLinePunct w:val="0"/>
              <w:bidi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w:t>
            </w:r>
          </w:p>
        </w:tc>
        <w:tc>
          <w:tcPr>
            <w:tcW w:w="1730" w:type="dxa"/>
            <w:shd w:val="clear" w:color="auto" w:fill="auto"/>
            <w:vAlign w:val="center"/>
          </w:tcPr>
          <w:p w14:paraId="2CA8F65A">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eastAsia="宋体" w:cs="Times New Roman"/>
                <w:color w:val="auto"/>
                <w:position w:val="-10"/>
                <w:sz w:val="21"/>
                <w:szCs w:val="21"/>
                <w:highlight w:val="none"/>
                <w:lang w:val="en-US" w:eastAsia="zh-CN" w:bidi="ar-SA"/>
              </w:rPr>
            </w:pPr>
            <w:r>
              <w:rPr>
                <w:rFonts w:hint="eastAsia" w:ascii="Times New Roman" w:hAnsi="Times New Roman" w:cs="Times New Roman"/>
                <w:color w:val="auto"/>
                <w:position w:val="-10"/>
                <w:sz w:val="21"/>
                <w:szCs w:val="21"/>
                <w:highlight w:val="none"/>
                <w:lang w:val="en-US" w:eastAsia="zh-CN" w:bidi="ar-SA"/>
              </w:rPr>
              <w:t>12</w:t>
            </w:r>
          </w:p>
        </w:tc>
        <w:tc>
          <w:tcPr>
            <w:tcW w:w="1415" w:type="dxa"/>
            <w:shd w:val="clear" w:color="auto" w:fill="auto"/>
            <w:vAlign w:val="center"/>
          </w:tcPr>
          <w:p w14:paraId="03B70978">
            <w:pPr>
              <w:keepNext w:val="0"/>
              <w:keepLines w:val="0"/>
              <w:pageBreakBefore w:val="0"/>
              <w:widowControl w:val="0"/>
              <w:kinsoku/>
              <w:wordWrap w:val="0"/>
              <w:overflowPunct/>
              <w:topLinePunct w:val="0"/>
              <w:autoSpaceDE w:val="0"/>
              <w:autoSpaceDN w:val="0"/>
              <w:bidi w:val="0"/>
              <w:adjustRightInd/>
              <w:snapToGrid w:val="0"/>
              <w:spacing w:line="240" w:lineRule="auto"/>
              <w:jc w:val="center"/>
              <w:textAlignment w:val="center"/>
              <w:rPr>
                <w:rFonts w:hint="default" w:ascii="Times New Roman" w:hAnsi="Times New Roman" w:cs="Times New Roman"/>
                <w:color w:val="auto"/>
                <w:position w:val="-10"/>
                <w:sz w:val="21"/>
                <w:szCs w:val="21"/>
                <w:highlight w:val="none"/>
                <w:lang w:val="en-US" w:eastAsia="zh-CN" w:bidi="ar-SA"/>
              </w:rPr>
            </w:pPr>
            <w:r>
              <w:rPr>
                <w:rFonts w:hint="default" w:ascii="Times New Roman" w:hAnsi="Times New Roman" w:cs="Times New Roman"/>
                <w:color w:val="auto"/>
                <w:position w:val="-10"/>
                <w:sz w:val="21"/>
                <w:szCs w:val="21"/>
                <w:highlight w:val="none"/>
                <w:lang w:val="en-US" w:eastAsia="zh-CN" w:bidi="ar-SA"/>
              </w:rPr>
              <w:t>+</w:t>
            </w:r>
            <w:r>
              <w:rPr>
                <w:rFonts w:hint="eastAsia" w:ascii="Times New Roman" w:hAnsi="Times New Roman" w:cs="Times New Roman"/>
                <w:color w:val="auto"/>
                <w:position w:val="-10"/>
                <w:sz w:val="21"/>
                <w:szCs w:val="21"/>
                <w:highlight w:val="none"/>
                <w:lang w:val="en-US" w:eastAsia="zh-CN" w:bidi="ar-SA"/>
              </w:rPr>
              <w:t>12</w:t>
            </w:r>
          </w:p>
        </w:tc>
      </w:tr>
    </w:tbl>
    <w:p w14:paraId="19C7C495">
      <w:pPr>
        <w:pageBreakBefore w:val="0"/>
        <w:wordWrap w:val="0"/>
        <w:topLinePunct w:val="0"/>
        <w:bidi w:val="0"/>
        <w:spacing w:line="240" w:lineRule="auto"/>
        <w:jc w:val="left"/>
        <w:rPr>
          <w:rFonts w:hint="default" w:ascii="Times New Roman" w:hAnsi="Times New Roman" w:cs="Times New Roman"/>
          <w:color w:val="auto"/>
          <w:highlight w:val="none"/>
        </w:rPr>
      </w:pPr>
      <w:r>
        <w:rPr>
          <w:rFonts w:hint="default" w:ascii="Times New Roman" w:hAnsi="Times New Roman" w:eastAsia="黑体" w:cs="Times New Roman"/>
          <w:color w:val="auto"/>
          <w:sz w:val="21"/>
          <w:szCs w:val="21"/>
          <w:highlight w:val="none"/>
        </w:rPr>
        <w:t>注：⑥=①+③+④-⑤；⑦=⑥-①。</w:t>
      </w:r>
    </w:p>
    <w:p w14:paraId="7EBB98E0">
      <w:pPr>
        <w:pageBreakBefore w:val="0"/>
        <w:wordWrap w:val="0"/>
        <w:topLinePunct w:val="0"/>
        <w:bidi w:val="0"/>
        <w:rPr>
          <w:rFonts w:hint="default" w:ascii="Times New Roman" w:hAnsi="Times New Roman" w:eastAsia="黑体" w:cs="Times New Roman"/>
          <w:snapToGrid w:val="0"/>
          <w:color w:val="auto"/>
          <w:sz w:val="32"/>
          <w:szCs w:val="32"/>
          <w:highlight w:val="none"/>
        </w:rPr>
        <w:sectPr>
          <w:pgSz w:w="16838" w:h="11906" w:orient="landscape"/>
          <w:pgMar w:top="1417" w:right="1440" w:bottom="1417" w:left="1440" w:header="851" w:footer="680" w:gutter="0"/>
          <w:pgBorders>
            <w:top w:val="none" w:sz="0" w:space="0"/>
            <w:left w:val="none" w:sz="0" w:space="0"/>
            <w:bottom w:val="none" w:sz="0" w:space="0"/>
            <w:right w:val="none" w:sz="0" w:space="0"/>
          </w:pgBorders>
          <w:pgNumType w:fmt="numberInDash"/>
          <w:cols w:space="720" w:num="1"/>
          <w:docGrid w:type="linesAndChars" w:linePitch="312" w:charSpace="0"/>
        </w:sectPr>
      </w:pPr>
    </w:p>
    <w:p w14:paraId="78494034">
      <w:pPr>
        <w:pStyle w:val="37"/>
        <w:pageBreakBefore w:val="0"/>
        <w:numPr>
          <w:ilvl w:val="0"/>
          <w:numId w:val="0"/>
        </w:numPr>
        <w:wordWrap w:val="0"/>
        <w:topLinePunct w:val="0"/>
        <w:bidi w:val="0"/>
        <w:adjustRightInd/>
        <w:spacing w:line="36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rPr>
      </w:pPr>
      <w:bookmarkStart w:id="124" w:name="_Toc17430"/>
      <w:bookmarkStart w:id="125" w:name="_Toc27190"/>
      <w:bookmarkStart w:id="126" w:name="_Toc15364"/>
      <w:r>
        <w:rPr>
          <w:rFonts w:hint="default" w:ascii="Times New Roman" w:hAnsi="Times New Roman" w:eastAsia="宋体" w:cs="Times New Roman"/>
          <w:b/>
          <w:bCs/>
          <w:color w:val="auto"/>
          <w:kern w:val="0"/>
          <w:sz w:val="24"/>
          <w:szCs w:val="24"/>
          <w:highlight w:val="none"/>
          <w:lang w:val="en-US" w:eastAsia="zh-CN" w:bidi="ar-SA"/>
        </w:rPr>
        <w:t xml:space="preserve">附图1 </w:t>
      </w:r>
      <w:r>
        <w:rPr>
          <w:rFonts w:hint="default" w:ascii="Times New Roman" w:hAnsi="Times New Roman" w:eastAsia="宋体" w:cs="Times New Roman"/>
          <w:b/>
          <w:bCs/>
          <w:color w:val="auto"/>
          <w:sz w:val="24"/>
          <w:szCs w:val="24"/>
          <w:highlight w:val="none"/>
        </w:rPr>
        <w:t>项目地理位置图</w:t>
      </w:r>
      <w:bookmarkEnd w:id="124"/>
      <w:bookmarkEnd w:id="125"/>
      <w:bookmarkEnd w:id="126"/>
    </w:p>
    <w:p w14:paraId="649A6CDB">
      <w:pPr>
        <w:pStyle w:val="2"/>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300" distR="114300" simplePos="0" relativeHeight="251678720" behindDoc="0" locked="0" layoutInCell="1" allowOverlap="1">
            <wp:simplePos x="0" y="0"/>
            <wp:positionH relativeFrom="column">
              <wp:posOffset>7030085</wp:posOffset>
            </wp:positionH>
            <wp:positionV relativeFrom="paragraph">
              <wp:posOffset>132080</wp:posOffset>
            </wp:positionV>
            <wp:extent cx="870585" cy="848995"/>
            <wp:effectExtent l="0" t="0" r="5715" b="8255"/>
            <wp:wrapNone/>
            <wp:docPr id="9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26"/>
                    <pic:cNvPicPr>
                      <a:picLocks noChangeAspect="1"/>
                    </pic:cNvPicPr>
                  </pic:nvPicPr>
                  <pic:blipFill>
                    <a:blip r:embed="rId20"/>
                    <a:stretch>
                      <a:fillRect/>
                    </a:stretch>
                  </pic:blipFill>
                  <pic:spPr>
                    <a:xfrm>
                      <a:off x="0" y="0"/>
                      <a:ext cx="870585" cy="84899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6882130" cy="4930140"/>
            <wp:effectExtent l="0" t="0" r="6350" b="7620"/>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21"/>
                    <a:stretch>
                      <a:fillRect/>
                    </a:stretch>
                  </pic:blipFill>
                  <pic:spPr>
                    <a:xfrm>
                      <a:off x="0" y="0"/>
                      <a:ext cx="6882130" cy="4930140"/>
                    </a:xfrm>
                    <a:prstGeom prst="rect">
                      <a:avLst/>
                    </a:prstGeom>
                    <a:noFill/>
                    <a:ln>
                      <a:noFill/>
                    </a:ln>
                  </pic:spPr>
                </pic:pic>
              </a:graphicData>
            </a:graphic>
          </wp:inline>
        </w:drawing>
      </w:r>
    </w:p>
    <w:p w14:paraId="4D13DAB7">
      <w:pPr>
        <w:pStyle w:val="53"/>
        <w:pageBreakBefore w:val="0"/>
        <w:wordWrap w:val="0"/>
        <w:topLinePunct w:val="0"/>
        <w:bidi w:val="0"/>
        <w:jc w:val="center"/>
        <w:rPr>
          <w:rFonts w:hint="default" w:ascii="Times New Roman" w:hAnsi="Times New Roman" w:cs="Times New Roman"/>
          <w:b w:val="0"/>
          <w:bCs w:val="0"/>
          <w:color w:val="auto"/>
          <w:highlight w:val="none"/>
        </w:rPr>
      </w:pPr>
    </w:p>
    <w:p w14:paraId="18ED6E8C">
      <w:pPr>
        <w:pageBreakBefore w:val="0"/>
        <w:wordWrap w:val="0"/>
        <w:topLinePunct w:val="0"/>
        <w:bidi w:val="0"/>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F6E8505">
      <w:pPr>
        <w:pageBreakBefore w:val="0"/>
        <w:wordWrap w:val="0"/>
        <w:topLinePunct w:val="0"/>
        <w:bidi w:val="0"/>
        <w:rPr>
          <w:rFonts w:hint="default" w:ascii="Times New Roman" w:hAnsi="Times New Roman" w:cs="Times New Roman"/>
          <w:color w:val="auto"/>
          <w:highlight w:val="none"/>
        </w:rPr>
      </w:pPr>
    </w:p>
    <w:p w14:paraId="33C7447F">
      <w:pPr>
        <w:pStyle w:val="37"/>
        <w:pageBreakBefore w:val="0"/>
        <w:numPr>
          <w:ilvl w:val="0"/>
          <w:numId w:val="0"/>
        </w:numPr>
        <w:wordWrap w:val="0"/>
        <w:topLinePunct w:val="0"/>
        <w:bidi w:val="0"/>
        <w:adjustRightInd/>
        <w:spacing w:line="36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rPr>
      </w:pPr>
      <w:bookmarkStart w:id="127" w:name="_Toc17352"/>
      <w:bookmarkStart w:id="128" w:name="_Toc24047"/>
      <w:bookmarkStart w:id="129" w:name="_Toc14440"/>
      <w:r>
        <w:rPr>
          <w:rFonts w:hint="default" w:ascii="Times New Roman" w:hAnsi="Times New Roman" w:eastAsia="宋体" w:cs="Times New Roman"/>
          <w:b/>
          <w:bCs/>
          <w:color w:val="auto"/>
          <w:kern w:val="0"/>
          <w:sz w:val="24"/>
          <w:szCs w:val="24"/>
          <w:highlight w:val="none"/>
          <w:lang w:val="en-US" w:eastAsia="zh-CN" w:bidi="ar-SA"/>
        </w:rPr>
        <w:t xml:space="preserve">附图2 </w:t>
      </w:r>
      <w:r>
        <w:rPr>
          <w:rFonts w:hint="default" w:ascii="Times New Roman" w:hAnsi="Times New Roman" w:eastAsia="宋体" w:cs="Times New Roman"/>
          <w:b/>
          <w:bCs/>
          <w:color w:val="auto"/>
          <w:sz w:val="24"/>
          <w:szCs w:val="24"/>
          <w:highlight w:val="none"/>
        </w:rPr>
        <w:t>项目四至情况</w:t>
      </w:r>
      <w:bookmarkEnd w:id="127"/>
      <w:r>
        <w:rPr>
          <w:rFonts w:hint="default" w:ascii="Times New Roman" w:hAnsi="Times New Roman" w:cs="Times New Roman"/>
          <w:b/>
          <w:bCs/>
          <w:color w:val="auto"/>
          <w:sz w:val="24"/>
          <w:szCs w:val="24"/>
          <w:highlight w:val="none"/>
          <w:lang w:val="en-US" w:eastAsia="zh-CN"/>
        </w:rPr>
        <w:t>卫星图</w:t>
      </w:r>
      <w:bookmarkEnd w:id="128"/>
      <w:bookmarkEnd w:id="129"/>
    </w:p>
    <w:p w14:paraId="1F91169F">
      <w:pPr>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7470140</wp:posOffset>
                </wp:positionH>
                <wp:positionV relativeFrom="paragraph">
                  <wp:posOffset>3651885</wp:posOffset>
                </wp:positionV>
                <wp:extent cx="1914525" cy="427990"/>
                <wp:effectExtent l="0" t="0" r="0" b="0"/>
                <wp:wrapNone/>
                <wp:docPr id="46" name="文本框 46"/>
                <wp:cNvGraphicFramePr/>
                <a:graphic xmlns:a="http://schemas.openxmlformats.org/drawingml/2006/main">
                  <a:graphicData uri="http://schemas.microsoft.com/office/word/2010/wordprocessingShape">
                    <wps:wsp>
                      <wps:cNvSpPr txBox="1"/>
                      <wps:spPr>
                        <a:xfrm>
                          <a:off x="0" y="0"/>
                          <a:ext cx="1914525" cy="4279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4E39AD">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auto"/>
                                <w:sz w:val="28"/>
                                <w:szCs w:val="28"/>
                                <w:highlight w:val="none"/>
                                <w:lang w:val="en-US" w:eastAsia="zh-CN"/>
                              </w:rPr>
                            </w:pPr>
                            <w:r>
                              <w:rPr>
                                <w:rFonts w:hint="eastAsia"/>
                                <w:color w:val="auto"/>
                                <w:sz w:val="28"/>
                                <w:szCs w:val="28"/>
                                <w:highlight w:val="none"/>
                                <w:lang w:val="en-US" w:eastAsia="zh-CN"/>
                              </w:rPr>
                              <w:t>DW001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8.2pt;margin-top:287.55pt;height:33.7pt;width:150.75pt;z-index:251714560;mso-width-relative:page;mso-height-relative:page;" filled="f" stroked="f" coordsize="21600,21600" o:gfxdata="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0nLDvdAAAADQEAAA8AAAAAAAAAAQAgAAAAIgAA&#10;AGRycy9kb3ducmV2LnhtbFBLAQIUABQAAAAIAIdO4kB/D4GCPAIAAGgEAAAOAAAAAAAAAAEAIAAA&#10;ACwBAABkcnMvZTJvRG9jLnhtbFBLBQYAAAAABgAGAFkBAADaBQAAAAA=&#10;">
                <v:fill on="f" focussize="0,0"/>
                <v:stroke on="f" weight="0.5pt"/>
                <v:imagedata o:title=""/>
                <o:lock v:ext="edit" aspectratio="f"/>
                <v:textbox>
                  <w:txbxContent>
                    <w:p w14:paraId="314E39AD">
                      <w:pPr>
                        <w:keepNext w:val="0"/>
                        <w:keepLines w:val="0"/>
                        <w:pageBreakBefore w:val="0"/>
                        <w:widowControl w:val="0"/>
                        <w:kinsoku/>
                        <w:wordWrap/>
                        <w:overflowPunct/>
                        <w:topLinePunct w:val="0"/>
                        <w:bidi w:val="0"/>
                        <w:adjustRightInd/>
                        <w:snapToGrid/>
                        <w:spacing w:line="240" w:lineRule="auto"/>
                        <w:jc w:val="center"/>
                        <w:textAlignment w:val="auto"/>
                        <w:rPr>
                          <w:rFonts w:hint="default"/>
                          <w:color w:val="auto"/>
                          <w:sz w:val="28"/>
                          <w:szCs w:val="28"/>
                          <w:highlight w:val="none"/>
                          <w:lang w:val="en-US" w:eastAsia="zh-CN"/>
                        </w:rPr>
                      </w:pPr>
                      <w:r>
                        <w:rPr>
                          <w:rFonts w:hint="eastAsia"/>
                          <w:color w:val="auto"/>
                          <w:sz w:val="28"/>
                          <w:szCs w:val="28"/>
                          <w:highlight w:val="none"/>
                          <w:lang w:val="en-US" w:eastAsia="zh-CN"/>
                        </w:rPr>
                        <w:t>DW001</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8803005</wp:posOffset>
                </wp:positionH>
                <wp:positionV relativeFrom="paragraph">
                  <wp:posOffset>3799205</wp:posOffset>
                </wp:positionV>
                <wp:extent cx="133350" cy="142875"/>
                <wp:effectExtent l="6350" t="6350" r="12700" b="22225"/>
                <wp:wrapNone/>
                <wp:docPr id="45" name="同心圆 45"/>
                <wp:cNvGraphicFramePr/>
                <a:graphic xmlns:a="http://schemas.openxmlformats.org/drawingml/2006/main">
                  <a:graphicData uri="http://schemas.microsoft.com/office/word/2010/wordprocessingShape">
                    <wps:wsp>
                      <wps:cNvSpPr/>
                      <wps:spPr>
                        <a:xfrm>
                          <a:off x="0" y="0"/>
                          <a:ext cx="133350" cy="14287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693.15pt;margin-top:299.15pt;height:11.25pt;width:10.5pt;z-index:251713536;v-text-anchor:middle;mso-width-relative:page;mso-height-relative:page;" fillcolor="#5B9BD5 [3204]" filled="t" stroked="t" coordsize="21600,21600" o:gfxdata="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PnevzbbAAAA&#10;DQEAAA8AAAAAAAAAAQAgAAAAIgAAAGRycy9kb3ducmV2LnhtbFBLAQIUABQAAAAIAIdO4kCzJWJb&#10;jAIAABsFAAAOAAAAAAAAAAEAIAAAACoBAABkcnMvZTJvRG9jLnhtbFBLBQYAAAAABgAGAFkBAAAo&#10;BgAAAAA=&#10;" adj="540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3002280</wp:posOffset>
                </wp:positionH>
                <wp:positionV relativeFrom="paragraph">
                  <wp:posOffset>6574155</wp:posOffset>
                </wp:positionV>
                <wp:extent cx="228600" cy="238125"/>
                <wp:effectExtent l="6350" t="6350" r="12700" b="22225"/>
                <wp:wrapNone/>
                <wp:docPr id="43" name="同心圆 43"/>
                <wp:cNvGraphicFramePr/>
                <a:graphic xmlns:a="http://schemas.openxmlformats.org/drawingml/2006/main">
                  <a:graphicData uri="http://schemas.microsoft.com/office/word/2010/wordprocessingShape">
                    <wps:wsp>
                      <wps:cNvSpPr/>
                      <wps:spPr>
                        <a:xfrm>
                          <a:off x="3992245" y="8144510"/>
                          <a:ext cx="228600" cy="238125"/>
                        </a:xfrm>
                        <a:prstGeom prst="donu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36.4pt;margin-top:517.65pt;height:18.75pt;width:18pt;z-index:251712512;v-text-anchor:middle;mso-width-relative:page;mso-height-relative:page;" fillcolor="#5B9BD5 [3204]" filled="t" stroked="t" coordsize="21600,21600" o:gfxdata="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Mpr6+raAAAADQEAAA8AAAAAAAAAAQAgAAAAIgAAAGRycy9kb3ducmV2LnhtbFBLAQIUABQA&#10;AAAIAIdO4kBlcVY/mQIAACcFAAAOAAAAAAAAAAEAIAAAACkBAABkcnMvZTJvRG9jLnhtbFBLBQYA&#10;AAAABgAGAFkBAAA0BgAAAAA=&#10;" adj="540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g">
            <w:drawing>
              <wp:anchor distT="0" distB="0" distL="114300" distR="114300" simplePos="0" relativeHeight="251673600" behindDoc="0" locked="0" layoutInCell="1" allowOverlap="1">
                <wp:simplePos x="0" y="0"/>
                <wp:positionH relativeFrom="column">
                  <wp:posOffset>2336165</wp:posOffset>
                </wp:positionH>
                <wp:positionV relativeFrom="paragraph">
                  <wp:posOffset>5768975</wp:posOffset>
                </wp:positionV>
                <wp:extent cx="389255" cy="602615"/>
                <wp:effectExtent l="13970" t="6350" r="15875" b="19685"/>
                <wp:wrapNone/>
                <wp:docPr id="82" name="组合 82"/>
                <wp:cNvGraphicFramePr/>
                <a:graphic xmlns:a="http://schemas.openxmlformats.org/drawingml/2006/main">
                  <a:graphicData uri="http://schemas.microsoft.com/office/word/2010/wordprocessingGroup">
                    <wpg:wgp>
                      <wpg:cNvGrpSpPr/>
                      <wpg:grpSpPr>
                        <a:xfrm>
                          <a:off x="0" y="0"/>
                          <a:ext cx="389255" cy="602615"/>
                          <a:chOff x="13273" y="1075179"/>
                          <a:chExt cx="613" cy="949"/>
                        </a:xfrm>
                      </wpg:grpSpPr>
                      <wps:wsp>
                        <wps:cNvPr id="86" name="矩形 86"/>
                        <wps:cNvSpPr/>
                        <wps:spPr>
                          <a:xfrm>
                            <a:off x="13288" y="1075179"/>
                            <a:ext cx="599" cy="335"/>
                          </a:xfrm>
                          <a:prstGeom prst="rect">
                            <a:avLst/>
                          </a:prstGeom>
                          <a:solidFill>
                            <a:srgbClr val="FF0000">
                              <a:alpha val="48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7" name="矩形 87"/>
                        <wps:cNvSpPr/>
                        <wps:spPr>
                          <a:xfrm>
                            <a:off x="13273" y="1075794"/>
                            <a:ext cx="599" cy="335"/>
                          </a:xfrm>
                          <a:prstGeom prst="rect">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83.95pt;margin-top:454.25pt;height:47.45pt;width:30.65pt;z-index:251673600;mso-width-relative:page;mso-height-relative:page;" coordorigin="13273,1075179" coordsize="613,949" o:gfxdata="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">
                <o:lock v:ext="edit" aspectratio="f"/>
                <v:rect id="_x0000_s1026" o:spid="_x0000_s1026" o:spt="1" style="position:absolute;left:13288;top:1075179;height:335;width:599;v-text-anchor:middle;" fillcolor="#FF0000" filled="t" stroked="t" coordsize="21600,21600" o:gfxdata="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RDFmL4A&#10;AADbAAAADwAAAAAAAAABACAAAAAiAAAAZHJzL2Rvd25yZXYueG1sUEsBAhQAFAAAAAgAh07iQDMv&#10;BZ47AAAAOQAAABAAAAAAAAAAAQAgAAAADQEAAGRycy9zaGFwZXhtbC54bWxQSwUGAAAAAAYABgBb&#10;AQAAtwMAAAAA&#10;">
                  <v:fill on="t" opacity="31457f" focussize="0,0"/>
                  <v:stroke weight="1pt" color="#FF0000 [2404]" miterlimit="8" joinstyle="miter"/>
                  <v:imagedata o:title=""/>
                  <o:lock v:ext="edit" aspectratio="f"/>
                </v:rect>
                <v:rect id="_x0000_s1026" o:spid="_x0000_s1026" o:spt="1" style="position:absolute;left:13273;top:1075794;height:335;width:599;v-text-anchor:middle;" filled="f" stroked="t" coordsize="21600,21600" o:gfxdata="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Q6kQbsAAADb&#10;AAAADwAAAAAAAAABACAAAAAiAAAAZHJzL2Rvd25yZXYueG1sUEsBAhQAFAAAAAgAh07iQDMvBZ47&#10;AAAAOQAAABAAAAAAAAAAAQAgAAAACgEAAGRycy9zaGFwZXhtbC54bWxQSwUGAAAAAAYABgBbAQAA&#10;tAMAAAAA&#10;">
                  <v:fill on="f" focussize="0,0"/>
                  <v:stroke weight="2.25pt" color="#FFFF00 [2404]" miterlimit="8" joinstyle="miter"/>
                  <v:imagedata o:title=""/>
                  <o:lock v:ext="edit" aspectratio="f"/>
                </v:rect>
              </v:group>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0528" behindDoc="0" locked="0" layoutInCell="1" allowOverlap="1">
                <wp:simplePos x="0" y="0"/>
                <wp:positionH relativeFrom="column">
                  <wp:posOffset>1434465</wp:posOffset>
                </wp:positionH>
                <wp:positionV relativeFrom="paragraph">
                  <wp:posOffset>5249545</wp:posOffset>
                </wp:positionV>
                <wp:extent cx="1835785" cy="1564640"/>
                <wp:effectExtent l="4445" t="4445" r="7620" b="12065"/>
                <wp:wrapNone/>
                <wp:docPr id="85" name="文本框 85"/>
                <wp:cNvGraphicFramePr/>
                <a:graphic xmlns:a="http://schemas.openxmlformats.org/drawingml/2006/main">
                  <a:graphicData uri="http://schemas.microsoft.com/office/word/2010/wordprocessingShape">
                    <wps:wsp>
                      <wps:cNvSpPr txBox="1"/>
                      <wps:spPr>
                        <a:xfrm>
                          <a:off x="905510" y="6252845"/>
                          <a:ext cx="1835785" cy="1564640"/>
                        </a:xfrm>
                        <a:prstGeom prst="rect">
                          <a:avLst/>
                        </a:prstGeom>
                        <a:solidFill>
                          <a:schemeClr val="bg1">
                            <a:lumMod val="8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2D758B">
                            <w:pPr>
                              <w:jc w:val="center"/>
                              <w:rPr>
                                <w:rFonts w:hint="eastAsia"/>
                                <w:sz w:val="28"/>
                                <w:szCs w:val="28"/>
                                <w:lang w:eastAsia="zh-CN"/>
                              </w:rPr>
                            </w:pPr>
                            <w:r>
                              <w:rPr>
                                <w:rFonts w:hint="eastAsia"/>
                                <w:sz w:val="28"/>
                                <w:szCs w:val="28"/>
                                <w:lang w:eastAsia="zh-CN"/>
                              </w:rPr>
                              <w:t>图例</w:t>
                            </w:r>
                          </w:p>
                          <w:p w14:paraId="3CDCBD7A">
                            <w:pPr>
                              <w:rPr>
                                <w:rFonts w:hint="eastAsia"/>
                                <w:sz w:val="28"/>
                                <w:szCs w:val="28"/>
                                <w:lang w:eastAsia="zh-CN"/>
                              </w:rPr>
                            </w:pPr>
                            <w:r>
                              <w:rPr>
                                <w:rFonts w:hint="eastAsia"/>
                                <w:sz w:val="28"/>
                                <w:szCs w:val="28"/>
                                <w:lang w:eastAsia="zh-CN"/>
                              </w:rPr>
                              <w:t>项目位置：</w:t>
                            </w:r>
                          </w:p>
                          <w:p w14:paraId="47911A24">
                            <w:pPr>
                              <w:rPr>
                                <w:rFonts w:hint="eastAsia"/>
                                <w:sz w:val="28"/>
                                <w:szCs w:val="28"/>
                                <w:lang w:eastAsia="zh-CN"/>
                              </w:rPr>
                            </w:pPr>
                            <w:r>
                              <w:rPr>
                                <w:rFonts w:hint="eastAsia"/>
                                <w:sz w:val="28"/>
                                <w:szCs w:val="28"/>
                                <w:lang w:eastAsia="zh-CN"/>
                              </w:rPr>
                              <w:t>四至：</w:t>
                            </w:r>
                          </w:p>
                          <w:p w14:paraId="198F84F6">
                            <w:pPr>
                              <w:rPr>
                                <w:rFonts w:hint="default"/>
                                <w:sz w:val="28"/>
                                <w:szCs w:val="28"/>
                                <w:lang w:val="en-US" w:eastAsia="zh-CN"/>
                              </w:rPr>
                            </w:pPr>
                            <w:r>
                              <w:rPr>
                                <w:rFonts w:hint="eastAsia"/>
                                <w:sz w:val="28"/>
                                <w:szCs w:val="28"/>
                                <w:lang w:val="en-US" w:eastAsia="zh-CN"/>
                              </w:rPr>
                              <w:t>生活污水排放口：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2.95pt;margin-top:413.35pt;height:123.2pt;width:144.55pt;z-index:251670528;mso-width-relative:page;mso-height-relative:page;" fillcolor="#D9D9D9 [2732]" filled="t" stroked="t" coordsize="21600,21600" o:gfxdata="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By4zmJ2QAAAAwBAAAPAAAAAAAAAAEAIAAAACIA&#10;AABkcnMvZG93bnJldi54bWxQSwECFAAUAAAACACHTuJArW08oXoCAADnBAAADgAAAAAAAAABACAA&#10;AAAoAQAAZHJzL2Uyb0RvYy54bWxQSwUGAAAAAAYABgBZAQAAFAYAAAAA&#10;">
                <v:fill on="t" focussize="0,0"/>
                <v:stroke weight="0.5pt" color="#000000 [3204]" joinstyle="round"/>
                <v:imagedata o:title=""/>
                <o:lock v:ext="edit" aspectratio="f"/>
                <v:textbox>
                  <w:txbxContent>
                    <w:p w14:paraId="3C2D758B">
                      <w:pPr>
                        <w:jc w:val="center"/>
                        <w:rPr>
                          <w:rFonts w:hint="eastAsia"/>
                          <w:sz w:val="28"/>
                          <w:szCs w:val="28"/>
                          <w:lang w:eastAsia="zh-CN"/>
                        </w:rPr>
                      </w:pPr>
                      <w:r>
                        <w:rPr>
                          <w:rFonts w:hint="eastAsia"/>
                          <w:sz w:val="28"/>
                          <w:szCs w:val="28"/>
                          <w:lang w:eastAsia="zh-CN"/>
                        </w:rPr>
                        <w:t>图例</w:t>
                      </w:r>
                    </w:p>
                    <w:p w14:paraId="3CDCBD7A">
                      <w:pPr>
                        <w:rPr>
                          <w:rFonts w:hint="eastAsia"/>
                          <w:sz w:val="28"/>
                          <w:szCs w:val="28"/>
                          <w:lang w:eastAsia="zh-CN"/>
                        </w:rPr>
                      </w:pPr>
                      <w:r>
                        <w:rPr>
                          <w:rFonts w:hint="eastAsia"/>
                          <w:sz w:val="28"/>
                          <w:szCs w:val="28"/>
                          <w:lang w:eastAsia="zh-CN"/>
                        </w:rPr>
                        <w:t>项目位置：</w:t>
                      </w:r>
                    </w:p>
                    <w:p w14:paraId="47911A24">
                      <w:pPr>
                        <w:rPr>
                          <w:rFonts w:hint="eastAsia"/>
                          <w:sz w:val="28"/>
                          <w:szCs w:val="28"/>
                          <w:lang w:eastAsia="zh-CN"/>
                        </w:rPr>
                      </w:pPr>
                      <w:r>
                        <w:rPr>
                          <w:rFonts w:hint="eastAsia"/>
                          <w:sz w:val="28"/>
                          <w:szCs w:val="28"/>
                          <w:lang w:eastAsia="zh-CN"/>
                        </w:rPr>
                        <w:t>四至：</w:t>
                      </w:r>
                    </w:p>
                    <w:p w14:paraId="198F84F6">
                      <w:pPr>
                        <w:rPr>
                          <w:rFonts w:hint="default"/>
                          <w:sz w:val="28"/>
                          <w:szCs w:val="28"/>
                          <w:lang w:val="en-US" w:eastAsia="zh-CN"/>
                        </w:rPr>
                      </w:pPr>
                      <w:r>
                        <w:rPr>
                          <w:rFonts w:hint="eastAsia"/>
                          <w:sz w:val="28"/>
                          <w:szCs w:val="28"/>
                          <w:lang w:val="en-US" w:eastAsia="zh-CN"/>
                        </w:rPr>
                        <w:t>生活污水排放口：</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0224" behindDoc="0" locked="0" layoutInCell="1" allowOverlap="1">
                <wp:simplePos x="0" y="0"/>
                <wp:positionH relativeFrom="column">
                  <wp:posOffset>9112250</wp:posOffset>
                </wp:positionH>
                <wp:positionV relativeFrom="paragraph">
                  <wp:posOffset>2827020</wp:posOffset>
                </wp:positionV>
                <wp:extent cx="2553970" cy="817880"/>
                <wp:effectExtent l="0" t="0" r="0" b="0"/>
                <wp:wrapNone/>
                <wp:docPr id="3" name="文本框 3"/>
                <wp:cNvGraphicFramePr/>
                <a:graphic xmlns:a="http://schemas.openxmlformats.org/drawingml/2006/main">
                  <a:graphicData uri="http://schemas.microsoft.com/office/word/2010/wordprocessingShape">
                    <wps:wsp>
                      <wps:cNvSpPr txBox="1"/>
                      <wps:spPr>
                        <a:xfrm>
                          <a:off x="0" y="0"/>
                          <a:ext cx="2553970" cy="817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EF3E5F">
                            <w:pPr>
                              <w:rPr>
                                <w:rFonts w:hint="default"/>
                                <w:highlight w:val="yellow"/>
                                <w:lang w:val="en-US" w:eastAsia="zh-CN"/>
                              </w:rPr>
                            </w:pPr>
                            <w:r>
                              <w:rPr>
                                <w:rFonts w:hint="default"/>
                                <w:highlight w:val="yellow"/>
                                <w:lang w:val="en-US" w:eastAsia="zh-CN"/>
                              </w:rPr>
                              <w:t>韶关市高尔泰塑胶科技有限公司</w:t>
                            </w:r>
                          </w:p>
                          <w:p w14:paraId="6CE35703">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17.5pt;margin-top:222.6pt;height:64.4pt;width:201.1pt;z-index:251700224;mso-width-relative:page;mso-height-relative:page;" filled="f" stroked="f" coordsize="21600,21600" o:gfxdata="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EYiBv3QAAAA0BAAAPAAAAAAAAAAEAIAAAACIA&#10;AABkcnMvZG93bnJldi54bWxQSwECFAAUAAAACACHTuJA3i60Jz0CAABmBAAADgAAAAAAAAABACAA&#10;AAAsAQAAZHJzL2Uyb0RvYy54bWxQSwUGAAAAAAYABgBZAQAA2wUAAAAA&#10;">
                <v:fill on="f" focussize="0,0"/>
                <v:stroke on="f" weight="0.5pt"/>
                <v:imagedata o:title=""/>
                <o:lock v:ext="edit" aspectratio="f"/>
                <v:textbox>
                  <w:txbxContent>
                    <w:p w14:paraId="37EF3E5F">
                      <w:pPr>
                        <w:rPr>
                          <w:rFonts w:hint="default"/>
                          <w:highlight w:val="yellow"/>
                          <w:lang w:val="en-US" w:eastAsia="zh-CN"/>
                        </w:rPr>
                      </w:pPr>
                      <w:r>
                        <w:rPr>
                          <w:rFonts w:hint="default"/>
                          <w:highlight w:val="yellow"/>
                          <w:lang w:val="en-US" w:eastAsia="zh-CN"/>
                        </w:rPr>
                        <w:t>韶关市高尔泰塑胶科技有限公司</w:t>
                      </w:r>
                    </w:p>
                    <w:p w14:paraId="6CE35703">
                      <w:pPr>
                        <w:rPr>
                          <w:rFonts w:hint="default"/>
                          <w:lang w:val="en-US" w:eastAsia="zh-CN"/>
                        </w:rPr>
                      </w:pP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72576" behindDoc="0" locked="0" layoutInCell="1" allowOverlap="1">
            <wp:simplePos x="0" y="0"/>
            <wp:positionH relativeFrom="column">
              <wp:posOffset>10503535</wp:posOffset>
            </wp:positionH>
            <wp:positionV relativeFrom="paragraph">
              <wp:posOffset>72390</wp:posOffset>
            </wp:positionV>
            <wp:extent cx="1272540" cy="1241425"/>
            <wp:effectExtent l="0" t="0" r="3810" b="15875"/>
            <wp:wrapNone/>
            <wp:docPr id="4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6"/>
                    <pic:cNvPicPr>
                      <a:picLocks noChangeAspect="1"/>
                    </pic:cNvPicPr>
                  </pic:nvPicPr>
                  <pic:blipFill>
                    <a:blip r:embed="rId22"/>
                    <a:stretch>
                      <a:fillRect/>
                    </a:stretch>
                  </pic:blipFill>
                  <pic:spPr>
                    <a:xfrm>
                      <a:off x="0" y="0"/>
                      <a:ext cx="1272540" cy="1241425"/>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68480" behindDoc="0" locked="0" layoutInCell="1" allowOverlap="1">
                <wp:simplePos x="0" y="0"/>
                <wp:positionH relativeFrom="column">
                  <wp:posOffset>3294380</wp:posOffset>
                </wp:positionH>
                <wp:positionV relativeFrom="paragraph">
                  <wp:posOffset>3159760</wp:posOffset>
                </wp:positionV>
                <wp:extent cx="2553970" cy="817880"/>
                <wp:effectExtent l="0" t="0" r="0" b="0"/>
                <wp:wrapNone/>
                <wp:docPr id="78" name="文本框 78"/>
                <wp:cNvGraphicFramePr/>
                <a:graphic xmlns:a="http://schemas.openxmlformats.org/drawingml/2006/main">
                  <a:graphicData uri="http://schemas.microsoft.com/office/word/2010/wordprocessingShape">
                    <wps:wsp>
                      <wps:cNvSpPr txBox="1"/>
                      <wps:spPr>
                        <a:xfrm>
                          <a:off x="0" y="0"/>
                          <a:ext cx="2553970" cy="817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F3F8F2">
                            <w:pPr>
                              <w:rPr>
                                <w:rFonts w:hint="eastAsia"/>
                                <w:sz w:val="24"/>
                                <w:szCs w:val="24"/>
                                <w:highlight w:val="yellow"/>
                                <w:lang w:val="en-US" w:eastAsia="zh-CN"/>
                              </w:rPr>
                            </w:pPr>
                            <w:r>
                              <w:rPr>
                                <w:rFonts w:hint="eastAsia"/>
                                <w:sz w:val="24"/>
                                <w:szCs w:val="24"/>
                                <w:highlight w:val="yellow"/>
                                <w:lang w:val="en-US" w:eastAsia="zh-CN"/>
                              </w:rPr>
                              <w:t>大朗乐昌产业共建科技园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9.4pt;margin-top:248.8pt;height:64.4pt;width:201.1pt;z-index:251668480;mso-width-relative:page;mso-height-relative:page;" filled="f" stroked="f" coordsize="21600,21600" o:gfxdata="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SYPFC3AAAAAsBAAAPAAAAAAAAAAEAIAAAACIA&#10;AABkcnMvZG93bnJldi54bWxQSwECFAAUAAAACACHTuJAJYB/6z4CAABoBAAADgAAAAAAAAABACAA&#10;AAArAQAAZHJzL2Uyb0RvYy54bWxQSwUGAAAAAAYABgBZAQAA2wUAAAAA&#10;">
                <v:fill on="f" focussize="0,0"/>
                <v:stroke on="f" weight="0.5pt"/>
                <v:imagedata o:title=""/>
                <o:lock v:ext="edit" aspectratio="f"/>
                <v:textbox>
                  <w:txbxContent>
                    <w:p w14:paraId="73F3F8F2">
                      <w:pPr>
                        <w:rPr>
                          <w:rFonts w:hint="eastAsia"/>
                          <w:sz w:val="24"/>
                          <w:szCs w:val="24"/>
                          <w:highlight w:val="yellow"/>
                          <w:lang w:val="en-US" w:eastAsia="zh-CN"/>
                        </w:rPr>
                      </w:pPr>
                      <w:r>
                        <w:rPr>
                          <w:rFonts w:hint="eastAsia"/>
                          <w:sz w:val="24"/>
                          <w:szCs w:val="24"/>
                          <w:highlight w:val="yellow"/>
                          <w:lang w:val="en-US" w:eastAsia="zh-CN"/>
                        </w:rPr>
                        <w:t>大朗乐昌产业共建科技园</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9504" behindDoc="0" locked="0" layoutInCell="1" allowOverlap="1">
                <wp:simplePos x="0" y="0"/>
                <wp:positionH relativeFrom="column">
                  <wp:posOffset>7534910</wp:posOffset>
                </wp:positionH>
                <wp:positionV relativeFrom="paragraph">
                  <wp:posOffset>1827530</wp:posOffset>
                </wp:positionV>
                <wp:extent cx="2404110" cy="817880"/>
                <wp:effectExtent l="0" t="0" r="0" b="0"/>
                <wp:wrapNone/>
                <wp:docPr id="83" name="文本框 83"/>
                <wp:cNvGraphicFramePr/>
                <a:graphic xmlns:a="http://schemas.openxmlformats.org/drawingml/2006/main">
                  <a:graphicData uri="http://schemas.microsoft.com/office/word/2010/wordprocessingShape">
                    <wps:wsp>
                      <wps:cNvSpPr txBox="1"/>
                      <wps:spPr>
                        <a:xfrm>
                          <a:off x="0" y="0"/>
                          <a:ext cx="2404110" cy="8178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A6341E">
                            <w:pPr>
                              <w:rPr>
                                <w:rFonts w:hint="default"/>
                                <w:sz w:val="24"/>
                                <w:szCs w:val="24"/>
                                <w:highlight w:val="yellow"/>
                                <w:lang w:val="en-US" w:eastAsia="zh-CN"/>
                              </w:rPr>
                            </w:pPr>
                            <w:r>
                              <w:rPr>
                                <w:rFonts w:hint="eastAsia"/>
                                <w:sz w:val="24"/>
                                <w:szCs w:val="24"/>
                                <w:highlight w:val="yellow"/>
                                <w:lang w:val="en-US" w:eastAsia="zh-CN"/>
                              </w:rPr>
                              <w:t xml:space="preserve"> </w:t>
                            </w:r>
                            <w:r>
                              <w:rPr>
                                <w:rFonts w:hint="default"/>
                                <w:sz w:val="24"/>
                                <w:szCs w:val="24"/>
                                <w:highlight w:val="yellow"/>
                                <w:lang w:val="en-US" w:eastAsia="zh-CN"/>
                              </w:rPr>
                              <w:t>溢拓新能源(广东)有限公司</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3.3pt;margin-top:143.9pt;height:64.4pt;width:189.3pt;z-index:251669504;mso-width-relative:page;mso-height-relative:page;" filled="f" stroked="f" coordsize="21600,21600" o:gfxdata="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NzIjXbAAAADQEAAA8AAAAAAAAAAQAgAAAAIgAA&#10;AGRycy9kb3ducmV2LnhtbFBLAQIUABQAAAAIAIdO4kD5Jx7+PgIAAGgEAAAOAAAAAAAAAAEAIAAA&#10;ACoBAABkcnMvZTJvRG9jLnhtbFBLBQYAAAAABgAGAFkBAADaBQAAAAA=&#10;">
                <v:fill on="f" focussize="0,0"/>
                <v:stroke on="f" weight="0.5pt"/>
                <v:imagedata o:title=""/>
                <o:lock v:ext="edit" aspectratio="f"/>
                <v:textbox>
                  <w:txbxContent>
                    <w:p w14:paraId="61A6341E">
                      <w:pPr>
                        <w:rPr>
                          <w:rFonts w:hint="default"/>
                          <w:sz w:val="24"/>
                          <w:szCs w:val="24"/>
                          <w:highlight w:val="yellow"/>
                          <w:lang w:val="en-US" w:eastAsia="zh-CN"/>
                        </w:rPr>
                      </w:pPr>
                      <w:r>
                        <w:rPr>
                          <w:rFonts w:hint="eastAsia"/>
                          <w:sz w:val="24"/>
                          <w:szCs w:val="24"/>
                          <w:highlight w:val="yellow"/>
                          <w:lang w:val="en-US" w:eastAsia="zh-CN"/>
                        </w:rPr>
                        <w:t xml:space="preserve"> </w:t>
                      </w:r>
                      <w:r>
                        <w:rPr>
                          <w:rFonts w:hint="default"/>
                          <w:sz w:val="24"/>
                          <w:szCs w:val="24"/>
                          <w:highlight w:val="yellow"/>
                          <w:lang w:val="en-US" w:eastAsia="zh-CN"/>
                        </w:rPr>
                        <w:t>溢拓新能源(广东)有限公司</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6432" behindDoc="0" locked="0" layoutInCell="1" allowOverlap="1">
                <wp:simplePos x="0" y="0"/>
                <wp:positionH relativeFrom="column">
                  <wp:posOffset>8428355</wp:posOffset>
                </wp:positionH>
                <wp:positionV relativeFrom="paragraph">
                  <wp:posOffset>4797425</wp:posOffset>
                </wp:positionV>
                <wp:extent cx="1037590" cy="394335"/>
                <wp:effectExtent l="0" t="0" r="0" b="0"/>
                <wp:wrapNone/>
                <wp:docPr id="21" name="文本框 21"/>
                <wp:cNvGraphicFramePr/>
                <a:graphic xmlns:a="http://schemas.openxmlformats.org/drawingml/2006/main">
                  <a:graphicData uri="http://schemas.microsoft.com/office/word/2010/wordprocessingShape">
                    <wps:wsp>
                      <wps:cNvSpPr txBox="1"/>
                      <wps:spPr>
                        <a:xfrm>
                          <a:off x="4313555" y="2974975"/>
                          <a:ext cx="1037590" cy="3943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1B729A">
                            <w:pPr>
                              <w:rPr>
                                <w:rFonts w:hint="eastAsia" w:eastAsia="宋体"/>
                                <w:sz w:val="28"/>
                                <w:szCs w:val="28"/>
                                <w:highlight w:val="yellow"/>
                                <w:lang w:eastAsia="zh-CN"/>
                              </w:rPr>
                            </w:pPr>
                            <w:r>
                              <w:rPr>
                                <w:rFonts w:hint="eastAsia"/>
                                <w:sz w:val="28"/>
                                <w:szCs w:val="28"/>
                                <w:highlight w:val="yellow"/>
                                <w:lang w:val="en-US" w:eastAsia="zh-CN"/>
                              </w:rPr>
                              <w:t>空</w:t>
                            </w:r>
                            <w:r>
                              <w:rPr>
                                <w:rFonts w:hint="eastAsia"/>
                                <w:sz w:val="28"/>
                                <w:szCs w:val="28"/>
                                <w:highlight w:val="yellow"/>
                                <w:lang w:eastAsia="zh-CN"/>
                              </w:rPr>
                              <w:t>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3.65pt;margin-top:377.75pt;height:31.05pt;width:81.7pt;z-index:251666432;mso-width-relative:page;mso-height-relative:page;" filled="f" stroked="f" coordsize="21600,21600" o:gfxdata="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yr8hn90AAAANAQAADwAA&#10;AAAAAAABACAAAAAiAAAAZHJzL2Rvd25yZXYueG1sUEsBAhQAFAAAAAgAh07iQIKZhpVKAgAAdAQA&#10;AA4AAAAAAAAAAQAgAAAALAEAAGRycy9lMm9Eb2MueG1sUEsFBgAAAAAGAAYAWQEAAOgFAAAAAA==&#10;">
                <v:fill on="f" focussize="0,0"/>
                <v:stroke on="f" weight="0.5pt"/>
                <v:imagedata o:title=""/>
                <o:lock v:ext="edit" aspectratio="f"/>
                <v:textbox>
                  <w:txbxContent>
                    <w:p w14:paraId="4F1B729A">
                      <w:pPr>
                        <w:rPr>
                          <w:rFonts w:hint="eastAsia" w:eastAsia="宋体"/>
                          <w:sz w:val="28"/>
                          <w:szCs w:val="28"/>
                          <w:highlight w:val="yellow"/>
                          <w:lang w:eastAsia="zh-CN"/>
                        </w:rPr>
                      </w:pPr>
                      <w:r>
                        <w:rPr>
                          <w:rFonts w:hint="eastAsia"/>
                          <w:sz w:val="28"/>
                          <w:szCs w:val="28"/>
                          <w:highlight w:val="yellow"/>
                          <w:lang w:val="en-US" w:eastAsia="zh-CN"/>
                        </w:rPr>
                        <w:t>空</w:t>
                      </w:r>
                      <w:r>
                        <w:rPr>
                          <w:rFonts w:hint="eastAsia"/>
                          <w:sz w:val="28"/>
                          <w:szCs w:val="28"/>
                          <w:highlight w:val="yellow"/>
                          <w:lang w:eastAsia="zh-CN"/>
                        </w:rPr>
                        <w:t>地</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67456" behindDoc="0" locked="0" layoutInCell="1" allowOverlap="1">
                <wp:simplePos x="0" y="0"/>
                <wp:positionH relativeFrom="column">
                  <wp:posOffset>7013575</wp:posOffset>
                </wp:positionH>
                <wp:positionV relativeFrom="paragraph">
                  <wp:posOffset>2845435</wp:posOffset>
                </wp:positionV>
                <wp:extent cx="2152015" cy="38989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2152015" cy="3898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7ECB17">
                            <w:pPr>
                              <w:keepNext w:val="0"/>
                              <w:keepLines w:val="0"/>
                              <w:pageBreakBefore w:val="0"/>
                              <w:widowControl w:val="0"/>
                              <w:kinsoku/>
                              <w:wordWrap/>
                              <w:overflowPunct/>
                              <w:topLinePunct w:val="0"/>
                              <w:bidi w:val="0"/>
                              <w:adjustRightInd/>
                              <w:snapToGrid/>
                              <w:spacing w:line="240" w:lineRule="auto"/>
                              <w:jc w:val="center"/>
                              <w:textAlignment w:val="auto"/>
                              <w:rPr>
                                <w:rFonts w:hint="eastAsia"/>
                                <w:sz w:val="28"/>
                                <w:szCs w:val="28"/>
                                <w:highlight w:val="yellow"/>
                                <w:lang w:eastAsia="zh-CN"/>
                              </w:rPr>
                            </w:pPr>
                            <w:r>
                              <w:rPr>
                                <w:rFonts w:hint="eastAsia"/>
                                <w:sz w:val="28"/>
                                <w:szCs w:val="28"/>
                                <w:highlight w:val="yellow"/>
                                <w:lang w:val="en-US"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2.25pt;margin-top:224.05pt;height:30.7pt;width:169.45pt;z-index:251667456;mso-width-relative:page;mso-height-relative:page;" filled="f" stroked="f" coordsize="21600,21600" o:gfxdata="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O70AUfcAAAADQEAAA8AAAAAAAAAAQAgAAAAIgAA&#10;AGRycy9kb3ducmV2LnhtbFBLAQIUABQAAAAIAIdO4kAqvAcCPQIAAGgEAAAOAAAAAAAAAAEAIAAA&#10;ACsBAABkcnMvZTJvRG9jLnhtbFBLBQYAAAAABgAGAFkBAADaBQAAAAA=&#10;">
                <v:fill on="f" focussize="0,0"/>
                <v:stroke on="f" weight="0.5pt"/>
                <v:imagedata o:title=""/>
                <o:lock v:ext="edit" aspectratio="f"/>
                <v:textbox>
                  <w:txbxContent>
                    <w:p w14:paraId="5B7ECB17">
                      <w:pPr>
                        <w:keepNext w:val="0"/>
                        <w:keepLines w:val="0"/>
                        <w:pageBreakBefore w:val="0"/>
                        <w:widowControl w:val="0"/>
                        <w:kinsoku/>
                        <w:wordWrap/>
                        <w:overflowPunct/>
                        <w:topLinePunct w:val="0"/>
                        <w:bidi w:val="0"/>
                        <w:adjustRightInd/>
                        <w:snapToGrid/>
                        <w:spacing w:line="240" w:lineRule="auto"/>
                        <w:jc w:val="center"/>
                        <w:textAlignment w:val="auto"/>
                        <w:rPr>
                          <w:rFonts w:hint="eastAsia"/>
                          <w:sz w:val="28"/>
                          <w:szCs w:val="28"/>
                          <w:highlight w:val="yellow"/>
                          <w:lang w:eastAsia="zh-CN"/>
                        </w:rPr>
                      </w:pPr>
                      <w:r>
                        <w:rPr>
                          <w:rFonts w:hint="eastAsia"/>
                          <w:sz w:val="28"/>
                          <w:szCs w:val="28"/>
                          <w:highlight w:val="yellow"/>
                          <w:lang w:val="en-US" w:eastAsia="zh-CN"/>
                        </w:rPr>
                        <w:t>项目位置</w:t>
                      </w:r>
                    </w:p>
                  </w:txbxContent>
                </v:textbox>
              </v:shape>
            </w:pict>
          </mc:Fallback>
        </mc:AlternateContent>
      </w:r>
      <w:r>
        <w:rPr>
          <w:rFonts w:hint="default" w:ascii="Times New Roman" w:hAnsi="Times New Roman" w:cs="Times New Roman"/>
          <w:color w:val="auto"/>
          <w:highlight w:val="none"/>
        </w:rPr>
        <w:drawing>
          <wp:inline distT="0" distB="0" distL="114300" distR="114300">
            <wp:extent cx="10375265" cy="6784975"/>
            <wp:effectExtent l="0" t="0" r="6985" b="15875"/>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2"/>
                    <pic:cNvPicPr>
                      <a:picLocks noChangeAspect="1"/>
                    </pic:cNvPicPr>
                  </pic:nvPicPr>
                  <pic:blipFill>
                    <a:blip r:embed="rId23"/>
                    <a:stretch>
                      <a:fillRect/>
                    </a:stretch>
                  </pic:blipFill>
                  <pic:spPr>
                    <a:xfrm>
                      <a:off x="0" y="0"/>
                      <a:ext cx="10375265" cy="6784975"/>
                    </a:xfrm>
                    <a:prstGeom prst="rect">
                      <a:avLst/>
                    </a:prstGeom>
                    <a:noFill/>
                    <a:ln>
                      <a:noFill/>
                    </a:ln>
                  </pic:spPr>
                </pic:pic>
              </a:graphicData>
            </a:graphic>
          </wp:inline>
        </w:drawing>
      </w:r>
    </w:p>
    <w:p w14:paraId="2B66BCCE">
      <w:pPr>
        <w:pageBreakBefore w:val="0"/>
        <w:wordWrap w:val="0"/>
        <w:topLinePunct w:val="0"/>
        <w:bidi w:val="0"/>
        <w:rPr>
          <w:rFonts w:hint="default" w:ascii="Times New Roman" w:hAnsi="Times New Roman" w:cs="Times New Roman"/>
          <w:color w:val="auto"/>
          <w:highlight w:val="none"/>
        </w:rPr>
      </w:pPr>
    </w:p>
    <w:p w14:paraId="439002AF">
      <w:pPr>
        <w:pStyle w:val="3"/>
        <w:pageBreakBefore w:val="0"/>
        <w:numPr>
          <w:ilvl w:val="0"/>
          <w:numId w:val="0"/>
        </w:numPr>
        <w:wordWrap w:val="0"/>
        <w:topLinePunct w:val="0"/>
        <w:bidi w:val="0"/>
        <w:ind w:left="0" w:leftChars="0" w:firstLine="0" w:firstLineChars="0"/>
        <w:rPr>
          <w:rFonts w:hint="default" w:ascii="Times New Roman" w:hAnsi="Times New Roman" w:cs="Times New Roman"/>
          <w:color w:val="auto"/>
          <w:highlight w:val="none"/>
        </w:rPr>
        <w:sectPr>
          <w:pgSz w:w="23811" w:h="16838"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00D4A8E8">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rPr>
      </w:pPr>
      <w:bookmarkStart w:id="130" w:name="_Toc15397"/>
      <w:bookmarkStart w:id="131" w:name="_Toc7990"/>
      <w:r>
        <w:rPr>
          <w:rFonts w:hint="default" w:ascii="Times New Roman" w:hAnsi="Times New Roman" w:cs="Times New Roman"/>
          <w:color w:val="auto"/>
          <w:sz w:val="24"/>
          <w:highlight w:val="none"/>
        </w:rPr>
        <mc:AlternateContent>
          <mc:Choice Requires="wps">
            <w:drawing>
              <wp:anchor distT="0" distB="0" distL="114300" distR="114300" simplePos="0" relativeHeight="251706368" behindDoc="0" locked="0" layoutInCell="1" allowOverlap="1">
                <wp:simplePos x="0" y="0"/>
                <wp:positionH relativeFrom="column">
                  <wp:posOffset>8087995</wp:posOffset>
                </wp:positionH>
                <wp:positionV relativeFrom="paragraph">
                  <wp:posOffset>-170180</wp:posOffset>
                </wp:positionV>
                <wp:extent cx="1032510" cy="1045210"/>
                <wp:effectExtent l="0" t="0" r="0" b="0"/>
                <wp:wrapNone/>
                <wp:docPr id="28" name="文本框 28"/>
                <wp:cNvGraphicFramePr/>
                <a:graphic xmlns:a="http://schemas.openxmlformats.org/drawingml/2006/main">
                  <a:graphicData uri="http://schemas.microsoft.com/office/word/2010/wordprocessingShape">
                    <wps:wsp>
                      <wps:cNvSpPr txBox="1"/>
                      <wps:spPr>
                        <a:xfrm>
                          <a:off x="9196070" y="860425"/>
                          <a:ext cx="1032510" cy="104521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5172C0D">
                            <w:pPr>
                              <w:jc w:val="center"/>
                              <w:rPr>
                                <w:rFonts w:hint="eastAsia" w:eastAsia="宋体"/>
                                <w:b/>
                                <w:bCs/>
                                <w:sz w:val="32"/>
                                <w:szCs w:val="32"/>
                                <w:lang w:val="en-US" w:eastAsia="zh-CN"/>
                              </w:rPr>
                            </w:pPr>
                            <w:r>
                              <w:rPr>
                                <w:rFonts w:hint="eastAsia"/>
                                <w:b/>
                                <w:bCs/>
                                <w:sz w:val="32"/>
                                <w:szCs w:val="32"/>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6.85pt;margin-top:-13.4pt;height:82.3pt;width:81.3pt;z-index:251706368;mso-width-relative:page;mso-height-relative:page;" filled="f" stroked="f" coordsize="21600,21600" o:gfxdata="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ZgScdwAAAANAQAADwAAAAAA&#10;AAABACAAAAAiAAAAZHJzL2Rvd25yZXYueG1sUEsBAhQAFAAAAAgAh07iQN4OMw5IAgAAdAQAAA4A&#10;AAAAAAAAAQAgAAAAKwEAAGRycy9lMm9Eb2MueG1sUEsFBgAAAAAGAAYAWQEAAOUFAAAAAA==&#10;">
                <v:fill on="f" focussize="0,0"/>
                <v:stroke on="f" weight="0.5pt"/>
                <v:imagedata o:title=""/>
                <o:lock v:ext="edit" aspectratio="f"/>
                <v:textbox>
                  <w:txbxContent>
                    <w:p w14:paraId="75172C0D">
                      <w:pPr>
                        <w:jc w:val="center"/>
                        <w:rPr>
                          <w:rFonts w:hint="eastAsia" w:eastAsia="宋体"/>
                          <w:b/>
                          <w:bCs/>
                          <w:sz w:val="32"/>
                          <w:szCs w:val="32"/>
                          <w:lang w:val="en-US" w:eastAsia="zh-CN"/>
                        </w:rPr>
                      </w:pPr>
                      <w:r>
                        <w:rPr>
                          <w:rFonts w:hint="eastAsia"/>
                          <w:b/>
                          <w:bCs/>
                          <w:sz w:val="32"/>
                          <w:szCs w:val="32"/>
                          <w:lang w:val="en-US" w:eastAsia="zh-CN"/>
                        </w:rPr>
                        <w:t>N</w:t>
                      </w:r>
                    </w:p>
                  </w:txbxContent>
                </v:textbox>
              </v:shape>
            </w:pict>
          </mc:Fallback>
        </mc:AlternateContent>
      </w:r>
      <w:r>
        <w:rPr>
          <w:rFonts w:hint="default" w:ascii="Times New Roman" w:hAnsi="Times New Roman" w:eastAsia="宋体" w:cs="Times New Roman"/>
          <w:b/>
          <w:bCs/>
          <w:color w:val="auto"/>
          <w:kern w:val="0"/>
          <w:sz w:val="24"/>
          <w:szCs w:val="24"/>
          <w:highlight w:val="none"/>
          <w:lang w:val="en-US" w:eastAsia="zh-CN" w:bidi="ar-SA"/>
        </w:rPr>
        <w:t>附图3</w:t>
      </w:r>
      <w:r>
        <w:rPr>
          <w:rFonts w:hint="default" w:ascii="Times New Roman" w:hAnsi="Times New Roman" w:cs="Times New Roman"/>
          <w:b/>
          <w:bCs/>
          <w:color w:val="auto"/>
          <w:kern w:val="0"/>
          <w:sz w:val="24"/>
          <w:szCs w:val="24"/>
          <w:highlight w:val="none"/>
          <w:lang w:val="en-US" w:eastAsia="zh-CN" w:bidi="ar-SA"/>
        </w:rPr>
        <w:t>-1</w:t>
      </w:r>
      <w:r>
        <w:rPr>
          <w:rFonts w:hint="default" w:ascii="Times New Roman" w:hAnsi="Times New Roman" w:eastAsia="宋体" w:cs="Times New Roman"/>
          <w:b/>
          <w:bCs/>
          <w:color w:val="auto"/>
          <w:kern w:val="0"/>
          <w:sz w:val="24"/>
          <w:szCs w:val="24"/>
          <w:highlight w:val="none"/>
          <w:lang w:val="en-US" w:eastAsia="zh-CN" w:bidi="ar-SA"/>
        </w:rPr>
        <w:t xml:space="preserve"> </w:t>
      </w:r>
      <w:r>
        <w:rPr>
          <w:rFonts w:hint="default" w:ascii="Times New Roman" w:hAnsi="Times New Roman" w:cs="Times New Roman"/>
          <w:b/>
          <w:bCs/>
          <w:color w:val="auto"/>
          <w:sz w:val="24"/>
          <w:szCs w:val="24"/>
          <w:highlight w:val="none"/>
          <w:lang w:val="en-US" w:eastAsia="zh-CN"/>
        </w:rPr>
        <w:t>1F</w:t>
      </w:r>
      <w:r>
        <w:rPr>
          <w:rFonts w:hint="default" w:ascii="Times New Roman" w:hAnsi="Times New Roman" w:eastAsia="宋体" w:cs="Times New Roman"/>
          <w:b/>
          <w:bCs/>
          <w:color w:val="auto"/>
          <w:sz w:val="24"/>
          <w:szCs w:val="24"/>
          <w:highlight w:val="none"/>
        </w:rPr>
        <w:t>平面布置图</w:t>
      </w:r>
      <w:bookmarkEnd w:id="130"/>
      <w:bookmarkEnd w:id="131"/>
    </w:p>
    <w:p w14:paraId="3F33ACBD">
      <w:pPr>
        <w:pageBreakBefore w:val="0"/>
        <w:wordWrap w:val="0"/>
        <w:topLinePunct w:val="0"/>
        <w:bidi w:val="0"/>
        <w:jc w:val="center"/>
        <w:rPr>
          <w:rFonts w:hint="default" w:ascii="Times New Roman" w:hAnsi="Times New Roman" w:cs="Times New Roman"/>
          <w:color w:val="auto"/>
          <w:highlight w:val="none"/>
        </w:rPr>
        <w:sectPr>
          <w:pgSz w:w="16838" w:h="11906" w:orient="landscape"/>
          <w:pgMar w:top="1417" w:right="1417" w:bottom="1134" w:left="1559" w:header="851" w:footer="624"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cs="Times New Roman"/>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2338070</wp:posOffset>
                </wp:positionH>
                <wp:positionV relativeFrom="paragraph">
                  <wp:posOffset>3927475</wp:posOffset>
                </wp:positionV>
                <wp:extent cx="260985" cy="287020"/>
                <wp:effectExtent l="6350" t="6350" r="6985" b="11430"/>
                <wp:wrapNone/>
                <wp:docPr id="12" name="同心圆 12"/>
                <wp:cNvGraphicFramePr/>
                <a:graphic xmlns:a="http://schemas.openxmlformats.org/drawingml/2006/main">
                  <a:graphicData uri="http://schemas.microsoft.com/office/word/2010/wordprocessingShape">
                    <wps:wsp>
                      <wps:cNvSpPr/>
                      <wps:spPr>
                        <a:xfrm>
                          <a:off x="0" y="0"/>
                          <a:ext cx="260985" cy="287020"/>
                        </a:xfrm>
                        <a:prstGeom prst="donut">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84.1pt;margin-top:309.25pt;height:22.6pt;width:20.55pt;z-index:251711488;v-text-anchor:middle;mso-width-relative:page;mso-height-relative:page;" fillcolor="#00B0F0" filled="t" stroked="t" coordsize="21600,21600" o:gfxdata="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qDwJl2gAAAAsBAAAPAAAAAAAAAAEAIAAAACIA&#10;AABkcnMvZG93bnJldi54bWxQSwECFAAUAAAACACHTuJATMEOZXkCAAD5BAAADgAAAAAAAAABACAA&#10;AAApAQAAZHJzL2Uyb0RvYy54bWxQSwUGAAAAAAYABgBZAQAAFAYAAAAA&#10;" adj="540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10464" behindDoc="0" locked="0" layoutInCell="1" allowOverlap="1">
                <wp:simplePos x="0" y="0"/>
                <wp:positionH relativeFrom="column">
                  <wp:posOffset>6536055</wp:posOffset>
                </wp:positionH>
                <wp:positionV relativeFrom="paragraph">
                  <wp:posOffset>1286510</wp:posOffset>
                </wp:positionV>
                <wp:extent cx="914400" cy="1008380"/>
                <wp:effectExtent l="0" t="0" r="0" b="0"/>
                <wp:wrapNone/>
                <wp:docPr id="6" name="文本框 6"/>
                <wp:cNvGraphicFramePr/>
                <a:graphic xmlns:a="http://schemas.openxmlformats.org/drawingml/2006/main">
                  <a:graphicData uri="http://schemas.microsoft.com/office/word/2010/wordprocessingShape">
                    <wps:wsp>
                      <wps:cNvSpPr txBox="1"/>
                      <wps:spPr>
                        <a:xfrm>
                          <a:off x="7526020" y="2554605"/>
                          <a:ext cx="914400" cy="10083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CA7E89">
                            <w:pPr>
                              <w:rPr>
                                <w:rFonts w:hint="default" w:eastAsia="宋体"/>
                                <w:b/>
                                <w:bCs/>
                                <w:sz w:val="36"/>
                                <w:szCs w:val="36"/>
                                <w:lang w:val="en-US" w:eastAsia="zh-CN"/>
                              </w:rPr>
                            </w:pPr>
                            <w:r>
                              <w:rPr>
                                <w:rFonts w:hint="eastAsia"/>
                                <w:b/>
                                <w:bCs/>
                                <w:sz w:val="36"/>
                                <w:szCs w:val="36"/>
                                <w:lang w:val="en-US" w:eastAsia="zh-CN"/>
                              </w:rPr>
                              <w:t>品检区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14.65pt;margin-top:101.3pt;height:79.4pt;width:72pt;z-index:251710464;mso-width-relative:page;mso-height-relative:page;" filled="f" stroked="f" coordsize="21600,21600" o:gfxdata="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3tMmz3AAAAA0BAAAPAAAAAAAA&#10;AAEAIAAAACIAAABkcnMvZG93bnJldi54bWxQSwECFAAUAAAACACHTuJAZA+g6kcCAAByBAAADgAA&#10;AAAAAAABACAAAAArAQAAZHJzL2Uyb0RvYy54bWxQSwUGAAAAAAYABgBZAQAA5AUAAAAA&#10;">
                <v:fill on="f" focussize="0,0"/>
                <v:stroke on="f" weight="0.5pt"/>
                <v:imagedata o:title=""/>
                <o:lock v:ext="edit" aspectratio="f"/>
                <v:textbox>
                  <w:txbxContent>
                    <w:p w14:paraId="0BCA7E89">
                      <w:pPr>
                        <w:rPr>
                          <w:rFonts w:hint="default" w:eastAsia="宋体"/>
                          <w:b/>
                          <w:bCs/>
                          <w:sz w:val="36"/>
                          <w:szCs w:val="36"/>
                          <w:lang w:val="en-US" w:eastAsia="zh-CN"/>
                        </w:rPr>
                      </w:pPr>
                      <w:r>
                        <w:rPr>
                          <w:rFonts w:hint="eastAsia"/>
                          <w:b/>
                          <w:bCs/>
                          <w:sz w:val="36"/>
                          <w:szCs w:val="36"/>
                          <w:lang w:val="en-US" w:eastAsia="zh-CN"/>
                        </w:rPr>
                        <w:t>品检区</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9440" behindDoc="0" locked="0" layoutInCell="1" allowOverlap="1">
                <wp:simplePos x="0" y="0"/>
                <wp:positionH relativeFrom="column">
                  <wp:posOffset>5715000</wp:posOffset>
                </wp:positionH>
                <wp:positionV relativeFrom="paragraph">
                  <wp:posOffset>946785</wp:posOffset>
                </wp:positionV>
                <wp:extent cx="2488565" cy="887095"/>
                <wp:effectExtent l="7620" t="6350" r="18415" b="20955"/>
                <wp:wrapNone/>
                <wp:docPr id="5" name="任意多边形 5"/>
                <wp:cNvGraphicFramePr/>
                <a:graphic xmlns:a="http://schemas.openxmlformats.org/drawingml/2006/main">
                  <a:graphicData uri="http://schemas.microsoft.com/office/word/2010/wordprocessingShape">
                    <wps:wsp>
                      <wps:cNvSpPr/>
                      <wps:spPr>
                        <a:xfrm>
                          <a:off x="6704965" y="2120900"/>
                          <a:ext cx="2488565" cy="887095"/>
                        </a:xfrm>
                        <a:custGeom>
                          <a:avLst/>
                          <a:gdLst>
                            <a:gd name="connisteX0" fmla="*/ 0 w 2488565"/>
                            <a:gd name="connsiteY0" fmla="*/ 93980 h 887095"/>
                            <a:gd name="connisteX1" fmla="*/ 140335 w 2488565"/>
                            <a:gd name="connsiteY1" fmla="*/ 887095 h 887095"/>
                            <a:gd name="connisteX2" fmla="*/ 2488565 w 2488565"/>
                            <a:gd name="connsiteY2" fmla="*/ 887095 h 887095"/>
                            <a:gd name="connisteX3" fmla="*/ 2441575 w 2488565"/>
                            <a:gd name="connsiteY3" fmla="*/ 793115 h 887095"/>
                            <a:gd name="connisteX4" fmla="*/ 2488565 w 2488565"/>
                            <a:gd name="connsiteY4" fmla="*/ 0 h 887095"/>
                            <a:gd name="connisteX5" fmla="*/ 0 w 2488565"/>
                            <a:gd name="connsiteY5" fmla="*/ 93980 h 88709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2488565" h="887095">
                              <a:moveTo>
                                <a:pt x="0" y="93980"/>
                              </a:moveTo>
                              <a:lnTo>
                                <a:pt x="140335" y="887095"/>
                              </a:lnTo>
                              <a:lnTo>
                                <a:pt x="2488565" y="887095"/>
                              </a:lnTo>
                              <a:lnTo>
                                <a:pt x="2441575" y="793115"/>
                              </a:lnTo>
                              <a:lnTo>
                                <a:pt x="2488565" y="0"/>
                              </a:lnTo>
                              <a:lnTo>
                                <a:pt x="0" y="93980"/>
                              </a:lnTo>
                              <a:close/>
                            </a:path>
                          </a:pathLst>
                        </a:custGeom>
                        <a:solidFill>
                          <a:schemeClr val="accent6">
                            <a:lumMod val="40000"/>
                            <a:lumOff val="60000"/>
                          </a:schemeClr>
                        </a:solidFill>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50pt;margin-top:74.55pt;height:69.85pt;width:195.95pt;z-index:251709440;mso-width-relative:page;mso-height-relative:page;" fillcolor="#C5E0B4 [1305]" filled="t" stroked="t" coordsize="2488565,887095" o:gfxdata="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" path="m0,93980l140335,887095,2488565,887095,2441575,793115,2488565,0,0,93980xe">
                <v:path o:connectlocs="0,93980;140335,887095;2488565,887095;2441575,793115;2488565,0;0,93980" o:connectangles="0,0,0,0,0,0"/>
                <v:fill on="t" focussize="0,0"/>
                <v:stroke weight="1pt" color="#2E75B6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5344" behindDoc="0" locked="0" layoutInCell="1" allowOverlap="1">
                <wp:simplePos x="0" y="0"/>
                <wp:positionH relativeFrom="column">
                  <wp:posOffset>8611235</wp:posOffset>
                </wp:positionH>
                <wp:positionV relativeFrom="paragraph">
                  <wp:posOffset>21590</wp:posOffset>
                </wp:positionV>
                <wp:extent cx="11430" cy="583565"/>
                <wp:effectExtent l="55245" t="0" r="66675" b="6985"/>
                <wp:wrapNone/>
                <wp:docPr id="10" name="直接箭头连接符 10"/>
                <wp:cNvGraphicFramePr/>
                <a:graphic xmlns:a="http://schemas.openxmlformats.org/drawingml/2006/main">
                  <a:graphicData uri="http://schemas.microsoft.com/office/word/2010/wordprocessingShape">
                    <wps:wsp>
                      <wps:cNvCnPr/>
                      <wps:spPr>
                        <a:xfrm flipV="1">
                          <a:off x="9601200" y="1119505"/>
                          <a:ext cx="11430" cy="583565"/>
                        </a:xfrm>
                        <a:prstGeom prst="straightConnector1">
                          <a:avLst/>
                        </a:prstGeom>
                        <a:ln w="28575">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678.05pt;margin-top:1.7pt;height:45.95pt;width:0.9pt;z-index:251705344;mso-width-relative:page;mso-height-relative:page;" filled="f" stroked="t" coordsize="21600,21600" o:gfxdata="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AeYMgi2AAAAAoB&#10;AAAPAAAAAAAAAAEAIAAAACIAAABkcnMvZG93bnJldi54bWxQSwECFAAUAAAACACHTuJAorhEcBsC&#10;AAD6AwAADgAAAAAAAAABACAAAAAnAQAAZHJzL2Uyb0RvYy54bWxQSwUGAAAAAAYABgBZAQAAtAUA&#10;AAAA&#10;">
                <v:fill on="f" focussize="0,0"/>
                <v:stroke weight="2.25pt" color="#000000 [3213]" miterlimit="8" joinstyle="miter" endarrow="open"/>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89984" behindDoc="0" locked="0" layoutInCell="1" allowOverlap="1">
                <wp:simplePos x="0" y="0"/>
                <wp:positionH relativeFrom="column">
                  <wp:posOffset>8465820</wp:posOffset>
                </wp:positionH>
                <wp:positionV relativeFrom="paragraph">
                  <wp:posOffset>4904105</wp:posOffset>
                </wp:positionV>
                <wp:extent cx="149860" cy="301625"/>
                <wp:effectExtent l="6985" t="6985" r="15240" b="14605"/>
                <wp:wrapNone/>
                <wp:docPr id="17" name="矩形 17"/>
                <wp:cNvGraphicFramePr/>
                <a:graphic xmlns:a="http://schemas.openxmlformats.org/drawingml/2006/main">
                  <a:graphicData uri="http://schemas.microsoft.com/office/word/2010/wordprocessingShape">
                    <wps:wsp>
                      <wps:cNvSpPr/>
                      <wps:spPr>
                        <a:xfrm rot="5400000">
                          <a:off x="0" y="0"/>
                          <a:ext cx="149860" cy="301625"/>
                        </a:xfrm>
                        <a:prstGeom prst="rect">
                          <a:avLst/>
                        </a:prstGeom>
                        <a:solidFill>
                          <a:srgbClr val="0070C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66.6pt;margin-top:386.15pt;height:23.75pt;width:11.8pt;rotation:5898240f;z-index:251689984;v-text-anchor:middle;mso-width-relative:page;mso-height-relative:page;" fillcolor="#0070C0" filled="t" stroked="t" coordsize="21600,21600" o:gfxdata="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5ksOJ3AAAAA0BAAAPAAAAAAAAAAEAIAAA&#10;ACIAAABkcnMvZG93bnJldi54bWxQSwECFAAUAAAACACHTuJAWQNjVHoCAAADBQAADgAAAAAAAAAB&#10;ACAAAAArAQAAZHJzL2Uyb0RvYy54bWxQSwUGAAAAAAYABgBZAQAAFwY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1008" behindDoc="0" locked="0" layoutInCell="1" allowOverlap="1">
                <wp:simplePos x="0" y="0"/>
                <wp:positionH relativeFrom="column">
                  <wp:posOffset>7827645</wp:posOffset>
                </wp:positionH>
                <wp:positionV relativeFrom="paragraph">
                  <wp:posOffset>4766945</wp:posOffset>
                </wp:positionV>
                <wp:extent cx="278765" cy="140335"/>
                <wp:effectExtent l="6350" t="6350" r="6350" b="15240"/>
                <wp:wrapNone/>
                <wp:docPr id="18" name="矩形 18"/>
                <wp:cNvGraphicFramePr/>
                <a:graphic xmlns:a="http://schemas.openxmlformats.org/drawingml/2006/main">
                  <a:graphicData uri="http://schemas.microsoft.com/office/word/2010/wordprocessingShape">
                    <wps:wsp>
                      <wps:cNvSpPr/>
                      <wps:spPr>
                        <a:xfrm>
                          <a:off x="0" y="0"/>
                          <a:ext cx="278765" cy="140335"/>
                        </a:xfrm>
                        <a:prstGeom prst="rect">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6.35pt;margin-top:375.35pt;height:11.05pt;width:21.95pt;z-index:251691008;v-text-anchor:middle;mso-width-relative:page;mso-height-relative:page;" fillcolor="#FF0000" filled="t" stroked="t" coordsize="21600,21600" o:gfxdata="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deKJ2tkAAAANAQAADwAAAAAAAAABACAAAAAiAAAAZHJzL2Rvd25y&#10;ZXYueG1sUEsBAhQAFAAAAAgAh07iQPEvwLNvAgAA9QQAAA4AAAAAAAAAAQAgAAAAKAEAAGRycy9l&#10;Mm9Eb2MueG1sUEsFBgAAAAAGAAYAWQEAAAkGAAAAAA==&#10;">
                <v:fill on="t" focussize="0,0"/>
                <v:stroke weight="1pt" color="#000000 [3213]" miterlimit="8" joinstyle="miter"/>
                <v:imagedata o:title=""/>
                <o:lock v:ext="edit" aspectratio="f"/>
              </v:rect>
            </w:pict>
          </mc:Fallback>
        </mc:AlternateContent>
      </w:r>
      <w:r>
        <w:rPr>
          <w:rFonts w:hint="default" w:ascii="Times New Roman" w:hAnsi="Times New Roman" w:cs="Times New Roman"/>
          <w:color w:val="auto"/>
          <w:highlight w:val="none"/>
        </w:rPr>
        <w:drawing>
          <wp:inline distT="0" distB="0" distL="114300" distR="114300">
            <wp:extent cx="8532495" cy="4790440"/>
            <wp:effectExtent l="0" t="0" r="1905" b="1016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4"/>
                    <a:stretch>
                      <a:fillRect/>
                    </a:stretch>
                  </pic:blipFill>
                  <pic:spPr>
                    <a:xfrm>
                      <a:off x="0" y="0"/>
                      <a:ext cx="8532495" cy="4790440"/>
                    </a:xfrm>
                    <a:prstGeom prst="rect">
                      <a:avLst/>
                    </a:prstGeom>
                    <a:noFill/>
                    <a:ln>
                      <a:no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88960" behindDoc="0" locked="0" layoutInCell="1" allowOverlap="1">
                <wp:simplePos x="0" y="0"/>
                <wp:positionH relativeFrom="column">
                  <wp:posOffset>7749540</wp:posOffset>
                </wp:positionH>
                <wp:positionV relativeFrom="paragraph">
                  <wp:posOffset>4608195</wp:posOffset>
                </wp:positionV>
                <wp:extent cx="150495" cy="142875"/>
                <wp:effectExtent l="6350" t="6350" r="15875" b="12700"/>
                <wp:wrapNone/>
                <wp:docPr id="16" name="同心圆 16"/>
                <wp:cNvGraphicFramePr/>
                <a:graphic xmlns:a="http://schemas.openxmlformats.org/drawingml/2006/main">
                  <a:graphicData uri="http://schemas.microsoft.com/office/word/2010/wordprocessingShape">
                    <wps:wsp>
                      <wps:cNvSpPr/>
                      <wps:spPr>
                        <a:xfrm>
                          <a:off x="0" y="0"/>
                          <a:ext cx="150495" cy="142875"/>
                        </a:xfrm>
                        <a:prstGeom prst="donut">
                          <a:avLst/>
                        </a:prstGeom>
                        <a:solidFill>
                          <a:srgbClr val="00B0F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610.2pt;margin-top:362.85pt;height:11.25pt;width:11.85pt;z-index:251688960;v-text-anchor:middle;mso-width-relative:page;mso-height-relative:page;" fillcolor="#00B0F0" filled="t" stroked="t" coordsize="21600,21600" o:gfxdata="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AuNlZP2QAAAA0BAAAPAAAAAAAAAAEAIAAAACIA&#10;AABkcnMvZG93bnJldi54bWxQSwECFAAUAAAACACHTuJAMQeZz3oCAAD5BAAADgAAAAAAAAABACAA&#10;AAAoAQAAZHJzL2Uyb0RvYy54bWxQSwUGAAAAAAYABgBZAQAAFAYAAAAA&#10;" adj="5126">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75648" behindDoc="0" locked="0" layoutInCell="1" allowOverlap="1">
                <wp:simplePos x="0" y="0"/>
                <wp:positionH relativeFrom="column">
                  <wp:posOffset>7168515</wp:posOffset>
                </wp:positionH>
                <wp:positionV relativeFrom="paragraph">
                  <wp:posOffset>4249420</wp:posOffset>
                </wp:positionV>
                <wp:extent cx="1632585" cy="990600"/>
                <wp:effectExtent l="4445" t="4445" r="20320" b="14605"/>
                <wp:wrapNone/>
                <wp:docPr id="59" name="文本框 59"/>
                <wp:cNvGraphicFramePr/>
                <a:graphic xmlns:a="http://schemas.openxmlformats.org/drawingml/2006/main">
                  <a:graphicData uri="http://schemas.microsoft.com/office/word/2010/wordprocessingShape">
                    <wps:wsp>
                      <wps:cNvSpPr txBox="1"/>
                      <wps:spPr>
                        <a:xfrm>
                          <a:off x="5304155" y="7680960"/>
                          <a:ext cx="1632585" cy="990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DF1A808">
                            <w:pPr>
                              <w:jc w:val="center"/>
                              <w:rPr>
                                <w:rFonts w:hint="eastAsia"/>
                                <w:b/>
                                <w:bCs/>
                                <w:lang w:eastAsia="zh-CN"/>
                              </w:rPr>
                            </w:pPr>
                            <w:r>
                              <w:rPr>
                                <w:rFonts w:hint="eastAsia"/>
                                <w:b/>
                                <w:bCs/>
                                <w:lang w:eastAsia="zh-CN"/>
                              </w:rPr>
                              <w:t>图例</w:t>
                            </w:r>
                          </w:p>
                          <w:p w14:paraId="5C2719BC">
                            <w:pPr>
                              <w:spacing w:line="240" w:lineRule="auto"/>
                              <w:rPr>
                                <w:rFonts w:hint="eastAsia" w:ascii="宋体" w:hAnsi="宋体" w:eastAsia="宋体" w:cs="宋体"/>
                                <w:sz w:val="24"/>
                                <w:szCs w:val="24"/>
                                <w:lang w:eastAsia="zh-CN"/>
                              </w:rPr>
                            </w:pPr>
                            <w:r>
                              <w:rPr>
                                <w:rFonts w:hint="eastAsia" w:ascii="宋体" w:hAnsi="宋体" w:cs="宋体"/>
                                <w:sz w:val="24"/>
                                <w:szCs w:val="24"/>
                                <w:lang w:val="en-US" w:eastAsia="zh-CN"/>
                              </w:rPr>
                              <w:t>DA001</w:t>
                            </w:r>
                            <w:r>
                              <w:rPr>
                                <w:rFonts w:hint="eastAsia" w:ascii="宋体" w:hAnsi="宋体" w:eastAsia="宋体" w:cs="宋体"/>
                                <w:sz w:val="24"/>
                                <w:szCs w:val="24"/>
                                <w:lang w:eastAsia="zh-CN"/>
                              </w:rPr>
                              <w:t>：</w:t>
                            </w:r>
                          </w:p>
                          <w:p w14:paraId="66D5FB6B">
                            <w:pPr>
                              <w:pStyle w:val="3"/>
                              <w:numPr>
                                <w:ilvl w:val="0"/>
                                <w:numId w:val="0"/>
                              </w:numPr>
                              <w:spacing w:line="240" w:lineRule="auto"/>
                              <w:ind w:left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危废间：</w:t>
                            </w:r>
                          </w:p>
                          <w:p w14:paraId="640A43F0">
                            <w:pPr>
                              <w:spacing w:line="240" w:lineRule="auto"/>
                              <w:rPr>
                                <w:rFonts w:hint="eastAsia"/>
                                <w:lang w:eastAsia="zh-CN"/>
                              </w:rPr>
                            </w:pPr>
                            <w:r>
                              <w:rPr>
                                <w:rFonts w:hint="eastAsia" w:ascii="宋体" w:hAnsi="宋体" w:eastAsia="宋体" w:cs="宋体"/>
                                <w:sz w:val="24"/>
                                <w:szCs w:val="24"/>
                                <w:lang w:eastAsia="zh-CN"/>
                              </w:rPr>
                              <w:t>一般固废暂存区：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64.45pt;margin-top:334.6pt;height:78pt;width:128.55pt;z-index:251675648;mso-width-relative:page;mso-height-relative:page;" fillcolor="#FFFFFF [3201]" filled="t" stroked="t" coordsize="21600,21600" o:gfxdata="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5uqONgAAAANAQAADwAAAAAAAAABACAAAAAiAAAAZHJzL2Rvd25yZXYueG1sUEsB&#10;AhQAFAAAAAgAh07iQMzcyPpnAgAAxQQAAA4AAAAAAAAAAQAgAAAAJwEAAGRycy9lMm9Eb2MueG1s&#10;UEsFBgAAAAAGAAYAWQEAAAAGAAAAAA==&#10;">
                <v:fill on="t" focussize="0,0"/>
                <v:stroke weight="0.5pt" color="#000000 [3204]" joinstyle="round"/>
                <v:imagedata o:title=""/>
                <o:lock v:ext="edit" aspectratio="f"/>
                <v:textbox>
                  <w:txbxContent>
                    <w:p w14:paraId="4DF1A808">
                      <w:pPr>
                        <w:jc w:val="center"/>
                        <w:rPr>
                          <w:rFonts w:hint="eastAsia"/>
                          <w:b/>
                          <w:bCs/>
                          <w:lang w:eastAsia="zh-CN"/>
                        </w:rPr>
                      </w:pPr>
                      <w:r>
                        <w:rPr>
                          <w:rFonts w:hint="eastAsia"/>
                          <w:b/>
                          <w:bCs/>
                          <w:lang w:eastAsia="zh-CN"/>
                        </w:rPr>
                        <w:t>图例</w:t>
                      </w:r>
                    </w:p>
                    <w:p w14:paraId="5C2719BC">
                      <w:pPr>
                        <w:spacing w:line="240" w:lineRule="auto"/>
                        <w:rPr>
                          <w:rFonts w:hint="eastAsia" w:ascii="宋体" w:hAnsi="宋体" w:eastAsia="宋体" w:cs="宋体"/>
                          <w:sz w:val="24"/>
                          <w:szCs w:val="24"/>
                          <w:lang w:eastAsia="zh-CN"/>
                        </w:rPr>
                      </w:pPr>
                      <w:r>
                        <w:rPr>
                          <w:rFonts w:hint="eastAsia" w:ascii="宋体" w:hAnsi="宋体" w:cs="宋体"/>
                          <w:sz w:val="24"/>
                          <w:szCs w:val="24"/>
                          <w:lang w:val="en-US" w:eastAsia="zh-CN"/>
                        </w:rPr>
                        <w:t>DA001</w:t>
                      </w:r>
                      <w:r>
                        <w:rPr>
                          <w:rFonts w:hint="eastAsia" w:ascii="宋体" w:hAnsi="宋体" w:eastAsia="宋体" w:cs="宋体"/>
                          <w:sz w:val="24"/>
                          <w:szCs w:val="24"/>
                          <w:lang w:eastAsia="zh-CN"/>
                        </w:rPr>
                        <w:t>：</w:t>
                      </w:r>
                    </w:p>
                    <w:p w14:paraId="66D5FB6B">
                      <w:pPr>
                        <w:pStyle w:val="3"/>
                        <w:numPr>
                          <w:ilvl w:val="0"/>
                          <w:numId w:val="0"/>
                        </w:numPr>
                        <w:spacing w:line="240" w:lineRule="auto"/>
                        <w:ind w:leftChars="0"/>
                        <w:jc w:val="both"/>
                        <w:rPr>
                          <w:rFonts w:hint="eastAsia" w:ascii="宋体" w:hAnsi="宋体" w:eastAsia="宋体" w:cs="宋体"/>
                          <w:sz w:val="24"/>
                          <w:szCs w:val="24"/>
                          <w:lang w:eastAsia="zh-CN"/>
                        </w:rPr>
                      </w:pPr>
                      <w:r>
                        <w:rPr>
                          <w:rFonts w:hint="eastAsia" w:ascii="宋体" w:hAnsi="宋体" w:eastAsia="宋体" w:cs="宋体"/>
                          <w:sz w:val="24"/>
                          <w:szCs w:val="24"/>
                          <w:lang w:eastAsia="zh-CN"/>
                        </w:rPr>
                        <w:t>危废间：</w:t>
                      </w:r>
                    </w:p>
                    <w:p w14:paraId="640A43F0">
                      <w:pPr>
                        <w:spacing w:line="240" w:lineRule="auto"/>
                        <w:rPr>
                          <w:rFonts w:hint="eastAsia"/>
                          <w:lang w:eastAsia="zh-CN"/>
                        </w:rPr>
                      </w:pPr>
                      <w:r>
                        <w:rPr>
                          <w:rFonts w:hint="eastAsia" w:ascii="宋体" w:hAnsi="宋体" w:eastAsia="宋体" w:cs="宋体"/>
                          <w:sz w:val="24"/>
                          <w:szCs w:val="24"/>
                          <w:lang w:eastAsia="zh-CN"/>
                        </w:rPr>
                        <w:t>一般固废暂存区：</w:t>
                      </w:r>
                    </w:p>
                  </w:txbxContent>
                </v:textbox>
              </v:shape>
            </w:pict>
          </mc:Fallback>
        </mc:AlternateContent>
      </w:r>
    </w:p>
    <w:p w14:paraId="7C36AA2C">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rPr>
      </w:pPr>
      <w:bookmarkStart w:id="132" w:name="_Toc30429"/>
      <w:r>
        <w:rPr>
          <w:rFonts w:hint="default" w:ascii="Times New Roman" w:hAnsi="Times New Roman" w:eastAsia="宋体" w:cs="Times New Roman"/>
          <w:b/>
          <w:bCs/>
          <w:color w:val="auto"/>
          <w:kern w:val="0"/>
          <w:sz w:val="24"/>
          <w:szCs w:val="24"/>
          <w:highlight w:val="none"/>
          <w:lang w:val="en-US" w:eastAsia="zh-CN" w:bidi="ar-SA"/>
        </w:rPr>
        <w:t xml:space="preserve">附图3-2 </w:t>
      </w:r>
      <w:r>
        <w:rPr>
          <w:rFonts w:hint="default" w:ascii="Times New Roman" w:hAnsi="Times New Roman" w:cs="Times New Roman"/>
          <w:b/>
          <w:bCs/>
          <w:color w:val="auto"/>
          <w:kern w:val="0"/>
          <w:sz w:val="24"/>
          <w:szCs w:val="24"/>
          <w:highlight w:val="none"/>
          <w:lang w:val="en-US" w:eastAsia="zh-CN" w:bidi="ar-SA"/>
        </w:rPr>
        <w:t>2F</w:t>
      </w:r>
      <w:r>
        <w:rPr>
          <w:rFonts w:hint="default" w:ascii="Times New Roman" w:hAnsi="Times New Roman" w:eastAsia="宋体" w:cs="Times New Roman"/>
          <w:b/>
          <w:bCs/>
          <w:color w:val="auto"/>
          <w:sz w:val="24"/>
          <w:szCs w:val="24"/>
          <w:highlight w:val="none"/>
        </w:rPr>
        <w:t>平面布置图</w:t>
      </w:r>
      <w:bookmarkEnd w:id="132"/>
    </w:p>
    <w:p w14:paraId="686AFF49">
      <w:pPr>
        <w:pageBreakBefore w:val="0"/>
        <w:wordWrap w:val="0"/>
        <w:topLinePunct w:val="0"/>
        <w:bidi w:val="0"/>
        <w:outlineLvl w:val="9"/>
        <w:rPr>
          <w:rFonts w:hint="default" w:ascii="Times New Roman" w:hAnsi="Times New Roman" w:eastAsia="宋体" w:cs="Times New Roman"/>
          <w:b/>
          <w:bCs/>
          <w:color w:val="auto"/>
          <w:sz w:val="24"/>
          <w:szCs w:val="24"/>
          <w:highlight w:val="none"/>
          <w:lang w:val="en-US"/>
        </w:rPr>
      </w:pPr>
      <w:r>
        <w:rPr>
          <w:rFonts w:hint="default" w:ascii="Times New Roman" w:hAnsi="Times New Roman" w:cs="Times New Roman"/>
          <w:color w:val="auto"/>
          <w:highlight w:val="none"/>
        </w:rPr>
        <w:drawing>
          <wp:anchor distT="0" distB="0" distL="114300" distR="114300" simplePos="0" relativeHeight="251707392" behindDoc="0" locked="0" layoutInCell="1" allowOverlap="1">
            <wp:simplePos x="0" y="0"/>
            <wp:positionH relativeFrom="column">
              <wp:posOffset>8728710</wp:posOffset>
            </wp:positionH>
            <wp:positionV relativeFrom="paragraph">
              <wp:posOffset>78105</wp:posOffset>
            </wp:positionV>
            <wp:extent cx="352425" cy="809625"/>
            <wp:effectExtent l="0" t="0" r="9525" b="9525"/>
            <wp:wrapNone/>
            <wp:docPr id="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
                    <pic:cNvPicPr>
                      <a:picLocks noChangeAspect="1"/>
                    </pic:cNvPicPr>
                  </pic:nvPicPr>
                  <pic:blipFill>
                    <a:blip r:embed="rId25"/>
                    <a:stretch>
                      <a:fillRect/>
                    </a:stretch>
                  </pic:blipFill>
                  <pic:spPr>
                    <a:xfrm>
                      <a:off x="0" y="0"/>
                      <a:ext cx="352425" cy="80962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735060" cy="4869815"/>
            <wp:effectExtent l="0" t="0" r="8890" b="698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26"/>
                    <a:stretch>
                      <a:fillRect/>
                    </a:stretch>
                  </pic:blipFill>
                  <pic:spPr>
                    <a:xfrm>
                      <a:off x="0" y="0"/>
                      <a:ext cx="8735060" cy="4869815"/>
                    </a:xfrm>
                    <a:prstGeom prst="rect">
                      <a:avLst/>
                    </a:prstGeom>
                    <a:noFill/>
                    <a:ln>
                      <a:noFill/>
                    </a:ln>
                  </pic:spPr>
                </pic:pic>
              </a:graphicData>
            </a:graphic>
          </wp:inline>
        </w:drawing>
      </w:r>
    </w:p>
    <w:p w14:paraId="11ED93C3">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9"/>
        <w:rPr>
          <w:rFonts w:hint="default" w:ascii="Times New Roman" w:hAnsi="Times New Roman" w:eastAsia="宋体" w:cs="Times New Roman"/>
          <w:b/>
          <w:bCs/>
          <w:color w:val="auto"/>
          <w:kern w:val="0"/>
          <w:sz w:val="24"/>
          <w:szCs w:val="24"/>
          <w:highlight w:val="none"/>
          <w:lang w:val="en-US" w:eastAsia="zh-CN" w:bidi="ar-SA"/>
        </w:rPr>
      </w:pPr>
    </w:p>
    <w:p w14:paraId="0654D953">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9"/>
        <w:rPr>
          <w:rFonts w:hint="default" w:ascii="Times New Roman" w:hAnsi="Times New Roman" w:eastAsia="宋体" w:cs="Times New Roman"/>
          <w:b/>
          <w:bCs/>
          <w:color w:val="auto"/>
          <w:kern w:val="0"/>
          <w:sz w:val="24"/>
          <w:szCs w:val="24"/>
          <w:highlight w:val="none"/>
          <w:lang w:val="en-US" w:eastAsia="zh-CN" w:bidi="ar-SA"/>
        </w:rPr>
      </w:pPr>
    </w:p>
    <w:p w14:paraId="241639D6">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9"/>
        <w:rPr>
          <w:rFonts w:hint="default" w:ascii="Times New Roman" w:hAnsi="Times New Roman" w:eastAsia="宋体" w:cs="Times New Roman"/>
          <w:b/>
          <w:bCs/>
          <w:color w:val="auto"/>
          <w:kern w:val="0"/>
          <w:sz w:val="24"/>
          <w:szCs w:val="24"/>
          <w:highlight w:val="none"/>
          <w:lang w:val="en-US" w:eastAsia="zh-CN" w:bidi="ar-SA"/>
        </w:rPr>
      </w:pPr>
    </w:p>
    <w:p w14:paraId="3BF589DB">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rPr>
      </w:pPr>
      <w:bookmarkStart w:id="133" w:name="_Toc1444"/>
      <w:r>
        <w:rPr>
          <w:rFonts w:hint="default" w:ascii="Times New Roman" w:hAnsi="Times New Roman" w:eastAsia="宋体" w:cs="Times New Roman"/>
          <w:b/>
          <w:bCs/>
          <w:color w:val="auto"/>
          <w:kern w:val="0"/>
          <w:sz w:val="24"/>
          <w:szCs w:val="24"/>
          <w:highlight w:val="none"/>
          <w:lang w:val="en-US" w:eastAsia="zh-CN" w:bidi="ar-SA"/>
        </w:rPr>
        <w:t xml:space="preserve">附图3-3 </w:t>
      </w:r>
      <w:r>
        <w:rPr>
          <w:rFonts w:hint="default" w:ascii="Times New Roman" w:hAnsi="Times New Roman" w:cs="Times New Roman"/>
          <w:b/>
          <w:bCs/>
          <w:color w:val="auto"/>
          <w:kern w:val="0"/>
          <w:sz w:val="24"/>
          <w:szCs w:val="24"/>
          <w:highlight w:val="none"/>
          <w:lang w:val="en-US" w:eastAsia="zh-CN" w:bidi="ar-SA"/>
        </w:rPr>
        <w:t>3F</w:t>
      </w:r>
      <w:r>
        <w:rPr>
          <w:rFonts w:hint="default" w:ascii="Times New Roman" w:hAnsi="Times New Roman" w:eastAsia="宋体" w:cs="Times New Roman"/>
          <w:b/>
          <w:bCs/>
          <w:color w:val="auto"/>
          <w:sz w:val="24"/>
          <w:szCs w:val="24"/>
          <w:highlight w:val="none"/>
        </w:rPr>
        <w:t>平面布置图</w:t>
      </w:r>
      <w:bookmarkEnd w:id="133"/>
    </w:p>
    <w:p w14:paraId="1DE86459">
      <w:pPr>
        <w:pageBreakBefore w:val="0"/>
        <w:wordWrap w:val="0"/>
        <w:topLinePunct w:val="0"/>
        <w:bidi w:val="0"/>
        <w:jc w:val="center"/>
        <w:rPr>
          <w:rFonts w:hint="default" w:ascii="Times New Roman" w:hAnsi="Times New Roman" w:cs="Times New Roman"/>
          <w:color w:val="auto"/>
          <w:highlight w:val="none"/>
        </w:rPr>
        <w:sectPr>
          <w:pgSz w:w="16838" w:h="11906" w:orient="landscape"/>
          <w:pgMar w:top="1417" w:right="1417" w:bottom="1134" w:left="1559" w:header="851" w:footer="624"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cs="Times New Roman"/>
          <w:color w:val="auto"/>
          <w:highlight w:val="none"/>
        </w:rPr>
        <w:drawing>
          <wp:anchor distT="0" distB="0" distL="114300" distR="114300" simplePos="0" relativeHeight="251708416" behindDoc="0" locked="0" layoutInCell="1" allowOverlap="1">
            <wp:simplePos x="0" y="0"/>
            <wp:positionH relativeFrom="column">
              <wp:posOffset>8442960</wp:posOffset>
            </wp:positionH>
            <wp:positionV relativeFrom="paragraph">
              <wp:posOffset>5080</wp:posOffset>
            </wp:positionV>
            <wp:extent cx="352425" cy="809625"/>
            <wp:effectExtent l="0" t="0" r="9525" b="9525"/>
            <wp:wrapNone/>
            <wp:docPr id="6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
                    <pic:cNvPicPr>
                      <a:picLocks noChangeAspect="1"/>
                    </pic:cNvPicPr>
                  </pic:nvPicPr>
                  <pic:blipFill>
                    <a:blip r:embed="rId25"/>
                    <a:stretch>
                      <a:fillRect/>
                    </a:stretch>
                  </pic:blipFill>
                  <pic:spPr>
                    <a:xfrm>
                      <a:off x="0" y="0"/>
                      <a:ext cx="352425" cy="80962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307070" cy="4592320"/>
            <wp:effectExtent l="0" t="0" r="17780" b="17780"/>
            <wp:docPr id="6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
                    <pic:cNvPicPr>
                      <a:picLocks noChangeAspect="1"/>
                    </pic:cNvPicPr>
                  </pic:nvPicPr>
                  <pic:blipFill>
                    <a:blip r:embed="rId27"/>
                    <a:stretch>
                      <a:fillRect/>
                    </a:stretch>
                  </pic:blipFill>
                  <pic:spPr>
                    <a:xfrm>
                      <a:off x="0" y="0"/>
                      <a:ext cx="8307070" cy="4592320"/>
                    </a:xfrm>
                    <a:prstGeom prst="rect">
                      <a:avLst/>
                    </a:prstGeom>
                    <a:noFill/>
                    <a:ln>
                      <a:noFill/>
                    </a:ln>
                  </pic:spPr>
                </pic:pic>
              </a:graphicData>
            </a:graphic>
          </wp:inline>
        </w:drawing>
      </w:r>
    </w:p>
    <w:p w14:paraId="66566EB1">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34" w:name="_Toc31546"/>
      <w:bookmarkStart w:id="135" w:name="_Toc8077"/>
      <w:bookmarkStart w:id="136" w:name="_Toc16804"/>
      <w:r>
        <w:rPr>
          <w:rFonts w:hint="default" w:ascii="Times New Roman" w:hAnsi="Times New Roman" w:eastAsia="宋体" w:cs="Times New Roman"/>
          <w:b/>
          <w:bCs/>
          <w:color w:val="auto"/>
          <w:kern w:val="0"/>
          <w:sz w:val="24"/>
          <w:szCs w:val="24"/>
          <w:highlight w:val="none"/>
          <w:lang w:val="en-US" w:eastAsia="zh-CN" w:bidi="ar-SA"/>
        </w:rPr>
        <w:t xml:space="preserve">附图4 </w:t>
      </w:r>
      <w:r>
        <w:rPr>
          <w:rFonts w:hint="default" w:ascii="Times New Roman" w:hAnsi="Times New Roman" w:eastAsia="宋体" w:cs="Times New Roman"/>
          <w:b/>
          <w:bCs/>
          <w:color w:val="auto"/>
          <w:sz w:val="24"/>
          <w:szCs w:val="24"/>
          <w:highlight w:val="none"/>
          <w:lang w:eastAsia="zh-CN"/>
        </w:rPr>
        <w:t>环境保护目标分布图</w:t>
      </w:r>
      <w:bookmarkEnd w:id="134"/>
      <w:bookmarkEnd w:id="135"/>
      <w:bookmarkEnd w:id="136"/>
    </w:p>
    <w:p w14:paraId="31B5A580">
      <w:pPr>
        <w:pStyle w:val="44"/>
        <w:pageBreakBefore w:val="0"/>
        <w:wordWrap w:val="0"/>
        <w:topLinePunct w:val="0"/>
        <w:bidi w:val="0"/>
        <w:jc w:val="center"/>
        <w:rPr>
          <w:rFonts w:hint="default" w:ascii="Times New Roman" w:hAnsi="Times New Roman" w:cs="Times New Roman"/>
          <w:color w:val="auto"/>
          <w:sz w:val="21"/>
          <w:highlight w:val="none"/>
        </w:rPr>
      </w:pPr>
      <w:r>
        <w:rPr>
          <w:rFonts w:hint="default" w:ascii="Times New Roman" w:hAnsi="Times New Roman" w:cs="Times New Roman"/>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6409690</wp:posOffset>
                </wp:positionH>
                <wp:positionV relativeFrom="paragraph">
                  <wp:posOffset>2305050</wp:posOffset>
                </wp:positionV>
                <wp:extent cx="1057275" cy="465455"/>
                <wp:effectExtent l="6350" t="6350" r="22225" b="309245"/>
                <wp:wrapNone/>
                <wp:docPr id="90" name="圆角矩形标注 90"/>
                <wp:cNvGraphicFramePr/>
                <a:graphic xmlns:a="http://schemas.openxmlformats.org/drawingml/2006/main">
                  <a:graphicData uri="http://schemas.microsoft.com/office/word/2010/wordprocessingShape">
                    <wps:wsp>
                      <wps:cNvSpPr/>
                      <wps:spPr>
                        <a:xfrm>
                          <a:off x="0" y="0"/>
                          <a:ext cx="1057275" cy="465455"/>
                        </a:xfrm>
                        <a:prstGeom prst="wedgeRoundRectCallout">
                          <a:avLst>
                            <a:gd name="adj1" fmla="val -47957"/>
                            <a:gd name="adj2" fmla="val 112073"/>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2A01FACA">
                            <w:pPr>
                              <w:jc w:val="center"/>
                              <w:rPr>
                                <w:rFonts w:hint="default" w:eastAsia="宋体"/>
                                <w:lang w:val="en-US" w:eastAsia="zh-CN"/>
                              </w:rPr>
                            </w:pPr>
                            <w:r>
                              <w:rPr>
                                <w:rFonts w:hint="eastAsia"/>
                                <w:lang w:val="en-US" w:eastAsia="zh-CN"/>
                              </w:rPr>
                              <w:t>高粱头村2#</w:t>
                            </w:r>
                          </w:p>
                          <w:p w14:paraId="6285F081">
                            <w:pPr>
                              <w:rPr>
                                <w:rFonts w:hint="default"/>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504.7pt;margin-top:181.5pt;height:36.65pt;width:83.25pt;z-index:251693056;v-text-anchor:middle;mso-width-relative:page;mso-height-relative:page;" fillcolor="#FFFFFF [3212]" filled="t" stroked="t" coordsize="21600,21600" o:gfxdata="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M+f8r/ZAAAA&#10;DQEAAA8AAAAAAAAAAQAgAAAAIgAAAGRycy9kb3ducmV2LnhtbFBLAQIUABQAAAAIAIdO4kBV42TT&#10;xwIAAJUFAAAOAAAAAAAAAAEAIAAAACgBAABkcnMvZTJvRG9jLnhtbFBLBQYAAAAABgAGAFkBAABh&#10;BgAAAAA=&#10;" adj="441,35008,14400">
                <v:fill on="t" focussize="0,0"/>
                <v:stroke weight="1pt" color="#000000 [3213]" miterlimit="8" joinstyle="miter"/>
                <v:imagedata o:title=""/>
                <o:lock v:ext="edit" aspectratio="f"/>
                <v:textbox>
                  <w:txbxContent>
                    <w:p w14:paraId="2A01FACA">
                      <w:pPr>
                        <w:jc w:val="center"/>
                        <w:rPr>
                          <w:rFonts w:hint="default" w:eastAsia="宋体"/>
                          <w:lang w:val="en-US" w:eastAsia="zh-CN"/>
                        </w:rPr>
                      </w:pPr>
                      <w:r>
                        <w:rPr>
                          <w:rFonts w:hint="eastAsia"/>
                          <w:lang w:val="en-US" w:eastAsia="zh-CN"/>
                        </w:rPr>
                        <w:t>高粱头村2#</w:t>
                      </w:r>
                    </w:p>
                    <w:p w14:paraId="6285F081">
                      <w:pPr>
                        <w:rPr>
                          <w:rFonts w:hint="default"/>
                          <w:lang w:val="en-US" w:eastAsia="zh-CN"/>
                        </w:rPr>
                      </w:pP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2032" behindDoc="0" locked="0" layoutInCell="1" allowOverlap="1">
                <wp:simplePos x="0" y="0"/>
                <wp:positionH relativeFrom="column">
                  <wp:posOffset>6082030</wp:posOffset>
                </wp:positionH>
                <wp:positionV relativeFrom="paragraph">
                  <wp:posOffset>1514475</wp:posOffset>
                </wp:positionV>
                <wp:extent cx="1050290" cy="465455"/>
                <wp:effectExtent l="55245" t="6350" r="18415" b="271145"/>
                <wp:wrapNone/>
                <wp:docPr id="89" name="圆角矩形标注 89"/>
                <wp:cNvGraphicFramePr/>
                <a:graphic xmlns:a="http://schemas.openxmlformats.org/drawingml/2006/main">
                  <a:graphicData uri="http://schemas.microsoft.com/office/word/2010/wordprocessingShape">
                    <wps:wsp>
                      <wps:cNvSpPr/>
                      <wps:spPr>
                        <a:xfrm>
                          <a:off x="7851140" y="2936875"/>
                          <a:ext cx="1050290" cy="465455"/>
                        </a:xfrm>
                        <a:prstGeom prst="wedgeRoundRectCallout">
                          <a:avLst>
                            <a:gd name="adj1" fmla="val -52781"/>
                            <a:gd name="adj2" fmla="val 100613"/>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228AC412">
                            <w:pPr>
                              <w:jc w:val="center"/>
                              <w:rPr>
                                <w:rFonts w:hint="default" w:eastAsia="宋体"/>
                                <w:lang w:val="en-US" w:eastAsia="zh-CN"/>
                              </w:rPr>
                            </w:pPr>
                            <w:r>
                              <w:rPr>
                                <w:rFonts w:hint="eastAsia"/>
                                <w:lang w:val="en-US" w:eastAsia="zh-CN"/>
                              </w:rPr>
                              <w:t>高粱头村1#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78.9pt;margin-top:119.25pt;height:36.65pt;width:82.7pt;z-index:251692032;v-text-anchor:middle;mso-width-relative:page;mso-height-relative:page;" fillcolor="#FFFFFF [3212]" filled="t" stroked="t" coordsize="21600,21600" o:gfxdata="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CUms6S2gAAAAwBAAAPAAAAAAAAAAEAIAAAACIAAABkcnMvZG93bnJldi54bWxQSwECFAAUAAAA&#10;CACHTuJA1q5UqtACAAChBQAADgAAAAAAAAABACAAAAApAQAAZHJzL2Uyb0RvYy54bWxQSwUGAAAA&#10;AAYABgBZAQAAawYAAAAA&#10;" adj="-601,32532,14400">
                <v:fill on="t" focussize="0,0"/>
                <v:stroke weight="1pt" color="#000000 [3213]" miterlimit="8" joinstyle="miter"/>
                <v:imagedata o:title=""/>
                <o:lock v:ext="edit" aspectratio="f"/>
                <v:textbox>
                  <w:txbxContent>
                    <w:p w14:paraId="228AC412">
                      <w:pPr>
                        <w:jc w:val="center"/>
                        <w:rPr>
                          <w:rFonts w:hint="default" w:eastAsia="宋体"/>
                          <w:lang w:val="en-US" w:eastAsia="zh-CN"/>
                        </w:rPr>
                      </w:pPr>
                      <w:r>
                        <w:rPr>
                          <w:rFonts w:hint="eastAsia"/>
                          <w:lang w:val="en-US" w:eastAsia="zh-CN"/>
                        </w:rPr>
                        <w:t>高粱头村1#</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5104" behindDoc="0" locked="0" layoutInCell="1" allowOverlap="1">
                <wp:simplePos x="0" y="0"/>
                <wp:positionH relativeFrom="column">
                  <wp:posOffset>3197860</wp:posOffset>
                </wp:positionH>
                <wp:positionV relativeFrom="paragraph">
                  <wp:posOffset>2132965</wp:posOffset>
                </wp:positionV>
                <wp:extent cx="962660" cy="465455"/>
                <wp:effectExtent l="6350" t="6350" r="116840" b="309245"/>
                <wp:wrapNone/>
                <wp:docPr id="92" name="圆角矩形标注 92"/>
                <wp:cNvGraphicFramePr/>
                <a:graphic xmlns:a="http://schemas.openxmlformats.org/drawingml/2006/main">
                  <a:graphicData uri="http://schemas.microsoft.com/office/word/2010/wordprocessingShape">
                    <wps:wsp>
                      <wps:cNvSpPr/>
                      <wps:spPr>
                        <a:xfrm>
                          <a:off x="0" y="0"/>
                          <a:ext cx="962660" cy="465455"/>
                        </a:xfrm>
                        <a:prstGeom prst="wedgeRoundRectCallout">
                          <a:avLst>
                            <a:gd name="adj1" fmla="val 58509"/>
                            <a:gd name="adj2" fmla="val 108526"/>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3E913EB9">
                            <w:pPr>
                              <w:jc w:val="center"/>
                              <w:rPr>
                                <w:rFonts w:hint="default"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1.8pt;margin-top:167.95pt;height:36.65pt;width:75.8pt;z-index:251695104;v-text-anchor:middle;mso-width-relative:page;mso-height-relative:page;" fillcolor="#FFFFFF [3212]" filled="t" stroked="t" coordsize="21600,21600" o:gfxdata="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IJqo0HbAAAA&#10;CwEAAA8AAAAAAAAAAQAgAAAAIgAAAGRycy9kb3ducmV2LnhtbFBLAQIUABQAAAAIAIdO4kDRUBKA&#10;xQIAAJMFAAAOAAAAAAAAAAEAIAAAACoBAABkcnMvZTJvRG9jLnhtbFBLBQYAAAAABgAGAFkBAABh&#10;BgAAAAA=&#10;" adj="23438,34242,14400">
                <v:fill on="t" focussize="0,0"/>
                <v:stroke weight="1pt" color="#000000 [3213]" miterlimit="8" joinstyle="miter"/>
                <v:imagedata o:title=""/>
                <o:lock v:ext="edit" aspectratio="f"/>
                <v:textbox>
                  <w:txbxContent>
                    <w:p w14:paraId="3E913EB9">
                      <w:pPr>
                        <w:jc w:val="center"/>
                        <w:rPr>
                          <w:rFonts w:hint="default" w:eastAsia="宋体"/>
                          <w:lang w:val="en-US" w:eastAsia="zh-CN"/>
                        </w:rPr>
                      </w:pPr>
                      <w:r>
                        <w:rPr>
                          <w:rFonts w:hint="eastAsia"/>
                          <w:lang w:val="en-US" w:eastAsia="zh-CN"/>
                        </w:rPr>
                        <w:t>项目位置</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71552" behindDoc="0" locked="0" layoutInCell="1" allowOverlap="1">
            <wp:simplePos x="0" y="0"/>
            <wp:positionH relativeFrom="column">
              <wp:posOffset>6418580</wp:posOffset>
            </wp:positionH>
            <wp:positionV relativeFrom="paragraph">
              <wp:posOffset>80010</wp:posOffset>
            </wp:positionV>
            <wp:extent cx="1045845" cy="1019175"/>
            <wp:effectExtent l="0" t="0" r="1905" b="9525"/>
            <wp:wrapNone/>
            <wp:docPr id="4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6"/>
                    <pic:cNvPicPr>
                      <a:picLocks noChangeAspect="1"/>
                    </pic:cNvPicPr>
                  </pic:nvPicPr>
                  <pic:blipFill>
                    <a:blip r:embed="rId28"/>
                    <a:stretch>
                      <a:fillRect/>
                    </a:stretch>
                  </pic:blipFill>
                  <pic:spPr>
                    <a:xfrm>
                      <a:off x="0" y="0"/>
                      <a:ext cx="1045845" cy="1019175"/>
                    </a:xfrm>
                    <a:prstGeom prst="rect">
                      <a:avLst/>
                    </a:prstGeom>
                    <a:noFill/>
                    <a:ln>
                      <a:noFill/>
                    </a:ln>
                  </pic:spPr>
                </pic:pic>
              </a:graphicData>
            </a:graphic>
          </wp:anchor>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99200" behindDoc="0" locked="0" layoutInCell="1" allowOverlap="1">
                <wp:simplePos x="0" y="0"/>
                <wp:positionH relativeFrom="column">
                  <wp:posOffset>6851015</wp:posOffset>
                </wp:positionH>
                <wp:positionV relativeFrom="paragraph">
                  <wp:posOffset>4608195</wp:posOffset>
                </wp:positionV>
                <wp:extent cx="258445" cy="269240"/>
                <wp:effectExtent l="14605" t="14605" r="31750" b="20955"/>
                <wp:wrapNone/>
                <wp:docPr id="98" name="椭圆 98"/>
                <wp:cNvGraphicFramePr/>
                <a:graphic xmlns:a="http://schemas.openxmlformats.org/drawingml/2006/main">
                  <a:graphicData uri="http://schemas.microsoft.com/office/word/2010/wordprocessingShape">
                    <wps:wsp>
                      <wps:cNvSpPr/>
                      <wps:spPr>
                        <a:xfrm>
                          <a:off x="3761740" y="4867910"/>
                          <a:ext cx="258445" cy="269240"/>
                        </a:xfrm>
                        <a:prstGeom prst="ellipse">
                          <a:avLst/>
                        </a:prstGeom>
                        <a:noFill/>
                        <a:ln w="28575">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539.45pt;margin-top:362.85pt;height:21.2pt;width:20.35pt;z-index:251699200;v-text-anchor:middle;mso-width-relative:page;mso-height-relative:page;" filled="f" stroked="t" coordsize="21600,21600" o:gfxdata="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EoawKvaAAAADQEAAA8AAAAAAAAAAQAgAAAAIgAA&#10;AGRycy9kb3ducmV2LnhtbFBLAQIUABQAAAAIAIdO4kBwCjibeAIAANsEAAAOAAAAAAAAAAEAIAAA&#10;ACkBAABkcnMvZTJvRG9jLnhtbFBLBQYAAAAABgAGAFkBAAATBgAAAAA=&#10;">
                <v:fill on="f" focussize="0,0"/>
                <v:stroke weight="2.25pt" color="#FFFF00 [2404]" miterlimit="8" joinstyle="miter"/>
                <v:imagedata o:title=""/>
                <o:lock v:ext="edit" aspectratio="f"/>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8176" behindDoc="0" locked="0" layoutInCell="1" allowOverlap="1">
                <wp:simplePos x="0" y="0"/>
                <wp:positionH relativeFrom="column">
                  <wp:posOffset>6550660</wp:posOffset>
                </wp:positionH>
                <wp:positionV relativeFrom="paragraph">
                  <wp:posOffset>4349750</wp:posOffset>
                </wp:positionV>
                <wp:extent cx="289560" cy="186690"/>
                <wp:effectExtent l="14605" t="13970" r="19685" b="27940"/>
                <wp:wrapNone/>
                <wp:docPr id="97" name="矩形 97"/>
                <wp:cNvGraphicFramePr/>
                <a:graphic xmlns:a="http://schemas.openxmlformats.org/drawingml/2006/main">
                  <a:graphicData uri="http://schemas.microsoft.com/office/word/2010/wordprocessingShape">
                    <wps:wsp>
                      <wps:cNvSpPr/>
                      <wps:spPr>
                        <a:xfrm>
                          <a:off x="0" y="0"/>
                          <a:ext cx="289560" cy="186690"/>
                        </a:xfrm>
                        <a:prstGeom prst="rect">
                          <a:avLst/>
                        </a:prstGeom>
                        <a:noFill/>
                        <a:ln w="28575">
                          <a:solidFill>
                            <a:schemeClr val="accent6"/>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5.8pt;margin-top:342.5pt;height:14.7pt;width:22.8pt;z-index:251698176;v-text-anchor:middle;mso-width-relative:page;mso-height-relative:page;" filled="f" stroked="t" coordsize="21600,21600" o:gfxdata="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FbRSurbAAAADQEAAA8AAAAAAAAAAQAgAAAAIgAAAGRycy9kb3ducmV2&#10;LnhtbFBLAQIUABQAAAAIAIdO4kArHQZOawIAAMwEAAAOAAAAAAAAAAEAIAAAACoBAABkcnMvZTJv&#10;RG9jLnhtbFBLBQYAAAAABgAGAFkBAAAHBgAAAAA=&#10;">
                <v:fill on="f" focussize="0,0"/>
                <v:stroke weight="2.25pt" color="#70AD47 [3209]"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7152" behindDoc="0" locked="0" layoutInCell="1" allowOverlap="1">
                <wp:simplePos x="0" y="0"/>
                <wp:positionH relativeFrom="column">
                  <wp:posOffset>6851015</wp:posOffset>
                </wp:positionH>
                <wp:positionV relativeFrom="paragraph">
                  <wp:posOffset>4095750</wp:posOffset>
                </wp:positionV>
                <wp:extent cx="289560" cy="186690"/>
                <wp:effectExtent l="14605" t="13970" r="19685" b="27940"/>
                <wp:wrapNone/>
                <wp:docPr id="96" name="矩形 96"/>
                <wp:cNvGraphicFramePr/>
                <a:graphic xmlns:a="http://schemas.openxmlformats.org/drawingml/2006/main">
                  <a:graphicData uri="http://schemas.microsoft.com/office/word/2010/wordprocessingShape">
                    <wps:wsp>
                      <wps:cNvSpPr/>
                      <wps:spPr>
                        <a:xfrm>
                          <a:off x="6546850" y="4282440"/>
                          <a:ext cx="289560" cy="186690"/>
                        </a:xfrm>
                        <a:prstGeom prst="rect">
                          <a:avLst/>
                        </a:prstGeom>
                        <a:noFill/>
                        <a:ln w="28575">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9.45pt;margin-top:322.5pt;height:14.7pt;width:22.8pt;z-index:251697152;v-text-anchor:middle;mso-width-relative:page;mso-height-relative:page;" filled="f" stroked="t" coordsize="21600,21600" o:gfxdata="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c0+GHbAAAADQEAAA8AAAAAAAAAAQAgAAAAIgAA&#10;AGRycy9kb3ducmV2LnhtbFBLAQIUABQAAAAIAIdO4kC2MF4bdwIAANgEAAAOAAAAAAAAAAEAIAAA&#10;ACoBAABkcnMvZTJvRG9jLnhtbFBLBQYAAAAABgAGAFkBAAATBgAAAAA=&#10;">
                <v:fill on="f" focussize="0,0"/>
                <v:stroke weight="2.25pt" color="#FF0000 [3204]" miterlimit="8" joinstyle="miter"/>
                <v:imagedata o:title=""/>
                <o:lock v:ext="edit" aspectratio="f"/>
              </v:rect>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696128" behindDoc="0" locked="0" layoutInCell="1" allowOverlap="1">
                <wp:simplePos x="0" y="0"/>
                <wp:positionH relativeFrom="column">
                  <wp:posOffset>5784215</wp:posOffset>
                </wp:positionH>
                <wp:positionV relativeFrom="paragraph">
                  <wp:posOffset>3708400</wp:posOffset>
                </wp:positionV>
                <wp:extent cx="1635760" cy="1201420"/>
                <wp:effectExtent l="4445" t="4445" r="17145" b="13335"/>
                <wp:wrapNone/>
                <wp:docPr id="95" name="文本框 95"/>
                <wp:cNvGraphicFramePr/>
                <a:graphic xmlns:a="http://schemas.openxmlformats.org/drawingml/2006/main">
                  <a:graphicData uri="http://schemas.microsoft.com/office/word/2010/wordprocessingShape">
                    <wps:wsp>
                      <wps:cNvSpPr txBox="1"/>
                      <wps:spPr>
                        <a:xfrm>
                          <a:off x="6774180" y="4806315"/>
                          <a:ext cx="1635760" cy="1201420"/>
                        </a:xfrm>
                        <a:prstGeom prst="rect">
                          <a:avLst/>
                        </a:prstGeom>
                        <a:solidFill>
                          <a:schemeClr val="bg1">
                            <a:lumMod val="75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C9EBD2E">
                            <w:pPr>
                              <w:rPr>
                                <w:rFonts w:hint="eastAsia"/>
                                <w:lang w:val="en-US" w:eastAsia="zh-CN"/>
                              </w:rPr>
                            </w:pPr>
                            <w:r>
                              <w:rPr>
                                <w:rFonts w:hint="eastAsia"/>
                                <w:lang w:val="en-US" w:eastAsia="zh-CN"/>
                              </w:rPr>
                              <w:t>图例</w:t>
                            </w:r>
                          </w:p>
                          <w:p w14:paraId="105E7DAB">
                            <w:pPr>
                              <w:rPr>
                                <w:rFonts w:hint="eastAsia"/>
                                <w:lang w:val="en-US" w:eastAsia="zh-CN"/>
                              </w:rPr>
                            </w:pPr>
                            <w:r>
                              <w:rPr>
                                <w:rFonts w:hint="eastAsia"/>
                                <w:lang w:val="en-US" w:eastAsia="zh-CN"/>
                              </w:rPr>
                              <w:t>项目位置：</w:t>
                            </w:r>
                          </w:p>
                          <w:p w14:paraId="707A61DA">
                            <w:pPr>
                              <w:rPr>
                                <w:rFonts w:hint="eastAsia"/>
                                <w:lang w:val="en-US" w:eastAsia="zh-CN"/>
                              </w:rPr>
                            </w:pPr>
                            <w:r>
                              <w:rPr>
                                <w:rFonts w:hint="eastAsia"/>
                                <w:lang w:val="en-US" w:eastAsia="zh-CN"/>
                              </w:rPr>
                              <w:t>敏感点：</w:t>
                            </w:r>
                          </w:p>
                          <w:p w14:paraId="66F0017E">
                            <w:pPr>
                              <w:rPr>
                                <w:rFonts w:hint="default"/>
                                <w:lang w:val="en-US" w:eastAsia="zh-CN"/>
                              </w:rPr>
                            </w:pPr>
                            <w:r>
                              <w:rPr>
                                <w:rFonts w:hint="eastAsia"/>
                                <w:lang w:val="en-US" w:eastAsia="zh-CN"/>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55.45pt;margin-top:292pt;height:94.6pt;width:128.8pt;z-index:251696128;mso-width-relative:page;mso-height-relative:page;" fillcolor="#BFBFBF [2412]" filled="t" stroked="t" coordsize="21600,21600" o:gfxdata="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IH876TcAAAADAEAAA8AAAAAAAAAAQAg&#10;AAAAIgAAAGRycy9kb3ducmV2LnhtbFBLAQIUABQAAAAIAIdO4kDy6tbQfAIAAOgEAAAOAAAAAAAA&#10;AAEAIAAAACsBAABkcnMvZTJvRG9jLnhtbFBLBQYAAAAABgAGAFkBAAAZBgAAAAA=&#10;">
                <v:fill on="t" focussize="0,0"/>
                <v:stroke weight="0.5pt" color="#000000 [3204]" joinstyle="round"/>
                <v:imagedata o:title=""/>
                <o:lock v:ext="edit" aspectratio="f"/>
                <v:textbox>
                  <w:txbxContent>
                    <w:p w14:paraId="0C9EBD2E">
                      <w:pPr>
                        <w:rPr>
                          <w:rFonts w:hint="eastAsia"/>
                          <w:lang w:val="en-US" w:eastAsia="zh-CN"/>
                        </w:rPr>
                      </w:pPr>
                      <w:r>
                        <w:rPr>
                          <w:rFonts w:hint="eastAsia"/>
                          <w:lang w:val="en-US" w:eastAsia="zh-CN"/>
                        </w:rPr>
                        <w:t>图例</w:t>
                      </w:r>
                    </w:p>
                    <w:p w14:paraId="105E7DAB">
                      <w:pPr>
                        <w:rPr>
                          <w:rFonts w:hint="eastAsia"/>
                          <w:lang w:val="en-US" w:eastAsia="zh-CN"/>
                        </w:rPr>
                      </w:pPr>
                      <w:r>
                        <w:rPr>
                          <w:rFonts w:hint="eastAsia"/>
                          <w:lang w:val="en-US" w:eastAsia="zh-CN"/>
                        </w:rPr>
                        <w:t>项目位置：</w:t>
                      </w:r>
                    </w:p>
                    <w:p w14:paraId="707A61DA">
                      <w:pPr>
                        <w:rPr>
                          <w:rFonts w:hint="eastAsia"/>
                          <w:lang w:val="en-US" w:eastAsia="zh-CN"/>
                        </w:rPr>
                      </w:pPr>
                      <w:r>
                        <w:rPr>
                          <w:rFonts w:hint="eastAsia"/>
                          <w:lang w:val="en-US" w:eastAsia="zh-CN"/>
                        </w:rPr>
                        <w:t>敏感点：</w:t>
                      </w:r>
                    </w:p>
                    <w:p w14:paraId="66F0017E">
                      <w:pPr>
                        <w:rPr>
                          <w:rFonts w:hint="default"/>
                          <w:lang w:val="en-US" w:eastAsia="zh-CN"/>
                        </w:rPr>
                      </w:pPr>
                      <w:r>
                        <w:rPr>
                          <w:rFonts w:hint="eastAsia"/>
                          <w:lang w:val="en-US" w:eastAsia="zh-CN"/>
                        </w:rPr>
                        <w:t>500m范围：</w:t>
                      </w:r>
                    </w:p>
                  </w:txbxContent>
                </v:textbox>
              </v:shape>
            </w:pict>
          </mc:Fallback>
        </mc:AlternateContent>
      </w:r>
      <w:r>
        <w:rPr>
          <w:rFonts w:hint="default" w:ascii="Times New Roman" w:hAnsi="Times New Roman" w:cs="Times New Roman"/>
          <w:color w:val="auto"/>
          <w:highlight w:val="none"/>
        </w:rPr>
        <w:drawing>
          <wp:inline distT="0" distB="0" distL="114300" distR="114300">
            <wp:extent cx="6026785" cy="4906645"/>
            <wp:effectExtent l="0" t="0" r="12065" b="8255"/>
            <wp:docPr id="8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3"/>
                    <pic:cNvPicPr>
                      <a:picLocks noChangeAspect="1"/>
                    </pic:cNvPicPr>
                  </pic:nvPicPr>
                  <pic:blipFill>
                    <a:blip r:embed="rId29"/>
                    <a:stretch>
                      <a:fillRect/>
                    </a:stretch>
                  </pic:blipFill>
                  <pic:spPr>
                    <a:xfrm>
                      <a:off x="0" y="0"/>
                      <a:ext cx="6026785" cy="4906645"/>
                    </a:xfrm>
                    <a:prstGeom prst="rect">
                      <a:avLst/>
                    </a:prstGeom>
                    <a:noFill/>
                    <a:ln>
                      <a:noFill/>
                    </a:ln>
                  </pic:spPr>
                </pic:pic>
              </a:graphicData>
            </a:graphic>
          </wp:inline>
        </w:drawing>
      </w:r>
      <w:r>
        <w:rPr>
          <w:rFonts w:hint="default" w:ascii="Times New Roman" w:hAnsi="Times New Roman" w:cs="Times New Roman"/>
          <w:color w:val="auto"/>
          <w:sz w:val="24"/>
          <w:highlight w:val="none"/>
        </w:rPr>
        <mc:AlternateContent>
          <mc:Choice Requires="wps">
            <w:drawing>
              <wp:anchor distT="0" distB="0" distL="114300" distR="114300" simplePos="0" relativeHeight="251694080" behindDoc="0" locked="0" layoutInCell="1" allowOverlap="1">
                <wp:simplePos x="0" y="0"/>
                <wp:positionH relativeFrom="column">
                  <wp:posOffset>3952875</wp:posOffset>
                </wp:positionH>
                <wp:positionV relativeFrom="paragraph">
                  <wp:posOffset>3455035</wp:posOffset>
                </wp:positionV>
                <wp:extent cx="962660" cy="465455"/>
                <wp:effectExtent l="6350" t="6350" r="345440" b="23495"/>
                <wp:wrapNone/>
                <wp:docPr id="91" name="圆角矩形标注 91"/>
                <wp:cNvGraphicFramePr/>
                <a:graphic xmlns:a="http://schemas.openxmlformats.org/drawingml/2006/main">
                  <a:graphicData uri="http://schemas.microsoft.com/office/word/2010/wordprocessingShape">
                    <wps:wsp>
                      <wps:cNvSpPr/>
                      <wps:spPr>
                        <a:xfrm>
                          <a:off x="0" y="0"/>
                          <a:ext cx="962660" cy="465455"/>
                        </a:xfrm>
                        <a:prstGeom prst="wedgeRoundRectCallout">
                          <a:avLst>
                            <a:gd name="adj1" fmla="val 81068"/>
                            <a:gd name="adj2" fmla="val 35129"/>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6A8E5078">
                            <w:pPr>
                              <w:jc w:val="center"/>
                              <w:rPr>
                                <w:rFonts w:hint="default" w:eastAsia="宋体"/>
                                <w:lang w:val="en-US" w:eastAsia="zh-CN"/>
                              </w:rPr>
                            </w:pPr>
                            <w:r>
                              <w:rPr>
                                <w:rFonts w:hint="eastAsia"/>
                                <w:lang w:val="en-US" w:eastAsia="zh-CN"/>
                              </w:rPr>
                              <w:t>江屋村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11.25pt;margin-top:272.05pt;height:36.65pt;width:75.8pt;z-index:251694080;v-text-anchor:middle;mso-width-relative:page;mso-height-relative:page;" fillcolor="#FFFFFF [3212]" filled="t" stroked="t" coordsize="21600,21600" o:gfxdata="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Gyw5S7aAAAACwEA&#10;AA8AAAAAAAAAAQAgAAAAIgAAAGRycy9kb3ducmV2LnhtbFBLAQIUABQAAAAIAIdO4kBohJWxwwIA&#10;AJIFAAAOAAAAAAAAAAEAIAAAACkBAABkcnMvZTJvRG9jLnhtbFBLBQYAAAAABgAGAFkBAABeBgAA&#10;AAA=&#10;" adj="28311,18388,14400">
                <v:fill on="t" focussize="0,0"/>
                <v:stroke weight="1pt" color="#000000 [3213]" miterlimit="8" joinstyle="miter"/>
                <v:imagedata o:title=""/>
                <o:lock v:ext="edit" aspectratio="f"/>
                <v:textbox>
                  <w:txbxContent>
                    <w:p w14:paraId="6A8E5078">
                      <w:pPr>
                        <w:jc w:val="center"/>
                        <w:rPr>
                          <w:rFonts w:hint="default" w:eastAsia="宋体"/>
                          <w:lang w:val="en-US" w:eastAsia="zh-CN"/>
                        </w:rPr>
                      </w:pPr>
                      <w:r>
                        <w:rPr>
                          <w:rFonts w:hint="eastAsia"/>
                          <w:lang w:val="en-US" w:eastAsia="zh-CN"/>
                        </w:rPr>
                        <w:t>江屋村</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2336" behindDoc="0" locked="0" layoutInCell="1" allowOverlap="1">
                <wp:simplePos x="0" y="0"/>
                <wp:positionH relativeFrom="column">
                  <wp:posOffset>5151755</wp:posOffset>
                </wp:positionH>
                <wp:positionV relativeFrom="paragraph">
                  <wp:posOffset>3616325</wp:posOffset>
                </wp:positionV>
                <wp:extent cx="635" cy="635"/>
                <wp:effectExtent l="0" t="0" r="0" b="0"/>
                <wp:wrapNone/>
                <wp:docPr id="161" name="墨迹 161"/>
                <wp:cNvGraphicFramePr/>
                <a:graphic xmlns:a="http://schemas.openxmlformats.org/drawingml/2006/main">
                  <a:graphicData uri="http://schemas.microsoft.com/office/word/2010/wordprocessingInk">
                    <mc:AlternateContent xmlns:a14="http://schemas.microsoft.com/office/drawing/2010/main">
                      <mc:Choice Requires="a14">
                        <w14:contentPart bwMode="clr" r:id="rId30">
                          <w14:nvContentPartPr>
                            <w14:cNvPr id="161" name="墨迹 161"/>
                            <w14:cNvContentPartPr/>
                          </w14:nvContentPartPr>
                          <w14:xfrm>
                            <a:off x="6141720" y="4516120"/>
                            <a:ext cx="635" cy="635"/>
                          </w14:xfrm>
                        </w14:contentPart>
                      </mc:Choice>
                    </mc:AlternateContent>
                  </a:graphicData>
                </a:graphic>
              </wp:anchor>
            </w:drawing>
          </mc:Choice>
          <mc:Fallback>
            <w:pict>
              <v:shape id="_x0000_s1026" o:spid="_x0000_s1026" o:spt="75" style="position:absolute;left:0pt;margin-left:405.65pt;margin-top:284.75pt;height:0.05pt;width:0.05pt;z-index:251662336;mso-width-relative:page;mso-height-relative:page;" coordsize="21600,21600" o:gfxdata="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MROymPbAAAACwEAAA8AAAAAAAAA&#10;AQAgAAAAIgAAAGRycy9kb3ducmV2LnhtbFBLAQIUABQAAAAIAIdO4kBxoh1yjwEAAHoDAAAOAAAA&#10;AAAAAAEAIAAAACoBAABkcnMvZTJvRG9jLnhtbFBLAQIUAAoAAAAAAIdO4kAAAAAAAAAAAAAAAAAI&#10;AAAAAAAAAAAAEAAAAOUCAABkcnMvaW5rL1BLAQIUABQAAAAIAIdO4kBYy9UZpQEAAOADAAAQAAAA&#10;AAAAAAEAIAAAAAsDAABkcnMvaW5rL2luazEueG1sUEsFBgAAAAAKAAoATAIAAEkIAAAAAA==&#10;">
                <v:imagedata r:id="rId31"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1312" behindDoc="0" locked="0" layoutInCell="1" allowOverlap="1">
                <wp:simplePos x="0" y="0"/>
                <wp:positionH relativeFrom="column">
                  <wp:posOffset>4818380</wp:posOffset>
                </wp:positionH>
                <wp:positionV relativeFrom="paragraph">
                  <wp:posOffset>3616325</wp:posOffset>
                </wp:positionV>
                <wp:extent cx="635" cy="635"/>
                <wp:effectExtent l="0" t="0" r="0" b="0"/>
                <wp:wrapNone/>
                <wp:docPr id="158" name="墨迹 158"/>
                <wp:cNvGraphicFramePr/>
                <a:graphic xmlns:a="http://schemas.openxmlformats.org/drawingml/2006/main">
                  <a:graphicData uri="http://schemas.microsoft.com/office/word/2010/wordprocessingInk">
                    <mc:AlternateContent xmlns:a14="http://schemas.microsoft.com/office/drawing/2010/main">
                      <mc:Choice Requires="a14">
                        <w14:contentPart bwMode="clr" r:id="rId32">
                          <w14:nvContentPartPr>
                            <w14:cNvPr id="158" name="墨迹 158"/>
                            <w14:cNvContentPartPr/>
                          </w14:nvContentPartPr>
                          <w14:xfrm>
                            <a:off x="5808345" y="4516120"/>
                            <a:ext cx="635" cy="635"/>
                          </w14:xfrm>
                        </w14:contentPart>
                      </mc:Choice>
                    </mc:AlternateContent>
                  </a:graphicData>
                </a:graphic>
              </wp:anchor>
            </w:drawing>
          </mc:Choice>
          <mc:Fallback>
            <w:pict>
              <v:shape id="_x0000_s1026" o:spid="_x0000_s1026" o:spt="75" style="position:absolute;left:0pt;margin-left:379.4pt;margin-top:284.75pt;height:0.05pt;width:0.05pt;z-index:251661312;mso-width-relative:page;mso-height-relative:page;" coordsize="21600,21600" o:gfxdata="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">
                <v:imagedata r:id="rId31"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60288" behindDoc="0" locked="0" layoutInCell="1" allowOverlap="1">
                <wp:simplePos x="0" y="0"/>
                <wp:positionH relativeFrom="column">
                  <wp:posOffset>5123180</wp:posOffset>
                </wp:positionH>
                <wp:positionV relativeFrom="paragraph">
                  <wp:posOffset>3711575</wp:posOffset>
                </wp:positionV>
                <wp:extent cx="635" cy="635"/>
                <wp:effectExtent l="0" t="0" r="0" b="0"/>
                <wp:wrapNone/>
                <wp:docPr id="156" name="墨迹 156"/>
                <wp:cNvGraphicFramePr/>
                <a:graphic xmlns:a="http://schemas.openxmlformats.org/drawingml/2006/main">
                  <a:graphicData uri="http://schemas.microsoft.com/office/word/2010/wordprocessingInk">
                    <mc:AlternateContent xmlns:a14="http://schemas.microsoft.com/office/drawing/2010/main">
                      <mc:Choice Requires="a14">
                        <w14:contentPart bwMode="clr" r:id="rId33">
                          <w14:nvContentPartPr>
                            <w14:cNvPr id="156" name="墨迹 156"/>
                            <w14:cNvContentPartPr/>
                          </w14:nvContentPartPr>
                          <w14:xfrm>
                            <a:off x="6113145" y="4611370"/>
                            <a:ext cx="635" cy="635"/>
                          </w14:xfrm>
                        </w14:contentPart>
                      </mc:Choice>
                    </mc:AlternateContent>
                  </a:graphicData>
                </a:graphic>
              </wp:anchor>
            </w:drawing>
          </mc:Choice>
          <mc:Fallback>
            <w:pict>
              <v:shape id="_x0000_s1026" o:spid="_x0000_s1026" o:spt="75" style="position:absolute;left:0pt;margin-left:403.4pt;margin-top:292.25pt;height:0.05pt;width:0.05pt;z-index:251660288;mso-width-relative:page;mso-height-relative:page;" coordsize="21600,21600" o:gfxdata="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">
                <v:imagedata r:id="rId31" o:title=""/>
                <o:lock v:ext="edit"/>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59264" behindDoc="0" locked="0" layoutInCell="1" allowOverlap="1">
                <wp:simplePos x="0" y="0"/>
                <wp:positionH relativeFrom="column">
                  <wp:posOffset>5132705</wp:posOffset>
                </wp:positionH>
                <wp:positionV relativeFrom="paragraph">
                  <wp:posOffset>3606800</wp:posOffset>
                </wp:positionV>
                <wp:extent cx="635" cy="635"/>
                <wp:effectExtent l="0" t="0" r="0" b="0"/>
                <wp:wrapNone/>
                <wp:docPr id="154" name="墨迹 154"/>
                <wp:cNvGraphicFramePr/>
                <a:graphic xmlns:a="http://schemas.openxmlformats.org/drawingml/2006/main">
                  <a:graphicData uri="http://schemas.microsoft.com/office/word/2010/wordprocessingInk">
                    <mc:AlternateContent xmlns:a14="http://schemas.microsoft.com/office/drawing/2010/main">
                      <mc:Choice Requires="a14">
                        <w14:contentPart bwMode="clr" r:id="rId34">
                          <w14:nvContentPartPr>
                            <w14:cNvPr id="154" name="墨迹 154"/>
                            <w14:cNvContentPartPr/>
                          </w14:nvContentPartPr>
                          <w14:xfrm>
                            <a:off x="6122670" y="4506595"/>
                            <a:ext cx="635" cy="635"/>
                          </w14:xfrm>
                        </w14:contentPart>
                      </mc:Choice>
                    </mc:AlternateContent>
                  </a:graphicData>
                </a:graphic>
              </wp:anchor>
            </w:drawing>
          </mc:Choice>
          <mc:Fallback>
            <w:pict>
              <v:shape id="_x0000_s1026" o:spid="_x0000_s1026" o:spt="75" style="position:absolute;left:0pt;margin-left:404.15pt;margin-top:284pt;height:0.05pt;width:0.05pt;z-index:251659264;mso-width-relative:page;mso-height-relative:page;" coordsize="21600,21600" o:gfxdata="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">
                <v:imagedata r:id="rId31" o:title=""/>
                <o:lock v:ext="edit"/>
              </v:shape>
            </w:pict>
          </mc:Fallback>
        </mc:AlternateContent>
      </w:r>
    </w:p>
    <w:p w14:paraId="0B063F74">
      <w:pPr>
        <w:pStyle w:val="37"/>
        <w:pageBreakBefore w:val="0"/>
        <w:numPr>
          <w:ilvl w:val="0"/>
          <w:numId w:val="8"/>
        </w:numPr>
        <w:wordWrap w:val="0"/>
        <w:topLinePunct w:val="0"/>
        <w:bidi w:val="0"/>
        <w:adjustRightInd/>
        <w:spacing w:line="240" w:lineRule="auto"/>
        <w:ind w:leftChars="0" w:firstLineChars="0"/>
        <w:jc w:val="center"/>
        <w:textAlignment w:val="auto"/>
        <w:outlineLvl w:val="0"/>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0577BA0B">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37" w:name="_Toc12257"/>
      <w:bookmarkStart w:id="138" w:name="_Toc19246"/>
      <w:r>
        <w:rPr>
          <w:rFonts w:hint="default" w:ascii="Times New Roman" w:hAnsi="Times New Roman" w:eastAsia="宋体" w:cs="Times New Roman"/>
          <w:b/>
          <w:bCs/>
          <w:color w:val="auto"/>
          <w:kern w:val="0"/>
          <w:sz w:val="24"/>
          <w:szCs w:val="24"/>
          <w:highlight w:val="none"/>
          <w:lang w:val="en-US" w:eastAsia="zh-CN" w:bidi="ar-SA"/>
        </w:rPr>
        <w:t xml:space="preserve">附图5 </w:t>
      </w:r>
      <w:r>
        <w:rPr>
          <w:rFonts w:hint="default" w:ascii="Times New Roman" w:hAnsi="Times New Roman" w:eastAsia="宋体" w:cs="Times New Roman"/>
          <w:b/>
          <w:bCs/>
          <w:color w:val="auto"/>
          <w:sz w:val="24"/>
          <w:szCs w:val="24"/>
          <w:highlight w:val="none"/>
          <w:lang w:eastAsia="zh-CN"/>
        </w:rPr>
        <w:t>建设项目土地利用规划图</w:t>
      </w:r>
      <w:bookmarkEnd w:id="137"/>
      <w:bookmarkEnd w:id="138"/>
    </w:p>
    <w:p w14:paraId="58B7C4CB">
      <w:pPr>
        <w:pStyle w:val="44"/>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5054600" cy="7193280"/>
            <wp:effectExtent l="0" t="0" r="5080" b="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35"/>
                    <a:stretch>
                      <a:fillRect/>
                    </a:stretch>
                  </pic:blipFill>
                  <pic:spPr>
                    <a:xfrm>
                      <a:off x="0" y="0"/>
                      <a:ext cx="5054600" cy="7193280"/>
                    </a:xfrm>
                    <a:prstGeom prst="rect">
                      <a:avLst/>
                    </a:prstGeom>
                    <a:noFill/>
                    <a:ln>
                      <a:noFill/>
                    </a:ln>
                  </pic:spPr>
                </pic:pic>
              </a:graphicData>
            </a:graphic>
          </wp:inline>
        </w:drawing>
      </w:r>
    </w:p>
    <w:p w14:paraId="64B8730A">
      <w:pPr>
        <w:pageBreakBefore w:val="0"/>
        <w:wordWrap w:val="0"/>
        <w:topLinePunct w:val="0"/>
        <w:bidi w:val="0"/>
        <w:rPr>
          <w:rFonts w:hint="default" w:ascii="Times New Roman" w:hAnsi="Times New Roman" w:cs="Times New Roman"/>
          <w:color w:val="auto"/>
          <w:highlight w:val="none"/>
          <w:lang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7CFBD3DB">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39" w:name="_Toc13440"/>
      <w:bookmarkStart w:id="140" w:name="_Toc8427"/>
      <w:r>
        <w:rPr>
          <w:rFonts w:hint="default" w:ascii="Times New Roman" w:hAnsi="Times New Roman" w:eastAsia="宋体" w:cs="Times New Roman"/>
          <w:b/>
          <w:bCs/>
          <w:color w:val="auto"/>
          <w:kern w:val="0"/>
          <w:sz w:val="24"/>
          <w:szCs w:val="24"/>
          <w:highlight w:val="none"/>
          <w:lang w:val="en-US" w:eastAsia="zh-CN" w:bidi="ar-SA"/>
        </w:rPr>
        <w:t xml:space="preserve">附图6 </w:t>
      </w:r>
      <w:r>
        <w:rPr>
          <w:rFonts w:hint="default" w:ascii="Times New Roman" w:hAnsi="Times New Roman" w:eastAsia="宋体" w:cs="Times New Roman"/>
          <w:b/>
          <w:bCs/>
          <w:color w:val="auto"/>
          <w:sz w:val="24"/>
          <w:szCs w:val="24"/>
          <w:highlight w:val="none"/>
          <w:lang w:eastAsia="zh-CN"/>
        </w:rPr>
        <w:t>水环境功能区划图</w:t>
      </w:r>
      <w:bookmarkEnd w:id="139"/>
      <w:bookmarkEnd w:id="140"/>
    </w:p>
    <w:p w14:paraId="4674795E">
      <w:pPr>
        <w:pStyle w:val="44"/>
        <w:pageBreakBefore w:val="0"/>
        <w:wordWrap w:val="0"/>
        <w:topLinePunct w:val="0"/>
        <w:bidi w:val="0"/>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color w:val="auto"/>
          <w:highlight w:val="none"/>
        </w:rPr>
        <w:drawing>
          <wp:inline distT="0" distB="0" distL="114300" distR="114300">
            <wp:extent cx="7459980" cy="5212080"/>
            <wp:effectExtent l="0" t="0" r="7620" b="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36"/>
                    <a:stretch>
                      <a:fillRect/>
                    </a:stretch>
                  </pic:blipFill>
                  <pic:spPr>
                    <a:xfrm>
                      <a:off x="0" y="0"/>
                      <a:ext cx="7459980" cy="5212080"/>
                    </a:xfrm>
                    <a:prstGeom prst="rect">
                      <a:avLst/>
                    </a:prstGeom>
                    <a:noFill/>
                    <a:ln>
                      <a:noFill/>
                    </a:ln>
                  </pic:spPr>
                </pic:pic>
              </a:graphicData>
            </a:graphic>
          </wp:inline>
        </w:drawing>
      </w:r>
    </w:p>
    <w:p w14:paraId="1ABDDC0F">
      <w:pPr>
        <w:pageBreakBefore w:val="0"/>
        <w:wordWrap w:val="0"/>
        <w:topLinePunct w:val="0"/>
        <w:bidi w:val="0"/>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AEF406B">
      <w:pPr>
        <w:pStyle w:val="45"/>
        <w:pageBreakBefore w:val="0"/>
        <w:numPr>
          <w:ilvl w:val="0"/>
          <w:numId w:val="0"/>
        </w:numPr>
        <w:wordWrap w:val="0"/>
        <w:topLinePunct w:val="0"/>
        <w:bidi w:val="0"/>
        <w:ind w:left="0" w:leftChars="0" w:firstLine="397" w:firstLineChars="0"/>
        <w:outlineLvl w:val="0"/>
        <w:rPr>
          <w:rFonts w:hint="default" w:ascii="Times New Roman" w:hAnsi="Times New Roman" w:eastAsia="宋体" w:cs="Times New Roman"/>
          <w:b/>
          <w:bCs/>
          <w:color w:val="auto"/>
          <w:sz w:val="24"/>
          <w:szCs w:val="24"/>
          <w:highlight w:val="none"/>
          <w:lang w:eastAsia="zh-CN"/>
        </w:rPr>
      </w:pPr>
      <w:bookmarkStart w:id="141" w:name="_Toc17224"/>
      <w:bookmarkStart w:id="142" w:name="_Toc10881"/>
      <w:r>
        <w:rPr>
          <w:rFonts w:hint="default" w:ascii="Times New Roman" w:hAnsi="Times New Roman" w:eastAsia="宋体" w:cs="Times New Roman"/>
          <w:b/>
          <w:bCs/>
          <w:color w:val="auto"/>
          <w:kern w:val="2"/>
          <w:sz w:val="24"/>
          <w:szCs w:val="24"/>
          <w:highlight w:val="none"/>
          <w:lang w:val="en-US" w:eastAsia="zh-CN" w:bidi="ar-SA"/>
        </w:rPr>
        <w:t xml:space="preserve">附图7 </w:t>
      </w:r>
      <w:r>
        <w:rPr>
          <w:rFonts w:hint="default" w:ascii="Times New Roman" w:hAnsi="Times New Roman" w:eastAsia="宋体" w:cs="Times New Roman"/>
          <w:b/>
          <w:bCs/>
          <w:color w:val="auto"/>
          <w:sz w:val="24"/>
          <w:szCs w:val="24"/>
          <w:highlight w:val="none"/>
          <w:lang w:eastAsia="zh-CN"/>
        </w:rPr>
        <w:t>大气环境功能区划图</w:t>
      </w:r>
      <w:bookmarkEnd w:id="141"/>
      <w:bookmarkEnd w:id="142"/>
    </w:p>
    <w:p w14:paraId="6BCD3C55">
      <w:pPr>
        <w:pageBreakBefore w:val="0"/>
        <w:kinsoku w:val="0"/>
        <w:wordWrap w:val="0"/>
        <w:overflowPunct w:val="0"/>
        <w:topLinePunct w:val="0"/>
        <w:bidi w:val="0"/>
        <w:adjustRightInd w:val="0"/>
        <w:snapToGrid w:val="0"/>
        <w:ind w:firstLine="480" w:firstLineChars="20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7444740" cy="5273040"/>
            <wp:effectExtent l="0" t="0" r="7620" b="0"/>
            <wp:docPr id="1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
                    <pic:cNvPicPr>
                      <a:picLocks noChangeAspect="1"/>
                    </pic:cNvPicPr>
                  </pic:nvPicPr>
                  <pic:blipFill>
                    <a:blip r:embed="rId37"/>
                    <a:stretch>
                      <a:fillRect/>
                    </a:stretch>
                  </pic:blipFill>
                  <pic:spPr>
                    <a:xfrm>
                      <a:off x="0" y="0"/>
                      <a:ext cx="7444740" cy="5273040"/>
                    </a:xfrm>
                    <a:prstGeom prst="rect">
                      <a:avLst/>
                    </a:prstGeom>
                    <a:noFill/>
                    <a:ln>
                      <a:noFill/>
                    </a:ln>
                  </pic:spPr>
                </pic:pic>
              </a:graphicData>
            </a:graphic>
          </wp:inline>
        </w:drawing>
      </w:r>
    </w:p>
    <w:p w14:paraId="00DCB673">
      <w:pPr>
        <w:pageBreakBefore w:val="0"/>
        <w:wordWrap w:val="0"/>
        <w:topLinePunct w:val="0"/>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7C1D306B">
      <w:pPr>
        <w:pStyle w:val="45"/>
        <w:pageBreakBefore w:val="0"/>
        <w:numPr>
          <w:ilvl w:val="0"/>
          <w:numId w:val="0"/>
        </w:numPr>
        <w:wordWrap w:val="0"/>
        <w:topLinePunct w:val="0"/>
        <w:bidi w:val="0"/>
        <w:ind w:left="0" w:leftChars="0" w:firstLine="397" w:firstLineChars="0"/>
        <w:outlineLvl w:val="0"/>
        <w:rPr>
          <w:rFonts w:hint="default" w:ascii="Times New Roman" w:hAnsi="Times New Roman" w:eastAsia="宋体" w:cs="Times New Roman"/>
          <w:b/>
          <w:bCs/>
          <w:color w:val="auto"/>
          <w:sz w:val="24"/>
          <w:szCs w:val="24"/>
          <w:highlight w:val="none"/>
          <w:lang w:eastAsia="zh-CN"/>
        </w:rPr>
      </w:pPr>
      <w:bookmarkStart w:id="143" w:name="_Toc8740"/>
      <w:bookmarkStart w:id="144" w:name="_Toc20884"/>
      <w:r>
        <w:rPr>
          <w:rFonts w:hint="default" w:ascii="Times New Roman" w:hAnsi="Times New Roman" w:eastAsia="宋体" w:cs="Times New Roman"/>
          <w:b/>
          <w:bCs/>
          <w:color w:val="auto"/>
          <w:kern w:val="2"/>
          <w:sz w:val="24"/>
          <w:szCs w:val="24"/>
          <w:highlight w:val="none"/>
          <w:lang w:val="en-US" w:eastAsia="zh-CN" w:bidi="ar-SA"/>
        </w:rPr>
        <w:t xml:space="preserve">附图8 </w:t>
      </w:r>
      <w:r>
        <w:rPr>
          <w:rFonts w:hint="default" w:ascii="Times New Roman" w:hAnsi="Times New Roman" w:eastAsia="宋体" w:cs="Times New Roman"/>
          <w:b/>
          <w:bCs/>
          <w:color w:val="auto"/>
          <w:sz w:val="24"/>
          <w:szCs w:val="24"/>
          <w:highlight w:val="none"/>
          <w:lang w:eastAsia="zh-CN"/>
        </w:rPr>
        <w:t>生态红线分布图</w:t>
      </w:r>
      <w:bookmarkEnd w:id="143"/>
      <w:bookmarkEnd w:id="144"/>
    </w:p>
    <w:p w14:paraId="20407A8B">
      <w:pPr>
        <w:pStyle w:val="45"/>
        <w:keepNext w:val="0"/>
        <w:keepLines w:val="0"/>
        <w:pageBreakBefore w:val="0"/>
        <w:widowControl w:val="0"/>
        <w:numPr>
          <w:ilvl w:val="0"/>
          <w:numId w:val="0"/>
        </w:numPr>
        <w:kinsoku/>
        <w:wordWrap w:val="0"/>
        <w:overflowPunct/>
        <w:topLinePunct w:val="0"/>
        <w:autoSpaceDE/>
        <w:autoSpaceDN/>
        <w:bidi w:val="0"/>
        <w:adjustRightInd w:val="0"/>
        <w:snapToGrid/>
        <w:ind w:left="0" w:leftChars="0"/>
        <w:jc w:val="center"/>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color w:val="auto"/>
          <w:highlight w:val="none"/>
        </w:rPr>
        <w:drawing>
          <wp:inline distT="0" distB="0" distL="114300" distR="114300">
            <wp:extent cx="7298690" cy="5126990"/>
            <wp:effectExtent l="0" t="0" r="1270" b="8890"/>
            <wp:docPr id="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8"/>
                    <pic:cNvPicPr>
                      <a:picLocks noChangeAspect="1"/>
                    </pic:cNvPicPr>
                  </pic:nvPicPr>
                  <pic:blipFill>
                    <a:blip r:embed="rId38"/>
                    <a:stretch>
                      <a:fillRect/>
                    </a:stretch>
                  </pic:blipFill>
                  <pic:spPr>
                    <a:xfrm>
                      <a:off x="0" y="0"/>
                      <a:ext cx="7298690" cy="5126990"/>
                    </a:xfrm>
                    <a:prstGeom prst="rect">
                      <a:avLst/>
                    </a:prstGeom>
                    <a:noFill/>
                    <a:ln>
                      <a:noFill/>
                    </a:ln>
                  </pic:spPr>
                </pic:pic>
              </a:graphicData>
            </a:graphic>
          </wp:inline>
        </w:drawing>
      </w:r>
    </w:p>
    <w:p w14:paraId="38FE1027">
      <w:pPr>
        <w:pStyle w:val="45"/>
        <w:pageBreakBefore w:val="0"/>
        <w:wordWrap w:val="0"/>
        <w:topLinePunct w:val="0"/>
        <w:bidi w:val="0"/>
        <w:jc w:val="center"/>
        <w:rPr>
          <w:rFonts w:hint="default" w:ascii="Times New Roman" w:hAnsi="Times New Roman" w:cs="Times New Roman"/>
          <w:color w:val="auto"/>
          <w:highlight w:val="none"/>
        </w:rPr>
      </w:pPr>
    </w:p>
    <w:p w14:paraId="7BDBD548">
      <w:pPr>
        <w:pageBreakBefore w:val="0"/>
        <w:wordWrap w:val="0"/>
        <w:topLinePunct w:val="0"/>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C186734">
      <w:pPr>
        <w:pStyle w:val="45"/>
        <w:pageBreakBefore w:val="0"/>
        <w:numPr>
          <w:ilvl w:val="0"/>
          <w:numId w:val="0"/>
        </w:numPr>
        <w:wordWrap w:val="0"/>
        <w:topLinePunct w:val="0"/>
        <w:bidi w:val="0"/>
        <w:ind w:left="0" w:leftChars="0" w:firstLine="397" w:firstLineChars="0"/>
        <w:outlineLvl w:val="0"/>
        <w:rPr>
          <w:rFonts w:hint="default" w:ascii="Times New Roman" w:hAnsi="Times New Roman" w:eastAsia="宋体" w:cs="Times New Roman"/>
          <w:b/>
          <w:bCs/>
          <w:color w:val="auto"/>
          <w:sz w:val="24"/>
          <w:szCs w:val="24"/>
          <w:highlight w:val="none"/>
          <w:lang w:eastAsia="zh-CN"/>
        </w:rPr>
      </w:pPr>
      <w:bookmarkStart w:id="145" w:name="_Toc17156"/>
      <w:bookmarkStart w:id="146" w:name="_Toc25001"/>
      <w:r>
        <w:rPr>
          <w:rFonts w:hint="default" w:ascii="Times New Roman" w:hAnsi="Times New Roman" w:eastAsia="宋体" w:cs="Times New Roman"/>
          <w:b/>
          <w:bCs/>
          <w:color w:val="auto"/>
          <w:kern w:val="2"/>
          <w:sz w:val="24"/>
          <w:szCs w:val="24"/>
          <w:highlight w:val="none"/>
          <w:lang w:val="en-US" w:eastAsia="zh-CN" w:bidi="ar-SA"/>
        </w:rPr>
        <w:t xml:space="preserve">附图9 </w:t>
      </w:r>
      <w:r>
        <w:rPr>
          <w:rFonts w:hint="default" w:ascii="Times New Roman" w:hAnsi="Times New Roman" w:eastAsia="宋体" w:cs="Times New Roman"/>
          <w:b/>
          <w:bCs/>
          <w:color w:val="auto"/>
          <w:sz w:val="24"/>
          <w:szCs w:val="24"/>
          <w:highlight w:val="none"/>
          <w:lang w:eastAsia="zh-CN"/>
        </w:rPr>
        <w:t>水环境管控单元图</w:t>
      </w:r>
      <w:bookmarkEnd w:id="145"/>
      <w:bookmarkEnd w:id="146"/>
    </w:p>
    <w:p w14:paraId="71777E95">
      <w:pPr>
        <w:pStyle w:val="45"/>
        <w:pageBreakBefore w:val="0"/>
        <w:numPr>
          <w:ilvl w:val="0"/>
          <w:numId w:val="0"/>
        </w:numPr>
        <w:wordWrap w:val="0"/>
        <w:topLinePunct w:val="0"/>
        <w:bidi w:val="0"/>
        <w:ind w:left="397" w:leftChars="0"/>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color w:val="auto"/>
          <w:highlight w:val="none"/>
        </w:rPr>
        <w:drawing>
          <wp:inline distT="0" distB="0" distL="114300" distR="114300">
            <wp:extent cx="7319645" cy="5120005"/>
            <wp:effectExtent l="0" t="0" r="10795" b="635"/>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39"/>
                    <a:stretch>
                      <a:fillRect/>
                    </a:stretch>
                  </pic:blipFill>
                  <pic:spPr>
                    <a:xfrm>
                      <a:off x="0" y="0"/>
                      <a:ext cx="7319645" cy="5120005"/>
                    </a:xfrm>
                    <a:prstGeom prst="rect">
                      <a:avLst/>
                    </a:prstGeom>
                    <a:noFill/>
                    <a:ln>
                      <a:noFill/>
                    </a:ln>
                  </pic:spPr>
                </pic:pic>
              </a:graphicData>
            </a:graphic>
          </wp:inline>
        </w:drawing>
      </w:r>
    </w:p>
    <w:p w14:paraId="5B7D2A55">
      <w:pPr>
        <w:pStyle w:val="45"/>
        <w:pageBreakBefore w:val="0"/>
        <w:wordWrap w:val="0"/>
        <w:topLinePunct w:val="0"/>
        <w:bidi w:val="0"/>
        <w:jc w:val="center"/>
        <w:rPr>
          <w:rFonts w:hint="default" w:ascii="Times New Roman" w:hAnsi="Times New Roman" w:cs="Times New Roman"/>
          <w:color w:val="auto"/>
          <w:highlight w:val="none"/>
        </w:rPr>
      </w:pPr>
    </w:p>
    <w:p w14:paraId="2AB4D25C">
      <w:pPr>
        <w:pageBreakBefore w:val="0"/>
        <w:wordWrap w:val="0"/>
        <w:topLinePunct w:val="0"/>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24AB477">
      <w:pPr>
        <w:pStyle w:val="45"/>
        <w:pageBreakBefore w:val="0"/>
        <w:numPr>
          <w:ilvl w:val="0"/>
          <w:numId w:val="0"/>
        </w:numPr>
        <w:wordWrap w:val="0"/>
        <w:topLinePunct w:val="0"/>
        <w:bidi w:val="0"/>
        <w:ind w:left="0" w:leftChars="0" w:firstLine="397" w:firstLineChars="0"/>
        <w:outlineLvl w:val="0"/>
        <w:rPr>
          <w:rFonts w:hint="default" w:ascii="Times New Roman" w:hAnsi="Times New Roman" w:eastAsia="宋体" w:cs="Times New Roman"/>
          <w:b/>
          <w:bCs/>
          <w:color w:val="auto"/>
          <w:sz w:val="24"/>
          <w:szCs w:val="24"/>
          <w:highlight w:val="none"/>
          <w:lang w:val="en-US" w:eastAsia="zh-CN"/>
        </w:rPr>
      </w:pPr>
      <w:bookmarkStart w:id="147" w:name="_Toc29931"/>
      <w:bookmarkStart w:id="148" w:name="_Toc17667"/>
      <w:r>
        <w:rPr>
          <w:rFonts w:hint="default" w:ascii="Times New Roman" w:hAnsi="Times New Roman" w:eastAsia="宋体" w:cs="Times New Roman"/>
          <w:b/>
          <w:bCs/>
          <w:color w:val="auto"/>
          <w:kern w:val="2"/>
          <w:sz w:val="24"/>
          <w:szCs w:val="24"/>
          <w:highlight w:val="none"/>
          <w:lang w:val="en-US" w:eastAsia="zh-CN" w:bidi="ar-SA"/>
        </w:rPr>
        <w:t xml:space="preserve">附图10 </w:t>
      </w:r>
      <w:r>
        <w:rPr>
          <w:rFonts w:hint="default" w:ascii="Times New Roman" w:hAnsi="Times New Roman" w:eastAsia="宋体" w:cs="Times New Roman"/>
          <w:b/>
          <w:bCs/>
          <w:color w:val="auto"/>
          <w:sz w:val="24"/>
          <w:szCs w:val="24"/>
          <w:highlight w:val="none"/>
          <w:lang w:eastAsia="zh-CN"/>
        </w:rPr>
        <w:t>大气环境管控单元</w:t>
      </w:r>
      <w:bookmarkEnd w:id="147"/>
      <w:r>
        <w:rPr>
          <w:rFonts w:hint="default" w:ascii="Times New Roman" w:hAnsi="Times New Roman" w:cs="Times New Roman"/>
          <w:b/>
          <w:bCs/>
          <w:color w:val="auto"/>
          <w:sz w:val="24"/>
          <w:szCs w:val="24"/>
          <w:highlight w:val="none"/>
          <w:lang w:val="en-US" w:eastAsia="zh-CN"/>
        </w:rPr>
        <w:t>分区图</w:t>
      </w:r>
      <w:bookmarkEnd w:id="148"/>
    </w:p>
    <w:p w14:paraId="494571C4">
      <w:pPr>
        <w:pStyle w:val="45"/>
        <w:pageBreakBefore w:val="0"/>
        <w:numPr>
          <w:ilvl w:val="0"/>
          <w:numId w:val="0"/>
        </w:numPr>
        <w:wordWrap w:val="0"/>
        <w:topLinePunct w:val="0"/>
        <w:bidi w:val="0"/>
        <w:ind w:left="397" w:leftChars="0"/>
        <w:jc w:val="center"/>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color w:val="auto"/>
          <w:highlight w:val="none"/>
        </w:rPr>
        <w:drawing>
          <wp:inline distT="0" distB="0" distL="114300" distR="114300">
            <wp:extent cx="7276465" cy="5078095"/>
            <wp:effectExtent l="0" t="0" r="8255" b="1206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40"/>
                    <a:stretch>
                      <a:fillRect/>
                    </a:stretch>
                  </pic:blipFill>
                  <pic:spPr>
                    <a:xfrm>
                      <a:off x="0" y="0"/>
                      <a:ext cx="7276465" cy="5078095"/>
                    </a:xfrm>
                    <a:prstGeom prst="rect">
                      <a:avLst/>
                    </a:prstGeom>
                    <a:noFill/>
                    <a:ln>
                      <a:noFill/>
                    </a:ln>
                  </pic:spPr>
                </pic:pic>
              </a:graphicData>
            </a:graphic>
          </wp:inline>
        </w:drawing>
      </w:r>
    </w:p>
    <w:p w14:paraId="298FAB3D">
      <w:pPr>
        <w:pStyle w:val="45"/>
        <w:pageBreakBefore w:val="0"/>
        <w:wordWrap w:val="0"/>
        <w:topLinePunct w:val="0"/>
        <w:bidi w:val="0"/>
        <w:jc w:val="center"/>
        <w:rPr>
          <w:rFonts w:hint="default" w:ascii="Times New Roman" w:hAnsi="Times New Roman" w:cs="Times New Roman"/>
          <w:color w:val="auto"/>
          <w:highlight w:val="none"/>
        </w:rPr>
      </w:pPr>
    </w:p>
    <w:p w14:paraId="12FCFABC">
      <w:pPr>
        <w:pageBreakBefore w:val="0"/>
        <w:wordWrap w:val="0"/>
        <w:topLinePunct w:val="0"/>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3DC69E4A">
      <w:pPr>
        <w:pStyle w:val="45"/>
        <w:pageBreakBefore w:val="0"/>
        <w:numPr>
          <w:ilvl w:val="0"/>
          <w:numId w:val="0"/>
        </w:numPr>
        <w:wordWrap w:val="0"/>
        <w:topLinePunct w:val="0"/>
        <w:bidi w:val="0"/>
        <w:ind w:left="0" w:leftChars="0" w:firstLine="397" w:firstLineChars="0"/>
        <w:jc w:val="left"/>
        <w:outlineLvl w:val="0"/>
        <w:rPr>
          <w:rFonts w:hint="default" w:ascii="Times New Roman" w:hAnsi="Times New Roman" w:eastAsia="宋体" w:cs="Times New Roman"/>
          <w:b/>
          <w:bCs/>
          <w:color w:val="auto"/>
          <w:sz w:val="24"/>
          <w:szCs w:val="24"/>
          <w:highlight w:val="none"/>
          <w:lang w:eastAsia="zh-CN"/>
        </w:rPr>
      </w:pPr>
      <w:bookmarkStart w:id="149" w:name="_Toc24068"/>
      <w:bookmarkStart w:id="150" w:name="_Toc21162"/>
      <w:r>
        <w:rPr>
          <w:rFonts w:hint="default" w:ascii="Times New Roman" w:hAnsi="Times New Roman" w:eastAsia="宋体" w:cs="Times New Roman"/>
          <w:b/>
          <w:bCs/>
          <w:color w:val="auto"/>
          <w:kern w:val="2"/>
          <w:sz w:val="24"/>
          <w:szCs w:val="24"/>
          <w:highlight w:val="none"/>
          <w:lang w:val="en-US" w:eastAsia="zh-CN" w:bidi="ar-SA"/>
        </w:rPr>
        <w:t xml:space="preserve">附图11 </w:t>
      </w:r>
      <w:r>
        <w:rPr>
          <w:rFonts w:hint="default" w:ascii="Times New Roman" w:hAnsi="Times New Roman" w:eastAsia="宋体" w:cs="Times New Roman"/>
          <w:b/>
          <w:bCs/>
          <w:color w:val="auto"/>
          <w:sz w:val="24"/>
          <w:szCs w:val="24"/>
          <w:highlight w:val="none"/>
          <w:lang w:eastAsia="zh-CN"/>
        </w:rPr>
        <w:t>生态管控单元分区图</w:t>
      </w:r>
      <w:bookmarkEnd w:id="149"/>
      <w:bookmarkEnd w:id="150"/>
    </w:p>
    <w:p w14:paraId="54FA0EAD">
      <w:pPr>
        <w:pStyle w:val="45"/>
        <w:pageBreakBefore w:val="0"/>
        <w:numPr>
          <w:ilvl w:val="0"/>
          <w:numId w:val="0"/>
        </w:numPr>
        <w:wordWrap w:val="0"/>
        <w:topLinePunct w:val="0"/>
        <w:bidi w:val="0"/>
        <w:ind w:left="397" w:leftChars="0"/>
        <w:jc w:val="center"/>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cs="Times New Roman"/>
          <w:color w:val="auto"/>
          <w:highlight w:val="none"/>
        </w:rPr>
        <w:drawing>
          <wp:inline distT="0" distB="0" distL="114300" distR="114300">
            <wp:extent cx="7421880" cy="5265420"/>
            <wp:effectExtent l="0" t="0" r="0" b="7620"/>
            <wp:docPr id="2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0"/>
                    <pic:cNvPicPr>
                      <a:picLocks noChangeAspect="1"/>
                    </pic:cNvPicPr>
                  </pic:nvPicPr>
                  <pic:blipFill>
                    <a:blip r:embed="rId41"/>
                    <a:stretch>
                      <a:fillRect/>
                    </a:stretch>
                  </pic:blipFill>
                  <pic:spPr>
                    <a:xfrm>
                      <a:off x="0" y="0"/>
                      <a:ext cx="7421880" cy="5265420"/>
                    </a:xfrm>
                    <a:prstGeom prst="rect">
                      <a:avLst/>
                    </a:prstGeom>
                    <a:noFill/>
                    <a:ln>
                      <a:noFill/>
                    </a:ln>
                  </pic:spPr>
                </pic:pic>
              </a:graphicData>
            </a:graphic>
          </wp:inline>
        </w:drawing>
      </w:r>
    </w:p>
    <w:p w14:paraId="23403B99">
      <w:pPr>
        <w:pStyle w:val="36"/>
        <w:pageBreakBefore w:val="0"/>
        <w:wordWrap w:val="0"/>
        <w:topLinePunct w:val="0"/>
        <w:bidi w:val="0"/>
        <w:rPr>
          <w:rFonts w:hint="default" w:ascii="Times New Roman" w:hAnsi="Times New Roman" w:cs="Times New Roman"/>
          <w:color w:val="auto"/>
          <w:highlight w:val="none"/>
          <w:lang w:eastAsia="zh-CN"/>
        </w:rPr>
      </w:pPr>
    </w:p>
    <w:p w14:paraId="5CC6A1B5">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1" w:name="_Toc12794"/>
      <w:bookmarkStart w:id="152" w:name="_Toc27201"/>
      <w:bookmarkStart w:id="153" w:name="_Toc28856"/>
      <w:r>
        <w:rPr>
          <w:rFonts w:hint="default" w:ascii="Times New Roman" w:hAnsi="Times New Roman" w:eastAsia="宋体" w:cs="Times New Roman"/>
          <w:b/>
          <w:bCs/>
          <w:color w:val="auto"/>
          <w:kern w:val="0"/>
          <w:sz w:val="24"/>
          <w:szCs w:val="24"/>
          <w:highlight w:val="none"/>
          <w:lang w:val="en-US" w:eastAsia="zh-CN" w:bidi="ar-SA"/>
        </w:rPr>
        <w:t xml:space="preserve">附图12 </w:t>
      </w:r>
      <w:r>
        <w:rPr>
          <w:rFonts w:hint="default" w:ascii="Times New Roman" w:hAnsi="Times New Roman" w:cs="Times New Roman"/>
          <w:b/>
          <w:bCs/>
          <w:color w:val="auto"/>
          <w:sz w:val="24"/>
          <w:szCs w:val="24"/>
          <w:highlight w:val="none"/>
          <w:lang w:eastAsia="zh-CN"/>
        </w:rPr>
        <w:t>乐昌市声环境功能区划图</w:t>
      </w:r>
      <w:bookmarkEnd w:id="151"/>
      <w:bookmarkEnd w:id="152"/>
    </w:p>
    <w:p w14:paraId="1BA081AC">
      <w:pPr>
        <w:pStyle w:val="45"/>
        <w:pageBreakBefore w:val="0"/>
        <w:wordWrap w:val="0"/>
        <w:topLinePunct w:val="0"/>
        <w:bidi w:val="0"/>
        <w:jc w:val="center"/>
        <w:rPr>
          <w:rFonts w:hint="default" w:ascii="Times New Roman" w:hAnsi="Times New Roman" w:eastAsia="宋体" w:cs="Times New Roman"/>
          <w:b/>
          <w:bCs/>
          <w:color w:val="auto"/>
          <w:sz w:val="24"/>
          <w:szCs w:val="24"/>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720" w:num="1"/>
          <w:docGrid w:type="lines" w:linePitch="312" w:charSpace="0"/>
        </w:sectPr>
      </w:pPr>
      <w:r>
        <w:rPr>
          <w:rFonts w:hint="default" w:ascii="Times New Roman" w:hAnsi="Times New Roman" w:cs="Times New Roman"/>
          <w:color w:val="auto"/>
          <w:sz w:val="24"/>
          <w:highlight w:val="none"/>
        </w:rPr>
        <mc:AlternateContent>
          <mc:Choice Requires="wpg">
            <w:drawing>
              <wp:anchor distT="0" distB="0" distL="114300" distR="114300" simplePos="0" relativeHeight="251674624" behindDoc="0" locked="0" layoutInCell="1" allowOverlap="1">
                <wp:simplePos x="0" y="0"/>
                <wp:positionH relativeFrom="column">
                  <wp:posOffset>5811520</wp:posOffset>
                </wp:positionH>
                <wp:positionV relativeFrom="paragraph">
                  <wp:posOffset>621030</wp:posOffset>
                </wp:positionV>
                <wp:extent cx="1032510" cy="707390"/>
                <wp:effectExtent l="0" t="0" r="0" b="0"/>
                <wp:wrapNone/>
                <wp:docPr id="124" name="组合 124"/>
                <wp:cNvGraphicFramePr/>
                <a:graphic xmlns:a="http://schemas.openxmlformats.org/drawingml/2006/main">
                  <a:graphicData uri="http://schemas.microsoft.com/office/word/2010/wordprocessingGroup">
                    <wpg:wgp>
                      <wpg:cNvGrpSpPr/>
                      <wpg:grpSpPr>
                        <a:xfrm>
                          <a:off x="0" y="0"/>
                          <a:ext cx="1032510" cy="707390"/>
                          <a:chOff x="13274" y="1410492"/>
                          <a:chExt cx="1626" cy="1114"/>
                        </a:xfrm>
                      </wpg:grpSpPr>
                      <wps:wsp>
                        <wps:cNvPr id="38" name="矩形 38"/>
                        <wps:cNvSpPr/>
                        <wps:spPr>
                          <a:xfrm>
                            <a:off x="13274" y="1411488"/>
                            <a:ext cx="119" cy="119"/>
                          </a:xfrm>
                          <a:prstGeom prst="rect">
                            <a:avLst/>
                          </a:prstGeom>
                          <a:solidFill>
                            <a:srgbClr val="FFFF00"/>
                          </a:solid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9" name="圆角矩形标注 39"/>
                        <wps:cNvSpPr/>
                        <wps:spPr>
                          <a:xfrm>
                            <a:off x="13430" y="1410492"/>
                            <a:ext cx="1470" cy="675"/>
                          </a:xfrm>
                          <a:prstGeom prst="wedgeRoundRectCallout">
                            <a:avLst>
                              <a:gd name="adj1" fmla="val -53469"/>
                              <a:gd name="adj2" fmla="val 100222"/>
                              <a:gd name="adj3" fmla="val 16667"/>
                            </a:avLst>
                          </a:prstGeom>
                          <a:solidFill>
                            <a:schemeClr val="bg1"/>
                          </a:solidFill>
                          <a:ln>
                            <a:solidFill>
                              <a:schemeClr val="tx1"/>
                            </a:solidFill>
                          </a:ln>
                        </wps:spPr>
                        <wps:style>
                          <a:lnRef idx="2">
                            <a:schemeClr val="accent1"/>
                          </a:lnRef>
                          <a:fillRef idx="0">
                            <a:srgbClr val="FFFFFF"/>
                          </a:fillRef>
                          <a:effectRef idx="0">
                            <a:srgbClr val="FFFFFF"/>
                          </a:effectRef>
                          <a:fontRef idx="minor">
                            <a:schemeClr val="tx1"/>
                          </a:fontRef>
                        </wps:style>
                        <wps:txbx>
                          <w:txbxContent>
                            <w:p w14:paraId="042107BB">
                              <w:pPr>
                                <w:jc w:val="center"/>
                                <w:rPr>
                                  <w:rFonts w:hint="eastAsia" w:eastAsia="宋体"/>
                                  <w:lang w:eastAsia="zh-CN"/>
                                </w:rPr>
                              </w:pPr>
                              <w:r>
                                <w:rPr>
                                  <w:rFonts w:hint="eastAsia"/>
                                  <w:lang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57.6pt;margin-top:48.9pt;height:55.7pt;width:81.3pt;z-index:251674624;mso-width-relative:page;mso-height-relative:page;" coordorigin="13274,1410492" coordsize="1626,1114" o:gfxdata="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&#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GSdDifZAAAACwEAAA8AAAAAAAAAAQAgAAAAIgAAAGRy&#10;cy9kb3ducmV2LnhtbFBLAQIUABQAAAAIAIdO4kDseRRRkwMAAOsJAAAOAAAAAAAAAAEAIAAAACgB&#10;AABkcnMvZTJvRG9jLnhtbFBLBQYAAAAABgAGAFkBAAAtBwAAAAA=&#10;">
                <o:lock v:ext="edit" aspectratio="f"/>
                <v:rect id="_x0000_s1026" o:spid="_x0000_s1026" o:spt="1" style="position:absolute;left:13274;top:1411488;height:119;width:119;v-text-anchor:middle;" fillcolor="#FFFF00" filled="t" stroked="t" coordsize="21600,21600" o:gfxdata="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3JXjebUAAADbAAAADwAA&#10;AAAAAAABACAAAAAiAAAAZHJzL2Rvd25yZXYueG1sUEsBAhQAFAAAAAgAh07iQDMvBZ47AAAAOQAA&#10;ABAAAAAAAAAAAQAgAAAABAEAAGRycy9zaGFwZXhtbC54bWxQSwUGAAAAAAYABgBbAQAArgMAAAAA&#10;">
                  <v:fill on="t" focussize="0,0"/>
                  <v:stroke color="#000000 [3213]" miterlimit="8" joinstyle="miter"/>
                  <v:imagedata o:title=""/>
                  <o:lock v:ext="edit" aspectratio="f"/>
                </v:rect>
                <v:shape id="_x0000_s1026" o:spid="_x0000_s1026" o:spt="62" type="#_x0000_t62" style="position:absolute;left:13430;top:1410492;height:675;width:1470;v-text-anchor:middle;" fillcolor="#FFFFFF [3212]" filled="t" stroked="t" coordsize="21600,21600" o:gfxdata="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8tNO/&#10;AAAA2wAAAA8AAAAAAAAAAQAgAAAAIgAAAGRycy9kb3ducmV2LnhtbFBLAQIUABQAAAAIAIdO4kAz&#10;LwWeOwAAADkAAAAQAAAAAAAAAAEAIAAAAA4BAABkcnMvc2hhcGV4bWwueG1sUEsFBgAAAAAGAAYA&#10;WwEAALgDAAAAAA==&#10;" adj="-749,32448,14400">
                  <v:fill on="t" focussize="0,0"/>
                  <v:stroke weight="1pt" color="#000000 [3213]" miterlimit="8" joinstyle="miter"/>
                  <v:imagedata o:title=""/>
                  <o:lock v:ext="edit" aspectratio="f"/>
                  <v:textbox>
                    <w:txbxContent>
                      <w:p w14:paraId="042107BB">
                        <w:pPr>
                          <w:jc w:val="center"/>
                          <w:rPr>
                            <w:rFonts w:hint="eastAsia" w:eastAsia="宋体"/>
                            <w:lang w:eastAsia="zh-CN"/>
                          </w:rPr>
                        </w:pPr>
                        <w:r>
                          <w:rPr>
                            <w:rFonts w:hint="eastAsia"/>
                            <w:lang w:eastAsia="zh-CN"/>
                          </w:rPr>
                          <w:t>项目位置</w:t>
                        </w:r>
                      </w:p>
                    </w:txbxContent>
                  </v:textbox>
                </v:shape>
              </v:group>
            </w:pict>
          </mc:Fallback>
        </mc:AlternateContent>
      </w:r>
      <w:r>
        <w:rPr>
          <w:rFonts w:hint="default" w:ascii="Times New Roman" w:hAnsi="Times New Roman" w:cs="Times New Roman"/>
          <w:color w:val="auto"/>
          <w:highlight w:val="none"/>
        </w:rPr>
        <w:drawing>
          <wp:inline distT="0" distB="0" distL="114300" distR="114300">
            <wp:extent cx="6934200" cy="4906645"/>
            <wp:effectExtent l="0" t="0" r="0" b="825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42"/>
                    <a:stretch>
                      <a:fillRect/>
                    </a:stretch>
                  </pic:blipFill>
                  <pic:spPr>
                    <a:xfrm>
                      <a:off x="0" y="0"/>
                      <a:ext cx="6934200" cy="4906645"/>
                    </a:xfrm>
                    <a:prstGeom prst="rect">
                      <a:avLst/>
                    </a:prstGeom>
                    <a:noFill/>
                    <a:ln>
                      <a:noFill/>
                    </a:ln>
                  </pic:spPr>
                </pic:pic>
              </a:graphicData>
            </a:graphic>
          </wp:inline>
        </w:drawing>
      </w:r>
    </w:p>
    <w:p w14:paraId="23C1056C">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eastAsia="zh-CN"/>
        </w:rPr>
      </w:pPr>
      <w:bookmarkStart w:id="154" w:name="_Toc9538"/>
      <w:bookmarkStart w:id="155" w:name="_Toc27331"/>
      <w:r>
        <w:rPr>
          <w:rFonts w:hint="default" w:ascii="Times New Roman" w:hAnsi="Times New Roman" w:eastAsia="宋体" w:cs="Times New Roman"/>
          <w:b/>
          <w:bCs/>
          <w:color w:val="auto"/>
          <w:kern w:val="0"/>
          <w:sz w:val="24"/>
          <w:szCs w:val="24"/>
          <w:highlight w:val="none"/>
          <w:lang w:val="en-US" w:eastAsia="zh-CN" w:bidi="ar-SA"/>
        </w:rPr>
        <w:t xml:space="preserve">附图13 </w:t>
      </w:r>
      <w:r>
        <w:rPr>
          <w:rFonts w:hint="default" w:ascii="Times New Roman" w:hAnsi="Times New Roman" w:eastAsia="宋体" w:cs="Times New Roman"/>
          <w:b/>
          <w:bCs/>
          <w:color w:val="auto"/>
          <w:sz w:val="24"/>
          <w:szCs w:val="24"/>
          <w:highlight w:val="none"/>
          <w:lang w:eastAsia="zh-CN"/>
        </w:rPr>
        <w:t>项目周边现状图</w:t>
      </w:r>
      <w:bookmarkEnd w:id="153"/>
      <w:bookmarkEnd w:id="154"/>
      <w:bookmarkEnd w:id="155"/>
    </w:p>
    <w:tbl>
      <w:tblPr>
        <w:tblStyle w:val="3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5"/>
        <w:gridCol w:w="4786"/>
      </w:tblGrid>
      <w:tr w14:paraId="67B8B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3F3A0A84">
            <w:pPr>
              <w:pStyle w:val="44"/>
              <w:pageBreakBefore w:val="0"/>
              <w:wordWrap w:val="0"/>
              <w:topLinePunct w:val="0"/>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92425" cy="2168525"/>
                  <wp:effectExtent l="0" t="0" r="3175" b="3175"/>
                  <wp:docPr id="99" name="图片 99" descr="d598fcab3d1bbc32926676cd5ca736d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d598fcab3d1bbc32926676cd5ca736dc_"/>
                          <pic:cNvPicPr>
                            <a:picLocks noChangeAspect="1"/>
                          </pic:cNvPicPr>
                        </pic:nvPicPr>
                        <pic:blipFill>
                          <a:blip r:embed="rId43"/>
                          <a:stretch>
                            <a:fillRect/>
                          </a:stretch>
                        </pic:blipFill>
                        <pic:spPr>
                          <a:xfrm>
                            <a:off x="0" y="0"/>
                            <a:ext cx="2892425" cy="2168525"/>
                          </a:xfrm>
                          <a:prstGeom prst="rect">
                            <a:avLst/>
                          </a:prstGeom>
                        </pic:spPr>
                      </pic:pic>
                    </a:graphicData>
                  </a:graphic>
                </wp:inline>
              </w:drawing>
            </w:r>
          </w:p>
        </w:tc>
        <w:tc>
          <w:tcPr>
            <w:tcW w:w="4786" w:type="dxa"/>
            <w:vAlign w:val="center"/>
          </w:tcPr>
          <w:p w14:paraId="2C779600">
            <w:pPr>
              <w:pStyle w:val="44"/>
              <w:pageBreakBefore w:val="0"/>
              <w:wordWrap w:val="0"/>
              <w:topLinePunct w:val="0"/>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99410" cy="2176145"/>
                  <wp:effectExtent l="0" t="0" r="15240" b="14605"/>
                  <wp:docPr id="100" name="图片 100" descr="557201bf3828ccb76167d81813c59f0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557201bf3828ccb76167d81813c59f09_"/>
                          <pic:cNvPicPr>
                            <a:picLocks noChangeAspect="1"/>
                          </pic:cNvPicPr>
                        </pic:nvPicPr>
                        <pic:blipFill>
                          <a:blip r:embed="rId44"/>
                          <a:stretch>
                            <a:fillRect/>
                          </a:stretch>
                        </pic:blipFill>
                        <pic:spPr>
                          <a:xfrm>
                            <a:off x="0" y="0"/>
                            <a:ext cx="2899410" cy="2176145"/>
                          </a:xfrm>
                          <a:prstGeom prst="rect">
                            <a:avLst/>
                          </a:prstGeom>
                        </pic:spPr>
                      </pic:pic>
                    </a:graphicData>
                  </a:graphic>
                </wp:inline>
              </w:drawing>
            </w:r>
          </w:p>
        </w:tc>
      </w:tr>
      <w:tr w14:paraId="6FFABD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1857ECDF">
            <w:pPr>
              <w:keepNext w:val="0"/>
              <w:keepLines w:val="0"/>
              <w:pageBreakBefore w:val="0"/>
              <w:widowControl w:val="0"/>
              <w:kinsoku/>
              <w:wordWrap w:val="0"/>
              <w:overflowPunct/>
              <w:topLinePunct w:val="0"/>
              <w:bidi w:val="0"/>
              <w:adjustRightInd/>
              <w:snapToGrid/>
              <w:spacing w:line="240" w:lineRule="auto"/>
              <w:jc w:val="center"/>
              <w:textAlignment w:val="auto"/>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西面 大朗乐昌产业共建科技园</w:t>
            </w:r>
          </w:p>
        </w:tc>
        <w:tc>
          <w:tcPr>
            <w:tcW w:w="4786" w:type="dxa"/>
            <w:vAlign w:val="center"/>
          </w:tcPr>
          <w:p w14:paraId="732CF085">
            <w:pPr>
              <w:keepNext w:val="0"/>
              <w:keepLines w:val="0"/>
              <w:pageBreakBefore w:val="0"/>
              <w:widowControl w:val="0"/>
              <w:kinsoku/>
              <w:wordWrap w:val="0"/>
              <w:overflowPunct/>
              <w:topLinePunct w:val="0"/>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北面 溢拓新能源(广东)有限公司</w:t>
            </w:r>
          </w:p>
        </w:tc>
      </w:tr>
      <w:tr w14:paraId="3A202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52D74DD8">
            <w:pPr>
              <w:pStyle w:val="44"/>
              <w:pageBreakBefore w:val="0"/>
              <w:wordWrap w:val="0"/>
              <w:topLinePunct w:val="0"/>
              <w:bidi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drawing>
                <wp:inline distT="0" distB="0" distL="114300" distR="114300">
                  <wp:extent cx="2880360" cy="1713230"/>
                  <wp:effectExtent l="0" t="0" r="15240" b="1270"/>
                  <wp:docPr id="128" name="图片 128" descr="603149bd035f4f17f8e2212564232ba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603149bd035f4f17f8e2212564232ba2_"/>
                          <pic:cNvPicPr>
                            <a:picLocks noChangeAspect="1"/>
                          </pic:cNvPicPr>
                        </pic:nvPicPr>
                        <pic:blipFill>
                          <a:blip r:embed="rId45"/>
                          <a:srcRect t="20694"/>
                          <a:stretch>
                            <a:fillRect/>
                          </a:stretch>
                        </pic:blipFill>
                        <pic:spPr>
                          <a:xfrm>
                            <a:off x="0" y="0"/>
                            <a:ext cx="2880360" cy="1713230"/>
                          </a:xfrm>
                          <a:prstGeom prst="rect">
                            <a:avLst/>
                          </a:prstGeom>
                        </pic:spPr>
                      </pic:pic>
                    </a:graphicData>
                  </a:graphic>
                </wp:inline>
              </w:drawing>
            </w:r>
          </w:p>
        </w:tc>
        <w:tc>
          <w:tcPr>
            <w:tcW w:w="4786" w:type="dxa"/>
            <w:vAlign w:val="center"/>
          </w:tcPr>
          <w:p w14:paraId="01198710">
            <w:pPr>
              <w:pStyle w:val="44"/>
              <w:pageBreakBefore w:val="0"/>
              <w:wordWrap w:val="0"/>
              <w:topLinePunct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drawing>
                <wp:inline distT="0" distB="0" distL="114300" distR="114300">
                  <wp:extent cx="2892425" cy="2168525"/>
                  <wp:effectExtent l="0" t="0" r="3175" b="3175"/>
                  <wp:docPr id="101" name="图片 101" descr="7c66b9678a6b1a639abbfb1b08d27e5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7c66b9678a6b1a639abbfb1b08d27e5c_"/>
                          <pic:cNvPicPr>
                            <a:picLocks noChangeAspect="1"/>
                          </pic:cNvPicPr>
                        </pic:nvPicPr>
                        <pic:blipFill>
                          <a:blip r:embed="rId46"/>
                          <a:stretch>
                            <a:fillRect/>
                          </a:stretch>
                        </pic:blipFill>
                        <pic:spPr>
                          <a:xfrm>
                            <a:off x="0" y="0"/>
                            <a:ext cx="2892425" cy="2168525"/>
                          </a:xfrm>
                          <a:prstGeom prst="rect">
                            <a:avLst/>
                          </a:prstGeom>
                        </pic:spPr>
                      </pic:pic>
                    </a:graphicData>
                  </a:graphic>
                </wp:inline>
              </w:drawing>
            </w:r>
          </w:p>
        </w:tc>
      </w:tr>
      <w:tr w14:paraId="78A90F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785" w:type="dxa"/>
            <w:vAlign w:val="center"/>
          </w:tcPr>
          <w:p w14:paraId="6AED98D7">
            <w:pPr>
              <w:pStyle w:val="44"/>
              <w:pageBreakBefore w:val="0"/>
              <w:wordWrap w:val="0"/>
              <w:topLinePunct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南面 空地</w:t>
            </w:r>
          </w:p>
        </w:tc>
        <w:tc>
          <w:tcPr>
            <w:tcW w:w="4786" w:type="dxa"/>
            <w:vAlign w:val="center"/>
          </w:tcPr>
          <w:p w14:paraId="1567231F">
            <w:pPr>
              <w:pStyle w:val="44"/>
              <w:pageBreakBefore w:val="0"/>
              <w:wordWrap w:val="0"/>
              <w:topLinePunct w:val="0"/>
              <w:bidi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东面 韶关市高尔泰塑胶科技有限公司</w:t>
            </w:r>
          </w:p>
        </w:tc>
      </w:tr>
    </w:tbl>
    <w:p w14:paraId="6E4DE663">
      <w:pPr>
        <w:pStyle w:val="44"/>
        <w:pageBreakBefore w:val="0"/>
        <w:wordWrap w:val="0"/>
        <w:topLinePunct w:val="0"/>
        <w:bidi w:val="0"/>
        <w:rPr>
          <w:rFonts w:hint="default" w:ascii="Times New Roman" w:hAnsi="Times New Roman" w:cs="Times New Roman"/>
          <w:b/>
          <w:bCs/>
          <w:color w:val="auto"/>
          <w:szCs w:val="22"/>
          <w:highlight w:val="none"/>
        </w:rPr>
      </w:pPr>
    </w:p>
    <w:p w14:paraId="1C1967AD">
      <w:pPr>
        <w:pStyle w:val="46"/>
        <w:pageBreakBefore w:val="0"/>
        <w:wordWrap w:val="0"/>
        <w:topLinePunct w:val="0"/>
        <w:bidi w:val="0"/>
        <w:ind w:right="-12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720" w:num="1"/>
          <w:docGrid w:type="lines" w:linePitch="312" w:charSpace="0"/>
        </w:sectPr>
      </w:pPr>
    </w:p>
    <w:p w14:paraId="638C4185">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56" w:name="_Toc14487"/>
      <w:bookmarkStart w:id="157" w:name="_Toc21198"/>
      <w:r>
        <w:rPr>
          <w:rFonts w:hint="default" w:ascii="Times New Roman" w:hAnsi="Times New Roman" w:eastAsia="宋体" w:cs="Times New Roman"/>
          <w:b/>
          <w:bCs/>
          <w:color w:val="auto"/>
          <w:kern w:val="0"/>
          <w:sz w:val="24"/>
          <w:szCs w:val="24"/>
          <w:highlight w:val="none"/>
          <w:lang w:val="en-US" w:eastAsia="zh-CN" w:bidi="ar-SA"/>
        </w:rPr>
        <w:t xml:space="preserve">附图14 </w:t>
      </w:r>
      <w:r>
        <w:rPr>
          <w:rFonts w:hint="default" w:ascii="Times New Roman" w:hAnsi="Times New Roman" w:eastAsia="宋体" w:cs="Times New Roman"/>
          <w:b/>
          <w:bCs/>
          <w:color w:val="auto"/>
          <w:sz w:val="24"/>
          <w:szCs w:val="24"/>
          <w:highlight w:val="none"/>
          <w:lang w:val="en-US" w:eastAsia="zh-CN"/>
        </w:rPr>
        <w:t>广东省“三线一单”截图</w:t>
      </w:r>
      <w:bookmarkEnd w:id="156"/>
      <w:bookmarkEnd w:id="157"/>
    </w:p>
    <w:p w14:paraId="042509F0">
      <w:pPr>
        <w:pStyle w:val="53"/>
        <w:pageBreakBefore w:val="0"/>
        <w:wordWrap w:val="0"/>
        <w:topLinePunct w:val="0"/>
        <w:bidi w:val="0"/>
        <w:ind w:left="0"/>
        <w:jc w:val="center"/>
        <w:rPr>
          <w:rFonts w:hint="default" w:ascii="Times New Roman" w:hAnsi="Times New Roman" w:cs="Times New Roman"/>
          <w:color w:val="auto"/>
          <w:highlight w:val="none"/>
          <w:lang w:eastAsia="zh-CN"/>
        </w:rPr>
      </w:pPr>
      <w:r>
        <w:rPr>
          <w:rFonts w:hint="default" w:ascii="Times New Roman" w:hAnsi="Times New Roman" w:cs="Times New Roman"/>
          <w:color w:val="auto"/>
          <w:sz w:val="32"/>
          <w:highlight w:val="none"/>
        </w:rPr>
        <mc:AlternateContent>
          <mc:Choice Requires="wps">
            <w:drawing>
              <wp:anchor distT="0" distB="0" distL="114300" distR="114300" simplePos="0" relativeHeight="251665408" behindDoc="0" locked="0" layoutInCell="1" allowOverlap="1">
                <wp:simplePos x="0" y="0"/>
                <wp:positionH relativeFrom="column">
                  <wp:posOffset>19685</wp:posOffset>
                </wp:positionH>
                <wp:positionV relativeFrom="paragraph">
                  <wp:posOffset>2120265</wp:posOffset>
                </wp:positionV>
                <wp:extent cx="2303145" cy="796925"/>
                <wp:effectExtent l="14605" t="13970" r="13970" b="27305"/>
                <wp:wrapNone/>
                <wp:docPr id="44" name="矩形 44"/>
                <wp:cNvGraphicFramePr/>
                <a:graphic xmlns:a="http://schemas.openxmlformats.org/drawingml/2006/main">
                  <a:graphicData uri="http://schemas.microsoft.com/office/word/2010/wordprocessingShape">
                    <wps:wsp>
                      <wps:cNvSpPr/>
                      <wps:spPr>
                        <a:xfrm>
                          <a:off x="1259205" y="2640330"/>
                          <a:ext cx="2303145" cy="79692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pt;margin-top:166.95pt;height:62.75pt;width:181.35pt;z-index:251665408;v-text-anchor:middle;mso-width-relative:page;mso-height-relative:page;" filled="f" stroked="t" coordsize="21600,21600" o:gfxdata="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L+dt/zZAAAACQEAAA8AAAAAAAAAAQAgAAAAIgAA&#10;AGRycy9kb3ducmV2LnhtbFBLAQIUABQAAAAIAIdO4kDffVtjeQIAANkEAAAOAAAAAAAAAAEAIAAA&#10;ACgBAABkcnMvZTJvRG9jLnhtbFBLBQYAAAAABgAGAFkBAAATBgAAAAA=&#10;">
                <v:fill on="f" focussize="0,0"/>
                <v:stroke weight="2.25pt" color="#FF0000 [2404]" miterlimit="8" joinstyle="miter"/>
                <v:imagedata o:title=""/>
                <o:lock v:ext="edit" aspectratio="f"/>
              </v:rect>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4384" behindDoc="0" locked="0" layoutInCell="1" allowOverlap="1">
                <wp:simplePos x="0" y="0"/>
                <wp:positionH relativeFrom="column">
                  <wp:posOffset>6535420</wp:posOffset>
                </wp:positionH>
                <wp:positionV relativeFrom="paragraph">
                  <wp:posOffset>2094230</wp:posOffset>
                </wp:positionV>
                <wp:extent cx="1010920" cy="393065"/>
                <wp:effectExtent l="172085" t="9525" r="17145" b="35560"/>
                <wp:wrapNone/>
                <wp:docPr id="50" name="圆角矩形标注 38"/>
                <wp:cNvGraphicFramePr/>
                <a:graphic xmlns:a="http://schemas.openxmlformats.org/drawingml/2006/main">
                  <a:graphicData uri="http://schemas.microsoft.com/office/word/2010/wordprocessingShape">
                    <wps:wsp>
                      <wps:cNvSpPr/>
                      <wps:spPr>
                        <a:xfrm>
                          <a:off x="0" y="0"/>
                          <a:ext cx="1010920" cy="393065"/>
                        </a:xfrm>
                        <a:prstGeom prst="wedgeRoundRectCallout">
                          <a:avLst>
                            <a:gd name="adj1" fmla="val -63505"/>
                            <a:gd name="adj2" fmla="val 50000"/>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5FF10C30">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514.6pt;margin-top:164.9pt;height:30.95pt;width:79.6pt;z-index:251664384;v-text-anchor:middle;mso-width-relative:page;mso-height-relative:page;" fillcolor="#FFFFFF [3212]" filled="t" stroked="t" coordsize="21600,21600" o:gfxdata="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DA7HnHa&#10;AAAADQEAAA8AAAAAAAAAAQAgAAAAIgAAAGRycy9kb3ducmV2LnhtbFBLAQIUABQAAAAIAIdO4kC9&#10;OZEKyQIAAJQFAAAOAAAAAAAAAAEAIAAAACkBAABkcnMvZTJvRG9jLnhtbFBLBQYAAAAABgAGAFkB&#10;AABkBgAAAAA=&#10;" adj="-2917,21600,14400">
                <v:fill on="t" focussize="0,0"/>
                <v:stroke weight="1.5pt" color="#000000 [3213]" miterlimit="8" joinstyle="miter"/>
                <v:imagedata o:title=""/>
                <o:lock v:ext="edit" aspectratio="f"/>
                <v:textbox>
                  <w:txbxContent>
                    <w:p w14:paraId="5FF10C30">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highlight w:val="none"/>
        </w:rPr>
        <w:drawing>
          <wp:inline distT="0" distB="0" distL="114300" distR="114300">
            <wp:extent cx="8801735" cy="4928870"/>
            <wp:effectExtent l="0" t="0" r="6985" b="8890"/>
            <wp:docPr id="2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1"/>
                    <pic:cNvPicPr>
                      <a:picLocks noChangeAspect="1"/>
                    </pic:cNvPicPr>
                  </pic:nvPicPr>
                  <pic:blipFill>
                    <a:blip r:embed="rId47"/>
                    <a:stretch>
                      <a:fillRect/>
                    </a:stretch>
                  </pic:blipFill>
                  <pic:spPr>
                    <a:xfrm>
                      <a:off x="0" y="0"/>
                      <a:ext cx="8801735" cy="4928870"/>
                    </a:xfrm>
                    <a:prstGeom prst="rect">
                      <a:avLst/>
                    </a:prstGeom>
                    <a:noFill/>
                    <a:ln>
                      <a:noFill/>
                    </a:ln>
                  </pic:spPr>
                </pic:pic>
              </a:graphicData>
            </a:graphic>
          </wp:inline>
        </w:drawing>
      </w:r>
      <w:r>
        <w:rPr>
          <w:rFonts w:hint="default" w:ascii="Times New Roman" w:hAnsi="Times New Roman" w:cs="Times New Roman"/>
          <w:color w:val="auto"/>
          <w:highlight w:val="none"/>
        </w:rPr>
        <w:drawing>
          <wp:anchor distT="0" distB="0" distL="114300" distR="114300" simplePos="0" relativeHeight="251676672" behindDoc="0" locked="0" layoutInCell="1" allowOverlap="1">
            <wp:simplePos x="0" y="0"/>
            <wp:positionH relativeFrom="column">
              <wp:posOffset>7729220</wp:posOffset>
            </wp:positionH>
            <wp:positionV relativeFrom="paragraph">
              <wp:posOffset>25400</wp:posOffset>
            </wp:positionV>
            <wp:extent cx="1045845" cy="1019175"/>
            <wp:effectExtent l="0" t="0" r="1905" b="9525"/>
            <wp:wrapNone/>
            <wp:docPr id="6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6"/>
                    <pic:cNvPicPr>
                      <a:picLocks noChangeAspect="1"/>
                    </pic:cNvPicPr>
                  </pic:nvPicPr>
                  <pic:blipFill>
                    <a:blip r:embed="rId28"/>
                    <a:stretch>
                      <a:fillRect/>
                    </a:stretch>
                  </pic:blipFill>
                  <pic:spPr>
                    <a:xfrm>
                      <a:off x="0" y="0"/>
                      <a:ext cx="1045845" cy="1019175"/>
                    </a:xfrm>
                    <a:prstGeom prst="rect">
                      <a:avLst/>
                    </a:prstGeom>
                    <a:noFill/>
                    <a:ln>
                      <a:noFill/>
                    </a:ln>
                  </pic:spPr>
                </pic:pic>
              </a:graphicData>
            </a:graphic>
          </wp:anchor>
        </w:drawing>
      </w:r>
    </w:p>
    <w:p w14:paraId="70E4DDFF">
      <w:pPr>
        <w:pStyle w:val="53"/>
        <w:pageBreakBefore w:val="0"/>
        <w:wordWrap w:val="0"/>
        <w:topLinePunct w:val="0"/>
        <w:bidi w:val="0"/>
        <w:ind w:left="0"/>
        <w:jc w:val="center"/>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085FC522">
      <w:pPr>
        <w:pageBreakBefore w:val="0"/>
        <w:wordWrap w:val="0"/>
        <w:topLinePunct w:val="0"/>
        <w:bidi w:val="0"/>
        <w:rPr>
          <w:rFonts w:hint="default" w:ascii="Times New Roman" w:hAnsi="Times New Roman" w:cs="Times New Roman"/>
          <w:color w:val="auto"/>
          <w:highlight w:val="none"/>
          <w:lang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rFonts w:hint="default" w:ascii="Times New Roman" w:hAnsi="Times New Roman" w:cs="Times New Roman"/>
          <w:color w:val="auto"/>
          <w:highlight w:val="none"/>
        </w:rPr>
        <mc:AlternateContent>
          <mc:Choice Requires="wps">
            <w:drawing>
              <wp:anchor distT="0" distB="0" distL="114300" distR="114300" simplePos="0" relativeHeight="251679744" behindDoc="0" locked="0" layoutInCell="1" allowOverlap="1">
                <wp:simplePos x="0" y="0"/>
                <wp:positionH relativeFrom="column">
                  <wp:posOffset>6229985</wp:posOffset>
                </wp:positionH>
                <wp:positionV relativeFrom="paragraph">
                  <wp:posOffset>1882775</wp:posOffset>
                </wp:positionV>
                <wp:extent cx="1010920" cy="393065"/>
                <wp:effectExtent l="172085" t="9525" r="17145" b="35560"/>
                <wp:wrapNone/>
                <wp:docPr id="109" name="圆角矩形标注 38"/>
                <wp:cNvGraphicFramePr/>
                <a:graphic xmlns:a="http://schemas.openxmlformats.org/drawingml/2006/main">
                  <a:graphicData uri="http://schemas.microsoft.com/office/word/2010/wordprocessingShape">
                    <wps:wsp>
                      <wps:cNvSpPr/>
                      <wps:spPr>
                        <a:xfrm>
                          <a:off x="0" y="0"/>
                          <a:ext cx="1010920" cy="393065"/>
                        </a:xfrm>
                        <a:prstGeom prst="wedgeRoundRectCallout">
                          <a:avLst>
                            <a:gd name="adj1" fmla="val -63505"/>
                            <a:gd name="adj2" fmla="val 50000"/>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49F11F56">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490.55pt;margin-top:148.25pt;height:30.95pt;width:79.6pt;z-index:251679744;v-text-anchor:middle;mso-width-relative:page;mso-height-relative:page;" fillcolor="#FFFFFF [3212]" filled="t" stroked="t" coordsize="21600,21600" o:gfxdata="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gqr4&#10;cdsAAAAMAQAADwAAAAAAAAABACAAAAAiAAAAZHJzL2Rvd25yZXYueG1sUEsBAhQAFAAAAAgAh07i&#10;QPM7QSzKAgAAlQUAAA4AAAAAAAAAAQAgAAAAKgEAAGRycy9lMm9Eb2MueG1sUEsFBgAAAAAGAAYA&#10;WQEAAGYGAAAAAA==&#10;" adj="-2917,21600,14400">
                <v:fill on="t" focussize="0,0"/>
                <v:stroke weight="1.5pt" color="#000000 [3213]" miterlimit="8" joinstyle="miter"/>
                <v:imagedata o:title=""/>
                <o:lock v:ext="edit" aspectratio="f"/>
                <v:textbox>
                  <w:txbxContent>
                    <w:p w14:paraId="49F11F56">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highlight w:val="none"/>
        </w:rPr>
        <w:drawing>
          <wp:anchor distT="0" distB="0" distL="114300" distR="114300" simplePos="0" relativeHeight="251680768" behindDoc="0" locked="0" layoutInCell="1" allowOverlap="1">
            <wp:simplePos x="0" y="0"/>
            <wp:positionH relativeFrom="column">
              <wp:posOffset>7738745</wp:posOffset>
            </wp:positionH>
            <wp:positionV relativeFrom="paragraph">
              <wp:posOffset>45720</wp:posOffset>
            </wp:positionV>
            <wp:extent cx="1045845" cy="1019175"/>
            <wp:effectExtent l="0" t="0" r="1905" b="9525"/>
            <wp:wrapNone/>
            <wp:docPr id="11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6"/>
                    <pic:cNvPicPr>
                      <a:picLocks noChangeAspect="1"/>
                    </pic:cNvPicPr>
                  </pic:nvPicPr>
                  <pic:blipFill>
                    <a:blip r:embed="rId28"/>
                    <a:stretch>
                      <a:fillRect/>
                    </a:stretch>
                  </pic:blipFill>
                  <pic:spPr>
                    <a:xfrm>
                      <a:off x="0" y="0"/>
                      <a:ext cx="1045845" cy="1019175"/>
                    </a:xfrm>
                    <a:prstGeom prst="rect">
                      <a:avLst/>
                    </a:prstGeom>
                    <a:noFill/>
                    <a:ln>
                      <a:noFill/>
                    </a:ln>
                  </pic:spPr>
                </pic:pic>
              </a:graphicData>
            </a:graphic>
          </wp:anchor>
        </w:drawing>
      </w:r>
      <w:r>
        <w:rPr>
          <w:rFonts w:hint="default" w:ascii="Times New Roman" w:hAnsi="Times New Roman" w:cs="Times New Roman"/>
          <w:color w:val="auto"/>
          <w:highlight w:val="none"/>
        </w:rPr>
        <w:drawing>
          <wp:inline distT="0" distB="0" distL="114300" distR="114300">
            <wp:extent cx="8789035" cy="4528185"/>
            <wp:effectExtent l="0" t="0" r="4445" b="13335"/>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48"/>
                    <a:stretch>
                      <a:fillRect/>
                    </a:stretch>
                  </pic:blipFill>
                  <pic:spPr>
                    <a:xfrm>
                      <a:off x="0" y="0"/>
                      <a:ext cx="8789035" cy="4528185"/>
                    </a:xfrm>
                    <a:prstGeom prst="rect">
                      <a:avLst/>
                    </a:prstGeom>
                    <a:noFill/>
                    <a:ln>
                      <a:noFill/>
                    </a:ln>
                  </pic:spPr>
                </pic:pic>
              </a:graphicData>
            </a:graphic>
          </wp:inline>
        </w:drawing>
      </w:r>
      <w:r>
        <w:rPr>
          <w:rFonts w:hint="default" w:ascii="Times New Roman" w:hAnsi="Times New Roman" w:cs="Times New Roman"/>
          <w:color w:val="auto"/>
          <w:highlight w:val="none"/>
        </w:rPr>
        <mc:AlternateContent>
          <mc:Choice Requires="wps">
            <w:drawing>
              <wp:anchor distT="0" distB="0" distL="114300" distR="114300" simplePos="0" relativeHeight="251701248" behindDoc="0" locked="0" layoutInCell="1" allowOverlap="1">
                <wp:simplePos x="0" y="0"/>
                <wp:positionH relativeFrom="column">
                  <wp:posOffset>6019800</wp:posOffset>
                </wp:positionH>
                <wp:positionV relativeFrom="paragraph">
                  <wp:posOffset>1838325</wp:posOffset>
                </wp:positionV>
                <wp:extent cx="1010920" cy="393065"/>
                <wp:effectExtent l="271780" t="9525" r="12700" b="24130"/>
                <wp:wrapNone/>
                <wp:docPr id="27" name="圆角矩形标注 38"/>
                <wp:cNvGraphicFramePr/>
                <a:graphic xmlns:a="http://schemas.openxmlformats.org/drawingml/2006/main">
                  <a:graphicData uri="http://schemas.microsoft.com/office/word/2010/wordprocessingShape">
                    <wps:wsp>
                      <wps:cNvSpPr/>
                      <wps:spPr>
                        <a:xfrm>
                          <a:off x="0" y="0"/>
                          <a:ext cx="1010920" cy="393065"/>
                        </a:xfrm>
                        <a:prstGeom prst="wedgeRoundRectCallout">
                          <a:avLst>
                            <a:gd name="adj1" fmla="val -72236"/>
                            <a:gd name="adj2" fmla="val 41599"/>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0C3C8392">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474pt;margin-top:144.75pt;height:30.95pt;width:79.6pt;z-index:251701248;v-text-anchor:middle;mso-width-relative:page;mso-height-relative:page;" fillcolor="#FFFFFF [3212]" filled="t" stroked="t" coordsize="21600,21600" o:gfxdata="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CA1zHvbAAAA&#10;DAEAAA8AAAAAAAAAAQAgAAAAIgAAAGRycy9kb3ducmV2LnhtbFBLAQIUABQAAAAIAIdO4kBlRcL1&#10;xQIAAJQFAAAOAAAAAAAAAAEAIAAAACoBAABkcnMvZTJvRG9jLnhtbFBLBQYAAAAABgAGAFkBAABh&#10;BgAAAAA=&#10;" adj="-4803,19785,14400">
                <v:fill on="t" focussize="0,0"/>
                <v:stroke weight="1.5pt" color="#000000 [3213]" miterlimit="8" joinstyle="miter"/>
                <v:imagedata o:title=""/>
                <o:lock v:ext="edit" aspectratio="f"/>
                <v:textbox>
                  <w:txbxContent>
                    <w:p w14:paraId="0C3C8392">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highlight w:val="none"/>
        </w:rPr>
        <w:drawing>
          <wp:inline distT="0" distB="0" distL="114300" distR="114300">
            <wp:extent cx="8794750" cy="5126990"/>
            <wp:effectExtent l="0" t="0" r="13970" b="8890"/>
            <wp:docPr id="2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3"/>
                    <pic:cNvPicPr>
                      <a:picLocks noChangeAspect="1"/>
                    </pic:cNvPicPr>
                  </pic:nvPicPr>
                  <pic:blipFill>
                    <a:blip r:embed="rId49"/>
                    <a:stretch>
                      <a:fillRect/>
                    </a:stretch>
                  </pic:blipFill>
                  <pic:spPr>
                    <a:xfrm>
                      <a:off x="0" y="0"/>
                      <a:ext cx="8794750" cy="5126990"/>
                    </a:xfrm>
                    <a:prstGeom prst="rect">
                      <a:avLst/>
                    </a:prstGeom>
                    <a:noFill/>
                    <a:ln>
                      <a:noFill/>
                    </a:ln>
                  </pic:spPr>
                </pic:pic>
              </a:graphicData>
            </a:graphic>
          </wp:inline>
        </w:drawing>
      </w:r>
    </w:p>
    <w:p w14:paraId="0C4AE87E">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58" w:name="_Toc11922"/>
      <w:bookmarkStart w:id="159" w:name="_Toc12672"/>
      <w:r>
        <w:rPr>
          <w:rFonts w:hint="default" w:ascii="Times New Roman" w:hAnsi="Times New Roman" w:eastAsia="宋体" w:cs="Times New Roman"/>
          <w:b/>
          <w:bCs/>
          <w:color w:val="auto"/>
          <w:kern w:val="0"/>
          <w:sz w:val="24"/>
          <w:szCs w:val="24"/>
          <w:highlight w:val="none"/>
          <w:lang w:val="en-US" w:eastAsia="zh-CN" w:bidi="ar-SA"/>
        </w:rPr>
        <w:t xml:space="preserve">附图15 </w:t>
      </w:r>
      <w:r>
        <w:rPr>
          <w:rFonts w:hint="default" w:ascii="Times New Roman" w:hAnsi="Times New Roman" w:eastAsia="宋体" w:cs="Times New Roman"/>
          <w:b/>
          <w:bCs/>
          <w:color w:val="auto"/>
          <w:sz w:val="24"/>
          <w:szCs w:val="24"/>
          <w:highlight w:val="none"/>
          <w:lang w:val="en-US" w:eastAsia="zh-CN"/>
        </w:rPr>
        <w:t>项目与大气</w:t>
      </w:r>
      <w:r>
        <w:rPr>
          <w:rFonts w:hint="default" w:ascii="Times New Roman" w:hAnsi="Times New Roman" w:cs="Times New Roman"/>
          <w:b/>
          <w:bCs/>
          <w:color w:val="auto"/>
          <w:sz w:val="24"/>
          <w:szCs w:val="24"/>
          <w:highlight w:val="none"/>
          <w:lang w:val="en-US" w:eastAsia="zh-CN"/>
        </w:rPr>
        <w:t>引用</w:t>
      </w:r>
      <w:r>
        <w:rPr>
          <w:rFonts w:hint="default" w:ascii="Times New Roman" w:hAnsi="Times New Roman" w:eastAsia="宋体" w:cs="Times New Roman"/>
          <w:b/>
          <w:bCs/>
          <w:color w:val="auto"/>
          <w:sz w:val="24"/>
          <w:szCs w:val="24"/>
          <w:highlight w:val="none"/>
          <w:lang w:val="en-US" w:eastAsia="zh-CN"/>
        </w:rPr>
        <w:t>监测点位置图</w:t>
      </w:r>
      <w:bookmarkEnd w:id="158"/>
      <w:bookmarkEnd w:id="159"/>
    </w:p>
    <w:p w14:paraId="6109B6A7">
      <w:pPr>
        <w:pStyle w:val="53"/>
        <w:pageBreakBefore w:val="0"/>
        <w:wordWrap w:val="0"/>
        <w:topLinePunct w:val="0"/>
        <w:bidi w:val="0"/>
        <w:ind w:left="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anchor distT="0" distB="0" distL="114300" distR="114300" simplePos="0" relativeHeight="251722752" behindDoc="0" locked="0" layoutInCell="1" allowOverlap="1">
            <wp:simplePos x="0" y="0"/>
            <wp:positionH relativeFrom="column">
              <wp:posOffset>5030470</wp:posOffset>
            </wp:positionH>
            <wp:positionV relativeFrom="paragraph">
              <wp:posOffset>6148070</wp:posOffset>
            </wp:positionV>
            <wp:extent cx="257175" cy="314325"/>
            <wp:effectExtent l="0" t="0" r="9525" b="9525"/>
            <wp:wrapNone/>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50"/>
                    <a:stretch>
                      <a:fillRect/>
                    </a:stretch>
                  </pic:blipFill>
                  <pic:spPr>
                    <a:xfrm>
                      <a:off x="0" y="0"/>
                      <a:ext cx="257175" cy="314325"/>
                    </a:xfrm>
                    <a:prstGeom prst="rect">
                      <a:avLst/>
                    </a:prstGeom>
                    <a:noFill/>
                    <a:ln>
                      <a:noFill/>
                    </a:ln>
                  </pic:spPr>
                </pic:pic>
              </a:graphicData>
            </a:graphic>
          </wp:anchor>
        </w:drawing>
      </w:r>
      <w:r>
        <w:rPr>
          <w:rFonts w:hint="default" w:ascii="Times New Roman" w:hAnsi="Times New Roman" w:cs="Times New Roman"/>
          <w:color w:val="auto"/>
          <w:sz w:val="32"/>
          <w:highlight w:val="none"/>
        </w:rPr>
        <mc:AlternateContent>
          <mc:Choice Requires="wps">
            <w:drawing>
              <wp:anchor distT="0" distB="0" distL="114300" distR="114300" simplePos="0" relativeHeight="251721728" behindDoc="0" locked="0" layoutInCell="1" allowOverlap="1">
                <wp:simplePos x="0" y="0"/>
                <wp:positionH relativeFrom="column">
                  <wp:posOffset>4685030</wp:posOffset>
                </wp:positionH>
                <wp:positionV relativeFrom="paragraph">
                  <wp:posOffset>5782945</wp:posOffset>
                </wp:positionV>
                <wp:extent cx="501650" cy="288925"/>
                <wp:effectExtent l="6350" t="6350" r="6350" b="9525"/>
                <wp:wrapNone/>
                <wp:docPr id="60" name="矩形 60"/>
                <wp:cNvGraphicFramePr/>
                <a:graphic xmlns:a="http://schemas.openxmlformats.org/drawingml/2006/main">
                  <a:graphicData uri="http://schemas.microsoft.com/office/word/2010/wordprocessingShape">
                    <wps:wsp>
                      <wps:cNvSpPr/>
                      <wps:spPr>
                        <a:xfrm>
                          <a:off x="5584825" y="6971030"/>
                          <a:ext cx="501650" cy="288925"/>
                        </a:xfrm>
                        <a:prstGeom prst="rect">
                          <a:avLst/>
                        </a:prstGeom>
                        <a:solidFill>
                          <a:schemeClr val="bg1"/>
                        </a:solidFill>
                        <a:ln>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8.9pt;margin-top:455.35pt;height:22.75pt;width:39.5pt;z-index:251721728;v-text-anchor:middle;mso-width-relative:page;mso-height-relative:page;" fillcolor="#FFFFFF [3212]" filled="t" stroked="t" coordsize="21600,21600" o:gfxdata="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UXK6V9gAAAALAQAADwAAAAAAAAABACAAAAAiAAAA&#10;ZHJzL2Rvd25yZXYueG1sUEsBAhQAFAAAAAgAh07iQC6/N0J5AgAAAQUAAA4AAAAAAAAAAQAgAAAA&#10;JwEAAGRycy9lMm9Eb2MueG1sUEsFBgAAAAAGAAYAWQEAABIGAAAAAA==&#10;">
                <v:fill on="t" focussize="0,0"/>
                <v:stroke weight="1pt" color="#FF0000 [3204]" miterlimit="8" joinstyle="miter"/>
                <v:imagedata o:title=""/>
                <o:lock v:ext="edit" aspectratio="f"/>
              </v:rect>
            </w:pict>
          </mc:Fallback>
        </mc:AlternateContent>
      </w:r>
      <w:r>
        <w:rPr>
          <w:rFonts w:hint="default" w:ascii="Times New Roman" w:hAnsi="Times New Roman" w:cs="Times New Roman"/>
          <w:color w:val="auto"/>
          <w:highlight w:val="none"/>
        </w:rPr>
        <w:drawing>
          <wp:anchor distT="0" distB="0" distL="114300" distR="114300" simplePos="0" relativeHeight="251677696" behindDoc="0" locked="0" layoutInCell="1" allowOverlap="1">
            <wp:simplePos x="0" y="0"/>
            <wp:positionH relativeFrom="column">
              <wp:posOffset>4832350</wp:posOffset>
            </wp:positionH>
            <wp:positionV relativeFrom="paragraph">
              <wp:posOffset>330835</wp:posOffset>
            </wp:positionV>
            <wp:extent cx="1083310" cy="1056640"/>
            <wp:effectExtent l="0" t="0" r="2540" b="10160"/>
            <wp:wrapNone/>
            <wp:docPr id="6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6"/>
                    <pic:cNvPicPr>
                      <a:picLocks noChangeAspect="1"/>
                    </pic:cNvPicPr>
                  </pic:nvPicPr>
                  <pic:blipFill>
                    <a:blip r:embed="rId51"/>
                    <a:stretch>
                      <a:fillRect/>
                    </a:stretch>
                  </pic:blipFill>
                  <pic:spPr>
                    <a:xfrm>
                      <a:off x="0" y="0"/>
                      <a:ext cx="1083310" cy="1056640"/>
                    </a:xfrm>
                    <a:prstGeom prst="rect">
                      <a:avLst/>
                    </a:prstGeom>
                    <a:noFill/>
                    <a:ln>
                      <a:no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719680" behindDoc="0" locked="0" layoutInCell="1" allowOverlap="1">
                <wp:simplePos x="0" y="0"/>
                <wp:positionH relativeFrom="column">
                  <wp:posOffset>3803015</wp:posOffset>
                </wp:positionH>
                <wp:positionV relativeFrom="paragraph">
                  <wp:posOffset>5365750</wp:posOffset>
                </wp:positionV>
                <wp:extent cx="2042795" cy="1297305"/>
                <wp:effectExtent l="4445" t="4445" r="10160" b="12700"/>
                <wp:wrapNone/>
                <wp:docPr id="57" name="文本框 57"/>
                <wp:cNvGraphicFramePr/>
                <a:graphic xmlns:a="http://schemas.openxmlformats.org/drawingml/2006/main">
                  <a:graphicData uri="http://schemas.microsoft.com/office/word/2010/wordprocessingShape">
                    <wps:wsp>
                      <wps:cNvSpPr txBox="1"/>
                      <wps:spPr>
                        <a:xfrm>
                          <a:off x="0" y="0"/>
                          <a:ext cx="2042795" cy="12973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6E63FE8">
                            <w:pPr>
                              <w:pStyle w:val="45"/>
                              <w:bidi w:val="0"/>
                              <w:jc w:val="center"/>
                              <w:rPr>
                                <w:rFonts w:hint="eastAsia"/>
                                <w:lang w:eastAsia="zh-CN"/>
                              </w:rPr>
                            </w:pPr>
                            <w:r>
                              <w:rPr>
                                <w:rFonts w:hint="eastAsia"/>
                                <w:lang w:eastAsia="zh-CN"/>
                              </w:rPr>
                              <w:t>图例</w:t>
                            </w:r>
                          </w:p>
                          <w:p w14:paraId="0322D61F">
                            <w:pPr>
                              <w:pStyle w:val="45"/>
                              <w:bidi w:val="0"/>
                              <w:rPr>
                                <w:rFonts w:hint="eastAsia"/>
                                <w:lang w:eastAsia="zh-CN"/>
                              </w:rPr>
                            </w:pPr>
                            <w:r>
                              <w:rPr>
                                <w:rFonts w:hint="eastAsia"/>
                                <w:lang w:eastAsia="zh-CN"/>
                              </w:rPr>
                              <w:t>项目位置：</w:t>
                            </w:r>
                          </w:p>
                          <w:p w14:paraId="2F56198C">
                            <w:pPr>
                              <w:rPr>
                                <w:rFonts w:hint="eastAsia"/>
                                <w:lang w:eastAsia="zh-CN"/>
                              </w:rPr>
                            </w:pPr>
                            <w:r>
                              <w:rPr>
                                <w:rFonts w:hint="eastAsia"/>
                                <w:lang w:val="en-US" w:eastAsia="zh-CN"/>
                              </w:rPr>
                              <w:t>大气监测点位</w:t>
                            </w:r>
                            <w:r>
                              <w:rPr>
                                <w:rFonts w:hint="eastAsia"/>
                                <w:lang w:eastAsia="zh-CN"/>
                              </w:rPr>
                              <w:t>：</w:t>
                            </w:r>
                          </w:p>
                          <w:p w14:paraId="60D6B81D">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9.45pt;margin-top:422.5pt;height:102.15pt;width:160.85pt;z-index:251719680;mso-width-relative:page;mso-height-relative:page;" fillcolor="#FFFFFF [3201]" filled="t" stroked="t" coordsize="21600,21600" o:gfxdata="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mrK&#10;V9kAAAAMAQAADwAAAAAAAAABACAAAAAiAAAAZHJzL2Rvd25yZXYueG1sUEsBAhQAFAAAAAgAh07i&#10;QDJLvAlaAgAAugQAAA4AAAAAAAAAAQAgAAAAKAEAAGRycy9lMm9Eb2MueG1sUEsFBgAAAAAGAAYA&#10;WQEAAPQFAAAAAA==&#10;">
                <v:fill on="t" focussize="0,0"/>
                <v:stroke weight="0.5pt" color="#000000 [3204]" joinstyle="round"/>
                <v:imagedata o:title=""/>
                <o:lock v:ext="edit" aspectratio="f"/>
                <v:textbox>
                  <w:txbxContent>
                    <w:p w14:paraId="76E63FE8">
                      <w:pPr>
                        <w:pStyle w:val="45"/>
                        <w:bidi w:val="0"/>
                        <w:jc w:val="center"/>
                        <w:rPr>
                          <w:rFonts w:hint="eastAsia"/>
                          <w:lang w:eastAsia="zh-CN"/>
                        </w:rPr>
                      </w:pPr>
                      <w:r>
                        <w:rPr>
                          <w:rFonts w:hint="eastAsia"/>
                          <w:lang w:eastAsia="zh-CN"/>
                        </w:rPr>
                        <w:t>图例</w:t>
                      </w:r>
                    </w:p>
                    <w:p w14:paraId="0322D61F">
                      <w:pPr>
                        <w:pStyle w:val="45"/>
                        <w:bidi w:val="0"/>
                        <w:rPr>
                          <w:rFonts w:hint="eastAsia"/>
                          <w:lang w:eastAsia="zh-CN"/>
                        </w:rPr>
                      </w:pPr>
                      <w:r>
                        <w:rPr>
                          <w:rFonts w:hint="eastAsia"/>
                          <w:lang w:eastAsia="zh-CN"/>
                        </w:rPr>
                        <w:t>项目位置：</w:t>
                      </w:r>
                    </w:p>
                    <w:p w14:paraId="2F56198C">
                      <w:pPr>
                        <w:rPr>
                          <w:rFonts w:hint="eastAsia"/>
                          <w:lang w:eastAsia="zh-CN"/>
                        </w:rPr>
                      </w:pPr>
                      <w:r>
                        <w:rPr>
                          <w:rFonts w:hint="eastAsia"/>
                          <w:lang w:val="en-US" w:eastAsia="zh-CN"/>
                        </w:rPr>
                        <w:t>大气监测点位</w:t>
                      </w:r>
                      <w:r>
                        <w:rPr>
                          <w:rFonts w:hint="eastAsia"/>
                          <w:lang w:eastAsia="zh-CN"/>
                        </w:rPr>
                        <w:t>：</w:t>
                      </w:r>
                    </w:p>
                    <w:p w14:paraId="60D6B81D">
                      <w:pPr>
                        <w:rPr>
                          <w:rFonts w:hint="eastAsia"/>
                          <w:lang w:eastAsia="zh-CN"/>
                        </w:rPr>
                      </w:pP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18656" behindDoc="0" locked="0" layoutInCell="1" allowOverlap="1">
                <wp:simplePos x="0" y="0"/>
                <wp:positionH relativeFrom="column">
                  <wp:posOffset>3094990</wp:posOffset>
                </wp:positionH>
                <wp:positionV relativeFrom="paragraph">
                  <wp:posOffset>3286125</wp:posOffset>
                </wp:positionV>
                <wp:extent cx="914400" cy="914400"/>
                <wp:effectExtent l="0" t="0" r="0" b="0"/>
                <wp:wrapNone/>
                <wp:docPr id="56" name="文本框 56"/>
                <wp:cNvGraphicFramePr/>
                <a:graphic xmlns:a="http://schemas.openxmlformats.org/drawingml/2006/main">
                  <a:graphicData uri="http://schemas.microsoft.com/office/word/2010/wordprocessingShape">
                    <wps:wsp>
                      <wps:cNvSpPr txBox="1"/>
                      <wps:spPr>
                        <a:xfrm>
                          <a:off x="4377055" y="4686935"/>
                          <a:ext cx="91440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0AFFCA">
                            <w:pPr>
                              <w:rPr>
                                <w:rFonts w:hint="default" w:eastAsia="宋体"/>
                                <w:highlight w:val="yellow"/>
                                <w:lang w:val="en-US" w:eastAsia="zh-CN"/>
                              </w:rPr>
                            </w:pPr>
                            <w:r>
                              <w:rPr>
                                <w:rFonts w:hint="eastAsia"/>
                                <w:highlight w:val="yellow"/>
                                <w:lang w:val="en-US" w:eastAsia="zh-CN"/>
                              </w:rPr>
                              <w:t>3553m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3.7pt;margin-top:258.75pt;height:72pt;width:72pt;z-index:251718656;mso-width-relative:page;mso-height-relative:page;" filled="f" stroked="f" coordsize="21600,21600" o:gfxdata="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BkCbU/3AAAAAsBAAAPAAAAAAAAAAEA&#10;IAAAACIAAABkcnMvZG93bnJldi54bWxQSwECFAAUAAAACACHTuJAl4pDBEQCAABzBAAADgAAAAAA&#10;AAABACAAAAArAQAAZHJzL2Uyb0RvYy54bWxQSwUGAAAAAAYABgBZAQAA4QUAAAAA&#10;">
                <v:fill on="f" focussize="0,0"/>
                <v:stroke on="f" weight="0.5pt"/>
                <v:imagedata o:title=""/>
                <o:lock v:ext="edit" aspectratio="f"/>
                <v:textbox>
                  <w:txbxContent>
                    <w:p w14:paraId="220AFFCA">
                      <w:pPr>
                        <w:rPr>
                          <w:rFonts w:hint="default" w:eastAsia="宋体"/>
                          <w:highlight w:val="yellow"/>
                          <w:lang w:val="en-US" w:eastAsia="zh-CN"/>
                        </w:rPr>
                      </w:pPr>
                      <w:r>
                        <w:rPr>
                          <w:rFonts w:hint="eastAsia"/>
                          <w:highlight w:val="yellow"/>
                          <w:lang w:val="en-US" w:eastAsia="zh-CN"/>
                        </w:rPr>
                        <w:t>3553m</w:t>
                      </w: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17632" behindDoc="0" locked="0" layoutInCell="1" allowOverlap="1">
                <wp:simplePos x="0" y="0"/>
                <wp:positionH relativeFrom="column">
                  <wp:posOffset>2975610</wp:posOffset>
                </wp:positionH>
                <wp:positionV relativeFrom="paragraph">
                  <wp:posOffset>1006475</wp:posOffset>
                </wp:positionV>
                <wp:extent cx="247015" cy="4695190"/>
                <wp:effectExtent l="58420" t="0" r="75565" b="10160"/>
                <wp:wrapNone/>
                <wp:docPr id="55" name="直接箭头连接符 55"/>
                <wp:cNvGraphicFramePr/>
                <a:graphic xmlns:a="http://schemas.openxmlformats.org/drawingml/2006/main">
                  <a:graphicData uri="http://schemas.microsoft.com/office/word/2010/wordprocessingShape">
                    <wps:wsp>
                      <wps:cNvCnPr>
                        <a:stCxn id="48" idx="4"/>
                      </wps:cNvCnPr>
                      <wps:spPr>
                        <a:xfrm flipH="1">
                          <a:off x="3875405" y="2194560"/>
                          <a:ext cx="247015" cy="4695190"/>
                        </a:xfrm>
                        <a:prstGeom prst="straightConnector1">
                          <a:avLst/>
                        </a:prstGeom>
                        <a:ln w="28575">
                          <a:solidFill>
                            <a:srgbClr val="FFC0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34.3pt;margin-top:79.25pt;height:369.7pt;width:19.45pt;z-index:251717632;mso-width-relative:page;mso-height-relative:page;" filled="f" stroked="t" coordsize="21600,21600" o:gfxdata="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l00l3XAAAACwEAAA8AAAAAAAAAAQAgAAAAIgAAAGRycy9kb3du&#10;cmV2LnhtbFBLAQIUABQAAAAIAIdO4kDh0VAUOQIAADwEAAAOAAAAAAAAAAEAIAAAACYBAABkcnMv&#10;ZTJvRG9jLnhtbFBLBQYAAAAABgAGAFkBAADRBQAAAAA=&#10;">
                <v:fill on="f" focussize="0,0"/>
                <v:stroke weight="2.25pt" color="#FFC000 [3204]" miterlimit="8" joinstyle="miter" startarrow="open" endarrow="open"/>
                <v:imagedata o:title=""/>
                <o:lock v:ext="edit" aspectratio="f"/>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16608" behindDoc="0" locked="0" layoutInCell="1" allowOverlap="1">
                <wp:simplePos x="0" y="0"/>
                <wp:positionH relativeFrom="column">
                  <wp:posOffset>1284605</wp:posOffset>
                </wp:positionH>
                <wp:positionV relativeFrom="paragraph">
                  <wp:posOffset>4952365</wp:posOffset>
                </wp:positionV>
                <wp:extent cx="1436370" cy="586740"/>
                <wp:effectExtent l="6350" t="6350" r="252730" b="264160"/>
                <wp:wrapNone/>
                <wp:docPr id="54" name="圆角矩形标注 54"/>
                <wp:cNvGraphicFramePr/>
                <a:graphic xmlns:a="http://schemas.openxmlformats.org/drawingml/2006/main">
                  <a:graphicData uri="http://schemas.microsoft.com/office/word/2010/wordprocessingShape">
                    <wps:wsp>
                      <wps:cNvSpPr/>
                      <wps:spPr>
                        <a:xfrm>
                          <a:off x="0" y="0"/>
                          <a:ext cx="1436370" cy="586740"/>
                        </a:xfrm>
                        <a:prstGeom prst="wedgeRoundRectCallout">
                          <a:avLst>
                            <a:gd name="adj1" fmla="val 63748"/>
                            <a:gd name="adj2" fmla="val 91450"/>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13A6987">
                            <w:pPr>
                              <w:jc w:val="center"/>
                              <w:rPr>
                                <w:rFonts w:hint="default" w:eastAsia="宋体"/>
                                <w:b/>
                                <w:bCs/>
                                <w:color w:val="FF0000"/>
                                <w:sz w:val="22"/>
                                <w:szCs w:val="22"/>
                                <w:lang w:val="en-US" w:eastAsia="zh-CN"/>
                              </w:rPr>
                            </w:pPr>
                            <w:r>
                              <w:rPr>
                                <w:rFonts w:hint="eastAsia"/>
                                <w:b/>
                                <w:bCs/>
                                <w:color w:val="FF0000"/>
                                <w:sz w:val="22"/>
                                <w:szCs w:val="22"/>
                                <w:lang w:val="en-US" w:eastAsia="zh-CN"/>
                              </w:rPr>
                              <w:t>大气引用监测点位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01.15pt;margin-top:389.95pt;height:46.2pt;width:113.1pt;z-index:251716608;v-text-anchor:middle;mso-width-relative:page;mso-height-relative:page;" fillcolor="#FFFFFF [3212]" filled="t" stroked="t" coordsize="21600,21600" o:gfxdata="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ls2l52wAAAAsB&#10;AAAPAAAAAAAAAAEAIAAAACIAAABkcnMvZG93bnJldi54bWxQSwECFAAUAAAACACHTuJARxX7bsMC&#10;AACTBQAADgAAAAAAAAABACAAAAAqAQAAZHJzL2Uyb0RvYy54bWxQSwUGAAAAAAYABgBZAQAAXwYA&#10;AAAA&#10;" adj="24570,30553,14400">
                <v:fill on="t" focussize="0,0"/>
                <v:stroke weight="1pt" color="#000000 [3213]" miterlimit="8" joinstyle="miter"/>
                <v:imagedata o:title=""/>
                <o:lock v:ext="edit" aspectratio="f"/>
                <v:textbox>
                  <w:txbxContent>
                    <w:p w14:paraId="313A6987">
                      <w:pPr>
                        <w:jc w:val="center"/>
                        <w:rPr>
                          <w:rFonts w:hint="default" w:eastAsia="宋体"/>
                          <w:b/>
                          <w:bCs/>
                          <w:color w:val="FF0000"/>
                          <w:sz w:val="22"/>
                          <w:szCs w:val="22"/>
                          <w:lang w:val="en-US" w:eastAsia="zh-CN"/>
                        </w:rPr>
                      </w:pPr>
                      <w:r>
                        <w:rPr>
                          <w:rFonts w:hint="eastAsia"/>
                          <w:b/>
                          <w:bCs/>
                          <w:color w:val="FF0000"/>
                          <w:sz w:val="22"/>
                          <w:szCs w:val="22"/>
                          <w:lang w:val="en-US" w:eastAsia="zh-CN"/>
                        </w:rPr>
                        <w:t>大气引用监测点位</w:t>
                      </w:r>
                    </w:p>
                  </w:txbxContent>
                </v:textbox>
              </v:shape>
            </w:pict>
          </mc:Fallback>
        </mc:AlternateContent>
      </w:r>
      <w:r>
        <w:rPr>
          <w:rFonts w:hint="default" w:ascii="Times New Roman" w:hAnsi="Times New Roman" w:cs="Times New Roman"/>
          <w:color w:val="auto"/>
          <w:sz w:val="32"/>
          <w:highlight w:val="none"/>
        </w:rPr>
        <mc:AlternateContent>
          <mc:Choice Requires="wps">
            <w:drawing>
              <wp:anchor distT="0" distB="0" distL="114300" distR="114300" simplePos="0" relativeHeight="251715584" behindDoc="0" locked="0" layoutInCell="1" allowOverlap="1">
                <wp:simplePos x="0" y="0"/>
                <wp:positionH relativeFrom="column">
                  <wp:posOffset>3596640</wp:posOffset>
                </wp:positionH>
                <wp:positionV relativeFrom="paragraph">
                  <wp:posOffset>586105</wp:posOffset>
                </wp:positionV>
                <wp:extent cx="1020445" cy="509905"/>
                <wp:effectExtent l="412115" t="6350" r="15240" b="17145"/>
                <wp:wrapNone/>
                <wp:docPr id="48" name="圆角矩形标注 48"/>
                <wp:cNvGraphicFramePr/>
                <a:graphic xmlns:a="http://schemas.openxmlformats.org/drawingml/2006/main">
                  <a:graphicData uri="http://schemas.microsoft.com/office/word/2010/wordprocessingShape">
                    <wps:wsp>
                      <wps:cNvSpPr/>
                      <wps:spPr>
                        <a:xfrm>
                          <a:off x="4930140" y="1587500"/>
                          <a:ext cx="1020445" cy="509905"/>
                        </a:xfrm>
                        <a:prstGeom prst="wedgeRoundRectCallout">
                          <a:avLst>
                            <a:gd name="adj1" fmla="val -86652"/>
                            <a:gd name="adj2" fmla="val 32440"/>
                            <a:gd name="adj3" fmla="val 1666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8737004">
                            <w:pPr>
                              <w:jc w:val="center"/>
                              <w:rPr>
                                <w:rFonts w:hint="default" w:eastAsia="宋体"/>
                                <w:color w:val="FF0000"/>
                                <w:lang w:val="en-US" w:eastAsia="zh-CN"/>
                              </w:rPr>
                            </w:pPr>
                            <w:r>
                              <w:rPr>
                                <w:rFonts w:hint="eastAsia"/>
                                <w:color w:val="FF0000"/>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3.2pt;margin-top:46.15pt;height:40.15pt;width:80.35pt;z-index:251715584;v-text-anchor:middle;mso-width-relative:page;mso-height-relative:page;" fillcolor="#FFFFFF [3212]" filled="t" stroked="t" coordsize="21600,21600" o:gfxdata="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" adj="-7917,17807,14400">
                <v:fill on="t" focussize="0,0"/>
                <v:stroke weight="1pt" color="#000000 [3213]" miterlimit="8" joinstyle="miter"/>
                <v:imagedata o:title=""/>
                <o:lock v:ext="edit" aspectratio="f"/>
                <v:textbox>
                  <w:txbxContent>
                    <w:p w14:paraId="38737004">
                      <w:pPr>
                        <w:jc w:val="center"/>
                        <w:rPr>
                          <w:rFonts w:hint="default" w:eastAsia="宋体"/>
                          <w:color w:val="FF0000"/>
                          <w:lang w:val="en-US" w:eastAsia="zh-CN"/>
                        </w:rPr>
                      </w:pPr>
                      <w:r>
                        <w:rPr>
                          <w:rFonts w:hint="eastAsia"/>
                          <w:color w:val="FF0000"/>
                          <w:lang w:val="en-US" w:eastAsia="zh-CN"/>
                        </w:rPr>
                        <w:t>项目位置</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20704" behindDoc="0" locked="0" layoutInCell="1" allowOverlap="1">
                <wp:simplePos x="0" y="0"/>
                <wp:positionH relativeFrom="column">
                  <wp:posOffset>7144385</wp:posOffset>
                </wp:positionH>
                <wp:positionV relativeFrom="paragraph">
                  <wp:posOffset>4846955</wp:posOffset>
                </wp:positionV>
                <wp:extent cx="372745" cy="198755"/>
                <wp:effectExtent l="13970" t="13970" r="32385" b="15875"/>
                <wp:wrapNone/>
                <wp:docPr id="58" name="矩形 58"/>
                <wp:cNvGraphicFramePr/>
                <a:graphic xmlns:a="http://schemas.openxmlformats.org/drawingml/2006/main">
                  <a:graphicData uri="http://schemas.microsoft.com/office/word/2010/wordprocessingShape">
                    <wps:wsp>
                      <wps:cNvSpPr/>
                      <wps:spPr>
                        <a:xfrm>
                          <a:off x="0" y="0"/>
                          <a:ext cx="372745" cy="19875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2.55pt;margin-top:381.65pt;height:15.65pt;width:29.35pt;z-index:251720704;v-text-anchor:middle;mso-width-relative:page;mso-height-relative:page;" filled="f" stroked="t" coordsize="21600,21600" o:gfxdata="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L8Pz27aAAAADQEAAA8AAAAAAAAAAQAgAAAAIgAAAGRycy9kb3ducmV2&#10;LnhtbFBLAQIUABQAAAAIAIdO4kC9dZ3TbAIAAMwEAAAOAAAAAAAAAAEAIAAAACkBAABkcnMvZTJv&#10;RG9jLnhtbFBLBQYAAAAABgAGAFkBAAAHBgAAAAA=&#10;">
                <v:fill on="f" focussize="0,0"/>
                <v:stroke weight="2.25pt" color="#FF0000 [2404]" miterlimit="8" joinstyle="miter"/>
                <v:imagedata o:title=""/>
                <o:lock v:ext="edit" aspectratio="f"/>
              </v:rect>
            </w:pict>
          </mc:Fallback>
        </mc:AlternateContent>
      </w:r>
      <w:r>
        <w:rPr>
          <w:rFonts w:hint="default" w:ascii="Times New Roman" w:hAnsi="Times New Roman" w:cs="Times New Roman"/>
          <w:color w:val="auto"/>
          <w:highlight w:val="none"/>
        </w:rPr>
        <w:drawing>
          <wp:inline distT="0" distB="0" distL="114300" distR="114300">
            <wp:extent cx="5873750" cy="6677025"/>
            <wp:effectExtent l="0" t="0" r="12700" b="952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52"/>
                    <a:stretch>
                      <a:fillRect/>
                    </a:stretch>
                  </pic:blipFill>
                  <pic:spPr>
                    <a:xfrm>
                      <a:off x="0" y="0"/>
                      <a:ext cx="5873750" cy="6677025"/>
                    </a:xfrm>
                    <a:prstGeom prst="rect">
                      <a:avLst/>
                    </a:prstGeom>
                    <a:noFill/>
                    <a:ln>
                      <a:noFill/>
                    </a:ln>
                  </pic:spPr>
                </pic:pic>
              </a:graphicData>
            </a:graphic>
          </wp:inline>
        </w:drawing>
      </w:r>
    </w:p>
    <w:p w14:paraId="7EC6A978">
      <w:pPr>
        <w:pStyle w:val="37"/>
        <w:pageBreakBefore w:val="0"/>
        <w:widowControl/>
        <w:numPr>
          <w:ilvl w:val="0"/>
          <w:numId w:val="0"/>
        </w:numPr>
        <w:wordWrap w:val="0"/>
        <w:topLinePunct w:val="0"/>
        <w:bidi w:val="0"/>
        <w:adjustRightInd/>
        <w:spacing w:line="240" w:lineRule="auto"/>
        <w:jc w:val="left"/>
        <w:textAlignment w:val="auto"/>
        <w:outlineLvl w:val="0"/>
        <w:rPr>
          <w:rFonts w:hint="default" w:ascii="Times New Roman" w:hAnsi="Times New Roman" w:eastAsia="宋体" w:cs="Times New Roman"/>
          <w:b/>
          <w:bCs/>
          <w:color w:val="auto"/>
          <w:sz w:val="24"/>
          <w:szCs w:val="24"/>
          <w:highlight w:val="none"/>
          <w:lang w:val="en-US"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3B50AD7A">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60" w:name="_Toc26330"/>
      <w:bookmarkStart w:id="161" w:name="_Toc28233"/>
      <w:r>
        <w:rPr>
          <w:rFonts w:hint="default" w:ascii="Times New Roman" w:hAnsi="Times New Roman" w:eastAsia="宋体" w:cs="Times New Roman"/>
          <w:b/>
          <w:bCs/>
          <w:color w:val="auto"/>
          <w:kern w:val="0"/>
          <w:sz w:val="24"/>
          <w:szCs w:val="24"/>
          <w:highlight w:val="none"/>
          <w:lang w:val="en-US" w:eastAsia="zh-CN" w:bidi="ar-SA"/>
        </w:rPr>
        <w:t xml:space="preserve">附图16 </w:t>
      </w:r>
      <w:r>
        <w:rPr>
          <w:rFonts w:hint="default" w:ascii="Times New Roman" w:hAnsi="Times New Roman" w:eastAsia="宋体" w:cs="Times New Roman"/>
          <w:b/>
          <w:bCs/>
          <w:color w:val="auto"/>
          <w:sz w:val="24"/>
          <w:szCs w:val="24"/>
          <w:highlight w:val="none"/>
          <w:lang w:val="en-US" w:eastAsia="zh-CN"/>
        </w:rPr>
        <w:t>乐昌产业转移工业园管网分布图</w:t>
      </w:r>
      <w:bookmarkEnd w:id="160"/>
      <w:bookmarkEnd w:id="161"/>
    </w:p>
    <w:p w14:paraId="19C12AB5">
      <w:pPr>
        <w:pStyle w:val="44"/>
        <w:pageBreakBefore w:val="0"/>
        <w:wordWrap w:val="0"/>
        <w:topLinePunct w:val="0"/>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mc:AlternateContent>
          <mc:Choice Requires="wps">
            <w:drawing>
              <wp:anchor distT="0" distB="0" distL="114300" distR="114300" simplePos="0" relativeHeight="251684864" behindDoc="0" locked="0" layoutInCell="1" allowOverlap="1">
                <wp:simplePos x="0" y="0"/>
                <wp:positionH relativeFrom="column">
                  <wp:posOffset>2618105</wp:posOffset>
                </wp:positionH>
                <wp:positionV relativeFrom="paragraph">
                  <wp:posOffset>2141855</wp:posOffset>
                </wp:positionV>
                <wp:extent cx="1010920" cy="405130"/>
                <wp:effectExtent l="9525" t="9525" r="27305" b="233045"/>
                <wp:wrapNone/>
                <wp:docPr id="139" name="圆角矩形标注 38"/>
                <wp:cNvGraphicFramePr/>
                <a:graphic xmlns:a="http://schemas.openxmlformats.org/drawingml/2006/main">
                  <a:graphicData uri="http://schemas.microsoft.com/office/word/2010/wordprocessingShape">
                    <wps:wsp>
                      <wps:cNvSpPr/>
                      <wps:spPr>
                        <a:xfrm>
                          <a:off x="0" y="0"/>
                          <a:ext cx="1010920" cy="40513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419CE1E1">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206.15pt;margin-top:168.65pt;height:31.9pt;width:79.6pt;z-index:251684864;v-text-anchor:middle;mso-width-relative:page;mso-height-relative:page;" fillcolor="#FFFFFF [3212]" filled="t" stroked="t" coordsize="21600,21600" o:gfxdata="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EQmYhba&#10;AAAACwEAAA8AAAAAAAAAAQAgAAAAIgAAAGRycy9kb3ducmV2LnhtbFBLAQIUABQAAAAIAIdO4kAa&#10;c5FRyQIAAJYFAAAOAAAAAAAAAAEAIAAAACkBAABkcnMvZTJvRG9jLnhtbFBLBQYAAAAABgAGAFkB&#10;AABkBgAAAAA=&#10;" adj="6148,33019,14400">
                <v:fill on="t" focussize="0,0"/>
                <v:stroke weight="1.5pt" color="#000000 [3213]" miterlimit="8" joinstyle="miter"/>
                <v:imagedata o:title=""/>
                <o:lock v:ext="edit" aspectratio="f"/>
                <v:textbox>
                  <w:txbxContent>
                    <w:p w14:paraId="419CE1E1">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sz w:val="24"/>
          <w:highlight w:val="none"/>
        </w:rPr>
        <mc:AlternateContent>
          <mc:Choice Requires="wps">
            <w:drawing>
              <wp:anchor distT="0" distB="0" distL="114300" distR="114300" simplePos="0" relativeHeight="251702272" behindDoc="0" locked="0" layoutInCell="1" allowOverlap="1">
                <wp:simplePos x="0" y="0"/>
                <wp:positionH relativeFrom="column">
                  <wp:posOffset>2836545</wp:posOffset>
                </wp:positionH>
                <wp:positionV relativeFrom="paragraph">
                  <wp:posOffset>2736850</wp:posOffset>
                </wp:positionV>
                <wp:extent cx="118745" cy="111760"/>
                <wp:effectExtent l="6985" t="6985" r="11430" b="18415"/>
                <wp:wrapNone/>
                <wp:docPr id="29" name="任意多边形 29"/>
                <wp:cNvGraphicFramePr/>
                <a:graphic xmlns:a="http://schemas.openxmlformats.org/drawingml/2006/main">
                  <a:graphicData uri="http://schemas.microsoft.com/office/word/2010/wordprocessingShape">
                    <wps:wsp>
                      <wps:cNvSpPr/>
                      <wps:spPr>
                        <a:xfrm>
                          <a:off x="3743325" y="3820795"/>
                          <a:ext cx="118745" cy="111760"/>
                        </a:xfrm>
                        <a:custGeom>
                          <a:avLst/>
                          <a:gdLst>
                            <a:gd name="connisteX0" fmla="*/ 6985 w 146685"/>
                            <a:gd name="connsiteY0" fmla="*/ 13335 h 146685"/>
                            <a:gd name="connisteX1" fmla="*/ 146685 w 146685"/>
                            <a:gd name="connsiteY1" fmla="*/ 0 h 146685"/>
                            <a:gd name="connisteX2" fmla="*/ 139700 w 146685"/>
                            <a:gd name="connsiteY2" fmla="*/ 146685 h 146685"/>
                            <a:gd name="connisteX3" fmla="*/ 0 w 146685"/>
                            <a:gd name="connsiteY3" fmla="*/ 139700 h 146685"/>
                            <a:gd name="connisteX4" fmla="*/ 6985 w 146685"/>
                            <a:gd name="connsiteY4" fmla="*/ 13335 h 1466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146685" h="146685">
                              <a:moveTo>
                                <a:pt x="6985" y="13335"/>
                              </a:moveTo>
                              <a:lnTo>
                                <a:pt x="146685" y="0"/>
                              </a:lnTo>
                              <a:lnTo>
                                <a:pt x="139700" y="146685"/>
                              </a:lnTo>
                              <a:lnTo>
                                <a:pt x="0" y="139700"/>
                              </a:lnTo>
                              <a:lnTo>
                                <a:pt x="6985" y="13335"/>
                              </a:lnTo>
                              <a:close/>
                            </a:path>
                          </a:pathLst>
                        </a:cu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23.35pt;margin-top:215.5pt;height:8.8pt;width:9.35pt;z-index:251702272;mso-width-relative:page;mso-height-relative:page;" fillcolor="#FF0000" filled="t" stroked="t" coordsize="146685,146685" o:gfxdata="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fSYb42gAAAAsBAAAPAAAAAAAAAAEAIAAAACIAAABkcnMv&#10;ZG93bnJldi54bWxQSwECFAAUAAAACACHTuJAPKC06x4DAAB1CAAADgAAAAAAAAABACAAAAApAQAA&#10;ZHJzL2Uyb0RvYy54bWxQSwUGAAAAAAYABgBZAQAAuQYAAAAA&#10;" path="m6985,13335l146685,0,139700,146685,0,139700,6985,13335xe">
                <v:path o:connectlocs="5654,10160;118745,0;113090,111760;0,106438;5654,10160" o:connectangles="0,0,0,0,0"/>
                <v:fill on="t" focussize="0,0"/>
                <v:stroke weight="1pt" color="#000000 [3213]" miterlimit="8" joinstyle="miter"/>
                <v:imagedata o:title=""/>
                <o:lock v:ext="edit" aspectratio="f"/>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63360" behindDoc="0" locked="0" layoutInCell="1" allowOverlap="1">
                <wp:simplePos x="0" y="0"/>
                <wp:positionH relativeFrom="column">
                  <wp:posOffset>3876675</wp:posOffset>
                </wp:positionH>
                <wp:positionV relativeFrom="paragraph">
                  <wp:posOffset>4742180</wp:posOffset>
                </wp:positionV>
                <wp:extent cx="1010920" cy="405130"/>
                <wp:effectExtent l="9525" t="9525" r="27305" b="233045"/>
                <wp:wrapNone/>
                <wp:docPr id="72" name="圆角矩形标注 38"/>
                <wp:cNvGraphicFramePr/>
                <a:graphic xmlns:a="http://schemas.openxmlformats.org/drawingml/2006/main">
                  <a:graphicData uri="http://schemas.microsoft.com/office/word/2010/wordprocessingShape">
                    <wps:wsp>
                      <wps:cNvSpPr/>
                      <wps:spPr>
                        <a:xfrm>
                          <a:off x="0" y="0"/>
                          <a:ext cx="1010920" cy="405130"/>
                        </a:xfrm>
                        <a:prstGeom prst="wedgeRoundRectCallout">
                          <a:avLst>
                            <a:gd name="adj1" fmla="val -21536"/>
                            <a:gd name="adj2" fmla="val 102868"/>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048D9840">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05.25pt;margin-top:373.4pt;height:31.9pt;width:79.6pt;z-index:251663360;v-text-anchor:middle;mso-width-relative:page;mso-height-relative:page;" fillcolor="#FFFFFF [3212]" filled="t" stroked="t" coordsize="21600,21600" o:gfxdata="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XqTs6tkA&#10;AAALAQAADwAAAAAAAAABACAAAAAiAAAAZHJzL2Rvd25yZXYueG1sUEsBAhQAFAAAAAgAh07iQDwu&#10;03fJAgAAlQUAAA4AAAAAAAAAAQAgAAAAKAEAAGRycy9lMm9Eb2MueG1sUEsFBgAAAAAGAAYAWQEA&#10;AGMGAAAAAA==&#10;" adj="6148,33019,14400">
                <v:fill on="t" focussize="0,0"/>
                <v:stroke weight="1.5pt" color="#000000 [3213]" miterlimit="8" joinstyle="miter"/>
                <v:imagedata o:title=""/>
                <o:lock v:ext="edit" aspectratio="f"/>
                <v:textbox>
                  <w:txbxContent>
                    <w:p w14:paraId="048D9840">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highlight w:val="none"/>
        </w:rPr>
        <w:drawing>
          <wp:inline distT="0" distB="0" distL="114300" distR="114300">
            <wp:extent cx="5361305" cy="7717790"/>
            <wp:effectExtent l="0" t="0" r="10795" b="1651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53"/>
                    <a:stretch>
                      <a:fillRect/>
                    </a:stretch>
                  </pic:blipFill>
                  <pic:spPr>
                    <a:xfrm>
                      <a:off x="0" y="0"/>
                      <a:ext cx="5361305" cy="7717790"/>
                    </a:xfrm>
                    <a:prstGeom prst="rect">
                      <a:avLst/>
                    </a:prstGeom>
                    <a:noFill/>
                    <a:ln>
                      <a:noFill/>
                    </a:ln>
                  </pic:spPr>
                </pic:pic>
              </a:graphicData>
            </a:graphic>
          </wp:inline>
        </w:drawing>
      </w:r>
    </w:p>
    <w:p w14:paraId="40E059DA">
      <w:pPr>
        <w:pageBreakBefore w:val="0"/>
        <w:wordWrap w:val="0"/>
        <w:topLinePunct w:val="0"/>
        <w:bidi w:val="0"/>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119E0648">
      <w:pPr>
        <w:pStyle w:val="37"/>
        <w:pageBreakBefore w:val="0"/>
        <w:numPr>
          <w:ilvl w:val="0"/>
          <w:numId w:val="0"/>
        </w:numPr>
        <w:wordWrap w:val="0"/>
        <w:topLinePunct w:val="0"/>
        <w:bidi w:val="0"/>
        <w:adjustRightInd/>
        <w:spacing w:line="240" w:lineRule="auto"/>
        <w:ind w:left="0" w:leftChars="0" w:firstLine="397" w:firstLineChars="0"/>
        <w:jc w:val="left"/>
        <w:textAlignment w:val="auto"/>
        <w:outlineLvl w:val="0"/>
        <w:rPr>
          <w:rFonts w:hint="default" w:ascii="Times New Roman" w:hAnsi="Times New Roman" w:eastAsia="宋体" w:cs="Times New Roman"/>
          <w:b/>
          <w:bCs/>
          <w:color w:val="auto"/>
          <w:sz w:val="24"/>
          <w:szCs w:val="24"/>
          <w:highlight w:val="none"/>
          <w:lang w:val="en-US" w:eastAsia="zh-CN"/>
        </w:rPr>
      </w:pPr>
      <w:bookmarkStart w:id="162" w:name="_Toc9079"/>
      <w:bookmarkStart w:id="163" w:name="_Toc5458"/>
      <w:r>
        <w:rPr>
          <w:rFonts w:hint="default" w:ascii="Times New Roman" w:hAnsi="Times New Roman" w:eastAsia="宋体" w:cs="Times New Roman"/>
          <w:b/>
          <w:bCs/>
          <w:color w:val="auto"/>
          <w:kern w:val="0"/>
          <w:sz w:val="24"/>
          <w:szCs w:val="24"/>
          <w:highlight w:val="none"/>
          <w:lang w:val="en-US" w:eastAsia="zh-CN" w:bidi="ar-SA"/>
        </w:rPr>
        <w:t xml:space="preserve">附图17 </w:t>
      </w:r>
      <w:r>
        <w:rPr>
          <w:rFonts w:hint="default" w:ascii="Times New Roman" w:hAnsi="Times New Roman" w:eastAsia="宋体" w:cs="Times New Roman"/>
          <w:b/>
          <w:bCs/>
          <w:color w:val="auto"/>
          <w:sz w:val="24"/>
          <w:szCs w:val="24"/>
          <w:highlight w:val="none"/>
          <w:lang w:val="en-US" w:eastAsia="zh-CN"/>
        </w:rPr>
        <w:t>建设项目与韶关市区武江饮用水水源保护区关系示意图</w:t>
      </w:r>
      <w:bookmarkEnd w:id="162"/>
      <w:bookmarkEnd w:id="163"/>
    </w:p>
    <w:p w14:paraId="70A569D4">
      <w:pPr>
        <w:pStyle w:val="36"/>
        <w:pageBreakBefore w:val="0"/>
        <w:wordWrap w:val="0"/>
        <w:topLinePunct w:val="0"/>
        <w:bidi w:val="0"/>
        <w:jc w:val="center"/>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rFonts w:hint="default" w:ascii="Times New Roman" w:hAnsi="Times New Roman" w:cs="Times New Roman"/>
          <w:color w:val="auto"/>
          <w:highlight w:val="none"/>
        </w:rPr>
        <w:drawing>
          <wp:anchor distT="0" distB="0" distL="114300" distR="114300" simplePos="0" relativeHeight="251686912" behindDoc="0" locked="0" layoutInCell="1" allowOverlap="1">
            <wp:simplePos x="0" y="0"/>
            <wp:positionH relativeFrom="column">
              <wp:posOffset>820420</wp:posOffset>
            </wp:positionH>
            <wp:positionV relativeFrom="paragraph">
              <wp:posOffset>50165</wp:posOffset>
            </wp:positionV>
            <wp:extent cx="1159510" cy="1130935"/>
            <wp:effectExtent l="0" t="0" r="2540" b="12065"/>
            <wp:wrapNone/>
            <wp:docPr id="14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26"/>
                    <pic:cNvPicPr>
                      <a:picLocks noChangeAspect="1"/>
                    </pic:cNvPicPr>
                  </pic:nvPicPr>
                  <pic:blipFill>
                    <a:blip r:embed="rId54"/>
                    <a:stretch>
                      <a:fillRect/>
                    </a:stretch>
                  </pic:blipFill>
                  <pic:spPr>
                    <a:xfrm>
                      <a:off x="0" y="0"/>
                      <a:ext cx="1159510" cy="1130935"/>
                    </a:xfrm>
                    <a:prstGeom prst="rect">
                      <a:avLst/>
                    </a:prstGeom>
                    <a:noFill/>
                    <a:ln>
                      <a:noFill/>
                    </a:ln>
                  </pic:spPr>
                </pic:pic>
              </a:graphicData>
            </a:graphic>
          </wp:anchor>
        </w:drawing>
      </w:r>
      <w:r>
        <w:rPr>
          <w:rFonts w:hint="default" w:ascii="Times New Roman" w:hAnsi="Times New Roman" w:cs="Times New Roman"/>
          <w:color w:val="auto"/>
          <w:sz w:val="21"/>
          <w:highlight w:val="none"/>
        </w:rPr>
        <mc:AlternateContent>
          <mc:Choice Requires="wps">
            <w:drawing>
              <wp:anchor distT="0" distB="0" distL="114300" distR="114300" simplePos="0" relativeHeight="251683840" behindDoc="0" locked="0" layoutInCell="1" allowOverlap="1">
                <wp:simplePos x="0" y="0"/>
                <wp:positionH relativeFrom="column">
                  <wp:posOffset>7038340</wp:posOffset>
                </wp:positionH>
                <wp:positionV relativeFrom="paragraph">
                  <wp:posOffset>4539615</wp:posOffset>
                </wp:positionV>
                <wp:extent cx="381000" cy="224790"/>
                <wp:effectExtent l="13970" t="13970" r="24130" b="27940"/>
                <wp:wrapNone/>
                <wp:docPr id="138" name="矩形 138"/>
                <wp:cNvGraphicFramePr/>
                <a:graphic xmlns:a="http://schemas.openxmlformats.org/drawingml/2006/main">
                  <a:graphicData uri="http://schemas.microsoft.com/office/word/2010/wordprocessingShape">
                    <wps:wsp>
                      <wps:cNvSpPr/>
                      <wps:spPr>
                        <a:xfrm>
                          <a:off x="0" y="0"/>
                          <a:ext cx="381000" cy="224790"/>
                        </a:xfrm>
                        <a:prstGeom prst="rect">
                          <a:avLst/>
                        </a:prstGeom>
                        <a:solidFill>
                          <a:schemeClr val="accent5">
                            <a:lumMod val="75000"/>
                            <a:alpha val="57000"/>
                          </a:schemeClr>
                        </a:solidFill>
                        <a:ln w="28575">
                          <a:solidFill>
                            <a:srgbClr val="0070C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4.2pt;margin-top:357.45pt;height:17.7pt;width:30pt;z-index:251683840;v-text-anchor:middle;mso-width-relative:page;mso-height-relative:page;" fillcolor="#2F5597 [2408]" filled="t" stroked="t" coordsize="21600,21600" o:gfxdata="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Mq+hM/Y&#10;AAAADQEAAA8AAAAAAAAAAQAgAAAAIgAAAGRycy9kb3ducmV2LnhtbFBLAQIUABQAAAAIAIdO4kCq&#10;d+0gkgIAAC8FAAAOAAAAAAAAAAEAIAAAACcBAABkcnMvZTJvRG9jLnhtbFBLBQYAAAAABgAGAFkB&#10;AAArBgAAAAA=&#10;">
                <v:fill on="t" opacity="37355f" focussize="0,0"/>
                <v:stroke weight="2.25pt" color="#0070C0 [2404]" miterlimit="8" joinstyle="miter"/>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2816" behindDoc="0" locked="0" layoutInCell="1" allowOverlap="1">
                <wp:simplePos x="0" y="0"/>
                <wp:positionH relativeFrom="column">
                  <wp:posOffset>7054215</wp:posOffset>
                </wp:positionH>
                <wp:positionV relativeFrom="paragraph">
                  <wp:posOffset>3992880</wp:posOffset>
                </wp:positionV>
                <wp:extent cx="372745" cy="198755"/>
                <wp:effectExtent l="13970" t="13970" r="32385" b="15875"/>
                <wp:wrapNone/>
                <wp:docPr id="137" name="矩形 137"/>
                <wp:cNvGraphicFramePr/>
                <a:graphic xmlns:a="http://schemas.openxmlformats.org/drawingml/2006/main">
                  <a:graphicData uri="http://schemas.microsoft.com/office/word/2010/wordprocessingShape">
                    <wps:wsp>
                      <wps:cNvSpPr/>
                      <wps:spPr>
                        <a:xfrm>
                          <a:off x="8675370" y="4962525"/>
                          <a:ext cx="372745" cy="198755"/>
                        </a:xfrm>
                        <a:prstGeom prst="rect">
                          <a:avLst/>
                        </a:prstGeom>
                        <a:noFill/>
                        <a:ln w="2857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5.45pt;margin-top:314.4pt;height:15.65pt;width:29.35pt;z-index:251682816;v-text-anchor:middle;mso-width-relative:page;mso-height-relative:page;" filled="f" stroked="t" coordsize="21600,21600" o:gfxdata="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zXE+U2QAAAA0BAAAPAAAAAAAAAAEAIAAAACIA&#10;AABkcnMvZG93bnJldi54bWxQSwECFAAUAAAACACHTuJAJ5HfEXoCAADaBAAADgAAAAAAAAABACAA&#10;AAAoAQAAZHJzL2Uyb0RvYy54bWxQSwUGAAAAAAYABgBZAQAAFAYAAAAA&#10;">
                <v:fill on="f" focussize="0,0"/>
                <v:stroke weight="2.25pt" color="#FF0000 [2404]" miterlimit="8" joinstyle="miter"/>
                <v:imagedata o:title=""/>
                <o:lock v:ext="edit" aspectratio="f"/>
              </v:rect>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681792" behindDoc="0" locked="0" layoutInCell="1" allowOverlap="1">
                <wp:simplePos x="0" y="0"/>
                <wp:positionH relativeFrom="column">
                  <wp:posOffset>5975350</wp:posOffset>
                </wp:positionH>
                <wp:positionV relativeFrom="paragraph">
                  <wp:posOffset>3559175</wp:posOffset>
                </wp:positionV>
                <wp:extent cx="2042795" cy="1297305"/>
                <wp:effectExtent l="4445" t="4445" r="10160" b="12700"/>
                <wp:wrapNone/>
                <wp:docPr id="135" name="文本框 135"/>
                <wp:cNvGraphicFramePr/>
                <a:graphic xmlns:a="http://schemas.openxmlformats.org/drawingml/2006/main">
                  <a:graphicData uri="http://schemas.microsoft.com/office/word/2010/wordprocessingShape">
                    <wps:wsp>
                      <wps:cNvSpPr txBox="1"/>
                      <wps:spPr>
                        <a:xfrm>
                          <a:off x="7904480" y="5394960"/>
                          <a:ext cx="2042795" cy="12973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52F6EFA">
                            <w:pPr>
                              <w:pStyle w:val="45"/>
                              <w:bidi w:val="0"/>
                              <w:jc w:val="center"/>
                              <w:rPr>
                                <w:rFonts w:hint="eastAsia"/>
                                <w:lang w:eastAsia="zh-CN"/>
                              </w:rPr>
                            </w:pPr>
                            <w:r>
                              <w:rPr>
                                <w:rFonts w:hint="eastAsia"/>
                                <w:lang w:eastAsia="zh-CN"/>
                              </w:rPr>
                              <w:t>图例</w:t>
                            </w:r>
                          </w:p>
                          <w:p w14:paraId="4635C1CA">
                            <w:pPr>
                              <w:pStyle w:val="45"/>
                              <w:bidi w:val="0"/>
                              <w:rPr>
                                <w:rFonts w:hint="eastAsia"/>
                                <w:lang w:eastAsia="zh-CN"/>
                              </w:rPr>
                            </w:pPr>
                            <w:r>
                              <w:rPr>
                                <w:rFonts w:hint="eastAsia"/>
                                <w:lang w:eastAsia="zh-CN"/>
                              </w:rPr>
                              <w:t>项目位置：</w:t>
                            </w:r>
                          </w:p>
                          <w:p w14:paraId="3C9ADB68">
                            <w:pPr>
                              <w:rPr>
                                <w:rFonts w:hint="eastAsia"/>
                                <w:lang w:eastAsia="zh-CN"/>
                              </w:rPr>
                            </w:pPr>
                            <w:r>
                              <w:rPr>
                                <w:rFonts w:hint="eastAsia"/>
                                <w:lang w:eastAsia="zh-CN"/>
                              </w:rPr>
                              <w:t>韶关市武江饮用水水源保护区准保护区：</w:t>
                            </w:r>
                          </w:p>
                          <w:p w14:paraId="33BB0A52">
                            <w:pPr>
                              <w:rPr>
                                <w:rFonts w:hint="eastAsia"/>
                                <w:lang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0.5pt;margin-top:280.25pt;height:102.15pt;width:160.85pt;z-index:251681792;mso-width-relative:page;mso-height-relative:page;" fillcolor="#FFFFFF [3201]" filled="t" stroked="t" coordsize="21600,21600" o:gfxdata="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pd4SRNkAAAAMAQAADwAAAAAAAAABACAAAAAiAAAAZHJzL2Rvd25yZXYueG1s&#10;UEsBAhQAFAAAAAgAh07iQEy9jTdpAgAAyAQAAA4AAAAAAAAAAQAgAAAAKAEAAGRycy9lMm9Eb2Mu&#10;eG1sUEsFBgAAAAAGAAYAWQEAAAMGAAAAAA==&#10;">
                <v:fill on="t" focussize="0,0"/>
                <v:stroke weight="0.5pt" color="#000000 [3204]" joinstyle="round"/>
                <v:imagedata o:title=""/>
                <o:lock v:ext="edit" aspectratio="f"/>
                <v:textbox>
                  <w:txbxContent>
                    <w:p w14:paraId="552F6EFA">
                      <w:pPr>
                        <w:pStyle w:val="45"/>
                        <w:bidi w:val="0"/>
                        <w:jc w:val="center"/>
                        <w:rPr>
                          <w:rFonts w:hint="eastAsia"/>
                          <w:lang w:eastAsia="zh-CN"/>
                        </w:rPr>
                      </w:pPr>
                      <w:r>
                        <w:rPr>
                          <w:rFonts w:hint="eastAsia"/>
                          <w:lang w:eastAsia="zh-CN"/>
                        </w:rPr>
                        <w:t>图例</w:t>
                      </w:r>
                    </w:p>
                    <w:p w14:paraId="4635C1CA">
                      <w:pPr>
                        <w:pStyle w:val="45"/>
                        <w:bidi w:val="0"/>
                        <w:rPr>
                          <w:rFonts w:hint="eastAsia"/>
                          <w:lang w:eastAsia="zh-CN"/>
                        </w:rPr>
                      </w:pPr>
                      <w:r>
                        <w:rPr>
                          <w:rFonts w:hint="eastAsia"/>
                          <w:lang w:eastAsia="zh-CN"/>
                        </w:rPr>
                        <w:t>项目位置：</w:t>
                      </w:r>
                    </w:p>
                    <w:p w14:paraId="3C9ADB68">
                      <w:pPr>
                        <w:rPr>
                          <w:rFonts w:hint="eastAsia"/>
                          <w:lang w:eastAsia="zh-CN"/>
                        </w:rPr>
                      </w:pPr>
                      <w:r>
                        <w:rPr>
                          <w:rFonts w:hint="eastAsia"/>
                          <w:lang w:eastAsia="zh-CN"/>
                        </w:rPr>
                        <w:t>韶关市武江饮用水水源保护区准保护区：</w:t>
                      </w:r>
                    </w:p>
                    <w:p w14:paraId="33BB0A52">
                      <w:pPr>
                        <w:rPr>
                          <w:rFonts w:hint="eastAsia"/>
                          <w:lang w:eastAsia="zh-CN"/>
                        </w:rPr>
                      </w:pP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7936" behindDoc="0" locked="0" layoutInCell="1" allowOverlap="1">
                <wp:simplePos x="0" y="0"/>
                <wp:positionH relativeFrom="column">
                  <wp:posOffset>3288665</wp:posOffset>
                </wp:positionH>
                <wp:positionV relativeFrom="paragraph">
                  <wp:posOffset>4346575</wp:posOffset>
                </wp:positionV>
                <wp:extent cx="2581910" cy="434340"/>
                <wp:effectExtent l="388620" t="9525" r="20320" b="89535"/>
                <wp:wrapNone/>
                <wp:docPr id="142" name="圆角矩形标注 38"/>
                <wp:cNvGraphicFramePr/>
                <a:graphic xmlns:a="http://schemas.openxmlformats.org/drawingml/2006/main">
                  <a:graphicData uri="http://schemas.microsoft.com/office/word/2010/wordprocessingShape">
                    <wps:wsp>
                      <wps:cNvSpPr/>
                      <wps:spPr>
                        <a:xfrm>
                          <a:off x="0" y="0"/>
                          <a:ext cx="2581910" cy="434340"/>
                        </a:xfrm>
                        <a:prstGeom prst="wedgeRoundRectCallout">
                          <a:avLst>
                            <a:gd name="adj1" fmla="val -62543"/>
                            <a:gd name="adj2" fmla="val 59210"/>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31C3F327">
                            <w:pPr>
                              <w:jc w:val="center"/>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韶关市武江饮用水水源保护区准保护区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258.95pt;margin-top:342.25pt;height:34.2pt;width:203.3pt;z-index:251687936;v-text-anchor:middle;mso-width-relative:page;mso-height-relative:page;" fillcolor="#FFFFFF [3212]" filled="t" stroked="t" coordsize="21600,21600" o:gfxdata="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qkiX&#10;gdsAAAALAQAADwAAAAAAAAABACAAAAAiAAAAZHJzL2Rvd25yZXYueG1sUEsBAhQAFAAAAAgAh07i&#10;QP6GhzzKAgAAlQUAAA4AAAAAAAAAAQAgAAAAKgEAAGRycy9lMm9Eb2MueG1sUEsFBgAAAAAGAAYA&#10;WQEAAGYGAAAAAA==&#10;" adj="-2709,23589,14400">
                <v:fill on="t" focussize="0,0"/>
                <v:stroke weight="1.5pt" color="#000000 [3213]" miterlimit="8" joinstyle="miter"/>
                <v:imagedata o:title=""/>
                <o:lock v:ext="edit" aspectratio="f"/>
                <v:textbox>
                  <w:txbxContent>
                    <w:p w14:paraId="31C3F327">
                      <w:pPr>
                        <w:jc w:val="center"/>
                        <w:rPr>
                          <w:rFonts w:hint="eastAsia"/>
                          <w:color w:val="000000" w:themeColor="text1"/>
                          <w:sz w:val="21"/>
                          <w:szCs w:val="21"/>
                          <w:lang w:eastAsia="zh-CN"/>
                          <w14:textFill>
                            <w14:solidFill>
                              <w14:schemeClr w14:val="tx1"/>
                            </w14:solidFill>
                          </w14:textFill>
                        </w:rPr>
                      </w:pPr>
                      <w:r>
                        <w:rPr>
                          <w:rFonts w:hint="eastAsia"/>
                          <w:color w:val="000000" w:themeColor="text1"/>
                          <w:sz w:val="21"/>
                          <w:szCs w:val="21"/>
                          <w:lang w:eastAsia="zh-CN"/>
                          <w14:textFill>
                            <w14:solidFill>
                              <w14:schemeClr w14:val="tx1"/>
                            </w14:solidFill>
                          </w14:textFill>
                        </w:rPr>
                        <w:t>韶关市武江饮用水水源保护区准保护区</w:t>
                      </w:r>
                    </w:p>
                  </w:txbxContent>
                </v:textbox>
              </v:shape>
            </w:pict>
          </mc:Fallback>
        </mc:AlternateContent>
      </w:r>
      <w:r>
        <w:rPr>
          <w:rFonts w:hint="default" w:ascii="Times New Roman" w:hAnsi="Times New Roman" w:cs="Times New Roman"/>
          <w:color w:val="auto"/>
          <w:highlight w:val="none"/>
        </w:rPr>
        <mc:AlternateContent>
          <mc:Choice Requires="wps">
            <w:drawing>
              <wp:anchor distT="0" distB="0" distL="114300" distR="114300" simplePos="0" relativeHeight="251685888" behindDoc="0" locked="0" layoutInCell="1" allowOverlap="1">
                <wp:simplePos x="0" y="0"/>
                <wp:positionH relativeFrom="column">
                  <wp:posOffset>5060315</wp:posOffset>
                </wp:positionH>
                <wp:positionV relativeFrom="paragraph">
                  <wp:posOffset>167005</wp:posOffset>
                </wp:positionV>
                <wp:extent cx="1010920" cy="405130"/>
                <wp:effectExtent l="9525" t="9525" r="320675" b="42545"/>
                <wp:wrapNone/>
                <wp:docPr id="140" name="圆角矩形标注 38"/>
                <wp:cNvGraphicFramePr/>
                <a:graphic xmlns:a="http://schemas.openxmlformats.org/drawingml/2006/main">
                  <a:graphicData uri="http://schemas.microsoft.com/office/word/2010/wordprocessingShape">
                    <wps:wsp>
                      <wps:cNvSpPr/>
                      <wps:spPr>
                        <a:xfrm>
                          <a:off x="0" y="0"/>
                          <a:ext cx="1010920" cy="405130"/>
                        </a:xfrm>
                        <a:prstGeom prst="wedgeRoundRectCallout">
                          <a:avLst>
                            <a:gd name="adj1" fmla="val 75942"/>
                            <a:gd name="adj2" fmla="val 52664"/>
                            <a:gd name="adj3" fmla="val 16667"/>
                          </a:avLst>
                        </a:prstGeom>
                        <a:solidFill>
                          <a:schemeClr val="bg1"/>
                        </a:solidFill>
                        <a:ln w="19050">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14:paraId="183F920B">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圆角矩形标注 38" o:spid="_x0000_s1026" o:spt="62" type="#_x0000_t62" style="position:absolute;left:0pt;margin-left:398.45pt;margin-top:13.15pt;height:31.9pt;width:79.6pt;z-index:251685888;v-text-anchor:middle;mso-width-relative:page;mso-height-relative:page;" fillcolor="#FFFFFF [3212]" filled="t" stroked="t" coordsize="21600,21600" o:gfxdata="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tVlim2gAAAAkB&#10;AAAPAAAAAAAAAAEAIAAAACIAAABkcnMvZG93bnJldi54bWxQSwECFAAUAAAACACHTuJA8iuP/cQC&#10;AACUBQAADgAAAAAAAAABACAAAAApAQAAZHJzL2Uyb0RvYy54bWxQSwUGAAAAAAYABgBZAQAAXwYA&#10;AAAA&#10;" adj="27203,22175,14400">
                <v:fill on="t" focussize="0,0"/>
                <v:stroke weight="1.5pt" color="#000000 [3213]" miterlimit="8" joinstyle="miter"/>
                <v:imagedata o:title=""/>
                <o:lock v:ext="edit" aspectratio="f"/>
                <v:textbox>
                  <w:txbxContent>
                    <w:p w14:paraId="183F920B">
                      <w:pPr>
                        <w:jc w:val="center"/>
                        <w:rPr>
                          <w:rFonts w:hint="eastAsia" w:eastAsiaTheme="minorEastAsia"/>
                          <w:color w:val="auto"/>
                          <w:lang w:eastAsia="zh-CN"/>
                          <w14:textOutline w14:w="9525">
                            <w14:solidFill>
                              <w14:srgbClr w14:val="000000"/>
                            </w14:solidFill>
                            <w14:round/>
                          </w14:textOutline>
                        </w:rPr>
                      </w:pPr>
                      <w:r>
                        <w:rPr>
                          <w:rFonts w:hint="eastAsia"/>
                          <w:color w:val="auto"/>
                          <w:lang w:eastAsia="zh-CN"/>
                          <w14:textOutline w14:w="9525">
                            <w14:solidFill>
                              <w14:srgbClr w14:val="000000"/>
                            </w14:solidFill>
                            <w14:round/>
                          </w14:textOutline>
                        </w:rPr>
                        <w:t>建设项目</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4320" behindDoc="0" locked="0" layoutInCell="1" allowOverlap="1">
                <wp:simplePos x="0" y="0"/>
                <wp:positionH relativeFrom="column">
                  <wp:posOffset>3850640</wp:posOffset>
                </wp:positionH>
                <wp:positionV relativeFrom="paragraph">
                  <wp:posOffset>2771140</wp:posOffset>
                </wp:positionV>
                <wp:extent cx="914400" cy="914400"/>
                <wp:effectExtent l="0" t="0" r="0" b="0"/>
                <wp:wrapNone/>
                <wp:docPr id="34" name="文本框 34"/>
                <wp:cNvGraphicFramePr/>
                <a:graphic xmlns:a="http://schemas.openxmlformats.org/drawingml/2006/main">
                  <a:graphicData uri="http://schemas.microsoft.com/office/word/2010/wordprocessingShape">
                    <wps:wsp>
                      <wps:cNvSpPr txBox="1"/>
                      <wps:spPr>
                        <a:xfrm>
                          <a:off x="4667250" y="3458845"/>
                          <a:ext cx="914400" cy="914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DF6EF1">
                            <w:pPr>
                              <w:rPr>
                                <w:rFonts w:hint="default" w:eastAsia="宋体"/>
                                <w:highlight w:val="yellow"/>
                                <w:lang w:val="en-US" w:eastAsia="zh-CN"/>
                              </w:rPr>
                            </w:pPr>
                            <w:r>
                              <w:rPr>
                                <w:rFonts w:hint="eastAsia"/>
                                <w:highlight w:val="yellow"/>
                                <w:lang w:val="en-US" w:eastAsia="zh-CN"/>
                              </w:rPr>
                              <w:t>5067m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2pt;margin-top:218.2pt;height:72pt;width:72pt;z-index:251704320;mso-width-relative:page;mso-height-relative:page;" filled="f" stroked="f" coordsize="21600,21600" o:gfxdata="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ENE0m2gAAAAsBAAAPAAAAAAAAAAEAIAAAACIA&#10;AABkcnMvZG93bnJldi54bWxQSwECFAAUAAAACACHTuJA+Ggw8UACAABzBAAADgAAAAAAAAABACAA&#10;AAApAQAAZHJzL2Uyb0RvYy54bWxQSwUGAAAAAAYABgBZAQAA2wUAAAAA&#10;">
                <v:fill on="f" focussize="0,0"/>
                <v:stroke on="f" weight="0.5pt"/>
                <v:imagedata o:title=""/>
                <o:lock v:ext="edit" aspectratio="f"/>
                <v:textbox>
                  <w:txbxContent>
                    <w:p w14:paraId="07DF6EF1">
                      <w:pPr>
                        <w:rPr>
                          <w:rFonts w:hint="default" w:eastAsia="宋体"/>
                          <w:highlight w:val="yellow"/>
                          <w:lang w:val="en-US" w:eastAsia="zh-CN"/>
                        </w:rPr>
                      </w:pPr>
                      <w:r>
                        <w:rPr>
                          <w:rFonts w:hint="eastAsia"/>
                          <w:highlight w:val="yellow"/>
                          <w:lang w:val="en-US" w:eastAsia="zh-CN"/>
                        </w:rPr>
                        <w:t>5067m</w:t>
                      </w:r>
                    </w:p>
                  </w:txbxContent>
                </v:textbox>
              </v:shape>
            </w:pict>
          </mc:Fallback>
        </mc:AlternateContent>
      </w:r>
      <w:r>
        <w:rPr>
          <w:rFonts w:hint="default" w:ascii="Times New Roman" w:hAnsi="Times New Roman" w:cs="Times New Roman"/>
          <w:color w:val="auto"/>
          <w:sz w:val="21"/>
          <w:highlight w:val="none"/>
        </w:rPr>
        <mc:AlternateContent>
          <mc:Choice Requires="wps">
            <w:drawing>
              <wp:anchor distT="0" distB="0" distL="114300" distR="114300" simplePos="0" relativeHeight="251703296" behindDoc="0" locked="0" layoutInCell="1" allowOverlap="1">
                <wp:simplePos x="0" y="0"/>
                <wp:positionH relativeFrom="column">
                  <wp:posOffset>3021330</wp:posOffset>
                </wp:positionH>
                <wp:positionV relativeFrom="paragraph">
                  <wp:posOffset>685800</wp:posOffset>
                </wp:positionV>
                <wp:extent cx="3317875" cy="3765550"/>
                <wp:effectExtent l="0" t="0" r="4445" b="13970"/>
                <wp:wrapNone/>
                <wp:docPr id="33" name="直接箭头连接符 33"/>
                <wp:cNvGraphicFramePr/>
                <a:graphic xmlns:a="http://schemas.openxmlformats.org/drawingml/2006/main">
                  <a:graphicData uri="http://schemas.microsoft.com/office/word/2010/wordprocessingShape">
                    <wps:wsp>
                      <wps:cNvCnPr/>
                      <wps:spPr>
                        <a:xfrm flipH="1">
                          <a:off x="4712335" y="1711325"/>
                          <a:ext cx="3317875" cy="3765550"/>
                        </a:xfrm>
                        <a:prstGeom prst="straightConnector1">
                          <a:avLst/>
                        </a:prstGeom>
                        <a:ln w="19050">
                          <a:solidFill>
                            <a:srgbClr val="FFFF00"/>
                          </a:solidFill>
                          <a:headEnd type="arrow"/>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x;margin-left:237.9pt;margin-top:54pt;height:296.5pt;width:261.25pt;z-index:251703296;mso-width-relative:page;mso-height-relative:page;" filled="f" stroked="t" coordsize="21600,21600" o:gfxdata="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ZY6ZS9gAAAALAQAADwAAAAAAAAABACAAAAAiAAAAZHJzL2Rvd25yZXYueG1sUEsBAhQAFAAA&#10;AAgAh07iQCUmCacoAgAAFgQAAA4AAAAAAAAAAQAgAAAAJwEAAGRycy9lMm9Eb2MueG1sUEsFBgAA&#10;AAAGAAYAWQEAAMEFAAAAAA==&#10;">
                <v:fill on="f" focussize="0,0"/>
                <v:stroke weight="1.5pt" color="#FFFF00 [3204]" miterlimit="8" joinstyle="miter" startarrow="open" endarrow="open"/>
                <v:imagedata o:title=""/>
                <o:lock v:ext="edit" aspectratio="f"/>
              </v:shape>
            </w:pict>
          </mc:Fallback>
        </mc:AlternateContent>
      </w:r>
      <w:r>
        <w:rPr>
          <w:rFonts w:hint="default" w:ascii="Times New Roman" w:hAnsi="Times New Roman" w:cs="Times New Roman"/>
          <w:color w:val="auto"/>
          <w:highlight w:val="none"/>
        </w:rPr>
        <w:drawing>
          <wp:inline distT="0" distB="0" distL="114300" distR="114300">
            <wp:extent cx="7301865" cy="5163820"/>
            <wp:effectExtent l="0" t="0" r="13335" b="2540"/>
            <wp:docPr id="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5"/>
                    <pic:cNvPicPr>
                      <a:picLocks noChangeAspect="1"/>
                    </pic:cNvPicPr>
                  </pic:nvPicPr>
                  <pic:blipFill>
                    <a:blip r:embed="rId55"/>
                    <a:stretch>
                      <a:fillRect/>
                    </a:stretch>
                  </pic:blipFill>
                  <pic:spPr>
                    <a:xfrm>
                      <a:off x="0" y="0"/>
                      <a:ext cx="7301865" cy="5163820"/>
                    </a:xfrm>
                    <a:prstGeom prst="rect">
                      <a:avLst/>
                    </a:prstGeom>
                    <a:noFill/>
                    <a:ln>
                      <a:noFill/>
                    </a:ln>
                  </pic:spPr>
                </pic:pic>
              </a:graphicData>
            </a:graphic>
          </wp:inline>
        </w:drawing>
      </w:r>
    </w:p>
    <w:p w14:paraId="6D103BCF">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64" w:name="_Toc19515"/>
      <w:bookmarkStart w:id="165" w:name="_Toc22104"/>
      <w:bookmarkStart w:id="166" w:name="_Toc9397"/>
      <w:r>
        <w:rPr>
          <w:rFonts w:hint="default" w:ascii="Times New Roman" w:hAnsi="Times New Roman" w:eastAsia="宋体" w:cs="Times New Roman"/>
          <w:b/>
          <w:bCs/>
          <w:color w:val="auto"/>
          <w:kern w:val="0"/>
          <w:sz w:val="24"/>
          <w:szCs w:val="24"/>
          <w:highlight w:val="none"/>
          <w:lang w:val="en-US" w:eastAsia="zh-CN" w:bidi="ar-SA"/>
        </w:rPr>
        <w:t>附件1</w:t>
      </w:r>
      <w:r>
        <w:rPr>
          <w:rFonts w:hint="default" w:ascii="Times New Roman" w:hAnsi="Times New Roman" w:cs="Times New Roman"/>
          <w:b/>
          <w:bCs/>
          <w:color w:val="auto"/>
          <w:sz w:val="24"/>
          <w:szCs w:val="24"/>
          <w:highlight w:val="none"/>
          <w:lang w:val="en-US" w:eastAsia="zh-CN"/>
        </w:rPr>
        <w:t>营业执照</w:t>
      </w:r>
      <w:bookmarkEnd w:id="164"/>
      <w:bookmarkEnd w:id="165"/>
      <w:bookmarkEnd w:id="166"/>
    </w:p>
    <w:p w14:paraId="70855F83">
      <w:pPr>
        <w:pStyle w:val="37"/>
        <w:pageBreakBefore w:val="0"/>
        <w:widowControl/>
        <w:numPr>
          <w:ilvl w:val="0"/>
          <w:numId w:val="0"/>
        </w:numPr>
        <w:tabs>
          <w:tab w:val="left" w:pos="420"/>
        </w:tabs>
        <w:wordWrap w:val="0"/>
        <w:topLinePunct w:val="0"/>
        <w:bidi w:val="0"/>
        <w:adjustRightInd/>
        <w:spacing w:after="0" w:line="360" w:lineRule="auto"/>
        <w:jc w:val="center"/>
        <w:textAlignment w:val="auto"/>
        <w:outlineLvl w:val="9"/>
        <w:rPr>
          <w:rFonts w:hint="default" w:ascii="Times New Roman" w:hAnsi="Times New Roman" w:cs="Times New Roman"/>
          <w:b/>
          <w:bCs/>
          <w:color w:val="auto"/>
          <w:sz w:val="24"/>
          <w:szCs w:val="24"/>
          <w:highlight w:val="none"/>
          <w:lang w:val="en-US" w:eastAsia="zh-CN"/>
        </w:rPr>
      </w:pPr>
    </w:p>
    <w:p w14:paraId="7765DEFF">
      <w:pPr>
        <w:pageBreakBefore w:val="0"/>
        <w:wordWrap w:val="0"/>
        <w:topLinePunct w:val="0"/>
        <w:bidi w:val="0"/>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rFonts w:hint="default" w:ascii="Times New Roman" w:hAnsi="Times New Roman" w:cs="Times New Roman"/>
          <w:color w:val="auto"/>
          <w:highlight w:val="none"/>
        </w:rPr>
        <w:drawing>
          <wp:inline distT="0" distB="0" distL="114300" distR="114300">
            <wp:extent cx="7143750" cy="5076825"/>
            <wp:effectExtent l="0" t="0" r="0" b="9525"/>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pic:cNvPicPr>
                  </pic:nvPicPr>
                  <pic:blipFill>
                    <a:blip r:embed="rId56"/>
                    <a:stretch>
                      <a:fillRect/>
                    </a:stretch>
                  </pic:blipFill>
                  <pic:spPr>
                    <a:xfrm>
                      <a:off x="0" y="0"/>
                      <a:ext cx="7143750" cy="5076825"/>
                    </a:xfrm>
                    <a:prstGeom prst="rect">
                      <a:avLst/>
                    </a:prstGeom>
                    <a:noFill/>
                    <a:ln>
                      <a:noFill/>
                    </a:ln>
                  </pic:spPr>
                </pic:pic>
              </a:graphicData>
            </a:graphic>
          </wp:inline>
        </w:drawing>
      </w:r>
    </w:p>
    <w:p w14:paraId="3A878F2F">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67" w:name="_Toc1384"/>
      <w:bookmarkStart w:id="168" w:name="_Toc18937"/>
      <w:bookmarkStart w:id="169" w:name="_Toc5854"/>
      <w:r>
        <w:rPr>
          <w:rFonts w:hint="default" w:ascii="Times New Roman" w:hAnsi="Times New Roman" w:eastAsia="宋体" w:cs="Times New Roman"/>
          <w:b/>
          <w:bCs/>
          <w:color w:val="auto"/>
          <w:kern w:val="0"/>
          <w:sz w:val="24"/>
          <w:szCs w:val="24"/>
          <w:highlight w:val="none"/>
          <w:lang w:val="en-US" w:eastAsia="zh-CN" w:bidi="ar-SA"/>
        </w:rPr>
        <w:t>附件2</w:t>
      </w:r>
      <w:r>
        <w:rPr>
          <w:rFonts w:hint="default" w:ascii="Times New Roman" w:hAnsi="Times New Roman" w:cs="Times New Roman"/>
          <w:b/>
          <w:bCs/>
          <w:color w:val="auto"/>
          <w:sz w:val="24"/>
          <w:szCs w:val="24"/>
          <w:highlight w:val="none"/>
          <w:lang w:val="en-US" w:eastAsia="zh-CN"/>
        </w:rPr>
        <w:t>法人身份证复印件</w:t>
      </w:r>
      <w:bookmarkEnd w:id="167"/>
      <w:bookmarkEnd w:id="168"/>
      <w:bookmarkEnd w:id="169"/>
    </w:p>
    <w:p w14:paraId="79483892">
      <w:pPr>
        <w:pStyle w:val="36"/>
        <w:pageBreakBefore w:val="0"/>
        <w:wordWrap w:val="0"/>
        <w:topLinePunct w:val="0"/>
        <w:bidi w:val="0"/>
        <w:rPr>
          <w:rFonts w:hint="default" w:ascii="Times New Roman" w:hAnsi="Times New Roman" w:cs="Times New Roman"/>
          <w:b/>
          <w:bCs/>
          <w:color w:val="auto"/>
          <w:sz w:val="24"/>
          <w:szCs w:val="24"/>
          <w:highlight w:val="none"/>
          <w:lang w:val="en-US" w:eastAsia="zh-CN"/>
        </w:rPr>
      </w:pPr>
    </w:p>
    <w:p w14:paraId="3BDC2645">
      <w:pPr>
        <w:pageBreakBefore w:val="0"/>
        <w:wordWrap w:val="0"/>
        <w:topLinePunct w:val="0"/>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265295" cy="2354580"/>
            <wp:effectExtent l="0" t="0" r="1905" b="762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57"/>
                    <a:stretch>
                      <a:fillRect/>
                    </a:stretch>
                  </pic:blipFill>
                  <pic:spPr>
                    <a:xfrm>
                      <a:off x="0" y="0"/>
                      <a:ext cx="4265295" cy="235458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3933190" cy="2491740"/>
            <wp:effectExtent l="0" t="0" r="10160" b="3810"/>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58"/>
                    <a:stretch>
                      <a:fillRect/>
                    </a:stretch>
                  </pic:blipFill>
                  <pic:spPr>
                    <a:xfrm>
                      <a:off x="0" y="0"/>
                      <a:ext cx="3933190" cy="2491740"/>
                    </a:xfrm>
                    <a:prstGeom prst="rect">
                      <a:avLst/>
                    </a:prstGeom>
                    <a:noFill/>
                    <a:ln>
                      <a:noFill/>
                    </a:ln>
                  </pic:spPr>
                </pic:pic>
              </a:graphicData>
            </a:graphic>
          </wp:inline>
        </w:drawing>
      </w:r>
    </w:p>
    <w:p w14:paraId="18BC7D26">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center"/>
        <w:textAlignment w:val="auto"/>
        <w:outlineLvl w:val="9"/>
        <w:rPr>
          <w:rFonts w:hint="default" w:ascii="Times New Roman" w:hAnsi="Times New Roman" w:cs="Times New Roman"/>
          <w:b/>
          <w:bCs/>
          <w:color w:val="auto"/>
          <w:sz w:val="24"/>
          <w:szCs w:val="24"/>
          <w:highlight w:val="none"/>
          <w:lang w:val="en-US" w:eastAsia="zh-CN"/>
        </w:rPr>
      </w:pPr>
    </w:p>
    <w:p w14:paraId="6FE6C0C6">
      <w:pPr>
        <w:pStyle w:val="33"/>
        <w:pageBreakBefore w:val="0"/>
        <w:wordWrap w:val="0"/>
        <w:topLinePunct w:val="0"/>
        <w:bidi w:val="0"/>
        <w:ind w:left="480"/>
        <w:jc w:val="center"/>
        <w:rPr>
          <w:rFonts w:hint="default" w:ascii="Times New Roman" w:hAnsi="Times New Roman" w:cs="Times New Roman"/>
          <w:color w:val="auto"/>
          <w:highlight w:val="none"/>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063F0E42">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70" w:name="_Toc18732"/>
      <w:bookmarkStart w:id="171" w:name="_Toc20109"/>
      <w:bookmarkStart w:id="172" w:name="_Toc22780"/>
      <w:r>
        <w:rPr>
          <w:rFonts w:hint="default" w:ascii="Times New Roman" w:hAnsi="Times New Roman" w:cs="Times New Roman"/>
          <w:b/>
          <w:bCs/>
          <w:color w:val="auto"/>
          <w:kern w:val="0"/>
          <w:sz w:val="24"/>
          <w:szCs w:val="24"/>
          <w:highlight w:val="none"/>
          <w:lang w:val="en-US" w:eastAsia="zh-CN" w:bidi="ar-SA"/>
        </w:rPr>
        <w:t>附件3</w:t>
      </w:r>
      <w:bookmarkEnd w:id="170"/>
      <w:r>
        <w:rPr>
          <w:rFonts w:hint="default" w:ascii="Times New Roman" w:hAnsi="Times New Roman" w:cs="Times New Roman"/>
          <w:b/>
          <w:bCs/>
          <w:color w:val="auto"/>
          <w:sz w:val="24"/>
          <w:szCs w:val="24"/>
          <w:highlight w:val="none"/>
          <w:lang w:val="en-US" w:eastAsia="zh-CN"/>
        </w:rPr>
        <w:t>不动产权证书</w:t>
      </w:r>
      <w:bookmarkEnd w:id="171"/>
      <w:bookmarkEnd w:id="172"/>
    </w:p>
    <w:p w14:paraId="47BD2A53">
      <w:pPr>
        <w:pageBreakBefore w:val="0"/>
        <w:wordWrap w:val="0"/>
        <w:topLinePunct w:val="0"/>
        <w:bidi w:val="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drawing>
          <wp:inline distT="0" distB="0" distL="114300" distR="114300">
            <wp:extent cx="4669790" cy="6612255"/>
            <wp:effectExtent l="0" t="0" r="17145" b="16510"/>
            <wp:docPr id="5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
                    <pic:cNvPicPr>
                      <a:picLocks noChangeAspect="1"/>
                    </pic:cNvPicPr>
                  </pic:nvPicPr>
                  <pic:blipFill>
                    <a:blip r:embed="rId59"/>
                    <a:stretch>
                      <a:fillRect/>
                    </a:stretch>
                  </pic:blipFill>
                  <pic:spPr>
                    <a:xfrm rot="5400000">
                      <a:off x="0" y="0"/>
                      <a:ext cx="4669790" cy="6612255"/>
                    </a:xfrm>
                    <a:prstGeom prst="rect">
                      <a:avLst/>
                    </a:prstGeom>
                    <a:noFill/>
                    <a:ln>
                      <a:noFill/>
                    </a:ln>
                  </pic:spPr>
                </pic:pic>
              </a:graphicData>
            </a:graphic>
          </wp:inline>
        </w:drawing>
      </w:r>
    </w:p>
    <w:p w14:paraId="308F3F80">
      <w:pPr>
        <w:pageBreakBefore w:val="0"/>
        <w:wordWrap w:val="0"/>
        <w:topLinePunct w:val="0"/>
        <w:bidi w:val="0"/>
        <w:jc w:val="center"/>
        <w:rPr>
          <w:rFonts w:hint="default" w:ascii="Times New Roman" w:hAnsi="Times New Roman" w:cs="Times New Roman"/>
          <w:color w:val="auto"/>
          <w:highlight w:val="none"/>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rFonts w:hint="default" w:ascii="Times New Roman" w:hAnsi="Times New Roman" w:cs="Times New Roman"/>
          <w:color w:val="auto"/>
          <w:highlight w:val="none"/>
        </w:rPr>
        <w:drawing>
          <wp:inline distT="0" distB="0" distL="114300" distR="114300">
            <wp:extent cx="5581650" cy="7875270"/>
            <wp:effectExtent l="0" t="0" r="11430" b="0"/>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60"/>
                    <a:stretch>
                      <a:fillRect/>
                    </a:stretch>
                  </pic:blipFill>
                  <pic:spPr>
                    <a:xfrm rot="5400000">
                      <a:off x="0" y="0"/>
                      <a:ext cx="5581650" cy="7875270"/>
                    </a:xfrm>
                    <a:prstGeom prst="rect">
                      <a:avLst/>
                    </a:prstGeom>
                    <a:noFill/>
                    <a:ln>
                      <a:noFill/>
                    </a:ln>
                  </pic:spPr>
                </pic:pic>
              </a:graphicData>
            </a:graphic>
          </wp:inline>
        </w:drawing>
      </w:r>
    </w:p>
    <w:p w14:paraId="1A46B6B3">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73" w:name="_Toc28587"/>
      <w:r>
        <w:rPr>
          <w:rFonts w:hint="default" w:ascii="Times New Roman" w:hAnsi="Times New Roman" w:cs="Times New Roman"/>
          <w:b/>
          <w:bCs/>
          <w:color w:val="auto"/>
          <w:kern w:val="0"/>
          <w:sz w:val="24"/>
          <w:szCs w:val="24"/>
          <w:highlight w:val="none"/>
          <w:lang w:val="en-US" w:eastAsia="zh-CN" w:bidi="ar-SA"/>
        </w:rPr>
        <w:t>附件4租赁合同</w:t>
      </w:r>
      <w:bookmarkEnd w:id="173"/>
    </w:p>
    <w:p w14:paraId="1E2EC151">
      <w:pPr>
        <w:pageBreakBefore w:val="0"/>
        <w:wordWrap w:val="0"/>
        <w:topLinePunct w:val="0"/>
        <w:bidi w:val="0"/>
        <w:jc w:val="center"/>
        <w:rPr>
          <w:rFonts w:hint="default" w:ascii="Times New Roman" w:hAnsi="Times New Roman" w:cs="Times New Roman"/>
          <w:color w:val="auto"/>
          <w:highlight w:val="none"/>
          <w:lang w:val="en-US" w:eastAsia="zh-CN"/>
        </w:rPr>
        <w:sectPr>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pPr>
      <w:r>
        <w:rPr>
          <w:rFonts w:hint="default" w:ascii="Times New Roman" w:hAnsi="Times New Roman" w:cs="Times New Roman"/>
          <w:color w:val="auto"/>
          <w:highlight w:val="none"/>
        </w:rPr>
        <w:drawing>
          <wp:inline distT="0" distB="0" distL="114300" distR="114300">
            <wp:extent cx="4663440" cy="6607175"/>
            <wp:effectExtent l="0" t="0" r="3810" b="3175"/>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61"/>
                    <a:stretch>
                      <a:fillRect/>
                    </a:stretch>
                  </pic:blipFill>
                  <pic:spPr>
                    <a:xfrm>
                      <a:off x="0" y="0"/>
                      <a:ext cx="4663440" cy="660717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20105" cy="8357870"/>
            <wp:effectExtent l="0" t="0" r="4445" b="5080"/>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62"/>
                    <a:stretch>
                      <a:fillRect/>
                    </a:stretch>
                  </pic:blipFill>
                  <pic:spPr>
                    <a:xfrm>
                      <a:off x="0" y="0"/>
                      <a:ext cx="5920105" cy="835787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20105" cy="8377555"/>
            <wp:effectExtent l="0" t="0" r="4445" b="4445"/>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63"/>
                    <a:stretch>
                      <a:fillRect/>
                    </a:stretch>
                  </pic:blipFill>
                  <pic:spPr>
                    <a:xfrm>
                      <a:off x="0" y="0"/>
                      <a:ext cx="5920105" cy="83775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920105" cy="8347710"/>
            <wp:effectExtent l="0" t="0" r="4445" b="15240"/>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64"/>
                    <a:stretch>
                      <a:fillRect/>
                    </a:stretch>
                  </pic:blipFill>
                  <pic:spPr>
                    <a:xfrm>
                      <a:off x="0" y="0"/>
                      <a:ext cx="5920105" cy="8347710"/>
                    </a:xfrm>
                    <a:prstGeom prst="rect">
                      <a:avLst/>
                    </a:prstGeom>
                    <a:noFill/>
                    <a:ln>
                      <a:noFill/>
                    </a:ln>
                  </pic:spPr>
                </pic:pic>
              </a:graphicData>
            </a:graphic>
          </wp:inline>
        </w:drawing>
      </w:r>
    </w:p>
    <w:p w14:paraId="12E8FC82">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74" w:name="_Toc18176"/>
      <w:bookmarkStart w:id="175" w:name="_Toc14860"/>
      <w:r>
        <w:rPr>
          <w:rFonts w:hint="default" w:ascii="Times New Roman" w:hAnsi="Times New Roman" w:eastAsia="宋体" w:cs="Times New Roman"/>
          <w:b/>
          <w:bCs/>
          <w:color w:val="auto"/>
          <w:kern w:val="0"/>
          <w:sz w:val="24"/>
          <w:szCs w:val="24"/>
          <w:highlight w:val="none"/>
          <w:lang w:val="en-US" w:eastAsia="zh-CN" w:bidi="ar-SA"/>
        </w:rPr>
        <w:t>附件</w:t>
      </w:r>
      <w:r>
        <w:rPr>
          <w:rFonts w:hint="default" w:ascii="Times New Roman" w:hAnsi="Times New Roman" w:cs="Times New Roman"/>
          <w:b/>
          <w:bCs/>
          <w:color w:val="auto"/>
          <w:kern w:val="0"/>
          <w:sz w:val="24"/>
          <w:szCs w:val="24"/>
          <w:highlight w:val="none"/>
          <w:lang w:val="en-US" w:eastAsia="zh-CN" w:bidi="ar-SA"/>
        </w:rPr>
        <w:t>5</w:t>
      </w:r>
      <w:r>
        <w:rPr>
          <w:rFonts w:hint="default" w:ascii="Times New Roman" w:hAnsi="Times New Roman" w:cs="Times New Roman"/>
          <w:b/>
          <w:bCs/>
          <w:color w:val="auto"/>
          <w:sz w:val="24"/>
          <w:szCs w:val="24"/>
          <w:highlight w:val="none"/>
          <w:lang w:val="en-US" w:eastAsia="zh-CN"/>
        </w:rPr>
        <w:t>备案证</w:t>
      </w:r>
      <w:bookmarkEnd w:id="174"/>
      <w:bookmarkEnd w:id="175"/>
    </w:p>
    <w:p w14:paraId="61A26A03">
      <w:pPr>
        <w:pStyle w:val="37"/>
        <w:pageBreakBefore w:val="0"/>
        <w:widowControl/>
        <w:numPr>
          <w:ilvl w:val="0"/>
          <w:numId w:val="0"/>
        </w:numPr>
        <w:tabs>
          <w:tab w:val="left" w:pos="420"/>
        </w:tabs>
        <w:wordWrap w:val="0"/>
        <w:topLinePunct w:val="0"/>
        <w:bidi w:val="0"/>
        <w:adjustRightInd/>
        <w:spacing w:after="0" w:line="360" w:lineRule="auto"/>
        <w:jc w:val="center"/>
        <w:textAlignment w:val="auto"/>
        <w:outlineLvl w:val="9"/>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color w:val="auto"/>
          <w:highlight w:val="none"/>
        </w:rPr>
        <w:drawing>
          <wp:inline distT="0" distB="0" distL="114300" distR="114300">
            <wp:extent cx="6957060" cy="4931410"/>
            <wp:effectExtent l="0" t="0" r="15240" b="254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65"/>
                    <a:stretch>
                      <a:fillRect/>
                    </a:stretch>
                  </pic:blipFill>
                  <pic:spPr>
                    <a:xfrm>
                      <a:off x="0" y="0"/>
                      <a:ext cx="6957060" cy="4931410"/>
                    </a:xfrm>
                    <a:prstGeom prst="rect">
                      <a:avLst/>
                    </a:prstGeom>
                    <a:noFill/>
                    <a:ln>
                      <a:noFill/>
                    </a:ln>
                  </pic:spPr>
                </pic:pic>
              </a:graphicData>
            </a:graphic>
          </wp:inline>
        </w:drawing>
      </w:r>
    </w:p>
    <w:p w14:paraId="35DC6027">
      <w:pPr>
        <w:pageBreakBefore w:val="0"/>
        <w:wordWrap w:val="0"/>
        <w:topLinePunct w:val="0"/>
        <w:bidi w:val="0"/>
        <w:rPr>
          <w:rFonts w:hint="default" w:ascii="Times New Roman" w:hAnsi="Times New Roman" w:cs="Times New Roman"/>
          <w:color w:val="auto"/>
          <w:highlight w:val="none"/>
          <w:lang w:val="en-US" w:eastAsia="zh-CN"/>
        </w:rPr>
        <w:sectPr>
          <w:pgSz w:w="16838" w:h="11906" w:orient="landscape"/>
          <w:pgMar w:top="1417" w:right="1417" w:bottom="1134" w:left="1559" w:header="851" w:footer="992" w:gutter="0"/>
          <w:pgBorders>
            <w:top w:val="none" w:sz="0" w:space="0"/>
            <w:left w:val="none" w:sz="0" w:space="0"/>
            <w:bottom w:val="none" w:sz="0" w:space="0"/>
            <w:right w:val="none" w:sz="0" w:space="0"/>
          </w:pgBorders>
          <w:pgNumType w:fmt="numberInDash"/>
          <w:cols w:space="0" w:num="1"/>
          <w:docGrid w:type="lines" w:linePitch="334" w:charSpace="0"/>
        </w:sectPr>
      </w:pPr>
    </w:p>
    <w:p w14:paraId="54CF5E37">
      <w:pPr>
        <w:pStyle w:val="37"/>
        <w:pageBreakBefore w:val="0"/>
        <w:numPr>
          <w:ilvl w:val="0"/>
          <w:numId w:val="0"/>
        </w:numPr>
        <w:tabs>
          <w:tab w:val="left" w:pos="420"/>
        </w:tabs>
        <w:wordWrap w:val="0"/>
        <w:topLinePunct w:val="0"/>
        <w:bidi w:val="0"/>
        <w:adjustRightInd/>
        <w:spacing w:after="0" w:line="360" w:lineRule="auto"/>
        <w:ind w:left="0" w:leftChars="0" w:firstLine="0" w:firstLineChars="0"/>
        <w:jc w:val="both"/>
        <w:textAlignment w:val="auto"/>
        <w:outlineLvl w:val="0"/>
        <w:rPr>
          <w:rFonts w:hint="default" w:ascii="Times New Roman" w:hAnsi="Times New Roman" w:cs="Times New Roman"/>
          <w:b/>
          <w:bCs/>
          <w:color w:val="auto"/>
          <w:sz w:val="24"/>
          <w:szCs w:val="24"/>
          <w:highlight w:val="none"/>
          <w:lang w:val="en-US" w:eastAsia="zh-CN"/>
        </w:rPr>
      </w:pPr>
      <w:bookmarkStart w:id="176" w:name="_Toc4626"/>
      <w:bookmarkStart w:id="177" w:name="_Toc5987"/>
      <w:r>
        <w:rPr>
          <w:rFonts w:hint="default" w:ascii="Times New Roman" w:hAnsi="Times New Roman" w:eastAsia="宋体" w:cs="Times New Roman"/>
          <w:b/>
          <w:bCs/>
          <w:color w:val="auto"/>
          <w:kern w:val="0"/>
          <w:sz w:val="24"/>
          <w:szCs w:val="24"/>
          <w:highlight w:val="none"/>
          <w:lang w:val="en-US" w:eastAsia="zh-CN" w:bidi="ar-SA"/>
        </w:rPr>
        <w:t>附件</w:t>
      </w:r>
      <w:r>
        <w:rPr>
          <w:rFonts w:hint="default" w:ascii="Times New Roman" w:hAnsi="Times New Roman" w:cs="Times New Roman"/>
          <w:b/>
          <w:bCs/>
          <w:color w:val="auto"/>
          <w:kern w:val="0"/>
          <w:sz w:val="24"/>
          <w:szCs w:val="24"/>
          <w:highlight w:val="none"/>
          <w:lang w:val="en-US" w:eastAsia="zh-CN" w:bidi="ar-SA"/>
        </w:rPr>
        <w:t>6</w:t>
      </w:r>
      <w:r>
        <w:rPr>
          <w:rFonts w:hint="default" w:ascii="Times New Roman" w:hAnsi="Times New Roman" w:cs="Times New Roman"/>
          <w:b/>
          <w:bCs/>
          <w:color w:val="auto"/>
          <w:sz w:val="24"/>
          <w:szCs w:val="24"/>
          <w:highlight w:val="none"/>
          <w:lang w:val="en-US" w:eastAsia="zh-CN"/>
        </w:rPr>
        <w:t>环境质量现状监测报告（</w:t>
      </w:r>
      <w:r>
        <w:rPr>
          <w:rFonts w:hint="default" w:ascii="Times New Roman" w:hAnsi="Times New Roman" w:cs="Times New Roman"/>
          <w:b/>
          <w:bCs/>
          <w:color w:val="auto"/>
          <w:sz w:val="21"/>
          <w:szCs w:val="21"/>
          <w:highlight w:val="none"/>
          <w:lang w:val="en-US" w:eastAsia="zh-CN"/>
        </w:rPr>
        <w:t>摘录部分）</w:t>
      </w:r>
      <w:bookmarkEnd w:id="176"/>
      <w:bookmarkEnd w:id="177"/>
    </w:p>
    <w:tbl>
      <w:tblPr>
        <w:tblStyle w:val="3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88"/>
      </w:tblGrid>
      <w:tr w14:paraId="3DD82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288" w:type="dxa"/>
            <w:vAlign w:val="center"/>
          </w:tcPr>
          <w:p w14:paraId="03E77A54">
            <w:pPr>
              <w:pageBreakBefore w:val="0"/>
              <w:wordWrap w:val="0"/>
              <w:topLinePunct w:val="0"/>
              <w:bidi w:val="0"/>
              <w:ind w:left="0" w:leftChars="0" w:firstLine="0" w:firstLineChars="0"/>
              <w:jc w:val="center"/>
              <w:rPr>
                <w:rFonts w:hint="default" w:ascii="Times New Roman" w:hAnsi="Times New Roman" w:cs="Times New Roman"/>
                <w:color w:val="auto"/>
                <w:sz w:val="21"/>
                <w:szCs w:val="21"/>
                <w:highlight w:val="none"/>
                <w:vertAlign w:val="baseline"/>
              </w:rPr>
            </w:pPr>
            <w:r>
              <w:rPr>
                <w:rFonts w:hint="default" w:ascii="Times New Roman" w:hAnsi="Times New Roman" w:cs="Times New Roman"/>
                <w:color w:val="auto"/>
                <w:highlight w:val="none"/>
              </w:rPr>
              <w:drawing>
                <wp:inline distT="0" distB="0" distL="114300" distR="114300">
                  <wp:extent cx="5508625" cy="7780655"/>
                  <wp:effectExtent l="0" t="0" r="15875" b="10795"/>
                  <wp:docPr id="10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pic:cNvPicPr>
                            <a:picLocks noChangeAspect="1"/>
                          </pic:cNvPicPr>
                        </pic:nvPicPr>
                        <pic:blipFill>
                          <a:blip r:embed="rId66"/>
                          <a:stretch>
                            <a:fillRect/>
                          </a:stretch>
                        </pic:blipFill>
                        <pic:spPr>
                          <a:xfrm>
                            <a:off x="0" y="0"/>
                            <a:ext cx="5508625" cy="77806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2275" cy="7809230"/>
                  <wp:effectExtent l="0" t="0" r="3175" b="1270"/>
                  <wp:docPr id="10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4"/>
                          <pic:cNvPicPr>
                            <a:picLocks noChangeAspect="1"/>
                          </pic:cNvPicPr>
                        </pic:nvPicPr>
                        <pic:blipFill>
                          <a:blip r:embed="rId67"/>
                          <a:stretch>
                            <a:fillRect/>
                          </a:stretch>
                        </pic:blipFill>
                        <pic:spPr>
                          <a:xfrm>
                            <a:off x="0" y="0"/>
                            <a:ext cx="5502275" cy="780923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4815" cy="7811770"/>
                  <wp:effectExtent l="0" t="0" r="635" b="17780"/>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68"/>
                          <a:stretch>
                            <a:fillRect/>
                          </a:stretch>
                        </pic:blipFill>
                        <pic:spPr>
                          <a:xfrm>
                            <a:off x="0" y="0"/>
                            <a:ext cx="5504815" cy="7811770"/>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4180" cy="7854315"/>
                  <wp:effectExtent l="0" t="0" r="1270" b="13335"/>
                  <wp:docPr id="10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
                          <pic:cNvPicPr>
                            <a:picLocks noChangeAspect="1"/>
                          </pic:cNvPicPr>
                        </pic:nvPicPr>
                        <pic:blipFill>
                          <a:blip r:embed="rId69"/>
                          <a:stretch>
                            <a:fillRect/>
                          </a:stretch>
                        </pic:blipFill>
                        <pic:spPr>
                          <a:xfrm>
                            <a:off x="0" y="0"/>
                            <a:ext cx="5504180" cy="785431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6085" cy="7809865"/>
                  <wp:effectExtent l="0" t="0" r="18415" b="635"/>
                  <wp:docPr id="1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pic:cNvPicPr>
                            <a:picLocks noChangeAspect="1"/>
                          </pic:cNvPicPr>
                        </pic:nvPicPr>
                        <pic:blipFill>
                          <a:blip r:embed="rId70"/>
                          <a:stretch>
                            <a:fillRect/>
                          </a:stretch>
                        </pic:blipFill>
                        <pic:spPr>
                          <a:xfrm>
                            <a:off x="0" y="0"/>
                            <a:ext cx="5506085" cy="780986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3545" cy="7833995"/>
                  <wp:effectExtent l="0" t="0" r="1905" b="1460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71"/>
                          <a:stretch>
                            <a:fillRect/>
                          </a:stretch>
                        </pic:blipFill>
                        <pic:spPr>
                          <a:xfrm>
                            <a:off x="0" y="0"/>
                            <a:ext cx="5503545" cy="783399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6720" cy="7793355"/>
                  <wp:effectExtent l="0" t="0" r="17780" b="17145"/>
                  <wp:docPr id="1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9"/>
                          <pic:cNvPicPr>
                            <a:picLocks noChangeAspect="1"/>
                          </pic:cNvPicPr>
                        </pic:nvPicPr>
                        <pic:blipFill>
                          <a:blip r:embed="rId72"/>
                          <a:stretch>
                            <a:fillRect/>
                          </a:stretch>
                        </pic:blipFill>
                        <pic:spPr>
                          <a:xfrm>
                            <a:off x="0" y="0"/>
                            <a:ext cx="5506720" cy="77933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6720" cy="7793355"/>
                  <wp:effectExtent l="0" t="0" r="17780" b="17145"/>
                  <wp:docPr id="1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0"/>
                          <pic:cNvPicPr>
                            <a:picLocks noChangeAspect="1"/>
                          </pic:cNvPicPr>
                        </pic:nvPicPr>
                        <pic:blipFill>
                          <a:blip r:embed="rId73"/>
                          <a:stretch>
                            <a:fillRect/>
                          </a:stretch>
                        </pic:blipFill>
                        <pic:spPr>
                          <a:xfrm>
                            <a:off x="0" y="0"/>
                            <a:ext cx="5506720" cy="779335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1005" cy="7804785"/>
                  <wp:effectExtent l="0" t="0" r="4445" b="5715"/>
                  <wp:docPr id="1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
                          <pic:cNvPicPr>
                            <a:picLocks noChangeAspect="1"/>
                          </pic:cNvPicPr>
                        </pic:nvPicPr>
                        <pic:blipFill>
                          <a:blip r:embed="rId74"/>
                          <a:stretch>
                            <a:fillRect/>
                          </a:stretch>
                        </pic:blipFill>
                        <pic:spPr>
                          <a:xfrm>
                            <a:off x="0" y="0"/>
                            <a:ext cx="5501005" cy="7804785"/>
                          </a:xfrm>
                          <a:prstGeom prst="rect">
                            <a:avLst/>
                          </a:prstGeom>
                          <a:noFill/>
                          <a:ln>
                            <a:noFill/>
                          </a:ln>
                        </pic:spPr>
                      </pic:pic>
                    </a:graphicData>
                  </a:graphic>
                </wp:inline>
              </w:drawing>
            </w:r>
            <w:r>
              <w:rPr>
                <w:rFonts w:hint="default" w:ascii="Times New Roman" w:hAnsi="Times New Roman" w:cs="Times New Roman"/>
                <w:color w:val="auto"/>
                <w:highlight w:val="none"/>
              </w:rPr>
              <w:drawing>
                <wp:inline distT="0" distB="0" distL="114300" distR="114300">
                  <wp:extent cx="5507990" cy="7798435"/>
                  <wp:effectExtent l="0" t="0" r="16510" b="1206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75"/>
                          <a:stretch>
                            <a:fillRect/>
                          </a:stretch>
                        </pic:blipFill>
                        <pic:spPr>
                          <a:xfrm>
                            <a:off x="0" y="0"/>
                            <a:ext cx="5507990" cy="7798435"/>
                          </a:xfrm>
                          <a:prstGeom prst="rect">
                            <a:avLst/>
                          </a:prstGeom>
                          <a:noFill/>
                          <a:ln>
                            <a:noFill/>
                          </a:ln>
                        </pic:spPr>
                      </pic:pic>
                    </a:graphicData>
                  </a:graphic>
                </wp:inline>
              </w:drawing>
            </w:r>
          </w:p>
        </w:tc>
      </w:tr>
    </w:tbl>
    <w:p w14:paraId="37FFAA67">
      <w:pPr>
        <w:pageBreakBefore w:val="0"/>
        <w:wordWrap w:val="0"/>
        <w:topLinePunct w:val="0"/>
        <w:bidi w:val="0"/>
        <w:rPr>
          <w:rFonts w:hint="default" w:ascii="Times New Roman" w:hAnsi="Times New Roman" w:cs="Times New Roman"/>
          <w:color w:val="auto"/>
          <w:highlight w:val="none"/>
        </w:rPr>
      </w:pPr>
    </w:p>
    <w:p w14:paraId="5776E80D">
      <w:pPr>
        <w:pageBreakBefore w:val="0"/>
        <w:wordWrap w:val="0"/>
        <w:topLinePunct w:val="0"/>
        <w:bidi w:val="0"/>
        <w:rPr>
          <w:rFonts w:hint="default" w:ascii="Times New Roman" w:hAnsi="Times New Roman" w:cs="Times New Roman"/>
          <w:color w:val="auto"/>
          <w:highlight w:val="none"/>
        </w:rPr>
      </w:pPr>
    </w:p>
    <w:p w14:paraId="42E6ED31">
      <w:pPr>
        <w:pageBreakBefore w:val="0"/>
        <w:wordWrap w:val="0"/>
        <w:topLinePunct w:val="0"/>
        <w:bidi w:val="0"/>
        <w:rPr>
          <w:rFonts w:hint="default" w:ascii="Times New Roman" w:hAnsi="Times New Roman" w:cs="Times New Roman"/>
          <w:color w:val="auto"/>
          <w:highlight w:val="none"/>
        </w:rPr>
      </w:pPr>
    </w:p>
    <w:p w14:paraId="04458D2A">
      <w:pPr>
        <w:pageBreakBefore w:val="0"/>
        <w:wordWrap w:val="0"/>
        <w:topLinePunct w:val="0"/>
        <w:bidi w:val="0"/>
        <w:rPr>
          <w:rFonts w:hint="default"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附件7总量</w:t>
      </w:r>
      <w:r>
        <w:rPr>
          <w:rFonts w:hint="eastAsia" w:cs="Times New Roman"/>
          <w:b/>
          <w:bCs/>
          <w:color w:val="auto"/>
          <w:kern w:val="0"/>
          <w:sz w:val="21"/>
          <w:szCs w:val="21"/>
          <w:highlight w:val="none"/>
          <w:lang w:val="en-US" w:eastAsia="zh-CN" w:bidi="ar-SA"/>
        </w:rPr>
        <w:t>回复函</w:t>
      </w:r>
    </w:p>
    <w:p w14:paraId="1C64663D">
      <w:pPr>
        <w:pageBreakBefore w:val="0"/>
        <w:wordWrap w:val="0"/>
        <w:topLinePunct w:val="0"/>
        <w:bidi w:val="0"/>
        <w:rPr>
          <w:rFonts w:hint="default" w:cs="Times New Roman"/>
          <w:color w:val="auto"/>
          <w:highlight w:val="none"/>
          <w:lang w:val="en-US" w:eastAsia="zh-CN"/>
        </w:rPr>
      </w:pPr>
      <w:r>
        <w:rPr>
          <w:rFonts w:hint="default" w:cs="Times New Roman"/>
          <w:color w:val="auto"/>
          <w:highlight w:val="none"/>
          <w:lang w:val="en-US" w:eastAsia="zh-CN"/>
        </w:rPr>
        <w:drawing>
          <wp:inline distT="0" distB="0" distL="114300" distR="114300">
            <wp:extent cx="5896610" cy="8339455"/>
            <wp:effectExtent l="0" t="0" r="8890" b="4445"/>
            <wp:docPr id="102" name="图片 102" descr="韶关市生态环境局关于吉特公司年产1000万套塑料壳、注塑自动化生产线新建项目挥发性有机物总量指标替代来源的复函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韶关市生态环境局关于吉特公司年产1000万套塑料壳、注塑自动化生产线新建项目挥发性有机物总量指标替代来源的复函_01"/>
                    <pic:cNvPicPr>
                      <a:picLocks noChangeAspect="1"/>
                    </pic:cNvPicPr>
                  </pic:nvPicPr>
                  <pic:blipFill>
                    <a:blip r:embed="rId76"/>
                    <a:stretch>
                      <a:fillRect/>
                    </a:stretch>
                  </pic:blipFill>
                  <pic:spPr>
                    <a:xfrm>
                      <a:off x="0" y="0"/>
                      <a:ext cx="5896610" cy="833945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896610" cy="8339455"/>
            <wp:effectExtent l="0" t="0" r="8890" b="4445"/>
            <wp:docPr id="103" name="图片 103" descr="韶关市生态环境局关于吉特公司年产1000万套塑料壳、注塑自动化生产线新建项目挥发性有机物总量指标替代来源的复函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韶关市生态环境局关于吉特公司年产1000万套塑料壳、注塑自动化生产线新建项目挥发性有机物总量指标替代来源的复函_02"/>
                    <pic:cNvPicPr>
                      <a:picLocks noChangeAspect="1"/>
                    </pic:cNvPicPr>
                  </pic:nvPicPr>
                  <pic:blipFill>
                    <a:blip r:embed="rId77"/>
                    <a:stretch>
                      <a:fillRect/>
                    </a:stretch>
                  </pic:blipFill>
                  <pic:spPr>
                    <a:xfrm>
                      <a:off x="0" y="0"/>
                      <a:ext cx="5896610" cy="8339455"/>
                    </a:xfrm>
                    <a:prstGeom prst="rect">
                      <a:avLst/>
                    </a:prstGeom>
                  </pic:spPr>
                </pic:pic>
              </a:graphicData>
            </a:graphic>
          </wp:inline>
        </w:drawing>
      </w:r>
      <w:r>
        <w:rPr>
          <w:rFonts w:hint="default" w:cs="Times New Roman"/>
          <w:color w:val="auto"/>
          <w:highlight w:val="none"/>
          <w:lang w:val="en-US" w:eastAsia="zh-CN"/>
        </w:rPr>
        <w:drawing>
          <wp:inline distT="0" distB="0" distL="114300" distR="114300">
            <wp:extent cx="5896610" cy="8339455"/>
            <wp:effectExtent l="0" t="0" r="8890" b="4445"/>
            <wp:docPr id="104" name="图片 104" descr="韶关市生态环境局关于吉特公司年产1000万套塑料壳、注塑自动化生产线新建项目挥发性有机物总量指标替代来源的复函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韶关市生态环境局关于吉特公司年产1000万套塑料壳、注塑自动化生产线新建项目挥发性有机物总量指标替代来源的复函_03"/>
                    <pic:cNvPicPr>
                      <a:picLocks noChangeAspect="1"/>
                    </pic:cNvPicPr>
                  </pic:nvPicPr>
                  <pic:blipFill>
                    <a:blip r:embed="rId78"/>
                    <a:stretch>
                      <a:fillRect/>
                    </a:stretch>
                  </pic:blipFill>
                  <pic:spPr>
                    <a:xfrm>
                      <a:off x="0" y="0"/>
                      <a:ext cx="5896610" cy="8339455"/>
                    </a:xfrm>
                    <a:prstGeom prst="rect">
                      <a:avLst/>
                    </a:prstGeom>
                  </pic:spPr>
                </pic:pic>
              </a:graphicData>
            </a:graphic>
          </wp:inline>
        </w:drawing>
      </w:r>
    </w:p>
    <w:p w14:paraId="713CD0FA">
      <w:pPr>
        <w:pageBreakBefore w:val="0"/>
        <w:wordWrap w:val="0"/>
        <w:topLinePunct w:val="0"/>
        <w:bidi w:val="0"/>
        <w:rPr>
          <w:rFonts w:hint="default" w:cs="Times New Roman"/>
          <w:color w:val="auto"/>
          <w:highlight w:val="none"/>
          <w:lang w:val="en-US" w:eastAsia="zh-CN"/>
        </w:rPr>
      </w:pPr>
    </w:p>
    <w:p w14:paraId="41FDD2BB">
      <w:pPr>
        <w:pageBreakBefore w:val="0"/>
        <w:wordWrap w:val="0"/>
        <w:topLinePunct w:val="0"/>
        <w:bidi w:val="0"/>
        <w:rPr>
          <w:rFonts w:hint="default" w:cs="Times New Roman"/>
          <w:color w:val="auto"/>
          <w:highlight w:val="none"/>
          <w:lang w:val="en-US" w:eastAsia="zh-CN"/>
        </w:rPr>
      </w:pPr>
      <w:r>
        <w:rPr>
          <w:rFonts w:hint="default" w:cs="Times New Roman"/>
          <w:color w:val="auto"/>
          <w:highlight w:val="none"/>
          <w:lang w:val="en-US" w:eastAsia="zh-CN"/>
        </w:rPr>
        <w:drawing>
          <wp:inline distT="0" distB="0" distL="114300" distR="114300">
            <wp:extent cx="5902960" cy="8336915"/>
            <wp:effectExtent l="0" t="0" r="2540" b="6985"/>
            <wp:docPr id="117" name="图片 117" descr="申请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申请_02"/>
                    <pic:cNvPicPr>
                      <a:picLocks noChangeAspect="1"/>
                    </pic:cNvPicPr>
                  </pic:nvPicPr>
                  <pic:blipFill>
                    <a:blip r:embed="rId79"/>
                    <a:stretch>
                      <a:fillRect/>
                    </a:stretch>
                  </pic:blipFill>
                  <pic:spPr>
                    <a:xfrm rot="10800000">
                      <a:off x="0" y="0"/>
                      <a:ext cx="5902960" cy="8336915"/>
                    </a:xfrm>
                    <a:prstGeom prst="rect">
                      <a:avLst/>
                    </a:prstGeom>
                  </pic:spPr>
                </pic:pic>
              </a:graphicData>
            </a:graphic>
          </wp:inline>
        </w:drawing>
      </w:r>
    </w:p>
    <w:sectPr>
      <w:headerReference r:id="rId7" w:type="default"/>
      <w:footerReference r:id="rId8" w:type="default"/>
      <w:pgSz w:w="11906" w:h="16838"/>
      <w:pgMar w:top="1417" w:right="1134" w:bottom="1559" w:left="1417" w:header="851" w:footer="992" w:gutter="0"/>
      <w:pgBorders>
        <w:top w:val="none" w:sz="0" w:space="0"/>
        <w:left w:val="none" w:sz="0" w:space="0"/>
        <w:bottom w:val="none" w:sz="0" w:space="0"/>
        <w:right w:val="none" w:sz="0" w:space="0"/>
      </w:pgBorders>
      <w:pgNumType w:fmt="numberInDash"/>
      <w:cols w:space="0" w:num="1"/>
      <w:docGrid w:type="lines" w:linePitch="334"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1F5FD67-C4F2-4FBE-9EC7-42D98770C58E}"/>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2" w:fontKey="{22EF0BB2-3D08-4D2E-A2B5-9D4B757CC14B}"/>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_GB2312">
    <w:panose1 w:val="02010609030101010101"/>
    <w:charset w:val="86"/>
    <w:family w:val="modern"/>
    <w:pitch w:val="default"/>
    <w:sig w:usb0="00000001" w:usb1="080E0000" w:usb2="00000000" w:usb3="00000000" w:csb0="00040000" w:csb1="00000000"/>
    <w:embedRegular r:id="rId3" w:fontKey="{63E7C70F-8A17-4302-941D-4CF4F519AB75}"/>
  </w:font>
  <w:font w:name="MS Mincho">
    <w:altName w:val="Yu Gothic UI"/>
    <w:panose1 w:val="02020609040205080304"/>
    <w:charset w:val="80"/>
    <w:family w:val="roma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方正仿宋_GBK">
    <w:altName w:val="微软雅黑"/>
    <w:panose1 w:val="02000000000000000000"/>
    <w:charset w:val="86"/>
    <w:family w:val="script"/>
    <w:pitch w:val="default"/>
    <w:sig w:usb0="00000000" w:usb1="00000000" w:usb2="00082016" w:usb3="00000000" w:csb0="00040001" w:csb1="00000000"/>
  </w:font>
  <w:font w:name="微软雅黑">
    <w:panose1 w:val="020B0503020204020204"/>
    <w:charset w:val="86"/>
    <w:family w:val="auto"/>
    <w:pitch w:val="default"/>
    <w:sig w:usb0="80000287" w:usb1="2ACF3C50" w:usb2="00000016" w:usb3="00000000" w:csb0="0004001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宋体.....">
    <w:altName w:val="宋体"/>
    <w:panose1 w:val="00000000000000000000"/>
    <w:charset w:val="86"/>
    <w:family w:val="roman"/>
    <w:pitch w:val="default"/>
    <w:sig w:usb0="00000000" w:usb1="00000000" w:usb2="00000010" w:usb3="00000000" w:csb0="00040000" w:csb1="00000000"/>
    <w:embedRegular r:id="rId4" w:fontKey="{5D5307DD-FF34-4EAC-B446-7A518B06385E}"/>
  </w:font>
  <w:font w:name="Wingdings 2">
    <w:panose1 w:val="05020102010507070707"/>
    <w:charset w:val="02"/>
    <w:family w:val="roman"/>
    <w:pitch w:val="default"/>
    <w:sig w:usb0="00000000" w:usb1="00000000" w:usb2="00000000" w:usb3="00000000" w:csb0="80000000" w:csb1="00000000"/>
    <w:embedRegular r:id="rId5" w:fontKey="{FAFC18AF-DE6F-43A8-8026-845F24B7C4BA}"/>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5E7BCD">
    <w:pPr>
      <w:tabs>
        <w:tab w:val="center" w:pos="4153"/>
        <w:tab w:val="right" w:pos="8306"/>
      </w:tabs>
    </w:pPr>
    <w:r>
      <w:rPr>
        <w:sz w:val="24"/>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3544621">
                          <w:pPr>
                            <w:pStyle w:val="28"/>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03544621">
                    <w:pPr>
                      <w:pStyle w:val="28"/>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6029DA">
    <w:pPr>
      <w:tabs>
        <w:tab w:val="center" w:pos="4153"/>
        <w:tab w:val="right" w:pos="8306"/>
      </w:tabs>
    </w:pPr>
    <w:r>
      <w:rPr>
        <w:sz w:val="24"/>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9E68A9">
                          <w:pPr>
                            <w:pStyle w:val="28"/>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079E68A9">
                    <w:pPr>
                      <w:pStyle w:val="28"/>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2C1433">
    <w:pPr>
      <w:pStyle w:val="2"/>
      <w:spacing w:line="14" w:lineRule="auto"/>
      <w:ind w:firstLine="40"/>
      <w:rPr>
        <w:sz w:val="2"/>
      </w:rPr>
    </w:pPr>
    <w:r>
      <w:rPr>
        <w:sz w:val="2"/>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CE0555">
                          <w:pPr>
                            <w:pStyle w:val="28"/>
                          </w:pPr>
                          <w:r>
                            <w:fldChar w:fldCharType="begin"/>
                          </w:r>
                          <w:r>
                            <w:instrText xml:space="preserve"> PAGE  \* MERGEFORMAT </w:instrText>
                          </w:r>
                          <w:r>
                            <w:fldChar w:fldCharType="separate"/>
                          </w:r>
                          <w:r>
                            <w:t>- 98 -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lt3+k0AgAAZQ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1VZ4uXDwAlxo5Ion+sdEK3bY7M9ua&#10;8ghizvTd4S1fN0i+YT7cM4d2wIMxMOEOSyUNkpizRUlt3Jd/ncd4VAleSlq0V0E1pokS+V6jegAM&#10;g+EGYzsYeq9uDfp1jEG0PJm44IIczMoZ9RlTtIw54GKaI1NBw2Dehr7FMYVcLJcpaG9ds6v7C+g9&#10;y8JGP1ge00QhvV3uA8RMGkeBelXOuqH7UpXOkxLb+899inr8Oyx+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Dpbd/pNAIAAGUEAAAOAAAAAAAAAAEAIAAAAB8BAABkcnMvZTJvRG9jLnhtbFBL&#10;BQYAAAAABgAGAFkBAADFBQAAAAA=&#10;">
              <v:fill on="f" focussize="0,0"/>
              <v:stroke on="f" weight="0.5pt"/>
              <v:imagedata o:title=""/>
              <o:lock v:ext="edit" aspectratio="f"/>
              <v:textbox inset="0mm,0mm,0mm,0mm" style="mso-fit-shape-to-text:t;">
                <w:txbxContent>
                  <w:p w14:paraId="12CE0555">
                    <w:pPr>
                      <w:pStyle w:val="28"/>
                    </w:pPr>
                    <w:r>
                      <w:fldChar w:fldCharType="begin"/>
                    </w:r>
                    <w:r>
                      <w:instrText xml:space="preserve"> PAGE  \* MERGEFORMAT </w:instrText>
                    </w:r>
                    <w:r>
                      <w:fldChar w:fldCharType="separate"/>
                    </w:r>
                    <w:r>
                      <w:t>- 98 -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1A5F66">
    <w:pPr>
      <w:pStyle w:val="2"/>
      <w:spacing w:line="14" w:lineRule="auto"/>
      <w:ind w:firstLine="4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0095D60"/>
    <w:multiLevelType w:val="singleLevel"/>
    <w:tmpl w:val="C0095D60"/>
    <w:lvl w:ilvl="0" w:tentative="0">
      <w:start w:val="1"/>
      <w:numFmt w:val="bullet"/>
      <w:pStyle w:val="18"/>
      <w:lvlText w:val=""/>
      <w:lvlJc w:val="left"/>
      <w:pPr>
        <w:tabs>
          <w:tab w:val="left" w:pos="780"/>
        </w:tabs>
        <w:ind w:left="840" w:hanging="360"/>
      </w:pPr>
      <w:rPr>
        <w:rFonts w:hint="default" w:ascii="Wingdings" w:hAnsi="Wingdings"/>
      </w:rPr>
    </w:lvl>
  </w:abstractNum>
  <w:abstractNum w:abstractNumId="1">
    <w:nsid w:val="FBEF06EA"/>
    <w:multiLevelType w:val="singleLevel"/>
    <w:tmpl w:val="FBEF06EA"/>
    <w:lvl w:ilvl="0" w:tentative="0">
      <w:start w:val="1"/>
      <w:numFmt w:val="bullet"/>
      <w:pStyle w:val="25"/>
      <w:lvlText w:val=""/>
      <w:lvlJc w:val="left"/>
      <w:pPr>
        <w:tabs>
          <w:tab w:val="left" w:pos="2040"/>
        </w:tabs>
        <w:ind w:left="2040" w:hanging="360"/>
      </w:pPr>
      <w:rPr>
        <w:rFonts w:hint="default" w:ascii="Wingdings" w:hAnsi="Wingdings"/>
      </w:rPr>
    </w:lvl>
  </w:abstractNum>
  <w:abstractNum w:abstractNumId="2">
    <w:nsid w:val="098B1A38"/>
    <w:multiLevelType w:val="singleLevel"/>
    <w:tmpl w:val="098B1A38"/>
    <w:lvl w:ilvl="0" w:tentative="0">
      <w:start w:val="1"/>
      <w:numFmt w:val="decimal"/>
      <w:suff w:val="nothing"/>
      <w:lvlText w:val="附图%1 "/>
      <w:lvlJc w:val="left"/>
      <w:pPr>
        <w:ind w:left="0" w:firstLine="397"/>
      </w:pPr>
      <w:rPr>
        <w:rFonts w:hint="default"/>
        <w:sz w:val="24"/>
        <w:szCs w:val="24"/>
      </w:rPr>
    </w:lvl>
  </w:abstractNum>
  <w:abstractNum w:abstractNumId="3">
    <w:nsid w:val="3744670F"/>
    <w:multiLevelType w:val="multilevel"/>
    <w:tmpl w:val="3744670F"/>
    <w:lvl w:ilvl="0" w:tentative="0">
      <w:start w:val="1"/>
      <w:numFmt w:val="decimal"/>
      <w:lvlText w:val="%1"/>
      <w:lvlJc w:val="left"/>
      <w:pPr>
        <w:ind w:left="432" w:hanging="432"/>
      </w:pPr>
      <w:rPr>
        <w:rFonts w:hint="eastAsia"/>
      </w:rPr>
    </w:lvl>
    <w:lvl w:ilvl="1" w:tentative="0">
      <w:start w:val="1"/>
      <w:numFmt w:val="none"/>
      <w:pStyle w:val="4"/>
      <w:suff w:val="nothing"/>
      <w:lvlText w:val=""/>
      <w:lvlJc w:val="left"/>
      <w:pPr>
        <w:tabs>
          <w:tab w:val="left" w:pos="0"/>
        </w:tabs>
        <w:ind w:left="0" w:firstLine="0"/>
      </w:pPr>
      <w:rPr>
        <w:rFonts w:hint="eastAsia" w:ascii="宋体" w:hAnsi="宋体" w:eastAsia="宋体" w:cs="宋体"/>
      </w:rPr>
    </w:lvl>
    <w:lvl w:ilvl="2" w:tentative="0">
      <w:start w:val="1"/>
      <w:numFmt w:val="chineseCounting"/>
      <w:pStyle w:val="5"/>
      <w:suff w:val="nothing"/>
      <w:lvlText w:val="%3、"/>
      <w:lvlJc w:val="left"/>
      <w:pPr>
        <w:tabs>
          <w:tab w:val="left" w:pos="0"/>
        </w:tabs>
        <w:ind w:left="-2" w:firstLine="0"/>
      </w:pPr>
      <w:rPr>
        <w:rFonts w:hint="eastAsia" w:ascii="宋体" w:hAnsi="宋体" w:eastAsia="宋体" w:cs="宋体"/>
        <w:b/>
        <w:bCs/>
        <w:sz w:val="24"/>
        <w:szCs w:val="24"/>
      </w:rPr>
    </w:lvl>
    <w:lvl w:ilvl="3" w:tentative="0">
      <w:start w:val="1"/>
      <w:numFmt w:val="decimal"/>
      <w:pStyle w:val="6"/>
      <w:suff w:val="nothing"/>
      <w:lvlText w:val="%4、"/>
      <w:lvlJc w:val="left"/>
      <w:pPr>
        <w:tabs>
          <w:tab w:val="left" w:pos="0"/>
        </w:tabs>
        <w:ind w:left="-96" w:hanging="864"/>
      </w:pPr>
      <w:rPr>
        <w:rFonts w:hint="eastAsia" w:ascii="Times New Roman" w:hAnsi="Times New Roman" w:eastAsia="宋体" w:cs="宋体"/>
        <w:b/>
        <w:bCs/>
        <w:sz w:val="24"/>
        <w:szCs w:val="24"/>
      </w:rPr>
    </w:lvl>
    <w:lvl w:ilvl="4" w:tentative="0">
      <w:start w:val="1"/>
      <w:numFmt w:val="decimal"/>
      <w:pStyle w:val="8"/>
      <w:suff w:val="nothing"/>
      <w:lvlText w:val="（%5）"/>
      <w:lvlJc w:val="left"/>
      <w:pPr>
        <w:tabs>
          <w:tab w:val="left" w:pos="0"/>
        </w:tabs>
        <w:ind w:left="-960" w:firstLine="0"/>
      </w:pPr>
      <w:rPr>
        <w:rFonts w:hint="eastAsia" w:ascii="Times New Roman" w:hAnsi="Times New Roman" w:eastAsia="宋体" w:cs="宋体"/>
      </w:rPr>
    </w:lvl>
    <w:lvl w:ilvl="5" w:tentative="0">
      <w:start w:val="1"/>
      <w:numFmt w:val="decimalEnclosedCircleChinese"/>
      <w:pStyle w:val="9"/>
      <w:suff w:val="nothing"/>
      <w:lvlText w:val="%6"/>
      <w:lvlJc w:val="left"/>
      <w:pPr>
        <w:tabs>
          <w:tab w:val="left" w:pos="0"/>
        </w:tabs>
        <w:ind w:left="0" w:firstLine="0"/>
      </w:pPr>
      <w:rPr>
        <w:rFonts w:hint="eastAsia" w:ascii="宋体" w:hAnsi="宋体" w:eastAsia="宋体" w:cs="宋体"/>
        <w:sz w:val="21"/>
        <w:szCs w:val="21"/>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4">
    <w:nsid w:val="45D0DA85"/>
    <w:multiLevelType w:val="singleLevel"/>
    <w:tmpl w:val="45D0DA85"/>
    <w:lvl w:ilvl="0" w:tentative="0">
      <w:start w:val="1"/>
      <w:numFmt w:val="chineseCounting"/>
      <w:pStyle w:val="3"/>
      <w:suff w:val="nothing"/>
      <w:lvlText w:val="%1、"/>
      <w:lvlJc w:val="left"/>
      <w:pPr>
        <w:tabs>
          <w:tab w:val="left" w:pos="0"/>
        </w:tabs>
        <w:ind w:left="0" w:firstLine="0"/>
      </w:pPr>
      <w:rPr>
        <w:rFonts w:hint="eastAsia" w:ascii="黑体" w:hAnsi="黑体" w:eastAsia="黑体" w:cs="黑体"/>
        <w:sz w:val="30"/>
        <w:szCs w:val="30"/>
      </w:rPr>
    </w:lvl>
  </w:abstractNum>
  <w:abstractNum w:abstractNumId="5">
    <w:nsid w:val="513F61D2"/>
    <w:multiLevelType w:val="singleLevel"/>
    <w:tmpl w:val="513F61D2"/>
    <w:lvl w:ilvl="0" w:tentative="0">
      <w:start w:val="1"/>
      <w:numFmt w:val="chineseCounting"/>
      <w:pStyle w:val="105"/>
      <w:suff w:val="nothing"/>
      <w:lvlText w:val="（%1）"/>
      <w:lvlJc w:val="left"/>
      <w:pPr>
        <w:ind w:left="0" w:firstLine="420"/>
      </w:pPr>
      <w:rPr>
        <w:rFonts w:hint="eastAsia"/>
      </w:rPr>
    </w:lvl>
  </w:abstractNum>
  <w:abstractNum w:abstractNumId="6">
    <w:nsid w:val="5234A438"/>
    <w:multiLevelType w:val="singleLevel"/>
    <w:tmpl w:val="5234A438"/>
    <w:lvl w:ilvl="0" w:tentative="0">
      <w:start w:val="1"/>
      <w:numFmt w:val="decimal"/>
      <w:pStyle w:val="124"/>
      <w:suff w:val="nothing"/>
      <w:lvlText w:val="表%1 "/>
      <w:lvlJc w:val="left"/>
      <w:pPr>
        <w:ind w:left="0" w:firstLine="420"/>
      </w:pPr>
      <w:rPr>
        <w:rFonts w:hint="default"/>
      </w:rPr>
    </w:lvl>
  </w:abstractNum>
  <w:abstractNum w:abstractNumId="7">
    <w:nsid w:val="7E84E819"/>
    <w:multiLevelType w:val="singleLevel"/>
    <w:tmpl w:val="7E84E819"/>
    <w:lvl w:ilvl="0" w:tentative="0">
      <w:start w:val="1"/>
      <w:numFmt w:val="decimal"/>
      <w:pStyle w:val="127"/>
      <w:suff w:val="space"/>
      <w:lvlText w:val="表1-%1"/>
      <w:lvlJc w:val="center"/>
      <w:pPr>
        <w:tabs>
          <w:tab w:val="left" w:pos="0"/>
        </w:tabs>
        <w:ind w:left="0" w:leftChars="0" w:firstLine="0" w:firstLineChars="0"/>
      </w:pPr>
      <w:rPr>
        <w:rFonts w:hint="default" w:ascii="Times New Roman" w:hAnsi="Times New Roman"/>
        <w:b/>
        <w:bCs/>
        <w:sz w:val="21"/>
        <w:szCs w:val="21"/>
      </w:rPr>
    </w:lvl>
  </w:abstractNum>
  <w:num w:numId="1">
    <w:abstractNumId w:val="4"/>
  </w:num>
  <w:num w:numId="2">
    <w:abstractNumId w:val="3"/>
  </w:num>
  <w:num w:numId="3">
    <w:abstractNumId w:val="0"/>
  </w:num>
  <w:num w:numId="4">
    <w:abstractNumId w:val="1"/>
  </w:num>
  <w:num w:numId="5">
    <w:abstractNumId w:val="5"/>
  </w:num>
  <w:num w:numId="6">
    <w:abstractNumId w:val="6"/>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hideSpellingErrors/>
  <w:documentProtection w:enforcement="0"/>
  <w:defaultTabStop w:val="420"/>
  <w:drawingGridVerticalSpacing w:val="167"/>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U2ODgxNTRlNGI2Yzk4NjFmMGJlMjE5ZmE1MmMxNmYifQ=="/>
    <w:docVar w:name="KSO_WPS_MARK_KEY" w:val="3e3724c3-4083-4f1b-b5ba-21c99434a2a0"/>
  </w:docVars>
  <w:rsids>
    <w:rsidRoot w:val="391A40A5"/>
    <w:rsid w:val="000942B7"/>
    <w:rsid w:val="00123FAB"/>
    <w:rsid w:val="00167DCA"/>
    <w:rsid w:val="001A451A"/>
    <w:rsid w:val="002E52BE"/>
    <w:rsid w:val="00335488"/>
    <w:rsid w:val="004444F8"/>
    <w:rsid w:val="00550A0D"/>
    <w:rsid w:val="005815DD"/>
    <w:rsid w:val="005E746A"/>
    <w:rsid w:val="006102F2"/>
    <w:rsid w:val="006836D3"/>
    <w:rsid w:val="006B31FD"/>
    <w:rsid w:val="00770CC3"/>
    <w:rsid w:val="008775D9"/>
    <w:rsid w:val="00A0320F"/>
    <w:rsid w:val="00A25BBC"/>
    <w:rsid w:val="00B2002E"/>
    <w:rsid w:val="00BE3286"/>
    <w:rsid w:val="00ED4F6A"/>
    <w:rsid w:val="00F22E95"/>
    <w:rsid w:val="00F657F5"/>
    <w:rsid w:val="01267257"/>
    <w:rsid w:val="012D0A79"/>
    <w:rsid w:val="016A6FD7"/>
    <w:rsid w:val="019A5999"/>
    <w:rsid w:val="019F7A72"/>
    <w:rsid w:val="01A43617"/>
    <w:rsid w:val="01C40DDD"/>
    <w:rsid w:val="01F36FCC"/>
    <w:rsid w:val="01FE5D1A"/>
    <w:rsid w:val="020C4532"/>
    <w:rsid w:val="02113D54"/>
    <w:rsid w:val="023870D5"/>
    <w:rsid w:val="02421D02"/>
    <w:rsid w:val="024D36FC"/>
    <w:rsid w:val="024E4271"/>
    <w:rsid w:val="029861A6"/>
    <w:rsid w:val="02A3122C"/>
    <w:rsid w:val="02AE25E1"/>
    <w:rsid w:val="02D432A2"/>
    <w:rsid w:val="02F474A0"/>
    <w:rsid w:val="02FA25DD"/>
    <w:rsid w:val="030E7E36"/>
    <w:rsid w:val="032E03C1"/>
    <w:rsid w:val="03353615"/>
    <w:rsid w:val="03465822"/>
    <w:rsid w:val="034A5312"/>
    <w:rsid w:val="03546191"/>
    <w:rsid w:val="03716D43"/>
    <w:rsid w:val="03800D34"/>
    <w:rsid w:val="03851643"/>
    <w:rsid w:val="03911568"/>
    <w:rsid w:val="0397607D"/>
    <w:rsid w:val="03976126"/>
    <w:rsid w:val="039A6030"/>
    <w:rsid w:val="03AD10F9"/>
    <w:rsid w:val="03AF56AE"/>
    <w:rsid w:val="03F43164"/>
    <w:rsid w:val="03F84D6E"/>
    <w:rsid w:val="04051239"/>
    <w:rsid w:val="04170318"/>
    <w:rsid w:val="042F62B6"/>
    <w:rsid w:val="043D09D3"/>
    <w:rsid w:val="04503AA7"/>
    <w:rsid w:val="04531FA4"/>
    <w:rsid w:val="04670A0E"/>
    <w:rsid w:val="0477576C"/>
    <w:rsid w:val="047A792A"/>
    <w:rsid w:val="047F2D99"/>
    <w:rsid w:val="0483579F"/>
    <w:rsid w:val="04A86794"/>
    <w:rsid w:val="04BD38C2"/>
    <w:rsid w:val="04DA0DE4"/>
    <w:rsid w:val="04F03C97"/>
    <w:rsid w:val="05047743"/>
    <w:rsid w:val="050A0704"/>
    <w:rsid w:val="05247BA4"/>
    <w:rsid w:val="05351E6A"/>
    <w:rsid w:val="05412745"/>
    <w:rsid w:val="05580E96"/>
    <w:rsid w:val="055B78DA"/>
    <w:rsid w:val="05654685"/>
    <w:rsid w:val="05F0475E"/>
    <w:rsid w:val="0609596A"/>
    <w:rsid w:val="062E0F1B"/>
    <w:rsid w:val="06314567"/>
    <w:rsid w:val="064814A2"/>
    <w:rsid w:val="065169B7"/>
    <w:rsid w:val="066E1C4D"/>
    <w:rsid w:val="069F6081"/>
    <w:rsid w:val="06C757C6"/>
    <w:rsid w:val="06D9134C"/>
    <w:rsid w:val="06F3181D"/>
    <w:rsid w:val="07091BE6"/>
    <w:rsid w:val="071C0D73"/>
    <w:rsid w:val="0737795B"/>
    <w:rsid w:val="07474999"/>
    <w:rsid w:val="076253D7"/>
    <w:rsid w:val="07804B61"/>
    <w:rsid w:val="07B21F10"/>
    <w:rsid w:val="07D7113E"/>
    <w:rsid w:val="07E15B19"/>
    <w:rsid w:val="080878C8"/>
    <w:rsid w:val="08496777"/>
    <w:rsid w:val="088F549F"/>
    <w:rsid w:val="08A40A51"/>
    <w:rsid w:val="08B65A85"/>
    <w:rsid w:val="08B73F0A"/>
    <w:rsid w:val="08C60460"/>
    <w:rsid w:val="08F03922"/>
    <w:rsid w:val="08F9239F"/>
    <w:rsid w:val="09291221"/>
    <w:rsid w:val="09300B22"/>
    <w:rsid w:val="09425A0C"/>
    <w:rsid w:val="09442C49"/>
    <w:rsid w:val="0944508B"/>
    <w:rsid w:val="0966277A"/>
    <w:rsid w:val="096C38BB"/>
    <w:rsid w:val="097C01EF"/>
    <w:rsid w:val="09837DC3"/>
    <w:rsid w:val="099F36E6"/>
    <w:rsid w:val="09D9119E"/>
    <w:rsid w:val="0A3763AF"/>
    <w:rsid w:val="0A7113D6"/>
    <w:rsid w:val="0A825391"/>
    <w:rsid w:val="0AA7129C"/>
    <w:rsid w:val="0AE918B4"/>
    <w:rsid w:val="0AF80CAA"/>
    <w:rsid w:val="0B24469B"/>
    <w:rsid w:val="0B2718D3"/>
    <w:rsid w:val="0B3111E4"/>
    <w:rsid w:val="0B574A70"/>
    <w:rsid w:val="0B723658"/>
    <w:rsid w:val="0B8F5C8E"/>
    <w:rsid w:val="0B941820"/>
    <w:rsid w:val="0B9E6666"/>
    <w:rsid w:val="0BA143EE"/>
    <w:rsid w:val="0BBC6838"/>
    <w:rsid w:val="0BE43E2A"/>
    <w:rsid w:val="0BF26547"/>
    <w:rsid w:val="0C2319D0"/>
    <w:rsid w:val="0C272694"/>
    <w:rsid w:val="0C38197A"/>
    <w:rsid w:val="0C394687"/>
    <w:rsid w:val="0C3E178C"/>
    <w:rsid w:val="0C3E45EF"/>
    <w:rsid w:val="0C4F288F"/>
    <w:rsid w:val="0C5262F1"/>
    <w:rsid w:val="0CBD774C"/>
    <w:rsid w:val="0CCC5E6B"/>
    <w:rsid w:val="0CFE3B46"/>
    <w:rsid w:val="0D166265"/>
    <w:rsid w:val="0D3449BA"/>
    <w:rsid w:val="0D3D5EE8"/>
    <w:rsid w:val="0D5F5E5E"/>
    <w:rsid w:val="0D782A7C"/>
    <w:rsid w:val="0D9755F8"/>
    <w:rsid w:val="0DA83733"/>
    <w:rsid w:val="0DCB71B5"/>
    <w:rsid w:val="0E0C355A"/>
    <w:rsid w:val="0E1327A4"/>
    <w:rsid w:val="0E1C3D4F"/>
    <w:rsid w:val="0E2C6CD5"/>
    <w:rsid w:val="0E39220B"/>
    <w:rsid w:val="0E3A41D5"/>
    <w:rsid w:val="0E4D7808"/>
    <w:rsid w:val="0E6108C5"/>
    <w:rsid w:val="0E8B67DF"/>
    <w:rsid w:val="0E8E42BF"/>
    <w:rsid w:val="0EB83A78"/>
    <w:rsid w:val="0EB85E3C"/>
    <w:rsid w:val="0ED15C06"/>
    <w:rsid w:val="0ED516DB"/>
    <w:rsid w:val="0EE20AF5"/>
    <w:rsid w:val="0EF56D77"/>
    <w:rsid w:val="0F06137E"/>
    <w:rsid w:val="0F1574E5"/>
    <w:rsid w:val="0F271D42"/>
    <w:rsid w:val="0F3E56E9"/>
    <w:rsid w:val="0F4075C9"/>
    <w:rsid w:val="0F4E618A"/>
    <w:rsid w:val="0F653515"/>
    <w:rsid w:val="0F6C6610"/>
    <w:rsid w:val="0F7A6F7F"/>
    <w:rsid w:val="0F8D37A8"/>
    <w:rsid w:val="0F9242C9"/>
    <w:rsid w:val="0F943C3D"/>
    <w:rsid w:val="0FBA2891"/>
    <w:rsid w:val="0FC71A98"/>
    <w:rsid w:val="0FCB77DB"/>
    <w:rsid w:val="0FCC5741"/>
    <w:rsid w:val="0FE02DA7"/>
    <w:rsid w:val="0FF26B15"/>
    <w:rsid w:val="0FF5697A"/>
    <w:rsid w:val="0FF860F6"/>
    <w:rsid w:val="0FFF7484"/>
    <w:rsid w:val="102B64CB"/>
    <w:rsid w:val="10377407"/>
    <w:rsid w:val="104F0330"/>
    <w:rsid w:val="10611EED"/>
    <w:rsid w:val="108E7685"/>
    <w:rsid w:val="10946843"/>
    <w:rsid w:val="10B84804"/>
    <w:rsid w:val="10BE66B4"/>
    <w:rsid w:val="10CB6DDE"/>
    <w:rsid w:val="10CF433D"/>
    <w:rsid w:val="10E123A7"/>
    <w:rsid w:val="10E16B8A"/>
    <w:rsid w:val="11005262"/>
    <w:rsid w:val="11112840"/>
    <w:rsid w:val="111B3BF8"/>
    <w:rsid w:val="112F78F5"/>
    <w:rsid w:val="11362E92"/>
    <w:rsid w:val="11513D10"/>
    <w:rsid w:val="11592BC4"/>
    <w:rsid w:val="115B4679"/>
    <w:rsid w:val="118F65E6"/>
    <w:rsid w:val="11967974"/>
    <w:rsid w:val="11A26379"/>
    <w:rsid w:val="11BD1AE3"/>
    <w:rsid w:val="11C83328"/>
    <w:rsid w:val="11F254F3"/>
    <w:rsid w:val="121B0BF2"/>
    <w:rsid w:val="121C431D"/>
    <w:rsid w:val="126D23C0"/>
    <w:rsid w:val="127203E1"/>
    <w:rsid w:val="1292334A"/>
    <w:rsid w:val="129D78DE"/>
    <w:rsid w:val="129E6F9D"/>
    <w:rsid w:val="12E1396E"/>
    <w:rsid w:val="12E22309"/>
    <w:rsid w:val="12E37DDF"/>
    <w:rsid w:val="12E60488"/>
    <w:rsid w:val="12F0630A"/>
    <w:rsid w:val="130942CF"/>
    <w:rsid w:val="13185401"/>
    <w:rsid w:val="132B2E00"/>
    <w:rsid w:val="134D2B55"/>
    <w:rsid w:val="135410CF"/>
    <w:rsid w:val="13781A27"/>
    <w:rsid w:val="1384741B"/>
    <w:rsid w:val="13961EAE"/>
    <w:rsid w:val="13BF7C03"/>
    <w:rsid w:val="13C7650B"/>
    <w:rsid w:val="13E7095B"/>
    <w:rsid w:val="143F42F3"/>
    <w:rsid w:val="144162BD"/>
    <w:rsid w:val="14587163"/>
    <w:rsid w:val="146B333A"/>
    <w:rsid w:val="14B96283"/>
    <w:rsid w:val="14C319DD"/>
    <w:rsid w:val="14DB5DD3"/>
    <w:rsid w:val="150716DE"/>
    <w:rsid w:val="151C682B"/>
    <w:rsid w:val="15281AB4"/>
    <w:rsid w:val="1537350F"/>
    <w:rsid w:val="153A5A0E"/>
    <w:rsid w:val="15406575"/>
    <w:rsid w:val="155F3E95"/>
    <w:rsid w:val="1560477D"/>
    <w:rsid w:val="15B74558"/>
    <w:rsid w:val="15CD77EF"/>
    <w:rsid w:val="15E01ADC"/>
    <w:rsid w:val="160752E5"/>
    <w:rsid w:val="16117F11"/>
    <w:rsid w:val="16573B76"/>
    <w:rsid w:val="16D43419"/>
    <w:rsid w:val="16F21CD6"/>
    <w:rsid w:val="17034828"/>
    <w:rsid w:val="172B4B3F"/>
    <w:rsid w:val="17481ADD"/>
    <w:rsid w:val="17681DB3"/>
    <w:rsid w:val="176F4EEF"/>
    <w:rsid w:val="179D02EE"/>
    <w:rsid w:val="17A76529"/>
    <w:rsid w:val="17BB3043"/>
    <w:rsid w:val="17C474AE"/>
    <w:rsid w:val="17C70888"/>
    <w:rsid w:val="17C718B4"/>
    <w:rsid w:val="17CB22C5"/>
    <w:rsid w:val="17D60FD0"/>
    <w:rsid w:val="17EE050A"/>
    <w:rsid w:val="17FF3F7F"/>
    <w:rsid w:val="18003387"/>
    <w:rsid w:val="180D7024"/>
    <w:rsid w:val="181635BD"/>
    <w:rsid w:val="183A304A"/>
    <w:rsid w:val="1869680E"/>
    <w:rsid w:val="186D2D55"/>
    <w:rsid w:val="186D58D3"/>
    <w:rsid w:val="1872095F"/>
    <w:rsid w:val="18B3705E"/>
    <w:rsid w:val="18B708FC"/>
    <w:rsid w:val="18BB3B12"/>
    <w:rsid w:val="18C33A94"/>
    <w:rsid w:val="18D624C5"/>
    <w:rsid w:val="18DB187A"/>
    <w:rsid w:val="19073506"/>
    <w:rsid w:val="19137AFC"/>
    <w:rsid w:val="191A7FA4"/>
    <w:rsid w:val="19291921"/>
    <w:rsid w:val="197100DD"/>
    <w:rsid w:val="197900D4"/>
    <w:rsid w:val="197B401F"/>
    <w:rsid w:val="19817796"/>
    <w:rsid w:val="19832C36"/>
    <w:rsid w:val="19836A30"/>
    <w:rsid w:val="199210FF"/>
    <w:rsid w:val="199B64DE"/>
    <w:rsid w:val="19A30E80"/>
    <w:rsid w:val="19A96383"/>
    <w:rsid w:val="19B35414"/>
    <w:rsid w:val="19BF2B8F"/>
    <w:rsid w:val="19D674A8"/>
    <w:rsid w:val="19E641DE"/>
    <w:rsid w:val="19EB7B6F"/>
    <w:rsid w:val="1A2A4B9C"/>
    <w:rsid w:val="1A2E0F1B"/>
    <w:rsid w:val="1A420E51"/>
    <w:rsid w:val="1A9133CF"/>
    <w:rsid w:val="1A954C6D"/>
    <w:rsid w:val="1A9C4D38"/>
    <w:rsid w:val="1AA53898"/>
    <w:rsid w:val="1AE41750"/>
    <w:rsid w:val="1B0818E3"/>
    <w:rsid w:val="1B311082"/>
    <w:rsid w:val="1B4622BD"/>
    <w:rsid w:val="1B516EFF"/>
    <w:rsid w:val="1B600D30"/>
    <w:rsid w:val="1B6238C2"/>
    <w:rsid w:val="1B633EB5"/>
    <w:rsid w:val="1B6D1746"/>
    <w:rsid w:val="1B903135"/>
    <w:rsid w:val="1BBE0513"/>
    <w:rsid w:val="1BC44E2B"/>
    <w:rsid w:val="1BE475CF"/>
    <w:rsid w:val="1BE57827"/>
    <w:rsid w:val="1BF16E10"/>
    <w:rsid w:val="1BFB28A1"/>
    <w:rsid w:val="1BFB31F6"/>
    <w:rsid w:val="1C2C1601"/>
    <w:rsid w:val="1C541E1C"/>
    <w:rsid w:val="1C812C8B"/>
    <w:rsid w:val="1C843139"/>
    <w:rsid w:val="1C8651B5"/>
    <w:rsid w:val="1C8A5463"/>
    <w:rsid w:val="1C9571A6"/>
    <w:rsid w:val="1C984EE8"/>
    <w:rsid w:val="1CB6536F"/>
    <w:rsid w:val="1CEC6D05"/>
    <w:rsid w:val="1D065997"/>
    <w:rsid w:val="1D0A1D1B"/>
    <w:rsid w:val="1D1A3B4F"/>
    <w:rsid w:val="1D1C0494"/>
    <w:rsid w:val="1D292E7F"/>
    <w:rsid w:val="1D35374E"/>
    <w:rsid w:val="1D5030CD"/>
    <w:rsid w:val="1D542BD8"/>
    <w:rsid w:val="1D7E3FDB"/>
    <w:rsid w:val="1DD64D14"/>
    <w:rsid w:val="1E0D4B76"/>
    <w:rsid w:val="1E333CD3"/>
    <w:rsid w:val="1E3723A2"/>
    <w:rsid w:val="1E7D3F65"/>
    <w:rsid w:val="1E8219AC"/>
    <w:rsid w:val="1E8F7DCA"/>
    <w:rsid w:val="1E901B40"/>
    <w:rsid w:val="1E93710D"/>
    <w:rsid w:val="1EBF050A"/>
    <w:rsid w:val="1ECE4BF1"/>
    <w:rsid w:val="1EE77A61"/>
    <w:rsid w:val="1EFA59E6"/>
    <w:rsid w:val="1F0D47FF"/>
    <w:rsid w:val="1F2B2044"/>
    <w:rsid w:val="1F464A6B"/>
    <w:rsid w:val="1F6115C2"/>
    <w:rsid w:val="1F680139"/>
    <w:rsid w:val="1F7467BC"/>
    <w:rsid w:val="1F8B663F"/>
    <w:rsid w:val="1FB45B95"/>
    <w:rsid w:val="1FB66008"/>
    <w:rsid w:val="1FBF3557"/>
    <w:rsid w:val="1FDD2182"/>
    <w:rsid w:val="1FEA7809"/>
    <w:rsid w:val="1FFB1133"/>
    <w:rsid w:val="1FFD0BB3"/>
    <w:rsid w:val="201B48BE"/>
    <w:rsid w:val="201E3957"/>
    <w:rsid w:val="202A5E57"/>
    <w:rsid w:val="20375FA9"/>
    <w:rsid w:val="207B6D66"/>
    <w:rsid w:val="20C958AB"/>
    <w:rsid w:val="20E701EC"/>
    <w:rsid w:val="20F535C1"/>
    <w:rsid w:val="20FD10C7"/>
    <w:rsid w:val="2107010B"/>
    <w:rsid w:val="21302F42"/>
    <w:rsid w:val="21BF0821"/>
    <w:rsid w:val="221053AC"/>
    <w:rsid w:val="221D3573"/>
    <w:rsid w:val="226A4C31"/>
    <w:rsid w:val="226E709F"/>
    <w:rsid w:val="227855A0"/>
    <w:rsid w:val="2292474D"/>
    <w:rsid w:val="2298548A"/>
    <w:rsid w:val="22A2261D"/>
    <w:rsid w:val="22B041C1"/>
    <w:rsid w:val="22BC2F77"/>
    <w:rsid w:val="22D64075"/>
    <w:rsid w:val="22DD4093"/>
    <w:rsid w:val="22E04EF3"/>
    <w:rsid w:val="231828DF"/>
    <w:rsid w:val="232E686C"/>
    <w:rsid w:val="23307C29"/>
    <w:rsid w:val="2345037B"/>
    <w:rsid w:val="236F447F"/>
    <w:rsid w:val="237567D0"/>
    <w:rsid w:val="2398757C"/>
    <w:rsid w:val="23A55DBB"/>
    <w:rsid w:val="23E97DD8"/>
    <w:rsid w:val="240C3075"/>
    <w:rsid w:val="24176F16"/>
    <w:rsid w:val="24487BCC"/>
    <w:rsid w:val="244B0A92"/>
    <w:rsid w:val="24621713"/>
    <w:rsid w:val="2463402E"/>
    <w:rsid w:val="24677D51"/>
    <w:rsid w:val="24704055"/>
    <w:rsid w:val="249C309C"/>
    <w:rsid w:val="24DC01AE"/>
    <w:rsid w:val="25422D55"/>
    <w:rsid w:val="25652EDE"/>
    <w:rsid w:val="256D340A"/>
    <w:rsid w:val="257F11D4"/>
    <w:rsid w:val="25CB61FB"/>
    <w:rsid w:val="25D16D75"/>
    <w:rsid w:val="25E34648"/>
    <w:rsid w:val="2611258E"/>
    <w:rsid w:val="2613738E"/>
    <w:rsid w:val="263F0183"/>
    <w:rsid w:val="26577050"/>
    <w:rsid w:val="265E4AAD"/>
    <w:rsid w:val="267D46FE"/>
    <w:rsid w:val="267E6EFD"/>
    <w:rsid w:val="26D134D1"/>
    <w:rsid w:val="26D46B1D"/>
    <w:rsid w:val="26E94461"/>
    <w:rsid w:val="27183439"/>
    <w:rsid w:val="27604855"/>
    <w:rsid w:val="277F117F"/>
    <w:rsid w:val="27A5065C"/>
    <w:rsid w:val="27C55836"/>
    <w:rsid w:val="27E06649"/>
    <w:rsid w:val="27E2603F"/>
    <w:rsid w:val="27F10124"/>
    <w:rsid w:val="281A4A03"/>
    <w:rsid w:val="28332823"/>
    <w:rsid w:val="2852419D"/>
    <w:rsid w:val="28711C86"/>
    <w:rsid w:val="28796FB6"/>
    <w:rsid w:val="288668A8"/>
    <w:rsid w:val="28991DCC"/>
    <w:rsid w:val="28BE142A"/>
    <w:rsid w:val="28DD1D90"/>
    <w:rsid w:val="28E646FA"/>
    <w:rsid w:val="290A67F9"/>
    <w:rsid w:val="29114058"/>
    <w:rsid w:val="291467FA"/>
    <w:rsid w:val="291D29FD"/>
    <w:rsid w:val="292A511A"/>
    <w:rsid w:val="29502D0C"/>
    <w:rsid w:val="29585ED1"/>
    <w:rsid w:val="295F4BB8"/>
    <w:rsid w:val="29725F7D"/>
    <w:rsid w:val="29BB2216"/>
    <w:rsid w:val="29C01951"/>
    <w:rsid w:val="29C63095"/>
    <w:rsid w:val="29CB2BAE"/>
    <w:rsid w:val="29D43744"/>
    <w:rsid w:val="29E51041"/>
    <w:rsid w:val="2A035680"/>
    <w:rsid w:val="2A201DF5"/>
    <w:rsid w:val="2A2B114A"/>
    <w:rsid w:val="2A3155E4"/>
    <w:rsid w:val="2A4B359A"/>
    <w:rsid w:val="2A4F7A8C"/>
    <w:rsid w:val="2AA00749"/>
    <w:rsid w:val="2AA208E8"/>
    <w:rsid w:val="2AA902C1"/>
    <w:rsid w:val="2AB23619"/>
    <w:rsid w:val="2AB47391"/>
    <w:rsid w:val="2AC21BC1"/>
    <w:rsid w:val="2AC64E68"/>
    <w:rsid w:val="2AFA11D3"/>
    <w:rsid w:val="2AFD45BE"/>
    <w:rsid w:val="2B1264B8"/>
    <w:rsid w:val="2B214532"/>
    <w:rsid w:val="2B597F39"/>
    <w:rsid w:val="2B7A6C11"/>
    <w:rsid w:val="2B876854"/>
    <w:rsid w:val="2BA618C3"/>
    <w:rsid w:val="2BDE43AD"/>
    <w:rsid w:val="2BFB2D9E"/>
    <w:rsid w:val="2C1B13EE"/>
    <w:rsid w:val="2C956D4E"/>
    <w:rsid w:val="2CAE5888"/>
    <w:rsid w:val="2CB00D1E"/>
    <w:rsid w:val="2CBF201D"/>
    <w:rsid w:val="2CD258AD"/>
    <w:rsid w:val="2CD930DF"/>
    <w:rsid w:val="2CE51A84"/>
    <w:rsid w:val="2CE5342A"/>
    <w:rsid w:val="2CE907D5"/>
    <w:rsid w:val="2D0A0B9F"/>
    <w:rsid w:val="2D111845"/>
    <w:rsid w:val="2D1B478D"/>
    <w:rsid w:val="2D29731E"/>
    <w:rsid w:val="2D2D6F87"/>
    <w:rsid w:val="2D3C2738"/>
    <w:rsid w:val="2D401748"/>
    <w:rsid w:val="2D5269EE"/>
    <w:rsid w:val="2D5704A8"/>
    <w:rsid w:val="2D71156A"/>
    <w:rsid w:val="2DB609C9"/>
    <w:rsid w:val="2DB74FD2"/>
    <w:rsid w:val="2DBD030B"/>
    <w:rsid w:val="2DC21E7A"/>
    <w:rsid w:val="2DFB0E33"/>
    <w:rsid w:val="2E0C3040"/>
    <w:rsid w:val="2E1E2153"/>
    <w:rsid w:val="2E2B796A"/>
    <w:rsid w:val="2E304F81"/>
    <w:rsid w:val="2E3634BD"/>
    <w:rsid w:val="2E734E6D"/>
    <w:rsid w:val="2E920333"/>
    <w:rsid w:val="2EC93975"/>
    <w:rsid w:val="2F097580"/>
    <w:rsid w:val="2F195EC1"/>
    <w:rsid w:val="2F1A353B"/>
    <w:rsid w:val="2F1B7A9D"/>
    <w:rsid w:val="2F2063E4"/>
    <w:rsid w:val="2F464330"/>
    <w:rsid w:val="2F4A02C4"/>
    <w:rsid w:val="2F526E66"/>
    <w:rsid w:val="2F847166"/>
    <w:rsid w:val="2F8F783F"/>
    <w:rsid w:val="2FA35CEE"/>
    <w:rsid w:val="2FB41BE1"/>
    <w:rsid w:val="2FC82F97"/>
    <w:rsid w:val="2FDC4EC6"/>
    <w:rsid w:val="2FE70FA2"/>
    <w:rsid w:val="2FF71670"/>
    <w:rsid w:val="300466C5"/>
    <w:rsid w:val="300A1337"/>
    <w:rsid w:val="302400EF"/>
    <w:rsid w:val="302F3016"/>
    <w:rsid w:val="303C2CDA"/>
    <w:rsid w:val="30492C32"/>
    <w:rsid w:val="304A7E50"/>
    <w:rsid w:val="305F3444"/>
    <w:rsid w:val="307A6CB2"/>
    <w:rsid w:val="30915A7F"/>
    <w:rsid w:val="3091782D"/>
    <w:rsid w:val="30A2258C"/>
    <w:rsid w:val="30D80A5D"/>
    <w:rsid w:val="311B07AD"/>
    <w:rsid w:val="311C4A14"/>
    <w:rsid w:val="318E3FE1"/>
    <w:rsid w:val="31AC5437"/>
    <w:rsid w:val="31B8634B"/>
    <w:rsid w:val="31C1569F"/>
    <w:rsid w:val="31C53C32"/>
    <w:rsid w:val="31EA1348"/>
    <w:rsid w:val="31EC7411"/>
    <w:rsid w:val="31FA233C"/>
    <w:rsid w:val="320F30FF"/>
    <w:rsid w:val="3214368B"/>
    <w:rsid w:val="32144BB9"/>
    <w:rsid w:val="32167667"/>
    <w:rsid w:val="3220530C"/>
    <w:rsid w:val="323D5EBE"/>
    <w:rsid w:val="32445502"/>
    <w:rsid w:val="327B2096"/>
    <w:rsid w:val="327D7571"/>
    <w:rsid w:val="328A6803"/>
    <w:rsid w:val="32C21506"/>
    <w:rsid w:val="32C6424F"/>
    <w:rsid w:val="32CB34CA"/>
    <w:rsid w:val="32D57EA5"/>
    <w:rsid w:val="32E20192"/>
    <w:rsid w:val="33062C5A"/>
    <w:rsid w:val="33095DA0"/>
    <w:rsid w:val="33323549"/>
    <w:rsid w:val="333A56AF"/>
    <w:rsid w:val="3344502A"/>
    <w:rsid w:val="335E433E"/>
    <w:rsid w:val="336978E6"/>
    <w:rsid w:val="33A855B9"/>
    <w:rsid w:val="33B65581"/>
    <w:rsid w:val="33CA73DC"/>
    <w:rsid w:val="33CC574C"/>
    <w:rsid w:val="33FB1F69"/>
    <w:rsid w:val="340A0022"/>
    <w:rsid w:val="3442239D"/>
    <w:rsid w:val="34466147"/>
    <w:rsid w:val="345E1F05"/>
    <w:rsid w:val="347656B7"/>
    <w:rsid w:val="34AF2977"/>
    <w:rsid w:val="34DA5C46"/>
    <w:rsid w:val="34FE2ED4"/>
    <w:rsid w:val="35083E8E"/>
    <w:rsid w:val="350B5E00"/>
    <w:rsid w:val="352E1369"/>
    <w:rsid w:val="35303AB2"/>
    <w:rsid w:val="35321B26"/>
    <w:rsid w:val="353335A8"/>
    <w:rsid w:val="35431A3E"/>
    <w:rsid w:val="35843E04"/>
    <w:rsid w:val="358E07DF"/>
    <w:rsid w:val="35AB1391"/>
    <w:rsid w:val="35B13E3D"/>
    <w:rsid w:val="35C0308E"/>
    <w:rsid w:val="35DC59EE"/>
    <w:rsid w:val="35E84393"/>
    <w:rsid w:val="35EC2B19"/>
    <w:rsid w:val="362B1C8C"/>
    <w:rsid w:val="36487D7F"/>
    <w:rsid w:val="364A6DFC"/>
    <w:rsid w:val="365778E0"/>
    <w:rsid w:val="36965B9D"/>
    <w:rsid w:val="36BA5D2F"/>
    <w:rsid w:val="36F01751"/>
    <w:rsid w:val="37021CB5"/>
    <w:rsid w:val="370C54DE"/>
    <w:rsid w:val="371E1103"/>
    <w:rsid w:val="3724003C"/>
    <w:rsid w:val="379F0593"/>
    <w:rsid w:val="37CA234D"/>
    <w:rsid w:val="37FA004A"/>
    <w:rsid w:val="381551E7"/>
    <w:rsid w:val="38174ABC"/>
    <w:rsid w:val="3839001F"/>
    <w:rsid w:val="383F746B"/>
    <w:rsid w:val="384B0C09"/>
    <w:rsid w:val="388C54AA"/>
    <w:rsid w:val="38A66E8B"/>
    <w:rsid w:val="38B43E7B"/>
    <w:rsid w:val="38B844F1"/>
    <w:rsid w:val="38D96215"/>
    <w:rsid w:val="38E52E0C"/>
    <w:rsid w:val="39131727"/>
    <w:rsid w:val="391A40A5"/>
    <w:rsid w:val="391D37C1"/>
    <w:rsid w:val="39207610"/>
    <w:rsid w:val="392F7192"/>
    <w:rsid w:val="39496480"/>
    <w:rsid w:val="39730417"/>
    <w:rsid w:val="397D063B"/>
    <w:rsid w:val="397F26DD"/>
    <w:rsid w:val="39845342"/>
    <w:rsid w:val="398A1872"/>
    <w:rsid w:val="39AE065F"/>
    <w:rsid w:val="39CA622A"/>
    <w:rsid w:val="39D52E82"/>
    <w:rsid w:val="39EA588E"/>
    <w:rsid w:val="39F378C2"/>
    <w:rsid w:val="3A173B31"/>
    <w:rsid w:val="3A4848AA"/>
    <w:rsid w:val="3A4D6952"/>
    <w:rsid w:val="3A4D7391"/>
    <w:rsid w:val="3A5244D1"/>
    <w:rsid w:val="3A71475D"/>
    <w:rsid w:val="3A886145"/>
    <w:rsid w:val="3AB16C4D"/>
    <w:rsid w:val="3AB807D8"/>
    <w:rsid w:val="3AC86541"/>
    <w:rsid w:val="3AF61605"/>
    <w:rsid w:val="3B3836C7"/>
    <w:rsid w:val="3B3C653D"/>
    <w:rsid w:val="3B4A3BB0"/>
    <w:rsid w:val="3B530501"/>
    <w:rsid w:val="3B632610"/>
    <w:rsid w:val="3B685AA3"/>
    <w:rsid w:val="3B7B381F"/>
    <w:rsid w:val="3B827442"/>
    <w:rsid w:val="3B876BFF"/>
    <w:rsid w:val="3B8B7C9A"/>
    <w:rsid w:val="3B9C3C56"/>
    <w:rsid w:val="3BB56AC5"/>
    <w:rsid w:val="3BBC42F8"/>
    <w:rsid w:val="3BFC188E"/>
    <w:rsid w:val="3C055D3C"/>
    <w:rsid w:val="3C143080"/>
    <w:rsid w:val="3C154B1E"/>
    <w:rsid w:val="3C1934F8"/>
    <w:rsid w:val="3C1C6B44"/>
    <w:rsid w:val="3C244E8B"/>
    <w:rsid w:val="3C3814A4"/>
    <w:rsid w:val="3C885F88"/>
    <w:rsid w:val="3C8A7F52"/>
    <w:rsid w:val="3CC571DC"/>
    <w:rsid w:val="3CD25455"/>
    <w:rsid w:val="3CD40BCB"/>
    <w:rsid w:val="3D131AC9"/>
    <w:rsid w:val="3D274BF7"/>
    <w:rsid w:val="3D3D4FC4"/>
    <w:rsid w:val="3D3F33B2"/>
    <w:rsid w:val="3D467345"/>
    <w:rsid w:val="3D4A1A37"/>
    <w:rsid w:val="3D4E30D3"/>
    <w:rsid w:val="3D5256BC"/>
    <w:rsid w:val="3D5B369C"/>
    <w:rsid w:val="3D8E3A72"/>
    <w:rsid w:val="3DAD43BB"/>
    <w:rsid w:val="3DC560BB"/>
    <w:rsid w:val="3DDB658B"/>
    <w:rsid w:val="3DE31F88"/>
    <w:rsid w:val="3DED3207"/>
    <w:rsid w:val="3E071210"/>
    <w:rsid w:val="3E08142E"/>
    <w:rsid w:val="3E097385"/>
    <w:rsid w:val="3E0B6453"/>
    <w:rsid w:val="3E0F55C1"/>
    <w:rsid w:val="3E1D4DF6"/>
    <w:rsid w:val="3E3F6B1A"/>
    <w:rsid w:val="3E42660A"/>
    <w:rsid w:val="3E4F267D"/>
    <w:rsid w:val="3E500D27"/>
    <w:rsid w:val="3E667A57"/>
    <w:rsid w:val="3E7A6209"/>
    <w:rsid w:val="3E804F93"/>
    <w:rsid w:val="3EB72B54"/>
    <w:rsid w:val="3EC51715"/>
    <w:rsid w:val="3F0F1ACA"/>
    <w:rsid w:val="3F285800"/>
    <w:rsid w:val="3F3423F7"/>
    <w:rsid w:val="3F6C393F"/>
    <w:rsid w:val="3F854A01"/>
    <w:rsid w:val="3F8F3AD1"/>
    <w:rsid w:val="3FAE2C6A"/>
    <w:rsid w:val="3FB362C2"/>
    <w:rsid w:val="3FB6006A"/>
    <w:rsid w:val="3FBE0233"/>
    <w:rsid w:val="3FC64394"/>
    <w:rsid w:val="3FC90E32"/>
    <w:rsid w:val="3FF676AC"/>
    <w:rsid w:val="40353870"/>
    <w:rsid w:val="403C5A07"/>
    <w:rsid w:val="40844CB8"/>
    <w:rsid w:val="408D6263"/>
    <w:rsid w:val="40B36E67"/>
    <w:rsid w:val="40B57568"/>
    <w:rsid w:val="40CD5D69"/>
    <w:rsid w:val="40D4005D"/>
    <w:rsid w:val="40D7128C"/>
    <w:rsid w:val="40E82174"/>
    <w:rsid w:val="41110C42"/>
    <w:rsid w:val="41636FC4"/>
    <w:rsid w:val="41764F49"/>
    <w:rsid w:val="41A90E7A"/>
    <w:rsid w:val="41B475E0"/>
    <w:rsid w:val="41B94E35"/>
    <w:rsid w:val="41C31810"/>
    <w:rsid w:val="41CC4B69"/>
    <w:rsid w:val="41DA2951"/>
    <w:rsid w:val="41DD6D76"/>
    <w:rsid w:val="41FC49D1"/>
    <w:rsid w:val="42084A4B"/>
    <w:rsid w:val="421B33E6"/>
    <w:rsid w:val="425C2C71"/>
    <w:rsid w:val="42760694"/>
    <w:rsid w:val="42833F2C"/>
    <w:rsid w:val="42915828"/>
    <w:rsid w:val="429A2DFF"/>
    <w:rsid w:val="42A466DB"/>
    <w:rsid w:val="42A94EAA"/>
    <w:rsid w:val="42CB6BCE"/>
    <w:rsid w:val="42D261AF"/>
    <w:rsid w:val="42F75C15"/>
    <w:rsid w:val="43153F94"/>
    <w:rsid w:val="43233E35"/>
    <w:rsid w:val="432B2D3F"/>
    <w:rsid w:val="432C2862"/>
    <w:rsid w:val="432F7FAB"/>
    <w:rsid w:val="43713C1A"/>
    <w:rsid w:val="43BD1D7C"/>
    <w:rsid w:val="43D63A7D"/>
    <w:rsid w:val="43F75C3D"/>
    <w:rsid w:val="44230989"/>
    <w:rsid w:val="44246EDE"/>
    <w:rsid w:val="442F5AEF"/>
    <w:rsid w:val="44476729"/>
    <w:rsid w:val="445F7F16"/>
    <w:rsid w:val="44623562"/>
    <w:rsid w:val="44733B26"/>
    <w:rsid w:val="44790D48"/>
    <w:rsid w:val="447F2F5B"/>
    <w:rsid w:val="44884175"/>
    <w:rsid w:val="449443B9"/>
    <w:rsid w:val="44A57259"/>
    <w:rsid w:val="44AA1153"/>
    <w:rsid w:val="44C47D79"/>
    <w:rsid w:val="45196317"/>
    <w:rsid w:val="451B5762"/>
    <w:rsid w:val="453F38A4"/>
    <w:rsid w:val="454F7B31"/>
    <w:rsid w:val="45545A2E"/>
    <w:rsid w:val="45725A27"/>
    <w:rsid w:val="45B46040"/>
    <w:rsid w:val="45CC15DB"/>
    <w:rsid w:val="45D75E6B"/>
    <w:rsid w:val="45E939C0"/>
    <w:rsid w:val="45EF7078"/>
    <w:rsid w:val="45F224BA"/>
    <w:rsid w:val="4621408E"/>
    <w:rsid w:val="462C7068"/>
    <w:rsid w:val="46342CDD"/>
    <w:rsid w:val="464F7B16"/>
    <w:rsid w:val="465E7D59"/>
    <w:rsid w:val="466179D0"/>
    <w:rsid w:val="4662631D"/>
    <w:rsid w:val="46853538"/>
    <w:rsid w:val="46B533FC"/>
    <w:rsid w:val="46C35BED"/>
    <w:rsid w:val="46F8339D"/>
    <w:rsid w:val="47094169"/>
    <w:rsid w:val="471C70C6"/>
    <w:rsid w:val="471F3D46"/>
    <w:rsid w:val="4721152D"/>
    <w:rsid w:val="47320E21"/>
    <w:rsid w:val="473236C0"/>
    <w:rsid w:val="47394A4E"/>
    <w:rsid w:val="473D3B5C"/>
    <w:rsid w:val="47447AD2"/>
    <w:rsid w:val="474D07FF"/>
    <w:rsid w:val="479F4165"/>
    <w:rsid w:val="47AB41DF"/>
    <w:rsid w:val="482C62F8"/>
    <w:rsid w:val="482C7BF6"/>
    <w:rsid w:val="483B69E1"/>
    <w:rsid w:val="483F42E6"/>
    <w:rsid w:val="48541414"/>
    <w:rsid w:val="4858239D"/>
    <w:rsid w:val="48606163"/>
    <w:rsid w:val="486755EB"/>
    <w:rsid w:val="48786E75"/>
    <w:rsid w:val="4882498D"/>
    <w:rsid w:val="489817AA"/>
    <w:rsid w:val="48A661BF"/>
    <w:rsid w:val="48B06FCF"/>
    <w:rsid w:val="48B20D37"/>
    <w:rsid w:val="48BF5427"/>
    <w:rsid w:val="48BF71D5"/>
    <w:rsid w:val="48DA454E"/>
    <w:rsid w:val="48EA6984"/>
    <w:rsid w:val="48F6749B"/>
    <w:rsid w:val="491312CF"/>
    <w:rsid w:val="49133F46"/>
    <w:rsid w:val="49276CAA"/>
    <w:rsid w:val="495101E2"/>
    <w:rsid w:val="49547F17"/>
    <w:rsid w:val="495C4A24"/>
    <w:rsid w:val="495F5768"/>
    <w:rsid w:val="49747EF6"/>
    <w:rsid w:val="497A134E"/>
    <w:rsid w:val="497E2BEC"/>
    <w:rsid w:val="498068AB"/>
    <w:rsid w:val="49A10689"/>
    <w:rsid w:val="49AD041B"/>
    <w:rsid w:val="49B4143D"/>
    <w:rsid w:val="49CB4B1A"/>
    <w:rsid w:val="49E62C53"/>
    <w:rsid w:val="4A093D8A"/>
    <w:rsid w:val="4A0B0F5A"/>
    <w:rsid w:val="4A243E2C"/>
    <w:rsid w:val="4A3D4856"/>
    <w:rsid w:val="4A434EE7"/>
    <w:rsid w:val="4A592B0D"/>
    <w:rsid w:val="4A600544"/>
    <w:rsid w:val="4A6A3171"/>
    <w:rsid w:val="4A8A0E48"/>
    <w:rsid w:val="4A9E2E1A"/>
    <w:rsid w:val="4AA36000"/>
    <w:rsid w:val="4AD552B6"/>
    <w:rsid w:val="4AD8632C"/>
    <w:rsid w:val="4B0B4954"/>
    <w:rsid w:val="4B107344"/>
    <w:rsid w:val="4B124AD8"/>
    <w:rsid w:val="4B1C7BD0"/>
    <w:rsid w:val="4B3A39A2"/>
    <w:rsid w:val="4B427C4A"/>
    <w:rsid w:val="4B681E97"/>
    <w:rsid w:val="4B6C434D"/>
    <w:rsid w:val="4B8A01B9"/>
    <w:rsid w:val="4B8D3A4C"/>
    <w:rsid w:val="4B933956"/>
    <w:rsid w:val="4BB40B47"/>
    <w:rsid w:val="4BE156B5"/>
    <w:rsid w:val="4BED7B41"/>
    <w:rsid w:val="4BF0061D"/>
    <w:rsid w:val="4C0A2396"/>
    <w:rsid w:val="4C2F6420"/>
    <w:rsid w:val="4C39729F"/>
    <w:rsid w:val="4C3C28EB"/>
    <w:rsid w:val="4C763353"/>
    <w:rsid w:val="4C856A81"/>
    <w:rsid w:val="4C8E50CB"/>
    <w:rsid w:val="4C9716F3"/>
    <w:rsid w:val="4C9E5354"/>
    <w:rsid w:val="4CCF19B1"/>
    <w:rsid w:val="4CD6689C"/>
    <w:rsid w:val="4CEE62DB"/>
    <w:rsid w:val="4CEF5BAF"/>
    <w:rsid w:val="4D221AE1"/>
    <w:rsid w:val="4D241CFD"/>
    <w:rsid w:val="4D283CA5"/>
    <w:rsid w:val="4D2C6E03"/>
    <w:rsid w:val="4DB902D0"/>
    <w:rsid w:val="4DBB197A"/>
    <w:rsid w:val="4DC85B7C"/>
    <w:rsid w:val="4DF02264"/>
    <w:rsid w:val="4DF07E31"/>
    <w:rsid w:val="4E102281"/>
    <w:rsid w:val="4E4D7031"/>
    <w:rsid w:val="4E523481"/>
    <w:rsid w:val="4E880069"/>
    <w:rsid w:val="4EA01857"/>
    <w:rsid w:val="4EA50C1B"/>
    <w:rsid w:val="4EB40E5E"/>
    <w:rsid w:val="4EB66985"/>
    <w:rsid w:val="4EC05A55"/>
    <w:rsid w:val="4EF13E61"/>
    <w:rsid w:val="4EF70D4B"/>
    <w:rsid w:val="4F17220C"/>
    <w:rsid w:val="4F192763"/>
    <w:rsid w:val="4F781E8C"/>
    <w:rsid w:val="4F7C7BCE"/>
    <w:rsid w:val="4F7F767D"/>
    <w:rsid w:val="4FA47125"/>
    <w:rsid w:val="4FAB0CD5"/>
    <w:rsid w:val="4FD32C53"/>
    <w:rsid w:val="50091750"/>
    <w:rsid w:val="50120532"/>
    <w:rsid w:val="50245F5C"/>
    <w:rsid w:val="50294CAF"/>
    <w:rsid w:val="50684475"/>
    <w:rsid w:val="508664AB"/>
    <w:rsid w:val="50891D2D"/>
    <w:rsid w:val="5091511F"/>
    <w:rsid w:val="50A2139C"/>
    <w:rsid w:val="50A6547F"/>
    <w:rsid w:val="50BE366D"/>
    <w:rsid w:val="50F00402"/>
    <w:rsid w:val="50F61F27"/>
    <w:rsid w:val="514C35D0"/>
    <w:rsid w:val="51523CAA"/>
    <w:rsid w:val="5176004E"/>
    <w:rsid w:val="51A11B6E"/>
    <w:rsid w:val="51B178D7"/>
    <w:rsid w:val="51B353FD"/>
    <w:rsid w:val="51BD0A18"/>
    <w:rsid w:val="51D5601F"/>
    <w:rsid w:val="51DE7DB3"/>
    <w:rsid w:val="51F30DEF"/>
    <w:rsid w:val="51FC6DA4"/>
    <w:rsid w:val="52065E75"/>
    <w:rsid w:val="521C6D4F"/>
    <w:rsid w:val="521D6D1B"/>
    <w:rsid w:val="523F3135"/>
    <w:rsid w:val="525212DD"/>
    <w:rsid w:val="52645155"/>
    <w:rsid w:val="526C033D"/>
    <w:rsid w:val="5288155D"/>
    <w:rsid w:val="52D37C25"/>
    <w:rsid w:val="52E02222"/>
    <w:rsid w:val="52F42171"/>
    <w:rsid w:val="52FF3466"/>
    <w:rsid w:val="53232908"/>
    <w:rsid w:val="532E65D1"/>
    <w:rsid w:val="534A1D91"/>
    <w:rsid w:val="53746E0E"/>
    <w:rsid w:val="53815A5F"/>
    <w:rsid w:val="538A03E0"/>
    <w:rsid w:val="53AC6661"/>
    <w:rsid w:val="53DC4391"/>
    <w:rsid w:val="53DD0E57"/>
    <w:rsid w:val="53EE096F"/>
    <w:rsid w:val="541936B2"/>
    <w:rsid w:val="54240834"/>
    <w:rsid w:val="54280B64"/>
    <w:rsid w:val="543144A0"/>
    <w:rsid w:val="54442C85"/>
    <w:rsid w:val="546E2285"/>
    <w:rsid w:val="546F4F00"/>
    <w:rsid w:val="54A24C16"/>
    <w:rsid w:val="54D1276A"/>
    <w:rsid w:val="55046EB5"/>
    <w:rsid w:val="55195EBF"/>
    <w:rsid w:val="55211D09"/>
    <w:rsid w:val="552C3F3B"/>
    <w:rsid w:val="55394261"/>
    <w:rsid w:val="55677C9A"/>
    <w:rsid w:val="55885A03"/>
    <w:rsid w:val="55B728F9"/>
    <w:rsid w:val="55CB3C69"/>
    <w:rsid w:val="55E3789F"/>
    <w:rsid w:val="55EF2B39"/>
    <w:rsid w:val="55F34962"/>
    <w:rsid w:val="55FB0EDC"/>
    <w:rsid w:val="56177A73"/>
    <w:rsid w:val="56982E14"/>
    <w:rsid w:val="56C500AD"/>
    <w:rsid w:val="56EB4AB4"/>
    <w:rsid w:val="571B7CCD"/>
    <w:rsid w:val="57324409"/>
    <w:rsid w:val="574309DA"/>
    <w:rsid w:val="57453BDE"/>
    <w:rsid w:val="574F7976"/>
    <w:rsid w:val="575907F5"/>
    <w:rsid w:val="576D604E"/>
    <w:rsid w:val="577E64AD"/>
    <w:rsid w:val="578704B2"/>
    <w:rsid w:val="578E252E"/>
    <w:rsid w:val="57A0784B"/>
    <w:rsid w:val="57A84056"/>
    <w:rsid w:val="57BB500C"/>
    <w:rsid w:val="57E5527E"/>
    <w:rsid w:val="57F8000E"/>
    <w:rsid w:val="58116B2F"/>
    <w:rsid w:val="58136BF6"/>
    <w:rsid w:val="581A61D6"/>
    <w:rsid w:val="583D6CDD"/>
    <w:rsid w:val="58524D95"/>
    <w:rsid w:val="585711D8"/>
    <w:rsid w:val="58630DA9"/>
    <w:rsid w:val="586C24F3"/>
    <w:rsid w:val="58810003"/>
    <w:rsid w:val="588B37E2"/>
    <w:rsid w:val="58AE5ECA"/>
    <w:rsid w:val="58BB67A0"/>
    <w:rsid w:val="58CE0D6F"/>
    <w:rsid w:val="58E660B8"/>
    <w:rsid w:val="592157E6"/>
    <w:rsid w:val="593212FE"/>
    <w:rsid w:val="599C0E6D"/>
    <w:rsid w:val="599E2E37"/>
    <w:rsid w:val="59A321FB"/>
    <w:rsid w:val="59D86031"/>
    <w:rsid w:val="59DE1485"/>
    <w:rsid w:val="59E92304"/>
    <w:rsid w:val="59ED3476"/>
    <w:rsid w:val="5A091640"/>
    <w:rsid w:val="5A223A07"/>
    <w:rsid w:val="5A471E28"/>
    <w:rsid w:val="5A5D07CE"/>
    <w:rsid w:val="5A8976A0"/>
    <w:rsid w:val="5AA54FE8"/>
    <w:rsid w:val="5ACD1B60"/>
    <w:rsid w:val="5ADD3120"/>
    <w:rsid w:val="5AE558E9"/>
    <w:rsid w:val="5B002DED"/>
    <w:rsid w:val="5B0B62AA"/>
    <w:rsid w:val="5B0E4BA8"/>
    <w:rsid w:val="5B0F37D2"/>
    <w:rsid w:val="5B174054"/>
    <w:rsid w:val="5B1E1AA7"/>
    <w:rsid w:val="5B6F7C82"/>
    <w:rsid w:val="5BBB1A7E"/>
    <w:rsid w:val="5BE54D4D"/>
    <w:rsid w:val="5C3B7C73"/>
    <w:rsid w:val="5C5C0B22"/>
    <w:rsid w:val="5C606182"/>
    <w:rsid w:val="5C664EE6"/>
    <w:rsid w:val="5C6829A1"/>
    <w:rsid w:val="5C71038F"/>
    <w:rsid w:val="5C806824"/>
    <w:rsid w:val="5CB00D05"/>
    <w:rsid w:val="5CBA3AE4"/>
    <w:rsid w:val="5CC44962"/>
    <w:rsid w:val="5CCE4F16"/>
    <w:rsid w:val="5CD327FE"/>
    <w:rsid w:val="5CD64E72"/>
    <w:rsid w:val="5CFA0A1C"/>
    <w:rsid w:val="5D0605E1"/>
    <w:rsid w:val="5D100066"/>
    <w:rsid w:val="5D172CE4"/>
    <w:rsid w:val="5D284EF1"/>
    <w:rsid w:val="5D475893"/>
    <w:rsid w:val="5D573A29"/>
    <w:rsid w:val="5D6E48CE"/>
    <w:rsid w:val="5D752101"/>
    <w:rsid w:val="5D844AB1"/>
    <w:rsid w:val="5D985248"/>
    <w:rsid w:val="5DA4554F"/>
    <w:rsid w:val="5DB103A4"/>
    <w:rsid w:val="5DC7176B"/>
    <w:rsid w:val="5DC87FA4"/>
    <w:rsid w:val="5DD57F6E"/>
    <w:rsid w:val="5DDE7CA6"/>
    <w:rsid w:val="5DE60909"/>
    <w:rsid w:val="5DE76EFC"/>
    <w:rsid w:val="5DF063E2"/>
    <w:rsid w:val="5DF97045"/>
    <w:rsid w:val="5E077DC1"/>
    <w:rsid w:val="5E280F21"/>
    <w:rsid w:val="5E2E5E7A"/>
    <w:rsid w:val="5E4A2A28"/>
    <w:rsid w:val="5E68428C"/>
    <w:rsid w:val="5E79177D"/>
    <w:rsid w:val="5ED50624"/>
    <w:rsid w:val="5EEC492F"/>
    <w:rsid w:val="5F076F03"/>
    <w:rsid w:val="5F2C2219"/>
    <w:rsid w:val="5F2D4A41"/>
    <w:rsid w:val="5F3C2ED6"/>
    <w:rsid w:val="5F41673E"/>
    <w:rsid w:val="5F4B3119"/>
    <w:rsid w:val="5F622211"/>
    <w:rsid w:val="5F6C57AD"/>
    <w:rsid w:val="5FC35A1D"/>
    <w:rsid w:val="5FC66889"/>
    <w:rsid w:val="5FD9539D"/>
    <w:rsid w:val="602D4DD9"/>
    <w:rsid w:val="60914033"/>
    <w:rsid w:val="60A2320D"/>
    <w:rsid w:val="60DF25A4"/>
    <w:rsid w:val="60E71463"/>
    <w:rsid w:val="60EF77D0"/>
    <w:rsid w:val="60F03F78"/>
    <w:rsid w:val="60FA4DF7"/>
    <w:rsid w:val="614510F2"/>
    <w:rsid w:val="615C48FE"/>
    <w:rsid w:val="616D3EC0"/>
    <w:rsid w:val="61703DDC"/>
    <w:rsid w:val="61777C45"/>
    <w:rsid w:val="61893525"/>
    <w:rsid w:val="618A5C53"/>
    <w:rsid w:val="618C466C"/>
    <w:rsid w:val="61914510"/>
    <w:rsid w:val="61BA4586"/>
    <w:rsid w:val="61C36E73"/>
    <w:rsid w:val="61EE2926"/>
    <w:rsid w:val="61EF05A4"/>
    <w:rsid w:val="61F33A2B"/>
    <w:rsid w:val="62045801"/>
    <w:rsid w:val="6208709F"/>
    <w:rsid w:val="621044CB"/>
    <w:rsid w:val="626F35C2"/>
    <w:rsid w:val="626F5370"/>
    <w:rsid w:val="62793FA6"/>
    <w:rsid w:val="627A376C"/>
    <w:rsid w:val="62C80DBD"/>
    <w:rsid w:val="62E27B34"/>
    <w:rsid w:val="62FB2ADE"/>
    <w:rsid w:val="63021D41"/>
    <w:rsid w:val="63116428"/>
    <w:rsid w:val="63155E00"/>
    <w:rsid w:val="63277939"/>
    <w:rsid w:val="6329146D"/>
    <w:rsid w:val="632B573B"/>
    <w:rsid w:val="63472F4F"/>
    <w:rsid w:val="63855608"/>
    <w:rsid w:val="63984453"/>
    <w:rsid w:val="639E0CCD"/>
    <w:rsid w:val="63A7164B"/>
    <w:rsid w:val="63AB062A"/>
    <w:rsid w:val="63B23767"/>
    <w:rsid w:val="63BE035D"/>
    <w:rsid w:val="63C143B7"/>
    <w:rsid w:val="63C32ADB"/>
    <w:rsid w:val="63C4273E"/>
    <w:rsid w:val="63CC5F76"/>
    <w:rsid w:val="63D47B81"/>
    <w:rsid w:val="63E168D4"/>
    <w:rsid w:val="64410FBC"/>
    <w:rsid w:val="64607DB3"/>
    <w:rsid w:val="649B324A"/>
    <w:rsid w:val="64B917F4"/>
    <w:rsid w:val="64CE74BC"/>
    <w:rsid w:val="64E76601"/>
    <w:rsid w:val="64F437B8"/>
    <w:rsid w:val="650A7E00"/>
    <w:rsid w:val="65176A22"/>
    <w:rsid w:val="653D61BD"/>
    <w:rsid w:val="65423B40"/>
    <w:rsid w:val="6562419C"/>
    <w:rsid w:val="65640A91"/>
    <w:rsid w:val="6579238E"/>
    <w:rsid w:val="65962C14"/>
    <w:rsid w:val="65990F30"/>
    <w:rsid w:val="65A45A69"/>
    <w:rsid w:val="65AC2372"/>
    <w:rsid w:val="65B52B1D"/>
    <w:rsid w:val="65BD0EA1"/>
    <w:rsid w:val="65C35D98"/>
    <w:rsid w:val="65EF3725"/>
    <w:rsid w:val="66365C06"/>
    <w:rsid w:val="664679F8"/>
    <w:rsid w:val="664B39FF"/>
    <w:rsid w:val="66560D21"/>
    <w:rsid w:val="665B6338"/>
    <w:rsid w:val="66930FA9"/>
    <w:rsid w:val="66A44903"/>
    <w:rsid w:val="66B43C9A"/>
    <w:rsid w:val="66C03E53"/>
    <w:rsid w:val="66CC119D"/>
    <w:rsid w:val="66F422E8"/>
    <w:rsid w:val="672E09CB"/>
    <w:rsid w:val="67380427"/>
    <w:rsid w:val="67481369"/>
    <w:rsid w:val="674D7B77"/>
    <w:rsid w:val="676641F4"/>
    <w:rsid w:val="679B558A"/>
    <w:rsid w:val="67AA12FD"/>
    <w:rsid w:val="67BA0E3C"/>
    <w:rsid w:val="67EC36E4"/>
    <w:rsid w:val="67F6635C"/>
    <w:rsid w:val="67FC2F18"/>
    <w:rsid w:val="68053884"/>
    <w:rsid w:val="68077DF9"/>
    <w:rsid w:val="680909F1"/>
    <w:rsid w:val="68337C39"/>
    <w:rsid w:val="68410BD2"/>
    <w:rsid w:val="684A068B"/>
    <w:rsid w:val="686E00FC"/>
    <w:rsid w:val="68D76768"/>
    <w:rsid w:val="68E85E7D"/>
    <w:rsid w:val="68EC16BF"/>
    <w:rsid w:val="68F44821"/>
    <w:rsid w:val="69113262"/>
    <w:rsid w:val="69674FF3"/>
    <w:rsid w:val="699056CE"/>
    <w:rsid w:val="69931944"/>
    <w:rsid w:val="69A2427D"/>
    <w:rsid w:val="69B95C57"/>
    <w:rsid w:val="69C935B8"/>
    <w:rsid w:val="69E421A0"/>
    <w:rsid w:val="6A031B39"/>
    <w:rsid w:val="6A254A46"/>
    <w:rsid w:val="6A696B49"/>
    <w:rsid w:val="6A773014"/>
    <w:rsid w:val="6A9D3289"/>
    <w:rsid w:val="6ACB15B2"/>
    <w:rsid w:val="6ACB7804"/>
    <w:rsid w:val="6ADD4AF9"/>
    <w:rsid w:val="6AFB1E97"/>
    <w:rsid w:val="6B1B2081"/>
    <w:rsid w:val="6B4D1384"/>
    <w:rsid w:val="6B6C069F"/>
    <w:rsid w:val="6B77103C"/>
    <w:rsid w:val="6B7E4876"/>
    <w:rsid w:val="6B870C51"/>
    <w:rsid w:val="6BB0400B"/>
    <w:rsid w:val="6BBB46AB"/>
    <w:rsid w:val="6BC77FCB"/>
    <w:rsid w:val="6BD83F86"/>
    <w:rsid w:val="6C3B62C3"/>
    <w:rsid w:val="6C5E1E63"/>
    <w:rsid w:val="6C6E48EB"/>
    <w:rsid w:val="6C885CAA"/>
    <w:rsid w:val="6C8D4598"/>
    <w:rsid w:val="6C8D4A2B"/>
    <w:rsid w:val="6C975BF0"/>
    <w:rsid w:val="6C9F4238"/>
    <w:rsid w:val="6CC813DD"/>
    <w:rsid w:val="6CDB7813"/>
    <w:rsid w:val="6D08089B"/>
    <w:rsid w:val="6D1952E8"/>
    <w:rsid w:val="6D213D5C"/>
    <w:rsid w:val="6D2A25C0"/>
    <w:rsid w:val="6D2C532A"/>
    <w:rsid w:val="6D3C6806"/>
    <w:rsid w:val="6D3E606B"/>
    <w:rsid w:val="6D4F64CA"/>
    <w:rsid w:val="6D6339E6"/>
    <w:rsid w:val="6D643FD6"/>
    <w:rsid w:val="6D7E290C"/>
    <w:rsid w:val="6DD06906"/>
    <w:rsid w:val="6E105C5A"/>
    <w:rsid w:val="6E134541"/>
    <w:rsid w:val="6E594C74"/>
    <w:rsid w:val="6E615816"/>
    <w:rsid w:val="6E66558C"/>
    <w:rsid w:val="6E711791"/>
    <w:rsid w:val="6E7C3808"/>
    <w:rsid w:val="6EE45642"/>
    <w:rsid w:val="6F0B2965"/>
    <w:rsid w:val="6F121998"/>
    <w:rsid w:val="6F14514B"/>
    <w:rsid w:val="6F1801F4"/>
    <w:rsid w:val="6F255735"/>
    <w:rsid w:val="6F8D2AC6"/>
    <w:rsid w:val="6F947E22"/>
    <w:rsid w:val="6FA10B33"/>
    <w:rsid w:val="6FAA57E4"/>
    <w:rsid w:val="6FAC3760"/>
    <w:rsid w:val="6FB51808"/>
    <w:rsid w:val="6FB739FF"/>
    <w:rsid w:val="6FC30AAA"/>
    <w:rsid w:val="701B004E"/>
    <w:rsid w:val="70221C74"/>
    <w:rsid w:val="70271038"/>
    <w:rsid w:val="702A0EB9"/>
    <w:rsid w:val="702C237C"/>
    <w:rsid w:val="705175B1"/>
    <w:rsid w:val="70542F87"/>
    <w:rsid w:val="705E2EF7"/>
    <w:rsid w:val="706F0B3B"/>
    <w:rsid w:val="70781B62"/>
    <w:rsid w:val="70877D29"/>
    <w:rsid w:val="70A20D6C"/>
    <w:rsid w:val="70AE5F6F"/>
    <w:rsid w:val="70B825D8"/>
    <w:rsid w:val="70BB0F08"/>
    <w:rsid w:val="70D86262"/>
    <w:rsid w:val="70F76C5D"/>
    <w:rsid w:val="7105736C"/>
    <w:rsid w:val="717621F9"/>
    <w:rsid w:val="71883563"/>
    <w:rsid w:val="71A36DE5"/>
    <w:rsid w:val="71B613C7"/>
    <w:rsid w:val="71D074AE"/>
    <w:rsid w:val="71D512D4"/>
    <w:rsid w:val="72100205"/>
    <w:rsid w:val="721A3A60"/>
    <w:rsid w:val="721F4D23"/>
    <w:rsid w:val="72323CC5"/>
    <w:rsid w:val="72376FAB"/>
    <w:rsid w:val="723916E9"/>
    <w:rsid w:val="7242215A"/>
    <w:rsid w:val="727D04D9"/>
    <w:rsid w:val="72820361"/>
    <w:rsid w:val="72CC236B"/>
    <w:rsid w:val="72D80665"/>
    <w:rsid w:val="73094987"/>
    <w:rsid w:val="731D4F44"/>
    <w:rsid w:val="73364510"/>
    <w:rsid w:val="73521EC3"/>
    <w:rsid w:val="7352573A"/>
    <w:rsid w:val="73612B31"/>
    <w:rsid w:val="73B726D3"/>
    <w:rsid w:val="73CD462B"/>
    <w:rsid w:val="74064A66"/>
    <w:rsid w:val="741227AF"/>
    <w:rsid w:val="744877CF"/>
    <w:rsid w:val="744F4E88"/>
    <w:rsid w:val="74644B99"/>
    <w:rsid w:val="7496678D"/>
    <w:rsid w:val="749D7B1B"/>
    <w:rsid w:val="74A92964"/>
    <w:rsid w:val="74B83751"/>
    <w:rsid w:val="74BC5C96"/>
    <w:rsid w:val="74C1083C"/>
    <w:rsid w:val="74C96B62"/>
    <w:rsid w:val="74D873D7"/>
    <w:rsid w:val="74EE65C9"/>
    <w:rsid w:val="751F6782"/>
    <w:rsid w:val="756248C1"/>
    <w:rsid w:val="75CE71AC"/>
    <w:rsid w:val="75D532E5"/>
    <w:rsid w:val="75DA67C9"/>
    <w:rsid w:val="760F4A49"/>
    <w:rsid w:val="763E1311"/>
    <w:rsid w:val="76726D86"/>
    <w:rsid w:val="76854D0B"/>
    <w:rsid w:val="768B6247"/>
    <w:rsid w:val="769B452E"/>
    <w:rsid w:val="76AE6010"/>
    <w:rsid w:val="76B2708E"/>
    <w:rsid w:val="76B455F0"/>
    <w:rsid w:val="76BB072D"/>
    <w:rsid w:val="76BD44A5"/>
    <w:rsid w:val="76C006F9"/>
    <w:rsid w:val="76E94298"/>
    <w:rsid w:val="76EC2057"/>
    <w:rsid w:val="76F94522"/>
    <w:rsid w:val="770E45B2"/>
    <w:rsid w:val="771F0CBB"/>
    <w:rsid w:val="772817CF"/>
    <w:rsid w:val="7741250B"/>
    <w:rsid w:val="77551E61"/>
    <w:rsid w:val="777C610E"/>
    <w:rsid w:val="778B5F6B"/>
    <w:rsid w:val="77971C54"/>
    <w:rsid w:val="77B43556"/>
    <w:rsid w:val="77C33D3D"/>
    <w:rsid w:val="77C70FE5"/>
    <w:rsid w:val="77C74EAF"/>
    <w:rsid w:val="77D176B6"/>
    <w:rsid w:val="77E13575"/>
    <w:rsid w:val="78126A72"/>
    <w:rsid w:val="782852F1"/>
    <w:rsid w:val="782D11B6"/>
    <w:rsid w:val="784F7A00"/>
    <w:rsid w:val="78782D79"/>
    <w:rsid w:val="787A23EB"/>
    <w:rsid w:val="78B127B9"/>
    <w:rsid w:val="78BF0B7C"/>
    <w:rsid w:val="78E16C76"/>
    <w:rsid w:val="78E45AAA"/>
    <w:rsid w:val="78FB7506"/>
    <w:rsid w:val="79051B29"/>
    <w:rsid w:val="79142376"/>
    <w:rsid w:val="79183C14"/>
    <w:rsid w:val="79252168"/>
    <w:rsid w:val="79287E44"/>
    <w:rsid w:val="79444A09"/>
    <w:rsid w:val="794A0E2F"/>
    <w:rsid w:val="794C5FB4"/>
    <w:rsid w:val="7956473D"/>
    <w:rsid w:val="79566AE2"/>
    <w:rsid w:val="79620122"/>
    <w:rsid w:val="79935991"/>
    <w:rsid w:val="79AE2B3C"/>
    <w:rsid w:val="79B03A39"/>
    <w:rsid w:val="79E81839"/>
    <w:rsid w:val="79F857F4"/>
    <w:rsid w:val="7A1F75C9"/>
    <w:rsid w:val="7A3244F9"/>
    <w:rsid w:val="7A4C2D3A"/>
    <w:rsid w:val="7A5073DE"/>
    <w:rsid w:val="7A6E799D"/>
    <w:rsid w:val="7A704705"/>
    <w:rsid w:val="7A925A18"/>
    <w:rsid w:val="7AB636E5"/>
    <w:rsid w:val="7AC53963"/>
    <w:rsid w:val="7AF34939"/>
    <w:rsid w:val="7B01324C"/>
    <w:rsid w:val="7B1915E2"/>
    <w:rsid w:val="7B545CDA"/>
    <w:rsid w:val="7B5B603A"/>
    <w:rsid w:val="7B7B048A"/>
    <w:rsid w:val="7B8865EA"/>
    <w:rsid w:val="7B966B02"/>
    <w:rsid w:val="7BAD444C"/>
    <w:rsid w:val="7BB310BF"/>
    <w:rsid w:val="7BFF10BB"/>
    <w:rsid w:val="7C0D1A2A"/>
    <w:rsid w:val="7C0E12FE"/>
    <w:rsid w:val="7C1903CF"/>
    <w:rsid w:val="7C1D0CB7"/>
    <w:rsid w:val="7C2B0102"/>
    <w:rsid w:val="7C4A7F45"/>
    <w:rsid w:val="7C532EB1"/>
    <w:rsid w:val="7C6A0C2B"/>
    <w:rsid w:val="7C7E0732"/>
    <w:rsid w:val="7C80386D"/>
    <w:rsid w:val="7C813187"/>
    <w:rsid w:val="7C907F65"/>
    <w:rsid w:val="7C9178F5"/>
    <w:rsid w:val="7C943EDF"/>
    <w:rsid w:val="7CA3413D"/>
    <w:rsid w:val="7CAC6D16"/>
    <w:rsid w:val="7CCF4F32"/>
    <w:rsid w:val="7CF6767B"/>
    <w:rsid w:val="7D056BA5"/>
    <w:rsid w:val="7D06585B"/>
    <w:rsid w:val="7D0E5925"/>
    <w:rsid w:val="7D6B000B"/>
    <w:rsid w:val="7D740CD0"/>
    <w:rsid w:val="7D8325AD"/>
    <w:rsid w:val="7D965A4F"/>
    <w:rsid w:val="7D9E4525"/>
    <w:rsid w:val="7DB40D4B"/>
    <w:rsid w:val="7DBA5F0E"/>
    <w:rsid w:val="7DBF7A4F"/>
    <w:rsid w:val="7DF74740"/>
    <w:rsid w:val="7DF84014"/>
    <w:rsid w:val="7E33504C"/>
    <w:rsid w:val="7E3F1C43"/>
    <w:rsid w:val="7E411CAA"/>
    <w:rsid w:val="7E483EB6"/>
    <w:rsid w:val="7E4E4495"/>
    <w:rsid w:val="7E6D2106"/>
    <w:rsid w:val="7E6D67B0"/>
    <w:rsid w:val="7E7545AA"/>
    <w:rsid w:val="7E7E47DE"/>
    <w:rsid w:val="7E7F4FB9"/>
    <w:rsid w:val="7E8C4207"/>
    <w:rsid w:val="7E9A50CB"/>
    <w:rsid w:val="7EAA45DE"/>
    <w:rsid w:val="7EAC1277"/>
    <w:rsid w:val="7ECD386E"/>
    <w:rsid w:val="7F1038A4"/>
    <w:rsid w:val="7F34107C"/>
    <w:rsid w:val="7F343224"/>
    <w:rsid w:val="7F421587"/>
    <w:rsid w:val="7F453845"/>
    <w:rsid w:val="7F574F47"/>
    <w:rsid w:val="7F576B30"/>
    <w:rsid w:val="7F5A6980"/>
    <w:rsid w:val="7F6A7194"/>
    <w:rsid w:val="7FF712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spacing w:line="360" w:lineRule="auto"/>
      <w:jc w:val="both"/>
    </w:pPr>
    <w:rPr>
      <w:rFonts w:ascii="Times New Roman" w:hAnsi="Times New Roman" w:eastAsia="宋体" w:cs="Times New Roman"/>
      <w:kern w:val="2"/>
      <w:sz w:val="24"/>
      <w:szCs w:val="24"/>
      <w:lang w:val="en-US" w:eastAsia="zh-CN" w:bidi="ar-SA"/>
    </w:rPr>
  </w:style>
  <w:style w:type="paragraph" w:styleId="3">
    <w:name w:val="heading 1"/>
    <w:basedOn w:val="1"/>
    <w:next w:val="1"/>
    <w:autoRedefine/>
    <w:qFormat/>
    <w:uiPriority w:val="0"/>
    <w:pPr>
      <w:keepNext/>
      <w:keepLines/>
      <w:numPr>
        <w:ilvl w:val="0"/>
        <w:numId w:val="1"/>
      </w:numPr>
      <w:jc w:val="center"/>
      <w:outlineLvl w:val="0"/>
    </w:pPr>
    <w:rPr>
      <w:rFonts w:eastAsia="黑体" w:cs="宋体"/>
      <w:color w:val="000000"/>
      <w:kern w:val="44"/>
      <w:sz w:val="30"/>
      <w:szCs w:val="30"/>
    </w:rPr>
  </w:style>
  <w:style w:type="paragraph" w:styleId="4">
    <w:name w:val="heading 2"/>
    <w:basedOn w:val="1"/>
    <w:next w:val="1"/>
    <w:unhideWhenUsed/>
    <w:qFormat/>
    <w:uiPriority w:val="0"/>
    <w:pPr>
      <w:keepNext/>
      <w:numPr>
        <w:ilvl w:val="1"/>
        <w:numId w:val="2"/>
      </w:numPr>
      <w:tabs>
        <w:tab w:val="left" w:pos="420"/>
        <w:tab w:val="clear" w:pos="0"/>
      </w:tabs>
      <w:jc w:val="center"/>
      <w:outlineLvl w:val="1"/>
    </w:pPr>
    <w:rPr>
      <w:rFonts w:ascii="Times New Roman" w:hAnsi="Times New Roman" w:eastAsia="宋体" w:cs="Times New Roman"/>
      <w:color w:val="000000"/>
      <w:sz w:val="24"/>
      <w:szCs w:val="24"/>
      <w:lang w:val="en-US" w:eastAsia="zh-CN" w:bidi="ar-SA"/>
    </w:rPr>
  </w:style>
  <w:style w:type="paragraph" w:styleId="5">
    <w:name w:val="heading 3"/>
    <w:basedOn w:val="1"/>
    <w:next w:val="1"/>
    <w:autoRedefine/>
    <w:unhideWhenUsed/>
    <w:qFormat/>
    <w:uiPriority w:val="0"/>
    <w:pPr>
      <w:keepNext/>
      <w:keepLines/>
      <w:numPr>
        <w:ilvl w:val="2"/>
        <w:numId w:val="2"/>
      </w:numPr>
      <w:tabs>
        <w:tab w:val="left" w:pos="420"/>
        <w:tab w:val="clear" w:pos="0"/>
      </w:tabs>
      <w:ind w:firstLine="1440" w:firstLineChars="200"/>
      <w:outlineLvl w:val="2"/>
    </w:pPr>
    <w:rPr>
      <w:b/>
      <w:bCs/>
      <w:color w:val="000000"/>
    </w:rPr>
  </w:style>
  <w:style w:type="paragraph" w:styleId="6">
    <w:name w:val="heading 4"/>
    <w:basedOn w:val="1"/>
    <w:next w:val="7"/>
    <w:autoRedefine/>
    <w:unhideWhenUsed/>
    <w:qFormat/>
    <w:uiPriority w:val="0"/>
    <w:pPr>
      <w:keepNext/>
      <w:keepLines/>
      <w:numPr>
        <w:ilvl w:val="3"/>
        <w:numId w:val="2"/>
      </w:numPr>
      <w:tabs>
        <w:tab w:val="left" w:pos="420"/>
        <w:tab w:val="clear" w:pos="0"/>
      </w:tabs>
      <w:ind w:left="0" w:firstLine="1440" w:firstLineChars="200"/>
      <w:outlineLvl w:val="3"/>
    </w:pPr>
    <w:rPr>
      <w:b/>
      <w:bCs/>
      <w:color w:val="000000"/>
      <w:szCs w:val="28"/>
    </w:rPr>
  </w:style>
  <w:style w:type="paragraph" w:styleId="8">
    <w:name w:val="heading 5"/>
    <w:next w:val="1"/>
    <w:autoRedefine/>
    <w:unhideWhenUsed/>
    <w:qFormat/>
    <w:uiPriority w:val="0"/>
    <w:pPr>
      <w:keepNext/>
      <w:keepLines/>
      <w:numPr>
        <w:ilvl w:val="4"/>
        <w:numId w:val="2"/>
      </w:numPr>
      <w:spacing w:line="360" w:lineRule="auto"/>
      <w:ind w:firstLine="1440" w:firstLineChars="200"/>
      <w:outlineLvl w:val="4"/>
    </w:pPr>
    <w:rPr>
      <w:rFonts w:ascii="Times New Roman" w:hAnsi="Times New Roman" w:eastAsia="宋体" w:cs="Times New Roman"/>
      <w:b/>
      <w:bCs/>
      <w:sz w:val="24"/>
      <w:szCs w:val="24"/>
      <w:lang w:val="en-US" w:eastAsia="zh-CN" w:bidi="ar-SA"/>
    </w:rPr>
  </w:style>
  <w:style w:type="paragraph" w:styleId="9">
    <w:name w:val="heading 6"/>
    <w:basedOn w:val="1"/>
    <w:next w:val="1"/>
    <w:autoRedefine/>
    <w:unhideWhenUsed/>
    <w:qFormat/>
    <w:uiPriority w:val="0"/>
    <w:pPr>
      <w:keepNext/>
      <w:keepLines/>
      <w:numPr>
        <w:ilvl w:val="5"/>
        <w:numId w:val="2"/>
      </w:numPr>
      <w:ind w:firstLine="1440" w:firstLineChars="200"/>
      <w:outlineLvl w:val="5"/>
    </w:pPr>
    <w:rPr>
      <w:szCs w:val="21"/>
    </w:rPr>
  </w:style>
  <w:style w:type="character" w:default="1" w:styleId="40">
    <w:name w:val="Default Paragraph Font"/>
    <w:autoRedefine/>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1"/>
    <w:qFormat/>
    <w:uiPriority w:val="0"/>
    <w:pPr>
      <w:wordWrap w:val="0"/>
      <w:ind w:firstLine="1440" w:firstLineChars="200"/>
    </w:pPr>
    <w:rPr>
      <w:color w:val="000000"/>
    </w:rPr>
  </w:style>
  <w:style w:type="paragraph" w:styleId="7">
    <w:name w:val="Normal Indent"/>
    <w:basedOn w:val="1"/>
    <w:autoRedefine/>
    <w:qFormat/>
    <w:uiPriority w:val="0"/>
    <w:pPr>
      <w:ind w:firstLine="200" w:firstLineChars="200"/>
    </w:pPr>
    <w:rPr>
      <w:sz w:val="21"/>
    </w:rPr>
  </w:style>
  <w:style w:type="paragraph" w:styleId="10">
    <w:name w:val="List 3"/>
    <w:basedOn w:val="1"/>
    <w:next w:val="1"/>
    <w:autoRedefine/>
    <w:qFormat/>
    <w:uiPriority w:val="0"/>
    <w:pPr>
      <w:autoSpaceDE w:val="0"/>
      <w:autoSpaceDN w:val="0"/>
      <w:adjustRightInd w:val="0"/>
      <w:spacing w:line="288" w:lineRule="auto"/>
      <w:ind w:left="1260" w:hanging="420"/>
      <w:jc w:val="left"/>
      <w:textAlignment w:val="baseline"/>
    </w:pPr>
    <w:rPr>
      <w:kern w:val="0"/>
      <w:szCs w:val="20"/>
    </w:rPr>
  </w:style>
  <w:style w:type="paragraph" w:styleId="11">
    <w:name w:val="E-mail Signature"/>
    <w:basedOn w:val="1"/>
    <w:next w:val="12"/>
    <w:autoRedefine/>
    <w:qFormat/>
    <w:uiPriority w:val="0"/>
    <w:pPr>
      <w:spacing w:line="460" w:lineRule="exact"/>
      <w:ind w:firstLine="200"/>
    </w:pPr>
  </w:style>
  <w:style w:type="paragraph" w:customStyle="1" w:styleId="12">
    <w:name w:val="文章"/>
    <w:basedOn w:val="13"/>
    <w:next w:val="14"/>
    <w:autoRedefine/>
    <w:qFormat/>
    <w:uiPriority w:val="0"/>
    <w:pPr>
      <w:widowControl/>
      <w:ind w:firstLine="480"/>
      <w:jc w:val="center"/>
    </w:pPr>
    <w:rPr>
      <w:sz w:val="26"/>
    </w:rPr>
  </w:style>
  <w:style w:type="paragraph" w:styleId="13">
    <w:name w:val="Body Text Indent"/>
    <w:basedOn w:val="1"/>
    <w:autoRedefine/>
    <w:qFormat/>
    <w:uiPriority w:val="0"/>
    <w:pPr>
      <w:adjustRightInd w:val="0"/>
      <w:spacing w:after="120"/>
      <w:ind w:left="420" w:leftChars="200"/>
      <w:textAlignment w:val="baseline"/>
    </w:pPr>
    <w:rPr>
      <w:sz w:val="21"/>
      <w:szCs w:val="21"/>
    </w:rPr>
  </w:style>
  <w:style w:type="paragraph" w:styleId="14">
    <w:name w:val="List"/>
    <w:basedOn w:val="1"/>
    <w:next w:val="1"/>
    <w:autoRedefine/>
    <w:qFormat/>
    <w:uiPriority w:val="0"/>
    <w:pPr>
      <w:ind w:left="200" w:hanging="200" w:hangingChars="200"/>
      <w:contextualSpacing/>
    </w:pPr>
  </w:style>
  <w:style w:type="paragraph" w:styleId="15">
    <w:name w:val="caption"/>
    <w:basedOn w:val="1"/>
    <w:next w:val="1"/>
    <w:link w:val="61"/>
    <w:unhideWhenUsed/>
    <w:qFormat/>
    <w:uiPriority w:val="0"/>
    <w:pPr>
      <w:jc w:val="center"/>
    </w:pPr>
    <w:rPr>
      <w:b/>
      <w:bCs/>
      <w:color w:val="000000"/>
      <w:sz w:val="21"/>
      <w:szCs w:val="21"/>
    </w:rPr>
  </w:style>
  <w:style w:type="paragraph" w:styleId="16">
    <w:name w:val="annotation text"/>
    <w:basedOn w:val="1"/>
    <w:link w:val="87"/>
    <w:semiHidden/>
    <w:qFormat/>
    <w:uiPriority w:val="0"/>
    <w:pPr>
      <w:jc w:val="left"/>
    </w:pPr>
    <w:rPr>
      <w:kern w:val="0"/>
      <w:szCs w:val="20"/>
    </w:rPr>
  </w:style>
  <w:style w:type="paragraph" w:styleId="17">
    <w:name w:val="List 2"/>
    <w:basedOn w:val="1"/>
    <w:autoRedefine/>
    <w:qFormat/>
    <w:uiPriority w:val="0"/>
    <w:rPr>
      <w:rFonts w:ascii="楷体_GB2312" w:hAnsi="宋体" w:eastAsia="楷体_GB2312"/>
      <w:color w:val="000000"/>
      <w:szCs w:val="28"/>
    </w:rPr>
  </w:style>
  <w:style w:type="paragraph" w:styleId="18">
    <w:name w:val="List Bullet 2"/>
    <w:basedOn w:val="1"/>
    <w:next w:val="19"/>
    <w:autoRedefine/>
    <w:qFormat/>
    <w:uiPriority w:val="0"/>
    <w:pPr>
      <w:numPr>
        <w:ilvl w:val="0"/>
        <w:numId w:val="3"/>
      </w:numPr>
    </w:pPr>
  </w:style>
  <w:style w:type="paragraph" w:customStyle="1" w:styleId="19">
    <w:name w:val="xl70"/>
    <w:basedOn w:val="1"/>
    <w:next w:val="20"/>
    <w:autoRedefine/>
    <w:qFormat/>
    <w:uiPriority w:val="0"/>
    <w:pPr>
      <w:widowControl/>
      <w:spacing w:before="280" w:after="280" w:line="240" w:lineRule="auto"/>
    </w:pPr>
    <w:rPr>
      <w:rFonts w:ascii="宋体"/>
    </w:rPr>
  </w:style>
  <w:style w:type="paragraph" w:customStyle="1" w:styleId="20">
    <w:name w:val="正文缩进1"/>
    <w:basedOn w:val="1"/>
    <w:next w:val="21"/>
    <w:autoRedefine/>
    <w:qFormat/>
    <w:uiPriority w:val="0"/>
    <w:pPr>
      <w:spacing w:line="312" w:lineRule="atLeast"/>
      <w:textAlignment w:val="baseline"/>
    </w:pPr>
    <w:rPr>
      <w:kern w:val="0"/>
      <w:sz w:val="28"/>
      <w:szCs w:val="20"/>
    </w:rPr>
  </w:style>
  <w:style w:type="paragraph" w:customStyle="1" w:styleId="21">
    <w:name w:val="td1"/>
    <w:basedOn w:val="1"/>
    <w:next w:val="1"/>
    <w:autoRedefine/>
    <w:qFormat/>
    <w:uiPriority w:val="0"/>
    <w:pPr>
      <w:widowControl/>
      <w:spacing w:before="280" w:after="280" w:line="300" w:lineRule="atLeast"/>
      <w:ind w:firstLine="200"/>
    </w:pPr>
    <w:rPr>
      <w:color w:val="000000"/>
      <w:sz w:val="18"/>
    </w:rPr>
  </w:style>
  <w:style w:type="paragraph" w:styleId="22">
    <w:name w:val="toc 5"/>
    <w:basedOn w:val="1"/>
    <w:next w:val="1"/>
    <w:qFormat/>
    <w:uiPriority w:val="39"/>
    <w:pPr>
      <w:ind w:left="840"/>
      <w:jc w:val="left"/>
    </w:pPr>
    <w:rPr>
      <w:sz w:val="18"/>
      <w:szCs w:val="18"/>
    </w:rPr>
  </w:style>
  <w:style w:type="paragraph" w:styleId="23">
    <w:name w:val="Plain Text"/>
    <w:basedOn w:val="1"/>
    <w:next w:val="24"/>
    <w:qFormat/>
    <w:uiPriority w:val="0"/>
    <w:rPr>
      <w:rFonts w:ascii="宋体" w:hAnsi="Courier New"/>
      <w:sz w:val="20"/>
      <w:szCs w:val="20"/>
    </w:rPr>
  </w:style>
  <w:style w:type="paragraph" w:styleId="24">
    <w:name w:val="toc 1"/>
    <w:basedOn w:val="1"/>
    <w:next w:val="1"/>
    <w:qFormat/>
    <w:uiPriority w:val="0"/>
  </w:style>
  <w:style w:type="paragraph" w:styleId="25">
    <w:name w:val="List Bullet 5"/>
    <w:basedOn w:val="1"/>
    <w:qFormat/>
    <w:uiPriority w:val="0"/>
    <w:pPr>
      <w:numPr>
        <w:ilvl w:val="0"/>
        <w:numId w:val="4"/>
      </w:numPr>
    </w:pPr>
  </w:style>
  <w:style w:type="paragraph" w:styleId="26">
    <w:name w:val="Body Text Indent 2"/>
    <w:basedOn w:val="1"/>
    <w:next w:val="1"/>
    <w:autoRedefine/>
    <w:qFormat/>
    <w:uiPriority w:val="0"/>
    <w:pPr>
      <w:spacing w:after="120" w:line="480" w:lineRule="auto"/>
      <w:ind w:left="420" w:leftChars="200"/>
    </w:pPr>
  </w:style>
  <w:style w:type="paragraph" w:styleId="27">
    <w:name w:val="Balloon Text"/>
    <w:basedOn w:val="1"/>
    <w:autoRedefine/>
    <w:semiHidden/>
    <w:qFormat/>
    <w:uiPriority w:val="0"/>
    <w:rPr>
      <w:kern w:val="0"/>
      <w:sz w:val="18"/>
      <w:szCs w:val="20"/>
    </w:rPr>
  </w:style>
  <w:style w:type="paragraph" w:styleId="28">
    <w:name w:val="footer"/>
    <w:basedOn w:val="1"/>
    <w:autoRedefine/>
    <w:qFormat/>
    <w:uiPriority w:val="0"/>
    <w:pPr>
      <w:tabs>
        <w:tab w:val="center" w:pos="4153"/>
        <w:tab w:val="right" w:pos="8306"/>
      </w:tabs>
      <w:snapToGrid w:val="0"/>
      <w:jc w:val="left"/>
    </w:pPr>
    <w:rPr>
      <w:sz w:val="18"/>
    </w:rPr>
  </w:style>
  <w:style w:type="paragraph" w:styleId="29">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30">
    <w:name w:val="Subtitle"/>
    <w:basedOn w:val="1"/>
    <w:next w:val="1"/>
    <w:qFormat/>
    <w:uiPriority w:val="0"/>
    <w:pPr>
      <w:ind w:firstLine="200" w:firstLineChars="200"/>
      <w:outlineLvl w:val="1"/>
    </w:pPr>
    <w:rPr>
      <w:bCs/>
      <w:kern w:val="28"/>
      <w:szCs w:val="32"/>
    </w:rPr>
  </w:style>
  <w:style w:type="paragraph" w:styleId="31">
    <w:name w:val="Body Text Indent 3"/>
    <w:basedOn w:val="1"/>
    <w:qFormat/>
    <w:uiPriority w:val="99"/>
    <w:pPr>
      <w:snapToGrid w:val="0"/>
      <w:spacing w:line="480" w:lineRule="exact"/>
      <w:ind w:firstLine="535" w:firstLineChars="191"/>
    </w:pPr>
    <w:rPr>
      <w:sz w:val="28"/>
    </w:rPr>
  </w:style>
  <w:style w:type="paragraph" w:styleId="32">
    <w:name w:val="table of figures"/>
    <w:basedOn w:val="1"/>
    <w:next w:val="1"/>
    <w:autoRedefine/>
    <w:qFormat/>
    <w:uiPriority w:val="0"/>
    <w:pPr>
      <w:ind w:left="200" w:leftChars="200" w:hanging="200" w:hangingChars="200"/>
    </w:pPr>
  </w:style>
  <w:style w:type="paragraph" w:styleId="33">
    <w:name w:val="toc 2"/>
    <w:basedOn w:val="1"/>
    <w:next w:val="11"/>
    <w:autoRedefine/>
    <w:qFormat/>
    <w:uiPriority w:val="0"/>
    <w:pPr>
      <w:ind w:left="420" w:leftChars="200"/>
    </w:pPr>
  </w:style>
  <w:style w:type="paragraph" w:styleId="34">
    <w:name w:val="Normal (Web)"/>
    <w:basedOn w:val="1"/>
    <w:autoRedefine/>
    <w:qFormat/>
    <w:uiPriority w:val="0"/>
    <w:pPr>
      <w:spacing w:before="100" w:beforeAutospacing="1" w:after="100" w:afterAutospacing="1"/>
      <w:jc w:val="left"/>
    </w:pPr>
    <w:rPr>
      <w:kern w:val="0"/>
    </w:rPr>
  </w:style>
  <w:style w:type="paragraph" w:styleId="35">
    <w:name w:val="annotation subject"/>
    <w:basedOn w:val="16"/>
    <w:next w:val="16"/>
    <w:link w:val="88"/>
    <w:autoRedefine/>
    <w:qFormat/>
    <w:uiPriority w:val="0"/>
    <w:rPr>
      <w:b/>
      <w:bCs/>
      <w:kern w:val="2"/>
      <w:szCs w:val="24"/>
    </w:rPr>
  </w:style>
  <w:style w:type="paragraph" w:styleId="36">
    <w:name w:val="Body Text First Indent"/>
    <w:basedOn w:val="2"/>
    <w:next w:val="1"/>
    <w:semiHidden/>
    <w:qFormat/>
    <w:uiPriority w:val="0"/>
    <w:pPr>
      <w:spacing w:after="120" w:line="240" w:lineRule="auto"/>
      <w:ind w:firstLine="420" w:firstLineChars="100"/>
    </w:pPr>
    <w:rPr>
      <w:sz w:val="21"/>
    </w:rPr>
  </w:style>
  <w:style w:type="paragraph" w:styleId="37">
    <w:name w:val="Body Text First Indent 2"/>
    <w:basedOn w:val="13"/>
    <w:qFormat/>
    <w:uiPriority w:val="0"/>
    <w:pPr>
      <w:widowControl/>
      <w:adjustRightInd/>
      <w:ind w:firstLine="420"/>
      <w:jc w:val="left"/>
      <w:textAlignment w:val="auto"/>
    </w:pPr>
    <w:rPr>
      <w:kern w:val="0"/>
      <w:sz w:val="28"/>
      <w:szCs w:val="20"/>
    </w:rPr>
  </w:style>
  <w:style w:type="table" w:styleId="39">
    <w:name w:val="Table Grid"/>
    <w:basedOn w:val="38"/>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41">
    <w:name w:val="Strong"/>
    <w:basedOn w:val="40"/>
    <w:qFormat/>
    <w:uiPriority w:val="0"/>
    <w:rPr>
      <w:b/>
    </w:rPr>
  </w:style>
  <w:style w:type="character" w:styleId="42">
    <w:name w:val="Hyperlink"/>
    <w:basedOn w:val="40"/>
    <w:qFormat/>
    <w:uiPriority w:val="0"/>
    <w:rPr>
      <w:color w:val="0000FF"/>
      <w:u w:val="single"/>
    </w:rPr>
  </w:style>
  <w:style w:type="character" w:styleId="43">
    <w:name w:val="annotation reference"/>
    <w:basedOn w:val="40"/>
    <w:autoRedefine/>
    <w:qFormat/>
    <w:uiPriority w:val="0"/>
    <w:rPr>
      <w:sz w:val="21"/>
      <w:szCs w:val="21"/>
    </w:rPr>
  </w:style>
  <w:style w:type="paragraph" w:customStyle="1" w:styleId="44">
    <w:name w:val="Default"/>
    <w:basedOn w:val="45"/>
    <w:next w:val="46"/>
    <w:autoRedefine/>
    <w:qFormat/>
    <w:uiPriority w:val="0"/>
    <w:pPr>
      <w:autoSpaceDE w:val="0"/>
      <w:autoSpaceDN w:val="0"/>
    </w:pPr>
    <w:rPr>
      <w:rFonts w:hAnsi="Times New Roman" w:cs="宋体"/>
      <w:color w:val="000000"/>
    </w:rPr>
  </w:style>
  <w:style w:type="paragraph" w:customStyle="1" w:styleId="45">
    <w:name w:val="纯文本1"/>
    <w:basedOn w:val="1"/>
    <w:next w:val="1"/>
    <w:link w:val="121"/>
    <w:qFormat/>
    <w:uiPriority w:val="0"/>
    <w:pPr>
      <w:adjustRightInd w:val="0"/>
    </w:pPr>
    <w:rPr>
      <w:rFonts w:ascii="宋体" w:hAnsi="Courier New"/>
    </w:rPr>
  </w:style>
  <w:style w:type="paragraph" w:customStyle="1" w:styleId="46">
    <w:name w:val="样式35"/>
    <w:basedOn w:val="47"/>
    <w:next w:val="52"/>
    <w:qFormat/>
    <w:uiPriority w:val="0"/>
    <w:pPr>
      <w:tabs>
        <w:tab w:val="left" w:pos="0"/>
        <w:tab w:val="left" w:pos="360"/>
        <w:tab w:val="left" w:pos="540"/>
        <w:tab w:val="left" w:pos="567"/>
        <w:tab w:val="left" w:pos="4140"/>
      </w:tabs>
      <w:spacing w:line="312" w:lineRule="auto"/>
      <w:ind w:firstLine="567"/>
    </w:pPr>
  </w:style>
  <w:style w:type="paragraph" w:customStyle="1" w:styleId="47">
    <w:name w:val="样式26"/>
    <w:basedOn w:val="48"/>
    <w:autoRedefine/>
    <w:qFormat/>
    <w:uiPriority w:val="0"/>
    <w:pPr>
      <w:tabs>
        <w:tab w:val="left" w:pos="0"/>
        <w:tab w:val="left" w:pos="360"/>
        <w:tab w:val="left" w:pos="540"/>
        <w:tab w:val="left" w:pos="567"/>
        <w:tab w:val="left" w:pos="4140"/>
      </w:tabs>
    </w:pPr>
  </w:style>
  <w:style w:type="paragraph" w:customStyle="1" w:styleId="48">
    <w:name w:val="样式21"/>
    <w:basedOn w:val="49"/>
    <w:autoRedefine/>
    <w:qFormat/>
    <w:uiPriority w:val="0"/>
    <w:pPr>
      <w:tabs>
        <w:tab w:val="left" w:pos="0"/>
        <w:tab w:val="left" w:pos="360"/>
        <w:tab w:val="left" w:pos="567"/>
        <w:tab w:val="left" w:pos="4140"/>
      </w:tabs>
      <w:spacing w:beforeLines="0" w:afterLines="0"/>
      <w:ind w:hanging="992"/>
    </w:pPr>
  </w:style>
  <w:style w:type="paragraph" w:customStyle="1" w:styleId="49">
    <w:name w:val="样式5"/>
    <w:basedOn w:val="50"/>
    <w:qFormat/>
    <w:uiPriority w:val="0"/>
    <w:pPr>
      <w:tabs>
        <w:tab w:val="left" w:pos="0"/>
        <w:tab w:val="left" w:pos="360"/>
        <w:tab w:val="left" w:pos="4140"/>
      </w:tabs>
      <w:ind w:right="-105" w:rightChars="-50"/>
      <w:jc w:val="center"/>
    </w:pPr>
    <w:rPr>
      <w:rFonts w:ascii="宋体"/>
      <w:sz w:val="21"/>
    </w:rPr>
  </w:style>
  <w:style w:type="paragraph" w:customStyle="1" w:styleId="50">
    <w:name w:val="样式12"/>
    <w:basedOn w:val="51"/>
    <w:autoRedefine/>
    <w:qFormat/>
    <w:uiPriority w:val="0"/>
    <w:pPr>
      <w:keepNext/>
      <w:keepLines/>
      <w:tabs>
        <w:tab w:val="left" w:pos="0"/>
        <w:tab w:val="left" w:pos="360"/>
        <w:tab w:val="left" w:pos="4140"/>
      </w:tabs>
      <w:spacing w:beforeLines="50" w:afterLines="50"/>
      <w:ind w:left="567" w:hanging="567"/>
      <w:outlineLvl w:val="1"/>
    </w:pPr>
    <w:rPr>
      <w:rFonts w:eastAsia="MS Mincho"/>
      <w:kern w:val="0"/>
      <w:sz w:val="28"/>
      <w:szCs w:val="28"/>
    </w:rPr>
  </w:style>
  <w:style w:type="paragraph" w:customStyle="1" w:styleId="51">
    <w:name w:val="样式 标题 3标题 3 Char标题3H3h33rd level第二层条三级标题ReHead 3 WSA头..."/>
    <w:basedOn w:val="5"/>
    <w:qFormat/>
    <w:uiPriority w:val="0"/>
    <w:pPr>
      <w:tabs>
        <w:tab w:val="left" w:pos="0"/>
        <w:tab w:val="left" w:pos="4140"/>
        <w:tab w:val="clear" w:pos="420"/>
      </w:tabs>
      <w:ind w:left="4140" w:hanging="720"/>
    </w:pPr>
    <w:rPr>
      <w:rFonts w:eastAsia="黑体"/>
      <w:color w:val="FF0000"/>
    </w:rPr>
  </w:style>
  <w:style w:type="paragraph" w:customStyle="1" w:styleId="52">
    <w:name w:val="font6"/>
    <w:basedOn w:val="1"/>
    <w:next w:val="33"/>
    <w:autoRedefine/>
    <w:qFormat/>
    <w:uiPriority w:val="0"/>
    <w:pPr>
      <w:widowControl/>
      <w:spacing w:before="280" w:after="280"/>
    </w:pPr>
    <w:rPr>
      <w:sz w:val="21"/>
    </w:rPr>
  </w:style>
  <w:style w:type="paragraph" w:customStyle="1" w:styleId="53">
    <w:name w:val="正文文字 6"/>
    <w:basedOn w:val="54"/>
    <w:next w:val="1"/>
    <w:qFormat/>
    <w:uiPriority w:val="0"/>
    <w:pPr>
      <w:widowControl w:val="0"/>
      <w:ind w:left="240"/>
      <w:jc w:val="both"/>
    </w:pPr>
    <w:rPr>
      <w:rFonts w:ascii="宋体"/>
      <w:b/>
      <w:bCs/>
      <w:sz w:val="32"/>
      <w:szCs w:val="32"/>
    </w:rPr>
  </w:style>
  <w:style w:type="paragraph" w:customStyle="1" w:styleId="54">
    <w:name w:val="图位置"/>
    <w:next w:val="55"/>
    <w:qFormat/>
    <w:uiPriority w:val="0"/>
    <w:pPr>
      <w:jc w:val="center"/>
    </w:pPr>
    <w:rPr>
      <w:rFonts w:ascii="Times New Roman" w:hAnsi="Times New Roman" w:eastAsia="宋体" w:cs="Times New Roman"/>
      <w:kern w:val="2"/>
      <w:sz w:val="24"/>
      <w:szCs w:val="21"/>
      <w:lang w:val="en-US" w:eastAsia="zh-CN" w:bidi="ar-SA"/>
    </w:rPr>
  </w:style>
  <w:style w:type="paragraph" w:customStyle="1" w:styleId="55">
    <w:name w:val="图题"/>
    <w:basedOn w:val="1"/>
    <w:next w:val="1"/>
    <w:qFormat/>
    <w:uiPriority w:val="0"/>
    <w:pPr>
      <w:jc w:val="center"/>
    </w:pPr>
    <w:rPr>
      <w:rFonts w:ascii="宋体" w:hAnsi="宋体" w:eastAsia="黑体"/>
      <w:b/>
    </w:rPr>
  </w:style>
  <w:style w:type="paragraph" w:customStyle="1" w:styleId="56">
    <w:name w:val="xl27"/>
    <w:basedOn w:val="1"/>
    <w:next w:val="1"/>
    <w:qFormat/>
    <w:uiPriority w:val="0"/>
    <w:pPr>
      <w:widowControl/>
      <w:spacing w:before="100" w:beforeAutospacing="1" w:after="100" w:afterAutospacing="1" w:line="360" w:lineRule="exact"/>
      <w:jc w:val="center"/>
      <w:textAlignment w:val="center"/>
    </w:pPr>
    <w:rPr>
      <w:rFonts w:hint="eastAsia" w:ascii="黑体" w:eastAsia="黑体"/>
      <w:kern w:val="0"/>
      <w:sz w:val="32"/>
      <w:szCs w:val="32"/>
    </w:rPr>
  </w:style>
  <w:style w:type="paragraph" w:customStyle="1" w:styleId="57">
    <w:name w:val="6-正文"/>
    <w:basedOn w:val="1"/>
    <w:link w:val="91"/>
    <w:qFormat/>
    <w:uiPriority w:val="0"/>
    <w:rPr>
      <w:szCs w:val="28"/>
    </w:rPr>
  </w:style>
  <w:style w:type="paragraph" w:customStyle="1" w:styleId="58">
    <w:name w:val="表 内容"/>
    <w:basedOn w:val="1"/>
    <w:autoRedefine/>
    <w:qFormat/>
    <w:uiPriority w:val="0"/>
    <w:pPr>
      <w:adjustRightInd w:val="0"/>
      <w:snapToGrid w:val="0"/>
      <w:spacing w:beforeLines="15"/>
      <w:jc w:val="center"/>
    </w:pPr>
    <w:rPr>
      <w:kern w:val="0"/>
      <w:sz w:val="20"/>
      <w:szCs w:val="21"/>
    </w:rPr>
  </w:style>
  <w:style w:type="paragraph" w:customStyle="1" w:styleId="59">
    <w:name w:val="flName"/>
    <w:basedOn w:val="1"/>
    <w:autoRedefine/>
    <w:qFormat/>
    <w:uiPriority w:val="0"/>
    <w:pPr>
      <w:autoSpaceDE w:val="0"/>
      <w:autoSpaceDN w:val="0"/>
      <w:spacing w:before="320" w:after="160"/>
      <w:jc w:val="center"/>
    </w:pPr>
    <w:rPr>
      <w:rFonts w:ascii="Arial" w:hAnsi="Arial" w:eastAsia="黑体" w:cs="宋体"/>
      <w:sz w:val="32"/>
      <w:szCs w:val="22"/>
      <w:lang w:val="zh-CN" w:bidi="zh-CN"/>
    </w:rPr>
  </w:style>
  <w:style w:type="paragraph" w:customStyle="1" w:styleId="60">
    <w:name w:val="表格文字"/>
    <w:qFormat/>
    <w:uiPriority w:val="0"/>
    <w:pPr>
      <w:tabs>
        <w:tab w:val="left" w:pos="-2848"/>
      </w:tabs>
      <w:wordWrap w:val="0"/>
      <w:autoSpaceDE w:val="0"/>
      <w:autoSpaceDN w:val="0"/>
      <w:jc w:val="center"/>
      <w:textAlignment w:val="center"/>
    </w:pPr>
    <w:rPr>
      <w:rFonts w:ascii="Times New Roman" w:hAnsi="Times New Roman" w:eastAsia="宋体" w:cs="Times New Roman"/>
      <w:position w:val="-10"/>
      <w:sz w:val="21"/>
      <w:szCs w:val="21"/>
      <w:lang w:val="en-US" w:eastAsia="zh-CN" w:bidi="ar-SA"/>
    </w:rPr>
  </w:style>
  <w:style w:type="character" w:customStyle="1" w:styleId="61">
    <w:name w:val="题注 字符"/>
    <w:link w:val="15"/>
    <w:autoRedefine/>
    <w:qFormat/>
    <w:uiPriority w:val="0"/>
    <w:rPr>
      <w:rFonts w:ascii="Times New Roman" w:hAnsi="Times New Roman"/>
      <w:b/>
      <w:bCs/>
      <w:color w:val="000000"/>
      <w:sz w:val="21"/>
      <w:szCs w:val="21"/>
    </w:rPr>
  </w:style>
  <w:style w:type="paragraph" w:customStyle="1" w:styleId="62">
    <w:name w:val="括号标题"/>
    <w:basedOn w:val="45"/>
    <w:next w:val="53"/>
    <w:autoRedefine/>
    <w:qFormat/>
    <w:uiPriority w:val="0"/>
    <w:pPr>
      <w:autoSpaceDE w:val="0"/>
      <w:autoSpaceDN w:val="0"/>
    </w:pPr>
    <w:rPr>
      <w:rFonts w:hAnsi="宋体"/>
      <w:color w:val="000000"/>
    </w:rPr>
  </w:style>
  <w:style w:type="paragraph" w:customStyle="1" w:styleId="63">
    <w:name w:val="J-表格内容（5号+居中）"/>
    <w:basedOn w:val="1"/>
    <w:qFormat/>
    <w:uiPriority w:val="0"/>
    <w:pPr>
      <w:spacing w:line="240" w:lineRule="auto"/>
      <w:jc w:val="center"/>
    </w:pPr>
    <w:rPr>
      <w:sz w:val="21"/>
      <w:szCs w:val="21"/>
    </w:rPr>
  </w:style>
  <w:style w:type="paragraph" w:customStyle="1" w:styleId="64">
    <w:name w:val="表内字"/>
    <w:basedOn w:val="65"/>
    <w:autoRedefine/>
    <w:qFormat/>
    <w:uiPriority w:val="0"/>
    <w:pPr>
      <w:autoSpaceDE w:val="0"/>
      <w:autoSpaceDN w:val="0"/>
      <w:spacing w:line="320" w:lineRule="exact"/>
    </w:pPr>
    <w:rPr>
      <w:rFonts w:hAnsi="宋体"/>
      <w:kern w:val="2"/>
      <w:sz w:val="21"/>
      <w:szCs w:val="21"/>
    </w:rPr>
  </w:style>
  <w:style w:type="paragraph" w:customStyle="1" w:styleId="65">
    <w:name w:val="表格"/>
    <w:basedOn w:val="7"/>
    <w:autoRedefine/>
    <w:qFormat/>
    <w:uiPriority w:val="0"/>
    <w:pPr>
      <w:adjustRightInd w:val="0"/>
      <w:snapToGrid w:val="0"/>
      <w:spacing w:before="31" w:beforeLines="10" w:after="31" w:afterLines="10" w:line="259" w:lineRule="auto"/>
      <w:jc w:val="center"/>
    </w:pPr>
    <w:rPr>
      <w:rFonts w:ascii="宋体"/>
      <w:kern w:val="0"/>
      <w:szCs w:val="20"/>
    </w:rPr>
  </w:style>
  <w:style w:type="paragraph" w:customStyle="1" w:styleId="66">
    <w:name w:val="表内字1"/>
    <w:basedOn w:val="1"/>
    <w:autoRedefine/>
    <w:qFormat/>
    <w:uiPriority w:val="0"/>
    <w:pPr>
      <w:adjustRightInd w:val="0"/>
      <w:snapToGrid w:val="0"/>
      <w:spacing w:line="300" w:lineRule="exact"/>
      <w:jc w:val="center"/>
    </w:pPr>
    <w:rPr>
      <w:rFonts w:ascii="Calibri" w:hAnsi="Calibri"/>
      <w:color w:val="000000"/>
      <w:sz w:val="22"/>
      <w:szCs w:val="21"/>
    </w:rPr>
  </w:style>
  <w:style w:type="paragraph" w:customStyle="1" w:styleId="67">
    <w:name w:val="表格内容居中"/>
    <w:autoRedefine/>
    <w:qFormat/>
    <w:uiPriority w:val="0"/>
    <w:pPr>
      <w:adjustRightInd w:val="0"/>
      <w:snapToGrid w:val="0"/>
      <w:jc w:val="center"/>
    </w:pPr>
    <w:rPr>
      <w:rFonts w:ascii="Times New Roman" w:hAnsi="Times New Roman" w:eastAsia="宋体" w:cs="Times New Roman"/>
      <w:snapToGrid w:val="0"/>
      <w:sz w:val="21"/>
      <w:szCs w:val="21"/>
      <w:lang w:val="en-US" w:eastAsia="zh-CN" w:bidi="ar-SA"/>
    </w:rPr>
  </w:style>
  <w:style w:type="paragraph" w:customStyle="1" w:styleId="68">
    <w:name w:val="无间隔1"/>
    <w:autoRedefine/>
    <w:qFormat/>
    <w:uiPriority w:val="99"/>
    <w:pPr>
      <w:widowControl w:val="0"/>
      <w:jc w:val="both"/>
    </w:pPr>
    <w:rPr>
      <w:rFonts w:ascii="Times New Roman" w:hAnsi="Times New Roman" w:eastAsia="宋体" w:cs="Times New Roman"/>
      <w:kern w:val="2"/>
      <w:sz w:val="24"/>
      <w:szCs w:val="24"/>
      <w:lang w:val="en-US" w:eastAsia="zh-CN" w:bidi="ar-SA"/>
    </w:rPr>
  </w:style>
  <w:style w:type="character" w:customStyle="1" w:styleId="69">
    <w:name w:val="font61"/>
    <w:basedOn w:val="40"/>
    <w:autoRedefine/>
    <w:qFormat/>
    <w:uiPriority w:val="0"/>
    <w:rPr>
      <w:rFonts w:hint="default" w:ascii="Times New Roman" w:hAnsi="Times New Roman" w:cs="Times New Roman"/>
      <w:b/>
      <w:color w:val="000000"/>
      <w:sz w:val="18"/>
      <w:szCs w:val="18"/>
      <w:u w:val="none"/>
    </w:rPr>
  </w:style>
  <w:style w:type="character" w:customStyle="1" w:styleId="70">
    <w:name w:val="font81"/>
    <w:basedOn w:val="40"/>
    <w:autoRedefine/>
    <w:qFormat/>
    <w:uiPriority w:val="0"/>
    <w:rPr>
      <w:rFonts w:hint="default" w:ascii="Times New Roman" w:hAnsi="Times New Roman" w:cs="Times New Roman"/>
      <w:b/>
      <w:color w:val="000000"/>
      <w:sz w:val="18"/>
      <w:szCs w:val="18"/>
      <w:u w:val="none"/>
    </w:rPr>
  </w:style>
  <w:style w:type="character" w:customStyle="1" w:styleId="71">
    <w:name w:val="font51"/>
    <w:basedOn w:val="40"/>
    <w:autoRedefine/>
    <w:qFormat/>
    <w:uiPriority w:val="0"/>
    <w:rPr>
      <w:rFonts w:hint="eastAsia" w:ascii="宋体" w:hAnsi="宋体" w:eastAsia="宋体" w:cs="宋体"/>
      <w:b/>
      <w:color w:val="000000"/>
      <w:sz w:val="18"/>
      <w:szCs w:val="18"/>
      <w:u w:val="none"/>
    </w:rPr>
  </w:style>
  <w:style w:type="character" w:customStyle="1" w:styleId="72">
    <w:name w:val="font91"/>
    <w:basedOn w:val="40"/>
    <w:autoRedefine/>
    <w:qFormat/>
    <w:uiPriority w:val="0"/>
    <w:rPr>
      <w:rFonts w:ascii="Calibri" w:hAnsi="Calibri" w:cs="Calibri"/>
      <w:color w:val="auto"/>
      <w:sz w:val="21"/>
      <w:szCs w:val="21"/>
      <w:u w:val="none"/>
    </w:rPr>
  </w:style>
  <w:style w:type="character" w:customStyle="1" w:styleId="73">
    <w:name w:val="font111"/>
    <w:basedOn w:val="40"/>
    <w:autoRedefine/>
    <w:qFormat/>
    <w:uiPriority w:val="0"/>
    <w:rPr>
      <w:rFonts w:hint="default" w:ascii="Times New Roman" w:hAnsi="Times New Roman" w:cs="Times New Roman"/>
      <w:b/>
      <w:color w:val="000000"/>
      <w:sz w:val="18"/>
      <w:szCs w:val="18"/>
      <w:u w:val="none"/>
    </w:rPr>
  </w:style>
  <w:style w:type="character" w:customStyle="1" w:styleId="74">
    <w:name w:val="font101"/>
    <w:basedOn w:val="40"/>
    <w:autoRedefine/>
    <w:qFormat/>
    <w:uiPriority w:val="0"/>
    <w:rPr>
      <w:rFonts w:hint="eastAsia" w:ascii="宋体" w:hAnsi="宋体" w:eastAsia="宋体" w:cs="宋体"/>
      <w:b/>
      <w:color w:val="000000"/>
      <w:sz w:val="18"/>
      <w:szCs w:val="18"/>
      <w:u w:val="none"/>
    </w:rPr>
  </w:style>
  <w:style w:type="paragraph" w:customStyle="1" w:styleId="75">
    <w:name w:val="附图附件"/>
    <w:basedOn w:val="1"/>
    <w:autoRedefine/>
    <w:qFormat/>
    <w:uiPriority w:val="0"/>
    <w:pPr>
      <w:spacing w:line="240" w:lineRule="auto"/>
      <w:jc w:val="center"/>
      <w:outlineLvl w:val="0"/>
    </w:pPr>
  </w:style>
  <w:style w:type="paragraph" w:customStyle="1" w:styleId="76">
    <w:name w:val="J-表格标题+图片标题（5号+居中）"/>
    <w:basedOn w:val="1"/>
    <w:autoRedefine/>
    <w:qFormat/>
    <w:uiPriority w:val="0"/>
    <w:pPr>
      <w:spacing w:line="240" w:lineRule="auto"/>
      <w:jc w:val="center"/>
    </w:pPr>
    <w:rPr>
      <w:b/>
      <w:sz w:val="21"/>
      <w:szCs w:val="21"/>
    </w:rPr>
  </w:style>
  <w:style w:type="paragraph" w:customStyle="1" w:styleId="77">
    <w:name w:val="报告表小标题"/>
    <w:basedOn w:val="1"/>
    <w:autoRedefine/>
    <w:qFormat/>
    <w:uiPriority w:val="0"/>
    <w:pPr>
      <w:spacing w:before="100" w:beforeAutospacing="1"/>
    </w:pPr>
    <w:rPr>
      <w:b/>
    </w:rPr>
  </w:style>
  <w:style w:type="character" w:customStyle="1" w:styleId="78">
    <w:name w:val="font21"/>
    <w:basedOn w:val="40"/>
    <w:autoRedefine/>
    <w:qFormat/>
    <w:uiPriority w:val="0"/>
    <w:rPr>
      <w:rFonts w:hint="eastAsia" w:ascii="宋体" w:hAnsi="宋体" w:eastAsia="宋体" w:cs="宋体"/>
      <w:b/>
      <w:bCs/>
      <w:color w:val="000000"/>
      <w:sz w:val="21"/>
      <w:szCs w:val="21"/>
      <w:u w:val="none"/>
    </w:rPr>
  </w:style>
  <w:style w:type="character" w:customStyle="1" w:styleId="79">
    <w:name w:val="font11"/>
    <w:basedOn w:val="40"/>
    <w:autoRedefine/>
    <w:qFormat/>
    <w:uiPriority w:val="0"/>
    <w:rPr>
      <w:rFonts w:hint="eastAsia" w:ascii="宋体" w:hAnsi="宋体" w:eastAsia="宋体" w:cs="宋体"/>
      <w:color w:val="000000"/>
      <w:sz w:val="21"/>
      <w:szCs w:val="21"/>
      <w:u w:val="none"/>
    </w:rPr>
  </w:style>
  <w:style w:type="character" w:customStyle="1" w:styleId="80">
    <w:name w:val="font41"/>
    <w:basedOn w:val="40"/>
    <w:autoRedefine/>
    <w:qFormat/>
    <w:uiPriority w:val="0"/>
    <w:rPr>
      <w:rFonts w:hint="eastAsia" w:ascii="宋体" w:hAnsi="宋体" w:eastAsia="宋体" w:cs="宋体"/>
      <w:color w:val="000000"/>
      <w:sz w:val="21"/>
      <w:szCs w:val="21"/>
      <w:u w:val="none"/>
    </w:rPr>
  </w:style>
  <w:style w:type="paragraph" w:customStyle="1" w:styleId="81">
    <w:name w:val="样式 方正仿宋_GBK 三号 行距: 固定值 28 磅"/>
    <w:basedOn w:val="1"/>
    <w:autoRedefine/>
    <w:qFormat/>
    <w:uiPriority w:val="0"/>
    <w:pPr>
      <w:ind w:firstLine="200" w:firstLineChars="200"/>
      <w:jc w:val="left"/>
    </w:pPr>
    <w:rPr>
      <w:rFonts w:ascii="方正仿宋_GBK" w:hAnsi="方正仿宋_GBK" w:cs="宋体"/>
      <w:sz w:val="28"/>
      <w:szCs w:val="20"/>
    </w:rPr>
  </w:style>
  <w:style w:type="paragraph" w:styleId="82">
    <w:name w:val="List Paragraph"/>
    <w:basedOn w:val="1"/>
    <w:autoRedefine/>
    <w:qFormat/>
    <w:uiPriority w:val="99"/>
    <w:pPr>
      <w:ind w:firstLine="420" w:firstLineChars="200"/>
    </w:pPr>
  </w:style>
  <w:style w:type="character" w:customStyle="1" w:styleId="83">
    <w:name w:val="fontstyle01"/>
    <w:autoRedefine/>
    <w:qFormat/>
    <w:uiPriority w:val="0"/>
    <w:rPr>
      <w:rFonts w:hint="eastAsia" w:ascii="宋体" w:hAnsi="宋体" w:eastAsia="宋体"/>
      <w:color w:val="000000"/>
      <w:sz w:val="24"/>
      <w:szCs w:val="24"/>
    </w:rPr>
  </w:style>
  <w:style w:type="paragraph" w:customStyle="1" w:styleId="84">
    <w:name w:val="HJ-正文"/>
    <w:basedOn w:val="1"/>
    <w:autoRedefine/>
    <w:qFormat/>
    <w:uiPriority w:val="0"/>
    <w:pPr>
      <w:ind w:firstLine="480" w:firstLineChars="200"/>
    </w:pPr>
  </w:style>
  <w:style w:type="paragraph" w:customStyle="1" w:styleId="85">
    <w:name w:val="WPSOffice手动目录 1"/>
    <w:autoRedefine/>
    <w:qFormat/>
    <w:uiPriority w:val="0"/>
    <w:rPr>
      <w:rFonts w:ascii="Times New Roman" w:hAnsi="Times New Roman" w:eastAsia="宋体" w:cs="Times New Roman"/>
      <w:lang w:val="en-US" w:eastAsia="zh-CN" w:bidi="ar-SA"/>
    </w:rPr>
  </w:style>
  <w:style w:type="paragraph" w:customStyle="1" w:styleId="86">
    <w:name w:val="WPSOffice手动目录 2"/>
    <w:autoRedefine/>
    <w:qFormat/>
    <w:uiPriority w:val="0"/>
    <w:pPr>
      <w:ind w:left="200" w:leftChars="200"/>
    </w:pPr>
    <w:rPr>
      <w:rFonts w:ascii="Times New Roman" w:hAnsi="Times New Roman" w:eastAsia="宋体" w:cs="Times New Roman"/>
      <w:lang w:val="en-US" w:eastAsia="zh-CN" w:bidi="ar-SA"/>
    </w:rPr>
  </w:style>
  <w:style w:type="character" w:customStyle="1" w:styleId="87">
    <w:name w:val="批注文字 字符"/>
    <w:basedOn w:val="40"/>
    <w:link w:val="16"/>
    <w:autoRedefine/>
    <w:semiHidden/>
    <w:qFormat/>
    <w:uiPriority w:val="0"/>
    <w:rPr>
      <w:sz w:val="24"/>
    </w:rPr>
  </w:style>
  <w:style w:type="character" w:customStyle="1" w:styleId="88">
    <w:name w:val="批注主题 字符"/>
    <w:basedOn w:val="87"/>
    <w:link w:val="35"/>
    <w:autoRedefine/>
    <w:qFormat/>
    <w:uiPriority w:val="0"/>
    <w:rPr>
      <w:b/>
      <w:bCs/>
      <w:kern w:val="2"/>
      <w:sz w:val="24"/>
      <w:szCs w:val="24"/>
    </w:rPr>
  </w:style>
  <w:style w:type="character" w:customStyle="1" w:styleId="89">
    <w:name w:val="NormalCharacter"/>
    <w:autoRedefine/>
    <w:qFormat/>
    <w:uiPriority w:val="0"/>
    <w:rPr>
      <w:rFonts w:ascii="Times New Roman" w:hAnsi="Times New Roman" w:eastAsia="宋体" w:cs="Times New Roman"/>
      <w:kern w:val="2"/>
      <w:sz w:val="24"/>
      <w:szCs w:val="24"/>
      <w:lang w:val="en-US" w:eastAsia="zh-CN" w:bidi="ar-SA"/>
    </w:rPr>
  </w:style>
  <w:style w:type="character" w:customStyle="1" w:styleId="90">
    <w:name w:val="font31"/>
    <w:basedOn w:val="40"/>
    <w:autoRedefine/>
    <w:qFormat/>
    <w:uiPriority w:val="0"/>
    <w:rPr>
      <w:rFonts w:hint="default" w:ascii="Times New Roman" w:hAnsi="Times New Roman" w:cs="Times New Roman"/>
      <w:color w:val="000000"/>
      <w:sz w:val="21"/>
      <w:szCs w:val="21"/>
      <w:u w:val="none"/>
    </w:rPr>
  </w:style>
  <w:style w:type="character" w:customStyle="1" w:styleId="91">
    <w:name w:val="6-正文 Char"/>
    <w:link w:val="57"/>
    <w:autoRedefine/>
    <w:qFormat/>
    <w:uiPriority w:val="0"/>
    <w:rPr>
      <w:szCs w:val="28"/>
    </w:rPr>
  </w:style>
  <w:style w:type="table" w:customStyle="1" w:styleId="92">
    <w:name w:val="报告书标准表格"/>
    <w:basedOn w:val="38"/>
    <w:autoRedefine/>
    <w:qFormat/>
    <w:uiPriority w:val="0"/>
    <w:pPr>
      <w:jc w:val="center"/>
    </w:pPr>
    <w:rPr>
      <w:rFonts w:eastAsia="Times New Roman"/>
      <w:sz w:val="21"/>
    </w:rPr>
    <w:tblPr>
      <w:tblBorders>
        <w:top w:val="single" w:color="auto" w:sz="12" w:space="0"/>
        <w:bottom w:val="single" w:color="auto" w:sz="12" w:space="0"/>
        <w:insideH w:val="single" w:color="auto" w:sz="4" w:space="0"/>
        <w:insideV w:val="single" w:color="auto" w:sz="4" w:space="0"/>
      </w:tblBorders>
    </w:tblPr>
    <w:tcPr>
      <w:vAlign w:val="center"/>
    </w:tcPr>
  </w:style>
  <w:style w:type="paragraph" w:customStyle="1" w:styleId="93">
    <w:name w:val="报告正文"/>
    <w:basedOn w:val="1"/>
    <w:autoRedefine/>
    <w:qFormat/>
    <w:uiPriority w:val="0"/>
    <w:pPr>
      <w:ind w:firstLine="480" w:firstLineChars="200"/>
    </w:pPr>
  </w:style>
  <w:style w:type="paragraph" w:customStyle="1" w:styleId="94">
    <w:name w:val="表格内容"/>
    <w:basedOn w:val="67"/>
    <w:next w:val="1"/>
    <w:autoRedefine/>
    <w:qFormat/>
    <w:uiPriority w:val="0"/>
    <w:rPr>
      <w:sz w:val="21"/>
      <w:szCs w:val="21"/>
    </w:rPr>
  </w:style>
  <w:style w:type="paragraph" w:customStyle="1" w:styleId="95">
    <w:name w:val="表格标题"/>
    <w:basedOn w:val="23"/>
    <w:autoRedefine/>
    <w:qFormat/>
    <w:uiPriority w:val="0"/>
    <w:pPr>
      <w:jc w:val="center"/>
    </w:pPr>
    <w:rPr>
      <w:rFonts w:ascii="Times New Roman" w:hAnsi="Times New Roman"/>
      <w:b/>
    </w:rPr>
  </w:style>
  <w:style w:type="character" w:customStyle="1" w:styleId="96">
    <w:name w:val="16"/>
    <w:basedOn w:val="40"/>
    <w:autoRedefine/>
    <w:qFormat/>
    <w:uiPriority w:val="0"/>
    <w:rPr>
      <w:rFonts w:hint="default" w:ascii="Times New Roman" w:hAnsi="Times New Roman" w:cs="Times New Roman"/>
      <w:color w:val="000000"/>
      <w:sz w:val="21"/>
      <w:szCs w:val="21"/>
    </w:rPr>
  </w:style>
  <w:style w:type="character" w:customStyle="1" w:styleId="97">
    <w:name w:val="17"/>
    <w:basedOn w:val="40"/>
    <w:autoRedefine/>
    <w:qFormat/>
    <w:uiPriority w:val="0"/>
    <w:rPr>
      <w:rFonts w:hint="default" w:ascii="Times New Roman" w:hAnsi="Times New Roman" w:cs="Times New Roman"/>
      <w:color w:val="000000"/>
      <w:sz w:val="21"/>
      <w:szCs w:val="21"/>
      <w:vertAlign w:val="superscript"/>
    </w:rPr>
  </w:style>
  <w:style w:type="character" w:customStyle="1" w:styleId="98">
    <w:name w:val="15"/>
    <w:basedOn w:val="40"/>
    <w:autoRedefine/>
    <w:qFormat/>
    <w:uiPriority w:val="0"/>
    <w:rPr>
      <w:rFonts w:hint="eastAsia" w:ascii="宋体" w:hAnsi="宋体" w:eastAsia="宋体"/>
      <w:color w:val="000000"/>
      <w:sz w:val="21"/>
      <w:szCs w:val="21"/>
    </w:rPr>
  </w:style>
  <w:style w:type="paragraph" w:customStyle="1" w:styleId="99">
    <w:name w:val="List Paragraph1"/>
    <w:basedOn w:val="1"/>
    <w:autoRedefine/>
    <w:qFormat/>
    <w:uiPriority w:val="34"/>
    <w:pPr>
      <w:widowControl w:val="0"/>
      <w:ind w:firstLine="420" w:firstLineChars="200"/>
      <w:jc w:val="both"/>
    </w:pPr>
    <w:rPr>
      <w:rFonts w:ascii="Calibri" w:hAnsi="Calibri" w:eastAsia="宋体" w:cs="Times New Roman"/>
      <w:kern w:val="2"/>
      <w:sz w:val="21"/>
      <w:szCs w:val="22"/>
    </w:rPr>
  </w:style>
  <w:style w:type="paragraph" w:customStyle="1" w:styleId="100">
    <w:name w:val="图表标题"/>
    <w:basedOn w:val="1"/>
    <w:next w:val="1"/>
    <w:autoRedefine/>
    <w:qFormat/>
    <w:uiPriority w:val="0"/>
    <w:pPr>
      <w:jc w:val="center"/>
    </w:pPr>
    <w:rPr>
      <w:b/>
      <w:sz w:val="21"/>
    </w:rPr>
  </w:style>
  <w:style w:type="paragraph" w:customStyle="1" w:styleId="101">
    <w:name w:val="表头"/>
    <w:basedOn w:val="102"/>
    <w:next w:val="1"/>
    <w:autoRedefine/>
    <w:qFormat/>
    <w:uiPriority w:val="99"/>
    <w:pPr>
      <w:adjustRightInd w:val="0"/>
      <w:spacing w:beforeLines="50"/>
      <w:ind w:firstLine="200"/>
    </w:pPr>
    <w:rPr>
      <w:szCs w:val="28"/>
    </w:rPr>
  </w:style>
  <w:style w:type="paragraph" w:customStyle="1" w:styleId="102">
    <w:name w:val="表标题"/>
    <w:basedOn w:val="2"/>
    <w:next w:val="2"/>
    <w:autoRedefine/>
    <w:qFormat/>
    <w:uiPriority w:val="0"/>
    <w:pPr>
      <w:spacing w:line="500" w:lineRule="exact"/>
      <w:ind w:firstLine="482" w:firstLineChars="200"/>
      <w:jc w:val="center"/>
    </w:pPr>
    <w:rPr>
      <w:rFonts w:ascii="仿宋_GB2312" w:eastAsia="仿宋_GB2312"/>
      <w:b/>
      <w:sz w:val="24"/>
    </w:rPr>
  </w:style>
  <w:style w:type="paragraph" w:customStyle="1" w:styleId="103">
    <w:name w:val="列表段落1"/>
    <w:basedOn w:val="1"/>
    <w:autoRedefine/>
    <w:qFormat/>
    <w:uiPriority w:val="99"/>
    <w:pPr>
      <w:spacing w:line="360" w:lineRule="auto"/>
      <w:ind w:firstLine="420" w:firstLineChars="200"/>
    </w:pPr>
    <w:rPr>
      <w:sz w:val="24"/>
      <w:szCs w:val="22"/>
    </w:rPr>
  </w:style>
  <w:style w:type="paragraph" w:customStyle="1" w:styleId="104">
    <w:name w:val="表格内容1"/>
    <w:basedOn w:val="1"/>
    <w:autoRedefine/>
    <w:qFormat/>
    <w:uiPriority w:val="0"/>
    <w:pPr>
      <w:adjustRightInd w:val="0"/>
      <w:snapToGrid w:val="0"/>
      <w:spacing w:before="15" w:beforeLines="15" w:after="15" w:afterLines="15" w:line="300" w:lineRule="exact"/>
      <w:jc w:val="center"/>
    </w:pPr>
    <w:rPr>
      <w:kern w:val="0"/>
    </w:rPr>
  </w:style>
  <w:style w:type="paragraph" w:customStyle="1" w:styleId="105">
    <w:name w:val="（一）"/>
    <w:basedOn w:val="1"/>
    <w:autoRedefine/>
    <w:qFormat/>
    <w:uiPriority w:val="0"/>
    <w:pPr>
      <w:numPr>
        <w:ilvl w:val="0"/>
        <w:numId w:val="5"/>
      </w:numPr>
      <w:spacing w:line="400" w:lineRule="exact"/>
    </w:pPr>
    <w:rPr>
      <w:b/>
      <w:sz w:val="24"/>
    </w:rPr>
  </w:style>
  <w:style w:type="paragraph" w:customStyle="1" w:styleId="106">
    <w:name w:val="正文1"/>
    <w:basedOn w:val="1"/>
    <w:autoRedefine/>
    <w:qFormat/>
    <w:uiPriority w:val="0"/>
    <w:rPr>
      <w:sz w:val="24"/>
    </w:rPr>
  </w:style>
  <w:style w:type="paragraph" w:customStyle="1" w:styleId="107">
    <w:name w:val="表格 32"/>
    <w:basedOn w:val="1"/>
    <w:autoRedefine/>
    <w:qFormat/>
    <w:uiPriority w:val="0"/>
    <w:pPr>
      <w:autoSpaceDE w:val="0"/>
      <w:autoSpaceDN w:val="0"/>
      <w:adjustRightInd w:val="0"/>
      <w:spacing w:line="240" w:lineRule="atLeast"/>
      <w:jc w:val="center"/>
      <w:textAlignment w:val="baseline"/>
    </w:pPr>
    <w:rPr>
      <w:spacing w:val="0"/>
      <w:sz w:val="24"/>
      <w:szCs w:val="24"/>
    </w:rPr>
  </w:style>
  <w:style w:type="paragraph" w:customStyle="1" w:styleId="108">
    <w:name w:val="表格文字！！！！"/>
    <w:basedOn w:val="1"/>
    <w:autoRedefine/>
    <w:qFormat/>
    <w:uiPriority w:val="0"/>
    <w:pPr>
      <w:jc w:val="center"/>
    </w:pPr>
    <w:rPr>
      <w:spacing w:val="0"/>
      <w:kern w:val="2"/>
      <w:sz w:val="21"/>
      <w:szCs w:val="24"/>
    </w:rPr>
  </w:style>
  <w:style w:type="paragraph" w:customStyle="1" w:styleId="109">
    <w:name w:val="陆晶 表格式"/>
    <w:basedOn w:val="1"/>
    <w:autoRedefine/>
    <w:qFormat/>
    <w:uiPriority w:val="0"/>
    <w:pPr>
      <w:jc w:val="center"/>
    </w:pPr>
    <w:rPr>
      <w:spacing w:val="0"/>
      <w:kern w:val="2"/>
      <w:sz w:val="21"/>
    </w:rPr>
  </w:style>
  <w:style w:type="paragraph" w:customStyle="1" w:styleId="110">
    <w:name w:val="表格2"/>
    <w:basedOn w:val="1"/>
    <w:next w:val="1"/>
    <w:autoRedefine/>
    <w:qFormat/>
    <w:uiPriority w:val="0"/>
    <w:pPr>
      <w:topLinePunct/>
      <w:autoSpaceDE w:val="0"/>
      <w:autoSpaceDN w:val="0"/>
      <w:adjustRightInd w:val="0"/>
      <w:spacing w:line="288" w:lineRule="auto"/>
      <w:jc w:val="center"/>
    </w:pPr>
    <w:rPr>
      <w:rFonts w:ascii="宋体"/>
      <w:kern w:val="0"/>
      <w:position w:val="-28"/>
      <w:sz w:val="18"/>
      <w:szCs w:val="20"/>
    </w:rPr>
  </w:style>
  <w:style w:type="paragraph" w:customStyle="1" w:styleId="111">
    <w:name w:val="AP外表文字居中（图）"/>
    <w:basedOn w:val="112"/>
    <w:autoRedefine/>
    <w:qFormat/>
    <w:uiPriority w:val="0"/>
    <w:pPr>
      <w:spacing w:line="240" w:lineRule="auto"/>
      <w:ind w:firstLine="0" w:firstLineChars="0"/>
      <w:jc w:val="center"/>
    </w:pPr>
    <w:rPr>
      <w:kern w:val="2"/>
    </w:rPr>
  </w:style>
  <w:style w:type="paragraph" w:customStyle="1" w:styleId="112">
    <w:name w:val="AP外表文字段落"/>
    <w:basedOn w:val="113"/>
    <w:autoRedefine/>
    <w:qFormat/>
    <w:uiPriority w:val="0"/>
    <w:pPr>
      <w:widowControl w:val="0"/>
      <w:spacing w:line="360" w:lineRule="auto"/>
    </w:pPr>
    <w:rPr>
      <w:rFonts w:hint="eastAsia"/>
      <w:kern w:val="44"/>
      <w:sz w:val="24"/>
    </w:rPr>
  </w:style>
  <w:style w:type="paragraph" w:customStyle="1" w:styleId="113">
    <w:name w:val="BP内表文字段落"/>
    <w:next w:val="1"/>
    <w:autoRedefine/>
    <w:qFormat/>
    <w:uiPriority w:val="0"/>
    <w:pPr>
      <w:kinsoku w:val="0"/>
      <w:wordWrap w:val="0"/>
      <w:topLinePunct/>
      <w:ind w:firstLine="200" w:firstLineChars="200"/>
      <w:jc w:val="both"/>
    </w:pPr>
    <w:rPr>
      <w:rFonts w:ascii="Times New Roman" w:hAnsi="Times New Roman" w:eastAsia="宋体" w:cs="Times New Roman"/>
      <w:kern w:val="2"/>
      <w:sz w:val="21"/>
      <w:szCs w:val="24"/>
      <w:lang w:val="en-US" w:eastAsia="zh-CN" w:bidi="ar-SA"/>
    </w:rPr>
  </w:style>
  <w:style w:type="paragraph" w:customStyle="1" w:styleId="114">
    <w:name w:val="Table Paragraph"/>
    <w:basedOn w:val="1"/>
    <w:autoRedefine/>
    <w:qFormat/>
    <w:uiPriority w:val="1"/>
    <w:rPr>
      <w:rFonts w:ascii="宋体" w:hAnsi="宋体" w:cs="宋体"/>
      <w:lang w:val="zh-CN" w:bidi="zh-CN"/>
    </w:rPr>
  </w:style>
  <w:style w:type="paragraph" w:customStyle="1" w:styleId="115">
    <w:name w:val="0-正文"/>
    <w:basedOn w:val="1"/>
    <w:autoRedefine/>
    <w:qFormat/>
    <w:uiPriority w:val="0"/>
    <w:pPr>
      <w:ind w:firstLine="200" w:firstLineChars="200"/>
    </w:pPr>
    <w:rPr>
      <w:spacing w:val="4"/>
      <w:szCs w:val="28"/>
      <w:lang w:val="zh-CN"/>
    </w:rPr>
  </w:style>
  <w:style w:type="paragraph" w:customStyle="1" w:styleId="116">
    <w:name w:val="0表格文字 五号 常规"/>
    <w:basedOn w:val="1"/>
    <w:autoRedefine/>
    <w:qFormat/>
    <w:uiPriority w:val="0"/>
    <w:pPr>
      <w:autoSpaceDE w:val="0"/>
      <w:autoSpaceDN w:val="0"/>
      <w:jc w:val="center"/>
    </w:pPr>
    <w:rPr>
      <w:sz w:val="21"/>
      <w:szCs w:val="20"/>
    </w:rPr>
  </w:style>
  <w:style w:type="paragraph" w:customStyle="1" w:styleId="117">
    <w:name w:val="【正文】"/>
    <w:basedOn w:val="1"/>
    <w:qFormat/>
    <w:uiPriority w:val="0"/>
    <w:pPr>
      <w:ind w:firstLine="200" w:firstLineChars="200"/>
    </w:pPr>
    <w:rPr>
      <w:rFonts w:cs="宋体"/>
      <w:szCs w:val="20"/>
    </w:rPr>
  </w:style>
  <w:style w:type="paragraph" w:customStyle="1" w:styleId="118">
    <w:name w:val="表格 标题"/>
    <w:qFormat/>
    <w:uiPriority w:val="0"/>
    <w:pPr>
      <w:spacing w:before="60"/>
      <w:jc w:val="center"/>
    </w:pPr>
    <w:rPr>
      <w:rFonts w:ascii="Times New Roman" w:hAnsi="Times New Roman" w:eastAsia="宋体" w:cs="Times New Roman"/>
      <w:b/>
      <w:snapToGrid w:val="0"/>
      <w:color w:val="000000"/>
      <w:sz w:val="21"/>
      <w:szCs w:val="22"/>
      <w:lang w:val="zh-CN" w:eastAsia="zh-CN" w:bidi="ar-SA"/>
    </w:rPr>
  </w:style>
  <w:style w:type="paragraph" w:customStyle="1" w:styleId="119">
    <w:name w:val="LL表格内容"/>
    <w:basedOn w:val="1"/>
    <w:qFormat/>
    <w:uiPriority w:val="0"/>
    <w:pPr>
      <w:wordWrap w:val="0"/>
      <w:overflowPunct w:val="0"/>
      <w:topLinePunct/>
      <w:autoSpaceDE w:val="0"/>
      <w:autoSpaceDN w:val="0"/>
      <w:spacing w:line="240" w:lineRule="auto"/>
      <w:jc w:val="center"/>
    </w:pPr>
    <w:rPr>
      <w:rFonts w:cs="宋体"/>
      <w:color w:val="auto"/>
      <w:kern w:val="0"/>
      <w:sz w:val="21"/>
      <w:szCs w:val="22"/>
      <w:lang w:val="zh-CN" w:bidi="zh-CN"/>
    </w:rPr>
  </w:style>
  <w:style w:type="paragraph" w:customStyle="1" w:styleId="120">
    <w:name w:val="国寰正文"/>
    <w:basedOn w:val="1"/>
    <w:qFormat/>
    <w:uiPriority w:val="0"/>
    <w:pPr>
      <w:adjustRightInd w:val="0"/>
      <w:snapToGrid w:val="0"/>
      <w:spacing w:line="360" w:lineRule="auto"/>
      <w:ind w:firstLine="200" w:firstLineChars="200"/>
    </w:pPr>
    <w:rPr>
      <w:spacing w:val="0"/>
      <w:kern w:val="2"/>
      <w:sz w:val="24"/>
      <w:szCs w:val="24"/>
    </w:rPr>
  </w:style>
  <w:style w:type="character" w:customStyle="1" w:styleId="121">
    <w:name w:val="纯文本1 Char"/>
    <w:link w:val="45"/>
    <w:qFormat/>
    <w:uiPriority w:val="0"/>
    <w:rPr>
      <w:rFonts w:ascii="宋体" w:hAnsi="Courier New"/>
    </w:rPr>
  </w:style>
  <w:style w:type="paragraph" w:customStyle="1" w:styleId="122">
    <w:name w:val="Lux 正文"/>
    <w:basedOn w:val="1"/>
    <w:qFormat/>
    <w:uiPriority w:val="0"/>
    <w:pPr>
      <w:spacing w:before="80" w:after="80" w:line="360" w:lineRule="auto"/>
      <w:ind w:firstLine="200" w:firstLineChars="200"/>
    </w:pPr>
    <w:rPr>
      <w:kern w:val="0"/>
      <w:sz w:val="24"/>
      <w:szCs w:val="20"/>
    </w:rPr>
  </w:style>
  <w:style w:type="paragraph" w:customStyle="1" w:styleId="123">
    <w:name w:val="lai表格格式"/>
    <w:next w:val="2"/>
    <w:qFormat/>
    <w:uiPriority w:val="0"/>
    <w:pPr>
      <w:ind w:firstLine="0" w:firstLineChars="0"/>
      <w:jc w:val="center"/>
    </w:pPr>
    <w:rPr>
      <w:rFonts w:ascii="Times New Roman" w:hAnsi="Times New Roman" w:eastAsia="宋体" w:cs="Times New Roman"/>
      <w:sz w:val="21"/>
      <w:szCs w:val="21"/>
    </w:rPr>
  </w:style>
  <w:style w:type="paragraph" w:customStyle="1" w:styleId="124">
    <w:name w:val="lai表格标题"/>
    <w:next w:val="1"/>
    <w:qFormat/>
    <w:uiPriority w:val="0"/>
    <w:pPr>
      <w:widowControl w:val="0"/>
      <w:numPr>
        <w:ilvl w:val="0"/>
        <w:numId w:val="6"/>
      </w:numPr>
      <w:spacing w:before="50" w:beforeLines="50"/>
      <w:ind w:firstLine="0"/>
      <w:jc w:val="center"/>
    </w:pPr>
    <w:rPr>
      <w:rFonts w:ascii="Times New Roman" w:hAnsi="Times New Roman" w:eastAsia="宋体" w:cs="Times New Roman"/>
      <w:b/>
      <w:kern w:val="2"/>
      <w:sz w:val="24"/>
      <w:szCs w:val="24"/>
      <w:lang w:val="en-US" w:eastAsia="zh-CN" w:bidi="ar-SA"/>
    </w:rPr>
  </w:style>
  <w:style w:type="table" w:customStyle="1" w:styleId="125">
    <w:name w:val="Table Normal"/>
    <w:autoRedefine/>
    <w:semiHidden/>
    <w:unhideWhenUsed/>
    <w:qFormat/>
    <w:uiPriority w:val="0"/>
    <w:tblPr>
      <w:tblCellMar>
        <w:top w:w="0" w:type="dxa"/>
        <w:left w:w="0" w:type="dxa"/>
        <w:bottom w:w="0" w:type="dxa"/>
        <w:right w:w="0" w:type="dxa"/>
      </w:tblCellMar>
    </w:tblPr>
  </w:style>
  <w:style w:type="paragraph" w:customStyle="1" w:styleId="126">
    <w:name w:val="Huo 表 五号居中"/>
    <w:basedOn w:val="1"/>
    <w:qFormat/>
    <w:uiPriority w:val="0"/>
    <w:pPr>
      <w:spacing w:line="360" w:lineRule="exact"/>
      <w:jc w:val="center"/>
    </w:pPr>
    <w:rPr>
      <w:rFonts w:cs="仿宋_GB2312"/>
      <w:szCs w:val="21"/>
    </w:rPr>
  </w:style>
  <w:style w:type="paragraph" w:customStyle="1" w:styleId="127">
    <w:name w:val="表1"/>
    <w:basedOn w:val="1"/>
    <w:next w:val="65"/>
    <w:autoRedefine/>
    <w:qFormat/>
    <w:uiPriority w:val="0"/>
    <w:pPr>
      <w:numPr>
        <w:ilvl w:val="0"/>
        <w:numId w:val="7"/>
      </w:numPr>
      <w:spacing w:line="360" w:lineRule="auto"/>
      <w:ind w:firstLine="0" w:firstLineChars="0"/>
      <w:jc w:val="center"/>
    </w:pPr>
    <w:rPr>
      <w:b/>
      <w:sz w:val="2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3" Type="http://schemas.openxmlformats.org/officeDocument/2006/relationships/fontTable" Target="fontTable.xml"/><Relationship Id="rId82" Type="http://schemas.openxmlformats.org/officeDocument/2006/relationships/customXml" Target="../customXml/item2.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3.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header" Target="header1.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2.xml"/><Relationship Id="rId59" Type="http://schemas.openxmlformats.org/officeDocument/2006/relationships/image" Target="media/image46.pn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jpeg"/><Relationship Id="rId34" Type="http://schemas.openxmlformats.org/officeDocument/2006/relationships/customXml" Target="ink/ink4.xml"/><Relationship Id="rId33" Type="http://schemas.openxmlformats.org/officeDocument/2006/relationships/customXml" Target="ink/ink3.xml"/><Relationship Id="rId32" Type="http://schemas.openxmlformats.org/officeDocument/2006/relationships/customXml" Target="ink/ink2.xml"/><Relationship Id="rId31" Type="http://schemas.openxmlformats.org/officeDocument/2006/relationships/image" Target="media/image21.png"/><Relationship Id="rId30" Type="http://schemas.openxmlformats.org/officeDocument/2006/relationships/customXml" Target="ink/ink1.xml"/><Relationship Id="rId3" Type="http://schemas.openxmlformats.org/officeDocument/2006/relationships/footnotes" Target="footnotes.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jpeg"/><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jpeg"/><Relationship Id="rId23" Type="http://schemas.openxmlformats.org/officeDocument/2006/relationships/image" Target="media/image14.jpe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jpe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ink/ink1.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10905.000 953700.000,'0.000'0.000</inkml:trace>
</inkml:ink>
</file>

<file path=word/ink/ink2.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10380.000 953700.000,'0.000'0.000</inkml:trace>
</inkml:ink>
</file>

<file path=word/ink/ink3.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10860.000 953850.000,'0.000'0.000</inkml:trace>
</inkml:ink>
</file>

<file path=word/ink/ink4.xml><?xml version="1.0" encoding="utf-8"?>
<inkml:ink xmlns:inkml="http://www.w3.org/2003/InkML">
  <inkml:definitions>
    <inkml:context xml:id="ctx0">
      <inkml:inkSource xml:id="inkSrc0">
        <inkml:traceFormat>
          <inkml:channel name="X" type="integer" units="cm"/>
          <inkml:channel name="Y" type="integer" units="cm"/>
        </inkml:traceFormat>
        <inkml:channelProperties>
          <inkml:channelProperty channel="X" name="resolution" value="28.34646" units="1/cm"/>
          <inkml:channelProperty channel="Y" name="resolution" value="28.34646" units="1/cm"/>
        </inkml:channelProperties>
      </inkml:inkSource>
      <inkml:timestamp xml:id="ts0" timeString="2022-05-31T18:09:19"/>
    </inkml:context>
    <inkml:brush xml:id="br0">
      <inkml:brushProperty name="width" value="0.0504" units="cm"/>
      <inkml:brushProperty name="height" value="0.0504" units="cm"/>
      <inkml:brushProperty name="color" value="#f80600"/>
    </inkml:brush>
  </inkml:definitions>
  <inkml:trace contextRef="#ctx0" brushRef="#br0">10875.000 953685.000,'0.000'0.000</inkml:trace>
</inkml:ink>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zYwNTMxNzUyOTkyIiwKCSJHcm91cElkIiA6ICIyNzA1NTE2OTMiLAoJIkltYWdlIiA6ICJpVkJPUncwS0dnb0FBQUFOU1VoRVVnQUFCSVlBQUFFWENBWUFBQURZN1U5QkFBQUFBWE5TUjBJQXJzNGM2UUFBSUFCSlJFRlVlSnpzM1hsOFZOWDkvL0gzdVROWklTQ3loVVZGUk1GSWxqdHhvOWdxS201MXF5djlvZGE2MEtxb3VOYXRnRnZkcWlLS1doV3RhMnRkcVlnYmlpMnVYOGhNRWpCSVJSc1ZKQ0N5QmdqSnpKemZIOG1razJTU1RCWVlrcnllandlUFpPNDk5OTVQb2lmM3ptZk8rUndK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VSnY4ZlVUdmkrcytISktrQUFBQUFTVVZPUks1Q1lJST0iLAoJIlRoZW1lIiA6ICIiLAoJIlR5cGUiIDogImZsb3ciLAoJIlVzZXJJZCIgOiAiIiwKCSJWZXJzaW9uIiA6ICIzMSIKfQo="/>
    </extobj>
    <extobj name="ECB019B1-382A-4266-B25C-5B523AA43C14-2">
      <extobjdata type="ECB019B1-382A-4266-B25C-5B523AA43C14" data="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"/>
    </extobj>
  </extobjs>
</s:customData>
</file>

<file path=customXml/item2.xml><?xml version="1.0" encoding="utf-8"?>
<contractReview xmlns="http://schemas.wps.cn/vas-ai-hub/contract-review">
  <reviewItems>
    <reviewItem>
      <errorID>58d870a9-1059-4523-98cb-e77dcbb90d7b</errorID>
      <errorWord>(</errorWord>
      <group>L1_Format</group>
      <groupName>格式问题</groupName>
      <ability>L2_HalfPunc</ability>
      <abilityName>全半角检查</abilityName>
      <candidateList>
        <item>（</item>
      </candidateList>
      <explain>文本全半角错误。</explain>
      <paraID> 3D08089</paraID>
      <start>13</start>
      <end>14</end>
      <status>unmodified</status>
      <modifiedWord/>
      <trackRevisions>false</trackRevisions>
    </reviewItem>
    <reviewItem>
      <errorID>c0499c64-8446-4935-96c6-815e01bf1b97</errorID>
      <errorWord>)</errorWord>
      <group>L1_Format</group>
      <groupName>格式问题</groupName>
      <ability>L2_HalfPunc</ability>
      <abilityName>全半角检查</abilityName>
      <candidateList>
        <item>）</item>
      </candidateList>
      <explain>文本全半角错误。</explain>
      <paraID> 3D08089</paraID>
      <start>16</start>
      <end>17</end>
      <status>unmodified</status>
      <modifiedWord/>
      <trackRevisions>false</trackRevisions>
    </reviewItem>
    <reviewItem>
      <errorID>b6159125-729e-429b-919f-57d24632a112</errorID>
      <errorWord>，</errorWord>
      <group>L1_Format</group>
      <groupName>格式问题</groupName>
      <ability>L2_HalfPunc</ability>
      <abilityName>全半角检查</abilityName>
      <candidateList>
        <item>, </item>
      </candidateList>
      <explain>文本全半角错误。</explain>
      <paraID>2E3DADB8</paraID>
      <start>15</start>
      <end>16</end>
      <status>unmodified</status>
      <modifiedWord/>
      <trackRevisions>false</trackRevisions>
    </reviewItem>
    <reviewItem>
      <errorID>14b108ae-2de7-4d30-b61b-7a92dfd38bcf</errorID>
      <errorWord>法律、法规</errorWord>
      <group>L1_Word</group>
      <groupName>字词问题</groupName>
      <ability>L2_Typo</ability>
      <abilityName>字词错误</abilityName>
      <candidateList>
        <item>法律法规</item>
      </candidateList>
      <explain/>
      <paraID>7CEA3524</paraID>
      <start>100</start>
      <end>105</end>
      <status>unmodified</status>
      <modifiedWord/>
      <trackRevisions>false</trackRevisions>
    </reviewItem>
    <reviewItem>
      <errorID>5cc3bde1-2030-4046-b6d9-155e411f2fa5</errorID>
      <errorWord>&lt;</errorWord>
      <group>L1_Format</group>
      <groupName>格式问题</groupName>
      <ability>L2_HalfPunc</ability>
      <abilityName>全半角检查</abilityName>
      <candidateList>
        <item>〈</item>
      </candidateList>
      <explain>文本全半角错误。</explain>
      <paraID> D330B02</paraID>
      <start>17</start>
      <end>18</end>
      <status>unmodified</status>
      <modifiedWord/>
      <trackRevisions>false</trackRevisions>
    </reviewItem>
    <reviewItem>
      <errorID>b89381d2-8d9d-49b8-9a12-8449cda8ac24</errorID>
      <errorWord>&gt;的通知》</errorWord>
      <group>L1_Punc</group>
      <groupName>标点问题</groupName>
      <ability>L2_Punc</ability>
      <abilityName>标点符号检查</abilityName>
      <candidateList>
        <item>〉的通知》</item>
      </candidateList>
      <explain/>
      <paraID> D330B02</paraID>
      <start>37</start>
      <end>42</end>
      <status>unmodified</status>
      <modifiedWord/>
      <trackRevisions>false</trackRevisions>
    </reviewItem>
    <reviewItem>
      <errorID>dcaf32b4-e3a6-4600-a828-8c139c6be905</errorID>
      <errorWord>&lt;</errorWord>
      <group>L1_Format</group>
      <groupName>格式问题</groupName>
      <ability>L2_HalfPunc</ability>
      <abilityName>全半角检查</abilityName>
      <candidateList>
        <item>〈</item>
      </candidateList>
      <explain>文本全半角错误。</explain>
      <paraID>7BF1B246</paraID>
      <start>15</start>
      <end>16</end>
      <status>unmodified</status>
      <modifiedWord/>
      <trackRevisions>false</trackRevisions>
    </reviewItem>
    <reviewItem>
      <errorID>0f59dee6-86a6-4485-a3eb-9bb9546b9896</errorID>
      <errorWord>&gt;的通知》</errorWord>
      <group>L1_Punc</group>
      <groupName>标点问题</groupName>
      <ability>L2_Punc</ability>
      <abilityName>标点符号检查</abilityName>
      <candidateList>
        <item>〉的通知》</item>
      </candidateList>
      <explain/>
      <paraID>7BF1B246</paraID>
      <start>33</start>
      <end>38</end>
      <status>unmodified</status>
      <modifiedWord/>
      <trackRevisions>false</trackRevisions>
    </reviewItem>
    <reviewItem>
      <errorID>27bda058-7f52-45f7-93b6-059cffe6e41f</errorID>
      <errorWord>&lt;</errorWord>
      <group>L1_Format</group>
      <groupName>格式问题</groupName>
      <ability>L2_HalfPunc</ability>
      <abilityName>全半角检查</abilityName>
      <candidateList>
        <item>〈</item>
      </candidateList>
      <explain>文本全半角错误。</explain>
      <paraID>531FCD1C</paraID>
      <start>20</start>
      <end>21</end>
      <status>unmodified</status>
      <modifiedWord/>
      <trackRevisions>false</trackRevisions>
    </reviewItem>
    <reviewItem>
      <errorID>a48bc009-6f23-44d8-99d2-3068d995ea5a</errorID>
      <errorWord>&gt;的通知》</errorWord>
      <group>L1_Punc</group>
      <groupName>标点问题</groupName>
      <ability>L2_Punc</ability>
      <abilityName>标点符号检查</abilityName>
      <candidateList>
        <item>〉的通知》</item>
      </candidateList>
      <explain/>
      <paraID>531FCD1C</paraID>
      <start>37</start>
      <end>42</end>
      <status>unmodified</status>
      <modifiedWord/>
      <trackRevisions>false</trackRevisions>
    </reviewItem>
    <reviewItem>
      <errorID>eb28eae2-1394-476f-8602-a9a7dafcc6b9</errorID>
      <errorWord>&lt;</errorWord>
      <group>L1_Format</group>
      <groupName>格式问题</groupName>
      <ability>L2_HalfPunc</ability>
      <abilityName>全半角检查</abilityName>
      <candidateList>
        <item>〈</item>
      </candidateList>
      <explain>文本全半角错误。</explain>
      <paraID>5CC06D83</paraID>
      <start>13</start>
      <end>14</end>
      <status>unmodified</status>
      <modifiedWord/>
      <trackRevisions>false</trackRevisions>
    </reviewItem>
    <reviewItem>
      <errorID>d4fa9242-8309-4ad5-9142-d057c1057faf</errorID>
      <errorWord>&gt;</errorWord>
      <group>L1_Format</group>
      <groupName>格式问题</groupName>
      <ability>L2_HalfPunc</ability>
      <abilityName>全半角检查</abilityName>
      <candidateList>
        <item>〉</item>
      </candidateList>
      <explain>文本全半角错误。</explain>
      <paraID>5CC06D83</paraID>
      <start>44</start>
      <end>45</end>
      <status>unmodified</status>
      <modifiedWord/>
      <trackRevisions>false</trackRevisions>
    </reviewItem>
    <reviewItem>
      <errorID>e354c2a2-bfbf-42c8-bfc9-69704857c771</errorID>
      <errorWord>&lt;</errorWord>
      <group>L1_Format</group>
      <groupName>格式问题</groupName>
      <ability>L2_HalfPunc</ability>
      <abilityName>全半角检查</abilityName>
      <candidateList>
        <item>〈</item>
      </candidateList>
      <explain>文本全半角错误。</explain>
      <paraID>2DA7EE90</paraID>
      <start>74</start>
      <end>75</end>
      <status>unmodified</status>
      <modifiedWord/>
      <trackRevisions>false</trackRevisions>
    </reviewItem>
    <reviewItem>
      <errorID>eea24fc9-730b-4ca1-9951-d933d6890a28</errorID>
      <errorWord>&gt;</errorWord>
      <group>L1_Format</group>
      <groupName>格式问题</groupName>
      <ability>L2_HalfPunc</ability>
      <abilityName>全半角检查</abilityName>
      <candidateList>
        <item>〉</item>
      </candidateList>
      <explain>文本全半角错误。</explain>
      <paraID>2DA7EE90</paraID>
      <start>105</start>
      <end>106</end>
      <status>unmodified</status>
      <modifiedWord/>
      <trackRevisions>false</trackRevisions>
    </reviewItem>
    <reviewItem>
      <errorID>423fcaee-3586-4541-bd7f-a65a769e2568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54957A3F</paraID>
      <start>0</start>
      <end>2</end>
      <status>unmodified</status>
      <modifiedWord/>
      <trackRevisions>false</trackRevisions>
    </reviewItem>
    <reviewItem>
      <errorID>f6eb8fec-796b-4590-a18d-48a058c3a743</errorID>
      <errorWord>三线一单</errorWord>
      <group>L1_Political</group>
      <groupName>政治性问题</groupName>
      <ability>L2_Keyword</ability>
      <abilityName>固定表述</abilityName>
      <candidateList>
        <item>“三线一单”</item>
      </candidateList>
      <explain>注意检查当前固定表述标点是否使用规范。</explain>
      <paraID>357605AD</paraID>
      <start>0</start>
      <end>4</end>
      <status>unmodified</status>
      <modifiedWord/>
      <trackRevisions>false</trackRevisions>
    </reviewItem>
    <reviewItem>
      <errorID>7d0878a4-6442-4fee-8058-f3f50c668d18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D738D1B</paraID>
      <start>48</start>
      <end>49</end>
      <status>unmodified</status>
      <modifiedWord/>
      <trackRevisions>false</trackRevisions>
    </reviewItem>
    <reviewItem>
      <errorID>616e8cec-9c0e-47d4-bccd-8451c96d8658</errorID>
      <errorWord>区</errorWord>
      <group>L1_Word</group>
      <groupName>字词问题</groupName>
      <ability>L2_Typo</ability>
      <abilityName>字词错误</abilityName>
      <candidateList>
        <item>区要</item>
      </candidateList>
      <explain/>
      <paraID>53470A3A</paraID>
      <start>291</start>
      <end>292</end>
      <status>unmodified</status>
      <modifiedWord/>
      <trackRevisions>false</trackRevisions>
    </reviewItem>
    <reviewItem>
      <errorID>5e6edad8-ceec-4ce9-aace-327e7b681590</errorID>
      <errorWord>机废气机废气</errorWord>
      <group>L1_Word</group>
      <groupName>字词问题</groupName>
      <ability>L2_Typo</ability>
      <abilityName>字词错误</abilityName>
      <candidateList>
        <item>机废气</item>
      </candidateList>
      <explain/>
      <paraID>569D2DC4</paraID>
      <start>70</start>
      <end>76</end>
      <status>unmodified</status>
      <modifiedWord/>
      <trackRevisions>false</trackRevisions>
    </reviewItem>
    <reviewItem>
      <errorID>67d9b9d1-8458-48d3-b911-a0960a5f3ff0</errorID>
      <errorWord>，</errorWord>
      <group>L1_Word</group>
      <groupName>字词问题</groupName>
      <ability>L2_Typo</ability>
      <abilityName>字词错误</abilityName>
      <candidateList>
        <item>，对</item>
      </candidateList>
      <explain/>
      <paraID>553B0F17</paraID>
      <start>37</start>
      <end>38</end>
      <status>unmodified</status>
      <modifiedWord/>
      <trackRevisions>false</trackRevisions>
    </reviewItem>
    <reviewItem>
      <errorID>b8d0d226-96c7-4a1a-ad7e-8d25c6e0d16a</errorID>
      <errorWord>，</errorWord>
      <group>L1_Word</group>
      <groupName>字词问题</groupName>
      <ability>L2_Typo</ability>
      <abilityName>字词错误</abilityName>
      <candidateList>
        <item>，对</item>
      </candidateList>
      <explain/>
      <paraID>34AD9966</paraID>
      <start>134</start>
      <end>135</end>
      <status>unmodified</status>
      <modifiedWord/>
      <trackRevisions>false</trackRevisions>
    </reviewItem>
    <reviewItem>
      <errorID>f852dd13-e5aa-417f-b6f5-ff3b4a7493e3</errorID>
      <errorWord>城乡结合部</errorWord>
      <group>L1_Word</group>
      <groupName>字词问题</groupName>
      <ability>L2_Typo</ability>
      <abilityName>字词错误</abilityName>
      <candidateList>
        <item>城乡接合部</item>
      </candidateList>
      <explain/>
      <paraID>72E5A3A6</paraID>
      <start>34</start>
      <end>39</end>
      <status>unmodified</status>
      <modifiedWord/>
      <trackRevisions>false</trackRevisions>
    </reviewItem>
    <reviewItem>
      <errorID>3d5aa303-b4bc-4515-a7bf-783b1445a3f7</errorID>
      <errorWord>其它</errorWord>
      <group>L1_Word</group>
      <groupName>字词问题</groupName>
      <ability>L2_Alias</ability>
      <abilityName>也作/曾用词</abilityName>
      <candidateList>
        <item>其他</item>
      </candidateList>
      <explain>词汇[其它]为不规范表述或旧称，其规范书面表述为[其他]。</explain>
      <paraID>6F3F0437</paraID>
      <start>5</start>
      <end>7</end>
      <status>unmodified</status>
      <modifiedWord/>
      <trackRevisions>false</trackRevisions>
    </reviewItem>
    <reviewItem>
      <errorID>8ab62d4b-2b0a-4f64-a121-ab1a8e494cd7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7AEE30B4</paraID>
      <start>0</start>
      <end>2</end>
      <status>unmodified</status>
      <modifiedWord/>
      <trackRevisions>false</trackRevisions>
    </reviewItem>
    <reviewItem>
      <errorID>4214ded7-705e-4008-9ae9-768c69ab1ea4</errorID>
      <errorWord>&lt;</errorWord>
      <group>L1_Format</group>
      <groupName>格式问题</groupName>
      <ability>L2_HalfPunc</ability>
      <abilityName>全半角检查</abilityName>
      <candidateList>
        <item>〈</item>
      </candidateList>
      <explain>文本全半角错误。</explain>
      <paraID>7AEE30B4</paraID>
      <start>7</start>
      <end>8</end>
      <status>unmodified</status>
      <modifiedWord/>
      <trackRevisions>false</trackRevisions>
    </reviewItem>
    <reviewItem>
      <errorID>9047f2be-01ff-4716-86e2-6034f79e93ed</errorID>
      <errorWord>&gt;的通知》</errorWord>
      <group>L1_Punc</group>
      <groupName>标点问题</groupName>
      <ability>L2_Punc</ability>
      <abilityName>标点符号检查</abilityName>
      <candidateList>
        <item>〉的通知》</item>
      </candidateList>
      <explain/>
      <paraID>7AEE30B4</paraID>
      <start>24</start>
      <end>29</end>
      <status>unmodified</status>
      <modifiedWord/>
      <trackRevisions>false</trackRevisions>
    </reviewItem>
    <reviewItem>
      <errorID>ae41e439-3c1f-446b-9a0d-77a13d0f30a3</errorID>
      <errorWord>&lt;</errorWord>
      <group>L1_Format</group>
      <groupName>格式问题</groupName>
      <ability>L2_HalfPunc</ability>
      <abilityName>全半角检查</abilityName>
      <candidateList>
        <item>〈</item>
      </candidateList>
      <explain>文本全半角错误。</explain>
      <paraID> 9E05539</paraID>
      <start>13</start>
      <end>14</end>
      <status>unmodified</status>
      <modifiedWord/>
      <trackRevisions>false</trackRevisions>
    </reviewItem>
    <reviewItem>
      <errorID>faf683c3-3ad5-4f40-8e7a-ca94c399428c</errorID>
      <errorWord>&gt;的通知》</errorWord>
      <group>L1_Punc</group>
      <groupName>标点问题</groupName>
      <ability>L2_Punc</ability>
      <abilityName>标点符号检查</abilityName>
      <candidateList>
        <item>〉的通知》</item>
      </candidateList>
      <explain/>
      <paraID> 9E05539</paraID>
      <start>30</start>
      <end>35</end>
      <status>unmodified</status>
      <modifiedWord/>
      <trackRevisions>false</trackRevisions>
    </reviewItem>
    <reviewItem>
      <errorID>dd2772a1-289f-4c65-b9e7-c408c2f3534e</errorID>
      <errorWord>胶粘剂</errorWord>
      <group>L1_Word</group>
      <groupName>字词问题</groupName>
      <ability>L2_Typo</ability>
      <abilityName>字词错误</abilityName>
      <candidateList>
        <item>胶黏剂</item>
      </candidateList>
      <explain/>
      <paraID> 9E05539</paraID>
      <start>286</start>
      <end>289</end>
      <status>unmodified</status>
      <modifiedWord/>
      <trackRevisions>false</trackRevisions>
    </reviewItem>
    <reviewItem>
      <errorID>9adbda35-b8bb-4761-9333-f829696b59e5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11EF9700</paraID>
      <start>0</start>
      <end>2</end>
      <status>unmodified</status>
      <modifiedWord/>
      <trackRevisions>false</trackRevisions>
    </reviewItem>
    <reviewItem>
      <errorID>2c183bb2-8ff0-4fe7-b09b-c5c536b323da</errorID>
      <errorWord>&lt;</errorWord>
      <group>L1_Format</group>
      <groupName>格式问题</groupName>
      <ability>L2_HalfPunc</ability>
      <abilityName>全半角检查</abilityName>
      <candidateList>
        <item>〈</item>
      </candidateList>
      <explain>文本全半角错误。</explain>
      <paraID>11EF9700</paraID>
      <start>17</start>
      <end>18</end>
      <status>unmodified</status>
      <modifiedWord/>
      <trackRevisions>false</trackRevisions>
    </reviewItem>
    <reviewItem>
      <errorID>6fe63529-f9dc-42c3-9024-d3ea5617ed53</errorID>
      <errorWord>&gt;的通知》</errorWord>
      <group>L1_Punc</group>
      <groupName>标点问题</groupName>
      <ability>L2_Punc</ability>
      <abilityName>标点符号检查</abilityName>
      <candidateList>
        <item>〉的通知》</item>
      </candidateList>
      <explain/>
      <paraID>11EF9700</paraID>
      <start>34</start>
      <end>39</end>
      <status>unmodified</status>
      <modifiedWord/>
      <trackRevisions>false</trackRevisions>
    </reviewItem>
    <reviewItem>
      <errorID>30d87679-5846-4eb6-9435-8ef843b9a17c</errorID>
      <errorWord>&lt;</errorWord>
      <group>L1_Format</group>
      <groupName>格式问题</groupName>
      <ability>L2_HalfPunc</ability>
      <abilityName>全半角检查</abilityName>
      <candidateList>
        <item>〈</item>
      </candidateList>
      <explain>文本全半角错误。</explain>
      <paraID>14518286</paraID>
      <start>39</start>
      <end>40</end>
      <status>unmodified</status>
      <modifiedWord/>
      <trackRevisions>false</trackRevisions>
    </reviewItem>
    <reviewItem>
      <errorID>e403c777-9c0b-49b1-9f68-623a0065416f</errorID>
      <errorWord>&gt;的通知》</errorWord>
      <group>L1_Punc</group>
      <groupName>标点问题</groupName>
      <ability>L2_Punc</ability>
      <abilityName>标点符号检查</abilityName>
      <candidateList>
        <item>〉的通知》</item>
      </candidateList>
      <explain/>
      <paraID>14518286</paraID>
      <start>56</start>
      <end>61</end>
      <status>unmodified</status>
      <modifiedWord/>
      <trackRevisions>false</trackRevisions>
    </reviewItem>
    <reviewItem>
      <errorID>638e6399-5ccd-476f-b395-985d9efcc7df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2AED3523</paraID>
      <start>0</start>
      <end>2</end>
      <status>unmodified</status>
      <modifiedWord/>
      <trackRevisions>false</trackRevisions>
    </reviewItem>
    <reviewItem>
      <errorID>5b8ceab0-13c6-41e1-835f-6a4efb472bab</errorID>
      <errorWord>&lt;</errorWord>
      <group>L1_Format</group>
      <groupName>格式问题</groupName>
      <ability>L2_HalfPunc</ability>
      <abilityName>全半角检查</abilityName>
      <candidateList>
        <item>〈</item>
      </candidateList>
      <explain>文本全半角错误。</explain>
      <paraID>2AED3523</paraID>
      <start>17</start>
      <end>18</end>
      <status>unmodified</status>
      <modifiedWord/>
      <trackRevisions>false</trackRevisions>
    </reviewItem>
    <reviewItem>
      <errorID>ad185a36-1911-4618-ad16-f7eff65f3100</errorID>
      <errorWord>&lt;</errorWord>
      <group>L1_Format</group>
      <groupName>格式问题</groupName>
      <ability>L2_HalfPunc</ability>
      <abilityName>全半角检查</abilityName>
      <candidateList>
        <item>〈</item>
      </candidateList>
      <explain>文本全半角错误。</explain>
      <paraID>1D8A3D80</paraID>
      <start>90</start>
      <end>91</end>
      <status>unmodified</status>
      <modifiedWord/>
      <trackRevisions>false</trackRevisions>
    </reviewItem>
    <reviewItem>
      <errorID>8ab6cc67-9b58-4b61-a782-b98c773e734c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492AE8F6</paraID>
      <start>0</start>
      <end>2</end>
      <status>unmodified</status>
      <modifiedWord/>
      <trackRevisions>false</trackRevisions>
    </reviewItem>
    <reviewItem>
      <errorID>6f0f7863-949d-4fab-8967-e5ebfc61fc96</errorID>
      <errorWord>粘结</errorWord>
      <group>L1_Word</group>
      <groupName>字词问题</groupName>
      <ability>L2_Typo</ability>
      <abilityName>字词错误</abilityName>
      <candidateList>
        <item>黏结</item>
      </candidateList>
      <explain/>
      <paraID>492AE8F6</paraID>
      <start>11</start>
      <end>13</end>
      <status>unmodified</status>
      <modifiedWord/>
      <trackRevisions>false</trackRevisions>
    </reviewItem>
    <reviewItem>
      <errorID>e611e98b-d307-4611-a55a-ec3530e3fa92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3D80519C</paraID>
      <start>0</start>
      <end>2</end>
      <status>unmodified</status>
      <modifiedWord/>
      <trackRevisions>false</trackRevisions>
    </reviewItem>
    <reviewItem>
      <errorID>9260cd04-4c4e-43a0-a849-20b514d4f5f0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5A937E37</paraID>
      <start>0</start>
      <end>2</end>
      <status>unmodified</status>
      <modifiedWord/>
      <trackRevisions>false</trackRevisions>
    </reviewItem>
    <reviewItem>
      <errorID>459a6c24-a8d8-49e3-9438-5204034c9d7f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3369CD7F</paraID>
      <start>0</start>
      <end>2</end>
      <status>unmodified</status>
      <modifiedWord/>
      <trackRevisions>false</trackRevisions>
    </reviewItem>
    <reviewItem>
      <errorID>1086a1c4-04d8-4d68-b97a-63ccab66b868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3B5D8029</paraID>
      <start>0</start>
      <end>2</end>
      <status>unmodified</status>
      <modifiedWord/>
      <trackRevisions>false</trackRevisions>
    </reviewItem>
    <reviewItem>
      <errorID>d9c1b3ff-afdf-4efb-b4c0-82422589a537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22D4F515</paraID>
      <start>0</start>
      <end>2</end>
      <status>unmodified</status>
      <modifiedWord/>
      <trackRevisions>false</trackRevisions>
    </reviewItem>
    <reviewItem>
      <errorID>fa6d00c8-61ad-4117-bf97-dfe1f3cc4f15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6F090A5E</paraID>
      <start>0</start>
      <end>2</end>
      <status>unmodified</status>
      <modifiedWord/>
      <trackRevisions>false</trackRevisions>
    </reviewItem>
    <reviewItem>
      <errorID>bea416f1-5fa2-4d96-a700-ac8148d9b0d1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5132A13</paraID>
      <start>0</start>
      <end>2</end>
      <status>unmodified</status>
      <modifiedWord/>
      <trackRevisions>false</trackRevisions>
    </reviewItem>
    <reviewItem>
      <errorID>1bca4a4e-bf70-43f3-829f-367f46a30ccc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45FD6D64</paraID>
      <start>0</start>
      <end>2</end>
      <status>unmodified</status>
      <modifiedWord/>
      <trackRevisions>false</trackRevisions>
    </reviewItem>
    <reviewItem>
      <errorID>e07c81e9-cf96-42e6-985b-8e6e65e96f7d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4F9818EE</paraID>
      <start>0</start>
      <end>2</end>
      <status>unmodified</status>
      <modifiedWord/>
      <trackRevisions>false</trackRevisions>
    </reviewItem>
    <reviewItem>
      <errorID>22594114-94a4-49db-be79-f0ee264e3870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6DF86054</paraID>
      <start>0</start>
      <end>2</end>
      <status>unmodified</status>
      <modifiedWord/>
      <trackRevisions>false</trackRevisions>
    </reviewItem>
    <reviewItem>
      <errorID>ee7095f2-8da2-448b-b149-d64d6218378c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1BE15A77</paraID>
      <start>0</start>
      <end>2</end>
      <status>unmodified</status>
      <modifiedWord/>
      <trackRevisions>false</trackRevisions>
    </reviewItem>
    <reviewItem>
      <errorID>f04b3f51-564e-43f9-8cf5-0e13f89f5087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1E6681FC</paraID>
      <start>0</start>
      <end>2</end>
      <status>unmodified</status>
      <modifiedWord/>
      <trackRevisions>false</trackRevisions>
    </reviewItem>
    <reviewItem>
      <errorID>e907f382-d891-4263-9b05-ac5bc4b4a056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32F54C13</paraID>
      <start>0</start>
      <end>2</end>
      <status>unmodified</status>
      <modifiedWord/>
      <trackRevisions>false</trackRevisions>
    </reviewItem>
    <reviewItem>
      <errorID>97cac308-00d1-4ae5-bc85-18fe815263cd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7B925A78</paraID>
      <start>0</start>
      <end>2</end>
      <status>unmodified</status>
      <modifiedWord/>
      <trackRevisions>false</trackRevisions>
    </reviewItem>
    <reviewItem>
      <errorID>ea32b2a6-e84c-436c-9faf-7274a1585cc3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4D836569</paraID>
      <start>0</start>
      <end>2</end>
      <status>unmodified</status>
      <modifiedWord/>
      <trackRevisions>false</trackRevisions>
    </reviewItem>
    <reviewItem>
      <errorID>794e30c5-938f-45c4-8ec3-6ff0ca2b61f3</errorID>
      <errorWord>(</errorWord>
      <group>L1_Format</group>
      <groupName>格式问题</groupName>
      <ability>L2_HalfPunc</ability>
      <abilityName>全半角检查</abilityName>
      <candidateList>
        <item>（</item>
      </candidateList>
      <explain>文本全半角错误。</explain>
      <paraID>4D836569</paraID>
      <start>88</start>
      <end>89</end>
      <status>unmodified</status>
      <modifiedWord/>
      <trackRevisions>false</trackRevisions>
    </reviewItem>
    <reviewItem>
      <errorID>20f226b9-0445-4688-a191-cfa3f04e2335</errorID>
      <errorWord>)</errorWord>
      <group>L1_Format</group>
      <groupName>格式问题</groupName>
      <ability>L2_HalfPunc</ability>
      <abilityName>全半角检查</abilityName>
      <candidateList>
        <item>）</item>
      </candidateList>
      <explain>文本全半角错误。</explain>
      <paraID>4D836569</paraID>
      <start>92</start>
      <end>93</end>
      <status>unmodified</status>
      <modifiedWord/>
      <trackRevisions>false</trackRevisions>
    </reviewItem>
    <reviewItem>
      <errorID>baa5c73b-0322-4f8f-83e5-c3cdcdac471d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754ADB8C</paraID>
      <start>0</start>
      <end>2</end>
      <status>unmodified</status>
      <modifiedWord/>
      <trackRevisions>false</trackRevisions>
    </reviewItem>
    <reviewItem>
      <errorID>014bca28-b337-4403-9894-c84307f24e77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159CED36</paraID>
      <start>0</start>
      <end>2</end>
      <status>unmodified</status>
      <modifiedWord/>
      <trackRevisions>false</trackRevisions>
    </reviewItem>
    <reviewItem>
      <errorID>7f044070-1add-47a1-be3c-b8e712f85b78</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2D92E291</paraID>
      <start>0</start>
      <end>2</end>
      <status>unmodified</status>
      <modifiedWord/>
      <trackRevisions>false</trackRevisions>
    </reviewItem>
    <reviewItem>
      <errorID>460c27ab-7874-4632-8a98-62a2eca583ff</errorID>
      <errorWord>(</errorWord>
      <group>L1_Format</group>
      <groupName>格式问题</groupName>
      <ability>L2_HalfPunc</ability>
      <abilityName>全半角检查</abilityName>
      <candidateList>
        <item>（</item>
      </candidateList>
      <explain>文本全半角错误。</explain>
      <paraID>18209815</paraID>
      <start>4</start>
      <end>5</end>
      <status>unmodified</status>
      <modifiedWord/>
      <trackRevisions>false</trackRevisions>
    </reviewItem>
    <reviewItem>
      <errorID>85950262-a301-4058-b953-7a999e3b7082</errorID>
      <errorWord>)</errorWord>
      <group>L1_Format</group>
      <groupName>格式问题</groupName>
      <ability>L2_HalfPunc</ability>
      <abilityName>全半角检查</abilityName>
      <candidateList>
        <item>）</item>
      </candidateList>
      <explain>文本全半角错误。</explain>
      <paraID>18209815</paraID>
      <start>7</start>
      <end>8</end>
      <status>unmodified</status>
      <modifiedWord/>
      <trackRevisions>false</trackRevisions>
    </reviewItem>
    <reviewItem>
      <errorID>1bc4e172-b2aa-41a7-86c5-c1eb2eef0434</errorID>
      <errorWord>省</errorWord>
      <group>L1_Word</group>
      <groupName>字词问题</groupName>
      <ability>L2_Typo</ability>
      <abilityName>字词错误</abilityName>
      <candidateList>
        <item>省科</item>
      </candidateList>
      <explain/>
      <paraID>18209815</paraID>
      <start>49</start>
      <end>50</end>
      <status>unmodified</status>
      <modifiedWord/>
      <trackRevisions>false</trackRevisions>
    </reviewItem>
    <reviewItem>
      <errorID>6046fb92-c5de-4d81-9c9b-8578145fa23c</errorID>
      <errorWord>(</errorWord>
      <group>L1_Format</group>
      <groupName>格式问题</groupName>
      <ability>L2_HalfPunc</ability>
      <abilityName>全半角检查</abilityName>
      <candidateList>
        <item>（</item>
      </candidateList>
      <explain>文本全半角错误。</explain>
      <paraID>65D343E5</paraID>
      <start>100</start>
      <end>101</end>
      <status>unmodified</status>
      <modifiedWord/>
      <trackRevisions>false</trackRevisions>
    </reviewItem>
    <reviewItem>
      <errorID>32075e3c-e9f8-4ca0-8693-12cda7fb83e1</errorID>
      <errorWord>)</errorWord>
      <group>L1_Format</group>
      <groupName>格式问题</groupName>
      <ability>L2_HalfPunc</ability>
      <abilityName>全半角检查</abilityName>
      <candidateList>
        <item>）</item>
      </candidateList>
      <explain>文本全半角错误。</explain>
      <paraID>65D343E5</paraID>
      <start>107</start>
      <end>108</end>
      <status>unmodified</status>
      <modifiedWord/>
      <trackRevisions>false</trackRevisions>
    </reviewItem>
    <reviewItem>
      <errorID>207b6754-af4e-4730-b5a5-7a348be6250e</errorID>
      <errorWord>(</errorWord>
      <group>L1_Format</group>
      <groupName>格式问题</groupName>
      <ability>L2_HalfPunc</ability>
      <abilityName>全半角检查</abilityName>
      <candidateList>
        <item>（</item>
      </candidateList>
      <explain>文本全半角错误。</explain>
      <paraID>65D343E5</paraID>
      <start>142</start>
      <end>143</end>
      <status>unmodified</status>
      <modifiedWord/>
      <trackRevisions>false</trackRevisions>
    </reviewItem>
    <reviewItem>
      <errorID>2f7d5a29-25d9-40d5-b681-376df6cf2009</errorID>
      <errorWord>)</errorWord>
      <group>L1_Format</group>
      <groupName>格式问题</groupName>
      <ability>L2_HalfPunc</ability>
      <abilityName>全半角检查</abilityName>
      <candidateList>
        <item>）</item>
      </candidateList>
      <explain>文本全半角错误。</explain>
      <paraID>65D343E5</paraID>
      <start>166</start>
      <end>167</end>
      <status>unmodified</status>
      <modifiedWord/>
      <trackRevisions>false</trackRevisions>
    </reviewItem>
    <reviewItem>
      <errorID>f67e74de-49a2-4607-bfa9-d7412417181e</errorID>
      <errorWord>(</errorWord>
      <group>L1_Format</group>
      <groupName>格式问题</groupName>
      <ability>L2_HalfPunc</ability>
      <abilityName>全半角检查</abilityName>
      <candidateList>
        <item>（</item>
      </candidateList>
      <explain>文本全半角错误。</explain>
      <paraID>65D343E5</paraID>
      <start>261</start>
      <end>262</end>
      <status>unmodified</status>
      <modifiedWord/>
      <trackRevisions>false</trackRevisions>
    </reviewItem>
    <reviewItem>
      <errorID>54a3a899-b58c-40cd-aedc-a5658460ebcc</errorID>
      <errorWord>)(</errorWord>
      <group>L1_Format</group>
      <groupName>格式问题</groupName>
      <ability>L2_HalfPunc</ability>
      <abilityName>全半角检查</abilityName>
      <candidateList>
        <item>）（</item>
      </candidateList>
      <explain>文本全半角错误。</explain>
      <paraID>65D343E5</paraID>
      <start>267</start>
      <end>269</end>
      <status>unmodified</status>
      <modifiedWord/>
      <trackRevisions>false</trackRevisions>
    </reviewItem>
    <reviewItem>
      <errorID>22aca946-d021-4b2b-80bb-f7e8f642f454</errorID>
      <errorWord>)</errorWord>
      <group>L1_Format</group>
      <groupName>格式问题</groupName>
      <ability>L2_HalfPunc</ability>
      <abilityName>全半角检查</abilityName>
      <candidateList>
        <item>）</item>
      </candidateList>
      <explain>文本全半角错误。</explain>
      <paraID>65D343E5</paraID>
      <start>271</start>
      <end>272</end>
      <status>unmodified</status>
      <modifiedWord/>
      <trackRevisions>false</trackRevisions>
    </reviewItem>
    <reviewItem>
      <errorID>a0ab0557-ed14-4fad-8d92-3b8cef8d4a5a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728A5411</paraID>
      <start>0</start>
      <end>2</end>
      <status>unmodified</status>
      <modifiedWord/>
      <trackRevisions>false</trackRevisions>
    </reviewItem>
    <reviewItem>
      <errorID>89edc284-149c-4daa-a671-27a6412ba1fd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4C44E09F</paraID>
      <start>0</start>
      <end>2</end>
      <status>unmodified</status>
      <modifiedWord/>
      <trackRevisions>false</trackRevisions>
    </reviewItem>
    <reviewItem>
      <errorID>8d87beaf-35ba-4646-a296-2b3163a6dea5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40E0E104</paraID>
      <start>0</start>
      <end>2</end>
      <status>unmodified</status>
      <modifiedWord/>
      <trackRevisions>false</trackRevisions>
    </reviewItem>
    <reviewItem>
      <errorID>f0dc0a56-3100-456c-95e1-5656b3312f53</errorID>
      <errorWord>零</errorWord>
      <group>L1_Word</group>
      <groupName>字词问题</groupName>
      <ability>L2_Typo</ability>
      <abilityName>字词错误</abilityName>
      <candidateList>
        <item>零部</item>
      </candidateList>
      <explain/>
      <paraID>119EAA12</paraID>
      <start>179</start>
      <end>180</end>
      <status>unmodified</status>
      <modifiedWord/>
      <trackRevisions>false</trackRevisions>
    </reviewItem>
    <reviewItem>
      <errorID>418a7d82-ad09-489b-abc2-0efe02b564fb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602772F8</paraID>
      <start>0</start>
      <end>2</end>
      <status>unmodified</status>
      <modifiedWord/>
      <trackRevisions>false</trackRevisions>
    </reviewItem>
    <reviewItem>
      <errorID>e0ec612d-00db-48bc-b8a0-01ca240b8fad</errorID>
      <errorWord>kw</errorWord>
      <group>L1_Word</group>
      <groupName>字词问题</groupName>
      <ability>L2_Typo</ability>
      <abilityName>字词错误</abilityName>
      <candidateList>
        <item>kW</item>
      </candidateList>
      <explain/>
      <paraID>787085FC</paraID>
      <start>3</start>
      <end>5</end>
      <status>modified</status>
      <modifiedWord>kW</modifiedWord>
      <trackRevisions>false</trackRevisions>
    </reviewItem>
    <reviewItem>
      <errorID>bdfe7d13-242f-4ac7-8066-3487498270ec</errorID>
      <errorWord>kw</errorWord>
      <group>L1_Word</group>
      <groupName>字词问题</groupName>
      <ability>L2_Typo</ability>
      <abilityName>字词错误</abilityName>
      <candidateList>
        <item>kW</item>
      </candidateList>
      <explain/>
      <paraID>34DAEC09</paraID>
      <start>3</start>
      <end>5</end>
      <status>modified</status>
      <modifiedWord>kW</modifiedWord>
      <trackRevisions>false</trackRevisions>
    </reviewItem>
    <reviewItem>
      <errorID>c47ea930-46aa-4b50-8c4e-d3f4daeefb24</errorID>
      <errorWord>）</errorWord>
      <group>L1_Format</group>
      <groupName>格式问题</groupName>
      <ability>L2_HalfPunc</ability>
      <abilityName>全半角检查</abilityName>
      <candidateList>
        <item>)</item>
      </candidateList>
      <explain>文本全半角错误。</explain>
      <paraID>41CE9570</paraID>
      <start>4</start>
      <end>5</end>
      <status>unmodified</status>
      <modifiedWord/>
      <trackRevisions>false</trackRevisions>
    </reviewItem>
    <reviewItem>
      <errorID>f68bc819-536f-426d-8185-491115768edf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3681B750</paraID>
      <start>0</start>
      <end>2</end>
      <status>unmodified</status>
      <modifiedWord/>
      <trackRevisions>false</trackRevisions>
    </reviewItem>
    <reviewItem>
      <errorID>7e117997-e41d-4178-a56a-12b9201e189f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3B78F8D2</paraID>
      <start>0</start>
      <end>2</end>
      <status>unmodified</status>
      <modifiedWord/>
      <trackRevisions>false</trackRevisions>
    </reviewItem>
    <reviewItem>
      <errorID>b92ac666-8f18-4080-9115-1e9a57ea49b2</errorID>
      <errorWord>污水厂</errorWord>
      <group>L1_Word</group>
      <groupName>字词问题</groupName>
      <ability>L2_Typo</ability>
      <abilityName>字词错误</abilityName>
      <candidateList>
        <item>污水处理厂</item>
      </candidateList>
      <explain/>
      <paraID>2581F002</paraID>
      <start>93</start>
      <end>96</end>
      <status>unmodified</status>
      <modifiedWord/>
      <trackRevisions>false</trackRevisions>
    </reviewItem>
    <reviewItem>
      <errorID>dd4b5d47-aec3-48d6-bef7-e27626aa85e6</errorID>
      <errorWord>污水厂</errorWord>
      <group>L1_Word</group>
      <groupName>字词问题</groupName>
      <ability>L2_Typo</ability>
      <abilityName>字词错误</abilityName>
      <candidateList>
        <item>污水处理厂</item>
      </candidateList>
      <explain/>
      <paraID>3500A4C9</paraID>
      <start>98</start>
      <end>101</end>
      <status>unmodified</status>
      <modifiedWord/>
      <trackRevisions>false</trackRevisions>
    </reviewItem>
    <reviewItem>
      <errorID>879c9096-c740-4a90-8832-9e6999d45241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242F895E</paraID>
      <start>0</start>
      <end>2</end>
      <status>unmodified</status>
      <modifiedWord/>
      <trackRevisions>false</trackRevisions>
    </reviewItem>
    <reviewItem>
      <errorID>0dd04eb5-e1fc-435c-acd8-b11aeba895a5</errorID>
      <errorWord>理</errorWord>
      <group>L1_Word</group>
      <groupName>字词问题</groupName>
      <ability>L2_Typo</ability>
      <abilityName>字词错误</abilityName>
      <candidateList>
        <item>理性</item>
      </candidateList>
      <explain/>
      <paraID>242F895E</paraID>
      <start>5</start>
      <end>6</end>
      <status>unmodified</status>
      <modifiedWord/>
      <trackRevisions>false</trackRevisions>
    </reviewItem>
    <reviewItem>
      <errorID>cf78d90b-7029-4173-b678-028c3e51c9b8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65D46B94</paraID>
      <start>0</start>
      <end>2</end>
      <status>unmodified</status>
      <modifiedWord/>
      <trackRevisions>false</trackRevisions>
    </reviewItem>
    <reviewItem>
      <errorID>1fa608e3-f585-49ee-bc62-2ade25c603b4</errorID>
      <errorWord>(</errorWord>
      <group>L1_Format</group>
      <groupName>格式问题</groupName>
      <ability>L2_HalfPunc</ability>
      <abilityName>全半角检查</abilityName>
      <candidateList>
        <item>（</item>
      </candidateList>
      <explain>文本全半角错误。</explain>
      <paraID>1C7E9581</paraID>
      <start>17</start>
      <end>18</end>
      <status>unmodified</status>
      <modifiedWord/>
      <trackRevisions>false</trackRevisions>
    </reviewItem>
    <reviewItem>
      <errorID>6ab481ba-26ab-413d-a8ec-d6c88cccec44</errorID>
      <errorWord>)</errorWord>
      <group>L1_Format</group>
      <groupName>格式问题</groupName>
      <ability>L2_HalfPunc</ability>
      <abilityName>全半角检查</abilityName>
      <candidateList>
        <item>）</item>
      </candidateList>
      <explain>文本全半角错误。</explain>
      <paraID>1C7E9581</paraID>
      <start>20</start>
      <end>21</end>
      <status>unmodified</status>
      <modifiedWord/>
      <trackRevisions>false</trackRevisions>
    </reviewItem>
    <reviewItem>
      <errorID>aa8be6e7-ae49-454a-b958-8614f807c83e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682C6A75</paraID>
      <start>0</start>
      <end>2</end>
      <status>unmodified</status>
      <modifiedWord/>
      <trackRevisions>false</trackRevisions>
    </reviewItem>
    <reviewItem>
      <errorID>740befb2-ac85-4e60-9872-726a2870f2dc</errorID>
      <errorWord>溢散</errorWord>
      <group>L1_Word</group>
      <groupName>字词问题</groupName>
      <ability>L2_Typo</ability>
      <abilityName>字词错误</abilityName>
      <candidateList>
        <item>逸散</item>
      </candidateList>
      <explain/>
      <paraID>6AAFD889</paraID>
      <start>59</start>
      <end>61</end>
      <status>unmodified</status>
      <modifiedWord/>
      <trackRevisions>false</trackRevisions>
    </reviewItem>
    <reviewItem>
      <errorID>859438ae-cba6-4e48-bdf7-2ce171baed96</errorID>
      <errorWord>(</errorWord>
      <group>L1_Format</group>
      <groupName>格式问题</groupName>
      <ability>L2_HalfPunc</ability>
      <abilityName>全半角检查</abilityName>
      <candidateList>
        <item>（</item>
      </candidateList>
      <explain>文本全半角错误。</explain>
      <paraID> 163CBA9</paraID>
      <start>79</start>
      <end>80</end>
      <status>unmodified</status>
      <modifiedWord/>
      <trackRevisions>false</trackRevisions>
    </reviewItem>
    <reviewItem>
      <errorID>a67e3509-03e0-44c0-834c-241a218978be</errorID>
      <errorWord>)</errorWord>
      <group>L1_Format</group>
      <groupName>格式问题</groupName>
      <ability>L2_HalfPunc</ability>
      <abilityName>全半角检查</abilityName>
      <candidateList>
        <item>）</item>
      </candidateList>
      <explain>文本全半角错误。</explain>
      <paraID> 163CBA9</paraID>
      <start>91</start>
      <end>92</end>
      <status>unmodified</status>
      <modifiedWord/>
      <trackRevisions>false</trackRevisions>
    </reviewItem>
    <reviewItem>
      <errorID>ef5fdd84-b099-4e8e-862a-508447c9b2ad</errorID>
      <errorWord>(</errorWord>
      <group>L1_Format</group>
      <groupName>格式问题</groupName>
      <ability>L2_HalfPunc</ability>
      <abilityName>全半角检查</abilityName>
      <candidateList>
        <item>（</item>
      </candidateList>
      <explain>文本全半角错误。</explain>
      <paraID>13EE5D36</paraID>
      <start>30</start>
      <end>31</end>
      <status>unmodified</status>
      <modifiedWord/>
      <trackRevisions>false</trackRevisions>
    </reviewItem>
    <reviewItem>
      <errorID>b1a6f07b-6aac-4a76-9da9-8e91926e314d</errorID>
      <errorWord>)</errorWord>
      <group>L1_Format</group>
      <groupName>格式问题</groupName>
      <ability>L2_HalfPunc</ability>
      <abilityName>全半角检查</abilityName>
      <candidateList>
        <item>）</item>
      </candidateList>
      <explain>文本全半角错误。</explain>
      <paraID>13EE5D36</paraID>
      <start>42</start>
      <end>43</end>
      <status>unmodified</status>
      <modifiedWord/>
      <trackRevisions>false</trackRevisions>
    </reviewItem>
    <reviewItem>
      <errorID>7e7d299d-b469-4430-be5b-17bbb149fc78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24EAC5D2</paraID>
      <start>11</start>
      <end>12</end>
      <status>unmodified</status>
      <modifiedWord/>
      <trackRevisions>false</trackRevisions>
    </reviewItem>
    <reviewItem>
      <errorID>73eea63c-0c0d-4870-9fe2-e8701a01196c</errorID>
      <errorWord>&lt;</errorWord>
      <group>L1_Format</group>
      <groupName>格式问题</groupName>
      <ability>L2_HalfPunc</ability>
      <abilityName>全半角检查</abilityName>
      <candidateList>
        <item>〈</item>
      </candidateList>
      <explain>文本全半角错误。</explain>
      <paraID>7A8E2AE6</paraID>
      <start>41</start>
      <end>42</end>
      <status>unmodified</status>
      <modifiedWord/>
      <trackRevisions>false</trackRevisions>
    </reviewItem>
    <reviewItem>
      <errorID>99e5dbaf-ad86-4595-b51b-d234010ef917</errorID>
      <errorWord>&gt;的通知》</errorWord>
      <group>L1_Punc</group>
      <groupName>标点问题</groupName>
      <ability>L2_Punc</ability>
      <abilityName>标点符号检查</abilityName>
      <candidateList>
        <item>〉的通知》</item>
      </candidateList>
      <explain/>
      <paraID>7A8E2AE6</paraID>
      <start>59</start>
      <end>64</end>
      <status>unmodified</status>
      <modifiedWord/>
      <trackRevisions>false</trackRevisions>
    </reviewItem>
    <reviewItem>
      <errorID>a7b3888e-072b-4a42-b8c8-73e6b9caa1e5</errorID>
      <errorWord>III类</errorWord>
      <group>L1_Knowledge</group>
      <groupName>知识性问题</groupName>
      <ability>L2_Knowledge</ability>
      <abilityName>其他知识</abilityName>
      <candidateList>
        <item>Ⅲ类</item>
      </candidateList>
      <explain/>
      <paraID>7A8E2AE6</paraID>
      <start>111</start>
      <end>115</end>
      <status>unmodified</status>
      <modifiedWord/>
      <trackRevisions>false</trackRevisions>
    </reviewItem>
    <reviewItem>
      <errorID>a42ffbbe-40ef-41e1-8b1a-c6f772580c5b</errorID>
      <errorWord>III类</errorWord>
      <group>L1_Knowledge</group>
      <groupName>知识性问题</groupName>
      <ability>L2_Knowledge</ability>
      <abilityName>其他知识</abilityName>
      <candidateList>
        <item>Ⅲ类</item>
      </candidateList>
      <explain/>
      <paraID>7A8E2AE6</paraID>
      <start>149</start>
      <end>153</end>
      <status>unmodified</status>
      <modifiedWord/>
      <trackRevisions>false</trackRevisions>
    </reviewItem>
    <reviewItem>
      <errorID>10f80bc8-1d45-467e-bc84-bb2ab1301ebf</errorID>
      <errorWord>(</errorWord>
      <group>L1_Format</group>
      <groupName>格式问题</groupName>
      <ability>L2_HalfPunc</ability>
      <abilityName>全半角检查</abilityName>
      <candidateList>
        <item>（</item>
      </candidateList>
      <explain>文本全半角错误。</explain>
      <paraID>7A8E2AE6</paraID>
      <start>194</start>
      <end>195</end>
      <status>unmodified</status>
      <modifiedWord/>
      <trackRevisions>false</trackRevisions>
    </reviewItem>
    <reviewItem>
      <errorID>63479b58-db54-4fe4-8bd4-0b2854e8aef4</errorID>
      <errorWord>)</errorWord>
      <group>L1_Format</group>
      <groupName>格式问题</groupName>
      <ability>L2_HalfPunc</ability>
      <abilityName>全半角检查</abilityName>
      <candidateList>
        <item>）</item>
      </candidateList>
      <explain>文本全半角错误。</explain>
      <paraID>7A8E2AE6</paraID>
      <start>232</start>
      <end>233</end>
      <status>unmodified</status>
      <modifiedWord/>
      <trackRevisions>false</trackRevisions>
    </reviewItem>
    <reviewItem>
      <errorID>b66eb9a6-308c-4d60-874c-7d0db371394c</errorID>
      <errorWord>(</errorWord>
      <group>L1_Punc</group>
      <groupName>标点问题</groupName>
      <ability>L2_Punc</ability>
      <abilityName>标点符号检查</abilityName>
      <candidateList/>
      <explain>同一形式括号套用。</explain>
      <paraID>78D7BE71</paraID>
      <start>47</start>
      <end>48</end>
      <status>unmodified</status>
      <modifiedWord/>
      <trackRevisions>false</trackRevisions>
    </reviewItem>
    <reviewItem>
      <errorID>29a7dcc1-f023-405c-ae1f-ff9a9dea7cf0</errorID>
      <errorWord>)</errorWord>
      <group>L1_Punc</group>
      <groupName>标点问题</groupName>
      <ability>L2_Punc</ability>
      <abilityName>标点符号检查</abilityName>
      <candidateList/>
      <explain>同一形式括号套用。</explain>
      <paraID>78D7BE71</paraID>
      <start>49</start>
      <end>50</end>
      <status>unmodified</status>
      <modifiedWord/>
      <trackRevisions>false</trackRevisions>
    </reviewItem>
    <reviewItem>
      <errorID>f1d51369-c776-4a25-874a-1b74f0e3cf15</errorID>
      <errorWord>(</errorWord>
      <group>L1_Punc</group>
      <groupName>标点问题</groupName>
      <ability>L2_Punc</ability>
      <abilityName>标点符号检查</abilityName>
      <candidateList/>
      <explain>同一形式括号套用。</explain>
      <paraID>78D7BE71</paraID>
      <start>57</start>
      <end>58</end>
      <status>unmodified</status>
      <modifiedWord/>
      <trackRevisions>false</trackRevisions>
    </reviewItem>
    <reviewItem>
      <errorID>2edbe5dc-fe1a-488f-8b02-cb463bd1a62b</errorID>
      <errorWord>)</errorWord>
      <group>L1_Punc</group>
      <groupName>标点问题</groupName>
      <ability>L2_Punc</ability>
      <abilityName>标点符号检查</abilityName>
      <candidateList/>
      <explain>同一形式括号套用。</explain>
      <paraID>78D7BE71</paraID>
      <start>59</start>
      <end>60</end>
      <status>unmodified</status>
      <modifiedWord/>
      <trackRevisions>false</trackRevisions>
    </reviewItem>
    <reviewItem>
      <errorID>046ff0ec-7b8c-404f-885a-e928a36dd8a3</errorID>
      <errorWord>）</errorWord>
      <group>L1_Punc</group>
      <groupName>标点问题</groupName>
      <ability>L2_Punc</ability>
      <abilityName>标点符号检查</abilityName>
      <candidateList/>
      <explain>同一形式括号套用。</explain>
      <paraID>78D7BE71</paraID>
      <start>60</start>
      <end>61</end>
      <status>unmodified</status>
      <modifiedWord/>
      <trackRevisions>false</trackRevisions>
    </reviewItem>
    <reviewItem>
      <errorID>ad8b03db-3f2f-42c3-bacb-44d4d3535615</errorID>
      <errorWord>勘踏</errorWord>
      <group>L1_Knowledge</group>
      <groupName>知识性问题</groupName>
      <ability>L2_Knowledge</ability>
      <abilityName>其他知识</abilityName>
      <candidateList>
        <item>勘探</item>
      </candidateList>
      <explain/>
      <paraID>1283FAA1</paraID>
      <start>23</start>
      <end>25</end>
      <status>unmodified</status>
      <modifiedWord/>
      <trackRevisions>false</trackRevisions>
    </reviewItem>
    <reviewItem>
      <errorID>92df9e64-3436-4dc3-923b-cee36f31af9d</errorID>
      <errorWord>）</errorWord>
      <group>L1_Format</group>
      <groupName>格式问题</groupName>
      <ability>L2_HalfPunc</ability>
      <abilityName>全半角检查</abilityName>
      <candidateList>
        <item>)</item>
      </candidateList>
      <explain>文本全半角错误。</explain>
      <paraID>78BE6F6F</paraID>
      <start>4</start>
      <end>5</end>
      <status>unmodified</status>
      <modifiedWord/>
      <trackRevisions>false</trackRevisions>
    </reviewItem>
    <reviewItem>
      <errorID>66ba5197-6e8d-4cce-a4ed-d7a34f5ac61d</errorID>
      <errorWord>程</errorWord>
      <group>L1_Word</group>
      <groupName>字词问题</groupName>
      <ability>L2_Typo</ability>
      <abilityName>字词错误</abilityName>
      <candidateList>
        <item>程中</item>
      </candidateList>
      <explain/>
      <paraID>4467FED7</paraID>
      <start>88</start>
      <end>89</end>
      <status>unmodified</status>
      <modifiedWord/>
      <trackRevisions>false</trackRevisions>
    </reviewItem>
    <reviewItem>
      <errorID>6930b0eb-f0c4-41e8-98b4-c04d034e78da</errorID>
      <errorWord>期</errorWord>
      <group>L1_Word</group>
      <groupName>字词问题</groupName>
      <ability>L2_Typo</ability>
      <abilityName>字词错误</abilityName>
      <candidateList>
        <item>期间</item>
      </candidateList>
      <explain>〈名〉某个时期里面：农忙～｜春节～｜抗战～。</explain>
      <paraID>4467FED7</paraID>
      <start>192</start>
      <end>193</end>
      <status>unmodified</status>
      <modifiedWord/>
      <trackRevisions>false</trackRevisions>
    </reviewItem>
    <reviewItem>
      <errorID>fb26371c-a028-4eac-a5dd-7314b166e6fc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6A54D718</paraID>
      <start>0</start>
      <end>2</end>
      <status>unmodified</status>
      <modifiedWord/>
      <trackRevisions>false</trackRevisions>
    </reviewItem>
    <reviewItem>
      <errorID>6433d839-4357-46b7-a2f4-195fc6bb39cb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1FB9403E</paraID>
      <start>0</start>
      <end>2</end>
      <status>unmodified</status>
      <modifiedWord/>
      <trackRevisions>false</trackRevisions>
    </reviewItem>
    <reviewItem>
      <errorID>a406d983-e18a-4705-abda-4fac6085bd09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4D075DAB</paraID>
      <start>0</start>
      <end>2</end>
      <status>unmodified</status>
      <modifiedWord/>
      <trackRevisions>false</trackRevisions>
    </reviewItem>
    <reviewItem>
      <errorID>34d0c399-4fba-4392-b2c7-0231942b886d</errorID>
      <errorWord>）</errorWord>
      <group>L1_Punc</group>
      <groupName>标点问题</groupName>
      <ability>L2_Punc</ability>
      <abilityName>标点符号检查</abilityName>
      <candidateList/>
      <explain>此处标点可能未正确匹配，请检查句子中是否存在标点冗余、缺失或使用错误的情况。</explain>
      <paraID> 89EFB43</paraID>
      <start>53</start>
      <end>54</end>
      <status>unmodified</status>
      <modifiedWord/>
      <trackRevisions>false</trackRevisions>
    </reviewItem>
    <reviewItem>
      <errorID>e10a8c81-9fb6-4eb1-97b1-d4610a7e1908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1BB173E9</paraID>
      <start>0</start>
      <end>2</end>
      <status>unmodified</status>
      <modifiedWord/>
      <trackRevisions>false</trackRevisions>
    </reviewItem>
    <reviewItem>
      <errorID>44ef9993-18c0-431e-a417-d732b35a1828</errorID>
      <errorWord>程</errorWord>
      <group>L1_Word</group>
      <groupName>字词问题</groupName>
      <ability>L2_Typo</ability>
      <abilityName>字词错误</abilityName>
      <candidateList>
        <item>程中</item>
      </candidateList>
      <explain/>
      <paraID>356E2C95</paraID>
      <start>137</start>
      <end>138</end>
      <status>unmodified</status>
      <modifiedWord/>
      <trackRevisions>false</trackRevisions>
    </reviewItem>
    <reviewItem>
      <errorID>4a3f6fec-0634-45d0-8e91-8138e2d2cb3b</errorID>
      <errorWord>v：</errorWord>
      <group>L1_Format</group>
      <groupName>格式问题</groupName>
      <ability>L2_Ordinal</ability>
      <abilityName>序号格式</abilityName>
      <candidateList>
        <item>v.</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6B0A36EF</paraID>
      <start>0</start>
      <end>2</end>
      <status>unmodified</status>
      <modifiedWord/>
      <trackRevisions>false</trackRevisions>
    </reviewItem>
    <reviewItem>
      <errorID>58b2f306-11ab-4012-860d-ec20f5edbe03</errorID>
      <errorWord>）</errorWord>
      <group>L1_Format</group>
      <groupName>格式问题</groupName>
      <ability>L2_HalfPunc</ability>
      <abilityName>全半角检查</abilityName>
      <candidateList>
        <item>)</item>
      </candidateList>
      <explain>文本全半角错误。</explain>
      <paraID> 11C63B0</paraID>
      <start>10</start>
      <end>11</end>
      <status>unmodified</status>
      <modifiedWord/>
      <trackRevisions>false</trackRevisions>
    </reviewItem>
    <reviewItem>
      <errorID>b738011a-e28a-4a41-bc7f-481091412ad2</errorID>
      <errorWord>）</errorWord>
      <group>L1_Format</group>
      <groupName>格式问题</groupName>
      <ability>L2_HalfPunc</ability>
      <abilityName>全半角检查</abilityName>
      <candidateList>
        <item>)</item>
      </candidateList>
      <explain>文本全半角错误。</explain>
      <paraID> 11C63B0</paraID>
      <start>17</start>
      <end>18</end>
      <status>unmodified</status>
      <modifiedWord/>
      <trackRevisions>false</trackRevisions>
    </reviewItem>
    <reviewItem>
      <errorID>a10cef4c-8477-434b-a6f6-647ee49d55f5</errorID>
      <errorWord>）</errorWord>
      <group>L1_Format</group>
      <groupName>格式问题</groupName>
      <ability>L2_HalfPunc</ability>
      <abilityName>全半角检查</abilityName>
      <candidateList>
        <item>)</item>
      </candidateList>
      <explain>文本全半角错误。</explain>
      <paraID> 11C63B0</paraID>
      <start>24</start>
      <end>25</end>
      <status>unmodified</status>
      <modifiedWord/>
      <trackRevisions>false</trackRevisions>
    </reviewItem>
    <reviewItem>
      <errorID>cae3888c-9b8b-4ead-8c58-d7d0af2175dc</errorID>
      <errorWord>）</errorWord>
      <group>L1_Format</group>
      <groupName>格式问题</groupName>
      <ability>L2_HalfPunc</ability>
      <abilityName>全半角检查</abilityName>
      <candidateList>
        <item>)</item>
      </candidateList>
      <explain>文本全半角错误。</explain>
      <paraID>3ADEE9BD</paraID>
      <start>6</start>
      <end>7</end>
      <status>unmodified</status>
      <modifiedWord/>
      <trackRevisions>false</trackRevisions>
    </reviewItem>
    <reviewItem>
      <errorID>78cb0937-bd4b-466b-9f30-8e265091e3ca</errorID>
      <errorWord>）</errorWord>
      <group>L1_Format</group>
      <groupName>格式问题</groupName>
      <ability>L2_HalfPunc</ability>
      <abilityName>全半角检查</abilityName>
      <candidateList>
        <item>)</item>
      </candidateList>
      <explain>文本全半角错误。</explain>
      <paraID>36BF64A4</paraID>
      <start>6</start>
      <end>7</end>
      <status>unmodified</status>
      <modifiedWord/>
      <trackRevisions>false</trackRevisions>
    </reviewItem>
    <reviewItem>
      <errorID>54917227-8eb2-43b1-82df-98917d83a42b</errorID>
      <errorWord>(</errorWord>
      <group>L1_Format</group>
      <groupName>格式问题</groupName>
      <ability>L2_HalfPunc</ability>
      <abilityName>全半角检查</abilityName>
      <candidateList>
        <item>（</item>
      </candidateList>
      <explain>文本全半角错误。</explain>
      <paraID>61D9E2E4</paraID>
      <start>3</start>
      <end>4</end>
      <status>unmodified</status>
      <modifiedWord/>
      <trackRevisions>false</trackRevisions>
    </reviewItem>
    <reviewItem>
      <errorID>1f074ab3-a216-4f54-90f4-9387f4a66243</errorID>
      <errorWord>)</errorWord>
      <group>L1_Format</group>
      <groupName>格式问题</groupName>
      <ability>L2_HalfPunc</ability>
      <abilityName>全半角检查</abilityName>
      <candidateList>
        <item>）</item>
      </candidateList>
      <explain>文本全半角错误。</explain>
      <paraID>61D9E2E4</paraID>
      <start>7</start>
      <end>8</end>
      <status>unmodified</status>
      <modifiedWord/>
      <trackRevisions>false</trackRevisions>
    </reviewItem>
    <reviewItem>
      <errorID>0ff1e8f3-6d62-421d-a0d3-9aa50007bd79</errorID>
      <errorWord>&lt;</errorWord>
      <group>L1_Format</group>
      <groupName>格式问题</groupName>
      <ability>L2_HalfPunc</ability>
      <abilityName>全半角检查</abilityName>
      <candidateList>
        <item>〈</item>
      </candidateList>
      <explain>文本全半角错误。</explain>
      <paraID>59C10952</paraID>
      <start>37</start>
      <end>38</end>
      <status>unmodified</status>
      <modifiedWord/>
      <trackRevisions>false</trackRevisions>
    </reviewItem>
    <reviewItem>
      <errorID>27c4ad1b-1808-4b2d-80ed-6fe160834f28</errorID>
      <errorWord>&gt;</errorWord>
      <group>L1_Format</group>
      <groupName>格式问题</groupName>
      <ability>L2_HalfPunc</ability>
      <abilityName>全半角检查</abilityName>
      <candidateList>
        <item>〉</item>
      </candidateList>
      <explain>文本全半角错误。</explain>
      <paraID>59C10952</paraID>
      <start>57</start>
      <end>58</end>
      <status>unmodified</status>
      <modifiedWord/>
      <trackRevisions>false</trackRevisions>
    </reviewItem>
    <reviewItem>
      <errorID>439413a4-9013-4b3c-a3bb-8a3068ffb160</errorID>
      <errorWord>干发</errorWord>
      <group>L1_Word</group>
      <groupName>字词问题</groupName>
      <ability>L2_Typo</ability>
      <abilityName>字词错误</abilityName>
      <candidateList>
        <item>干法</item>
      </candidateList>
      <explain/>
      <paraID>59C10952</paraID>
      <start>144</start>
      <end>146</end>
      <status>modified</status>
      <modifiedWord>干法</modifiedWord>
      <trackRevisions>false</trackRevisions>
    </reviewItem>
    <reviewItem>
      <errorID>65e8f094-3ccc-4ee7-a230-c2e2fc94b503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2975418B</paraID>
      <start>0</start>
      <end>2</end>
      <status>unmodified</status>
      <modifiedWord/>
      <trackRevisions>false</trackRevisions>
    </reviewItem>
    <reviewItem>
      <errorID>b5e093ab-006e-4284-95c1-7243d8a034b3</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FB9EBD5</paraID>
      <start>0</start>
      <end>2</end>
      <status>unmodified</status>
      <modifiedWord/>
      <trackRevisions>false</trackRevisions>
    </reviewItem>
    <reviewItem>
      <errorID>1c83f101-734f-4f0c-a53d-50aa262cf738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71BAFADF</paraID>
      <start>0</start>
      <end>2</end>
      <status>unmodified</status>
      <modifiedWord/>
      <trackRevisions>false</trackRevisions>
    </reviewItem>
    <reviewItem>
      <errorID>b5338fbf-bd2e-4d98-9507-012a03938536</errorID>
      <errorWord>(</errorWord>
      <group>L1_Format</group>
      <groupName>格式问题</groupName>
      <ability>L2_HalfPunc</ability>
      <abilityName>全半角检查</abilityName>
      <candidateList>
        <item>（</item>
      </candidateList>
      <explain>文本全半角错误。</explain>
      <paraID> 2DF4FC1</paraID>
      <start>81</start>
      <end>82</end>
      <status>unmodified</status>
      <modifiedWord/>
      <trackRevisions>false</trackRevisions>
    </reviewItem>
    <reviewItem>
      <errorID>a375249a-52f8-4f74-8b17-9731905a1be2</errorID>
      <errorWord>)</errorWord>
      <group>L1_Format</group>
      <groupName>格式问题</groupName>
      <ability>L2_HalfPunc</ability>
      <abilityName>全半角检查</abilityName>
      <candidateList>
        <item>）</item>
      </candidateList>
      <explain>文本全半角错误。</explain>
      <paraID> 2DF4FC1</paraID>
      <start>85</start>
      <end>86</end>
      <status>unmodified</status>
      <modifiedWord/>
      <trackRevisions>false</trackRevisions>
    </reviewItem>
    <reviewItem>
      <errorID>58de20fd-311d-4b90-b194-75d69b5920df</errorID>
      <errorWord>）</errorWord>
      <group>L1_Punc</group>
      <groupName>标点问题</groupName>
      <ability>L2_Punc</ability>
      <abilityName>标点符号检查</abilityName>
      <candidateList/>
      <explain>此处标点可能未正确匹配，请检查句子中是否存在标点冗余、缺失或使用错误的情况。</explain>
      <paraID>5DBCE4B1</paraID>
      <start>137</start>
      <end>138</end>
      <status>unmodified</status>
      <modifiedWord/>
      <trackRevisions>false</trackRevisions>
    </reviewItem>
    <reviewItem>
      <errorID>24feb97e-2de0-407c-a97d-dd6cfca38ed5</errorID>
      <errorWord>污水厂</errorWord>
      <group>L1_Word</group>
      <groupName>字词问题</groupName>
      <ability>L2_Typo</ability>
      <abilityName>字词错误</abilityName>
      <candidateList>
        <item>污水处理厂</item>
      </candidateList>
      <explain/>
      <paraID>3E74CD1E</paraID>
      <start>95</start>
      <end>98</end>
      <status>unmodified</status>
      <modifiedWord/>
      <trackRevisions>false</trackRevisions>
    </reviewItem>
    <reviewItem>
      <errorID>aef2dcc2-4050-41c7-85c4-936ae2f62820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68733AAA</paraID>
      <start>0</start>
      <end>2</end>
      <status>unmodified</status>
      <modifiedWord/>
      <trackRevisions>false</trackRevisions>
    </reviewItem>
    <reviewItem>
      <errorID>ac27344d-f0a9-4954-b58a-13c8bc36af2b</errorID>
      <errorWord>）</errorWord>
      <group>L1_Format</group>
      <groupName>格式问题</groupName>
      <ability>L2_HalfPunc</ability>
      <abilityName>全半角检查</abilityName>
      <candidateList>
        <item>)</item>
      </candidateList>
      <explain>文本全半角错误。</explain>
      <paraID>49E2D42E</paraID>
      <start>4</start>
      <end>5</end>
      <status>unmodified</status>
      <modifiedWord/>
      <trackRevisions>false</trackRevisions>
    </reviewItem>
    <reviewItem>
      <errorID>335c03b7-740f-4773-bd25-3c05b3befd44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1681EDA</paraID>
      <start>0</start>
      <end>2</end>
      <status>unmodified</status>
      <modifiedWord/>
      <trackRevisions>false</trackRevisions>
    </reviewItem>
    <reviewItem>
      <errorID>f99f1d10-bb64-41f3-b89e-cd628daac98a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6D907F18</paraID>
      <start>0</start>
      <end>2</end>
      <status>unmodified</status>
      <modifiedWord/>
      <trackRevisions>false</trackRevisions>
    </reviewItem>
    <reviewItem>
      <errorID>ec24e5c6-093e-4da8-b10f-950d99a89409</errorID>
      <errorWord>(</errorWord>
      <group>L1_Format</group>
      <groupName>格式问题</groupName>
      <ability>L2_HalfPunc</ability>
      <abilityName>全半角检查</abilityName>
      <candidateList>
        <item>（</item>
      </candidateList>
      <explain>文本全半角错误。</explain>
      <paraID>714A0DF0</paraID>
      <start>117</start>
      <end>118</end>
      <status>unmodified</status>
      <modifiedWord/>
      <trackRevisions>false</trackRevisions>
    </reviewItem>
    <reviewItem>
      <errorID>bb608861-7d3f-4044-85da-833c1d4edbb2</errorID>
      <errorWord>)</errorWord>
      <group>L1_Format</group>
      <groupName>格式问题</groupName>
      <ability>L2_HalfPunc</ability>
      <abilityName>全半角检查</abilityName>
      <candidateList>
        <item>）</item>
      </candidateList>
      <explain>文本全半角错误。</explain>
      <paraID>714A0DF0</paraID>
      <start>130</start>
      <end>131</end>
      <status>unmodified</status>
      <modifiedWord/>
      <trackRevisions>false</trackRevisions>
    </reviewItem>
    <reviewItem>
      <errorID>0874d53f-937d-4cef-9da2-370d7e1e686f</errorID>
      <errorWord>(</errorWord>
      <group>L1_Format</group>
      <groupName>格式问题</groupName>
      <ability>L2_HalfPunc</ability>
      <abilityName>全半角检查</abilityName>
      <candidateList>
        <item>（</item>
      </candidateList>
      <explain>文本全半角错误。</explain>
      <paraID>714A0DF0</paraID>
      <start>158</start>
      <end>159</end>
      <status>unmodified</status>
      <modifiedWord/>
      <trackRevisions>false</trackRevisions>
    </reviewItem>
    <reviewItem>
      <errorID>fb0245f0-3733-491e-8d63-27ac27af8f34</errorID>
      <errorWord>)</errorWord>
      <group>L1_Format</group>
      <groupName>格式问题</groupName>
      <ability>L2_HalfPunc</ability>
      <abilityName>全半角检查</abilityName>
      <candidateList>
        <item>）</item>
      </candidateList>
      <explain>文本全半角错误。</explain>
      <paraID>714A0DF0</paraID>
      <start>171</start>
      <end>172</end>
      <status>unmodified</status>
      <modifiedWord/>
      <trackRevisions>false</trackRevisions>
    </reviewItem>
    <reviewItem>
      <errorID>58829ceb-cda9-4669-83cb-d458d09dc01c</errorID>
      <errorWord>污水厂</errorWord>
      <group>L1_Word</group>
      <groupName>字词问题</groupName>
      <ability>L2_Typo</ability>
      <abilityName>字词错误</abilityName>
      <candidateList>
        <item>污水处理厂</item>
      </candidateList>
      <explain/>
      <paraID>78E4B5D9</paraID>
      <start>76</start>
      <end>79</end>
      <status>unmodified</status>
      <modifiedWord/>
      <trackRevisions>false</trackRevisions>
    </reviewItem>
    <reviewItem>
      <errorID>4608b1f7-9fbb-4ddb-8079-56f20d60ec54</errorID>
      <errorWord>污水厂</errorWord>
      <group>L1_Word</group>
      <groupName>字词问题</groupName>
      <ability>L2_Typo</ability>
      <abilityName>字词错误</abilityName>
      <candidateList>
        <item>污水处理厂</item>
      </candidateList>
      <explain/>
      <paraID>78E4B5D9</paraID>
      <start>156</start>
      <end>159</end>
      <status>unmodified</status>
      <modifiedWord/>
      <trackRevisions>false</trackRevisions>
    </reviewItem>
    <reviewItem>
      <errorID>2b0276c1-4dd4-4d09-8eb2-36dc4c0baa0f</errorID>
      <errorWord>(</errorWord>
      <group>L1_Format</group>
      <groupName>格式问题</groupName>
      <ability>L2_HalfPunc</ability>
      <abilityName>全半角检查</abilityName>
      <candidateList>
        <item>（</item>
      </candidateList>
      <explain>文本全半角错误。</explain>
      <paraID>78E4B5D9</paraID>
      <start>253</start>
      <end>254</end>
      <status>unmodified</status>
      <modifiedWord/>
      <trackRevisions>false</trackRevisions>
    </reviewItem>
    <reviewItem>
      <errorID>fb0f9cb5-14dd-44ef-b99f-45cb88045405</errorID>
      <errorWord>)</errorWord>
      <group>L1_Format</group>
      <groupName>格式问题</groupName>
      <ability>L2_HalfPunc</ability>
      <abilityName>全半角检查</abilityName>
      <candidateList>
        <item>）</item>
      </candidateList>
      <explain>文本全半角错误。</explain>
      <paraID>78E4B5D9</paraID>
      <start>266</start>
      <end>267</end>
      <status>unmodified</status>
      <modifiedWord/>
      <trackRevisions>false</trackRevisions>
    </reviewItem>
    <reviewItem>
      <errorID>1460320c-57c5-4cad-8051-e0e83949b077</errorID>
      <errorWord>有</errorWord>
      <group>L1_Word</group>
      <groupName>字词问题</groupName>
      <ability>L2_Typo</ability>
      <abilityName>字词错误</abilityName>
      <candidateList>
        <item>为</item>
      </candidateList>
      <explain>存在字形相近字词的误用。</explain>
      <paraID>22947BEC</paraID>
      <start>76</start>
      <end>77</end>
      <status>unmodified</status>
      <modifiedWord/>
      <trackRevisions>false</trackRevisions>
    </reviewItem>
    <reviewItem>
      <errorID>9ffc7a45-1d9c-4f16-b296-9ab11774faa1</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4C7FEBAA</paraID>
      <start>0</start>
      <end>2</end>
      <status>unmodified</status>
      <modifiedWord/>
      <trackRevisions>false</trackRevisions>
    </reviewItem>
    <reviewItem>
      <errorID>340b6afa-4532-44ef-b715-fe297fe1208a</errorID>
      <errorWord>(</errorWord>
      <group>L1_Format</group>
      <groupName>格式问题</groupName>
      <ability>L2_HalfPunc</ability>
      <abilityName>全半角检查</abilityName>
      <candidateList>
        <item>（</item>
      </candidateList>
      <explain>文本全半角错误。</explain>
      <paraID>7087D9E0</paraID>
      <start>18</start>
      <end>19</end>
      <status>unmodified</status>
      <modifiedWord/>
      <trackRevisions>false</trackRevisions>
    </reviewItem>
    <reviewItem>
      <errorID>85551569-f618-471a-b6f5-fc6ae34936bf</errorID>
      <errorWord>)</errorWord>
      <group>L1_Format</group>
      <groupName>格式问题</groupName>
      <ability>L2_HalfPunc</ability>
      <abilityName>全半角检查</abilityName>
      <candidateList>
        <item>）</item>
      </candidateList>
      <explain>文本全半角错误。</explain>
      <paraID>7087D9E0</paraID>
      <start>29</start>
      <end>30</end>
      <status>unmodified</status>
      <modifiedWord/>
      <trackRevisions>false</trackRevisions>
    </reviewItem>
    <reviewItem>
      <errorID>3279d91e-7930-4abd-944d-e12208066cf6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148E7F08</paraID>
      <start>0</start>
      <end>2</end>
      <status>unmodified</status>
      <modifiedWord/>
      <trackRevisions>false</trackRevisions>
    </reviewItem>
    <reviewItem>
      <errorID>ab964793-ef66-4f58-b180-befed8a3c38d</errorID>
      <errorWord>北</errorWord>
      <group>L1_Word</group>
      <groupName>字词问题</groupName>
      <ability>L2_Typo</ability>
      <abilityName>字词错误</abilityName>
      <candidateList>
        <item>被</item>
      </candidateList>
      <explain>❶〈介〉用于被动句，引进动作的施事，前面的主语是动作的受事（施动者放在被字后，但有时省略）：解放军到处～（人）尊敬｜那棵树～（大风）刮倒了｜这套书～人借走了一本｜他～选为代表。❷〈助〉用在动词前表示被动的动作：～压迫民族｜～剥削阶级。</explain>
      <paraID>53EAFCA5</paraID>
      <start>0</start>
      <end>1</end>
      <status>unmodified</status>
      <modifiedWord/>
      <trackRevisions>false</trackRevisions>
    </reviewItem>
    <reviewItem>
      <errorID>69f49b99-a1ed-440c-9647-8dfd00b7bab3</errorID>
      <errorWord>北</errorWord>
      <group>L1_Word</group>
      <groupName>字词问题</groupName>
      <ability>L2_Typo</ability>
      <abilityName>字词错误</abilityName>
      <candidateList>
        <item>被</item>
      </candidateList>
      <explain>❶〈介〉用于被动句，引进动作的施事，前面的主语是动作的受事（施动者放在被字后，但有时省略）：解放军到处～（人）尊敬｜那棵树～（大风）刮倒了｜这套书～人借走了一本｜他～选为代表。❷〈助〉用在动词前表示被动的动作：～压迫民族｜～剥削阶级。</explain>
      <paraID>4B6AEA7B</paraID>
      <start>0</start>
      <end>1</end>
      <status>unmodified</status>
      <modifiedWord/>
      <trackRevisions>false</trackRevisions>
    </reviewItem>
    <reviewItem>
      <errorID>efcdf4cb-4eee-43c9-b262-ab329d6bb756</errorID>
      <errorWord>北</errorWord>
      <group>L1_Word</group>
      <groupName>字词问题</groupName>
      <ability>L2_Typo</ability>
      <abilityName>字词错误</abilityName>
      <candidateList>
        <item>被</item>
      </candidateList>
      <explain>❶〈介〉用于被动句，引进动作的施事，前面的主语是动作的受事（施动者放在被字后，但有时省略）：解放军到处～（人）尊敬｜那棵树～（大风）刮倒了｜这套书～人借走了一本｜他～选为代表。❷〈助〉用在动词前表示被动的动作：～压迫民族｜～剥削阶级。</explain>
      <paraID>7B0BB442</paraID>
      <start>0</start>
      <end>1</end>
      <status>unmodified</status>
      <modifiedWord/>
      <trackRevisions>false</trackRevisions>
    </reviewItem>
    <reviewItem>
      <errorID>84b78ab3-323a-4a29-b031-8e16247a773c</errorID>
      <errorWord>北</errorWord>
      <group>L1_Word</group>
      <groupName>字词问题</groupName>
      <ability>L2_Typo</ability>
      <abilityName>字词错误</abilityName>
      <candidateList>
        <item>被</item>
      </candidateList>
      <explain>❶〈介〉用于被动句，引进动作的施事，前面的主语是动作的受事（施动者放在被字后，但有时省略）：解放军到处～（人）尊敬｜那棵树～（大风）刮倒了｜这套书～人借走了一本｜他～选为代表。❷〈助〉用在动词前表示被动的动作：～压迫民族｜～剥削阶级。</explain>
      <paraID>2CDC0054</paraID>
      <start>0</start>
      <end>1</end>
      <status>unmodified</status>
      <modifiedWord/>
      <trackRevisions>false</trackRevisions>
    </reviewItem>
    <reviewItem>
      <errorID>1537aa84-ba8c-4f25-9f77-46727fc93123</errorID>
      <errorWord>北</errorWord>
      <group>L1_Word</group>
      <groupName>字词问题</groupName>
      <ability>L2_Typo</ability>
      <abilityName>字词错误</abilityName>
      <candidateList>
        <item>被</item>
      </candidateList>
      <explain>❶〈介〉用于被动句，引进动作的施事，前面的主语是动作的受事（施动者放在被字后，但有时省略）：解放军到处～（人）尊敬｜那棵树～（大风）刮倒了｜这套书～人借走了一本｜他～选为代表。❷〈助〉用在动词前表示被动的动作：～压迫民族｜～剥削阶级。</explain>
      <paraID>5E1339A7</paraID>
      <start>0</start>
      <end>1</end>
      <status>unmodified</status>
      <modifiedWord/>
      <trackRevisions>false</trackRevisions>
    </reviewItem>
    <reviewItem>
      <errorID>25152ec3-be53-4a44-97a7-241669c5a8c9</errorID>
      <errorWord>北</errorWord>
      <group>L1_Word</group>
      <groupName>字词问题</groupName>
      <ability>L2_Typo</ability>
      <abilityName>字词错误</abilityName>
      <candidateList>
        <item>被</item>
      </candidateList>
      <explain>❶〈介〉用于被动句，引进动作的施事，前面的主语是动作的受事（施动者放在被字后，但有时省略）：解放军到处～（人）尊敬｜那棵树～（大风）刮倒了｜这套书～人借走了一本｜他～选为代表。❷〈助〉用在动词前表示被动的动作：～压迫民族｜～剥削阶级。</explain>
      <paraID>7A20EE56</paraID>
      <start>0</start>
      <end>1</end>
      <status>unmodified</status>
      <modifiedWord/>
      <trackRevisions>false</trackRevisions>
    </reviewItem>
    <reviewItem>
      <errorID>06bb798b-4445-4a16-8035-4c93b7e85aab</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4F466A7B</paraID>
      <start>0</start>
      <end>2</end>
      <status>unmodified</status>
      <modifiedWord/>
      <trackRevisions>false</trackRevisions>
    </reviewItem>
    <reviewItem>
      <errorID>d188a896-3703-40cc-8b0d-d58fec002283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3DCD87C5</paraID>
      <start>0</start>
      <end>2</end>
      <status>unmodified</status>
      <modifiedWord/>
      <trackRevisions>false</trackRevisions>
    </reviewItem>
    <reviewItem>
      <errorID>56f25a1b-fdf9-41e3-92a4-357bfd0c49c9</errorID>
      <errorWord>、</errorWord>
      <group>L1_Punc</group>
      <groupName>标点问题</groupName>
      <ability>L2_Punc</ability>
      <abilityName>标点符号检查</abilityName>
      <candidateList>
        <item>.</item>
      </candidateList>
      <explain/>
      <paraID>377E0D83</paraID>
      <start>1</start>
      <end>2</end>
      <status>unmodified</status>
      <modifiedWord/>
      <trackRevisions>false</trackRevisions>
    </reviewItem>
    <reviewItem>
      <errorID>75bbdaef-7b1e-4b34-aa9f-f8625605fd3a</errorID>
      <errorWord>、</errorWord>
      <group>L1_Punc</group>
      <groupName>标点问题</groupName>
      <ability>L2_Punc</ability>
      <abilityName>标点符号检查</abilityName>
      <candidateList>
        <item>.</item>
      </candidateList>
      <explain/>
      <paraID>1C1A8035</paraID>
      <start>1</start>
      <end>2</end>
      <status>unmodified</status>
      <modifiedWord/>
      <trackRevisions>false</trackRevisions>
    </reviewItem>
    <reviewItem>
      <errorID>2695232e-b9a7-4353-91bb-f4ac822191f9</errorID>
      <errorWord>别</errorWord>
      <group>L1_Word</group>
      <groupName>字词问题</groupName>
      <ability>L2_Typo</ability>
      <abilityName>字词错误</abilityName>
      <candidateList>
        <item>别是</item>
      </candidateList>
      <explain/>
      <paraID>102640D0</paraID>
      <start>42</start>
      <end>44</end>
      <status>modified</status>
      <modifiedWord>别是</modifiedWord>
      <trackRevisions>false</trackRevisions>
    </reviewItem>
    <reviewItem>
      <errorID>0c1e1615-0dac-4278-9c0b-2c1b10df495a</errorID>
      <errorWord>上述的</errorWord>
      <group>L1_Word</group>
      <groupName>字词问题</groupName>
      <ability>L2_Typo</ability>
      <abilityName>字词错误</abilityName>
      <candidateList>
        <item>上述</item>
      </candidateList>
      <explain>〈形〉属性词。上面所说的：～各条，望切实执行。</explain>
      <paraID>48D7E62E</paraID>
      <start>25</start>
      <end>27</end>
      <status>modified</status>
      <modifiedWord>上述</modifiedWord>
      <trackRevisions>false</trackRevisions>
    </reviewItem>
    <reviewItem>
      <errorID>026b27bc-07db-4757-b66a-4d26c233a2df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3C60B0</paraID>
      <start>0</start>
      <end>2</end>
      <status>unmodified</status>
      <modifiedWord/>
      <trackRevisions>false</trackRevisions>
    </reviewItem>
    <reviewItem>
      <errorID>457864ac-eff1-4eb6-8ce8-c906f42617b9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7293792</paraID>
      <start>0</start>
      <end>2</end>
      <status>unmodified</status>
      <modifiedWord/>
      <trackRevisions>false</trackRevisions>
    </reviewItem>
    <reviewItem>
      <errorID>cd08cc85-4057-4c48-8e55-c4f3f7d7ec17</errorID>
      <errorWord>~</errorWord>
      <group>L1_Format</group>
      <groupName>格式问题</groupName>
      <ability>L2_HalfPunc</ability>
      <abilityName>全半角检查</abilityName>
      <candidateList>
        <item>～</item>
      </candidateList>
      <explain>文本全半角错误。</explain>
      <paraID>3480823E</paraID>
      <start>54</start>
      <end>55</end>
      <status>unmodified</status>
      <modifiedWord/>
      <trackRevisions>false</trackRevisions>
    </reviewItem>
    <reviewItem>
      <errorID>65b8d703-dcf1-4d73-a7d0-d7170d5aa751</errorID>
      <errorWord>，考</errorWord>
      <group>L1_Word</group>
      <groupName>字词问题</groupName>
      <ability>L2_Typo</ability>
      <abilityName>字词错误</abilityName>
      <candidateList>
        <item>，</item>
      </candidateList>
      <explain/>
      <paraID>4AD5EAAD</paraID>
      <start>27</start>
      <end>29</end>
      <status>unmodified</status>
      <modifiedWord/>
      <trackRevisions>false</trackRevisions>
    </reviewItem>
    <reviewItem>
      <errorID>1403179b-74c1-40c6-91bc-1e8187d8051b</errorID>
      <errorWord>&lt;</errorWord>
      <group>L1_Format</group>
      <groupName>格式问题</groupName>
      <ability>L2_HalfPunc</ability>
      <abilityName>全半角检查</abilityName>
      <candidateList>
        <item>〈</item>
      </candidateList>
      <explain>文本全半角错误。</explain>
      <paraID>39FB3358</paraID>
      <start>61</start>
      <end>62</end>
      <status>unmodified</status>
      <modifiedWord/>
      <trackRevisions>false</trackRevisions>
    </reviewItem>
    <reviewItem>
      <errorID>8f0f429c-20ba-41fa-ae8f-2bee4d25b786</errorID>
      <errorWord>&gt;的通知》</errorWord>
      <group>L1_Punc</group>
      <groupName>标点问题</groupName>
      <ability>L2_Punc</ability>
      <abilityName>标点符号检查</abilityName>
      <candidateList>
        <item>〉的通知》</item>
      </candidateList>
      <explain/>
      <paraID>39FB3358</paraID>
      <start>83</start>
      <end>88</end>
      <status>unmodified</status>
      <modifiedWord/>
      <trackRevisions>false</trackRevisions>
    </reviewItem>
    <reviewItem>
      <errorID>6299fe53-e04b-4cc7-9ab1-92519a020bb0</errorID>
      <errorWord>&lt;</errorWord>
      <group>L1_Format</group>
      <groupName>格式问题</groupName>
      <ability>L2_HalfPunc</ability>
      <abilityName>全半角检查</abilityName>
      <candidateList>
        <item>〈</item>
      </candidateList>
      <explain>文本全半角错误。</explain>
      <paraID>42335D01</paraID>
      <start>11</start>
      <end>12</end>
      <status>unmodified</status>
      <modifiedWord/>
      <trackRevisions>false</trackRevisions>
    </reviewItem>
    <reviewItem>
      <errorID>a211f2cc-cfd8-4cca-bbe4-065639e07ed3</errorID>
      <errorWord>&gt;的通知》</errorWord>
      <group>L1_Punc</group>
      <groupName>标点问题</groupName>
      <ability>L2_Punc</ability>
      <abilityName>标点符号检查</abilityName>
      <candidateList>
        <item>〉的通知》</item>
      </candidateList>
      <explain/>
      <paraID>42335D01</paraID>
      <start>37</start>
      <end>42</end>
      <status>unmodified</status>
      <modifiedWord/>
      <trackRevisions>false</trackRevisions>
    </reviewItem>
    <reviewItem>
      <errorID>82075656-7806-4bc8-999f-114aa9c52f5f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12DD77EB</paraID>
      <start>0</start>
      <end>2</end>
      <status>unmodified</status>
      <modifiedWord/>
      <trackRevisions>false</trackRevisions>
    </reviewItem>
    <reviewItem>
      <errorID>fed6f8af-1f04-48aa-a1e1-6992e5db30e4</errorID>
      <errorWord>程</errorWord>
      <group>L1_Word</group>
      <groupName>字词问题</groupName>
      <ability>L2_Typo</ability>
      <abilityName>字词错误</abilityName>
      <candidateList>
        <item>程中</item>
      </candidateList>
      <explain/>
      <paraID>278B0737</paraID>
      <start>368</start>
      <end>369</end>
      <status>unmodified</status>
      <modifiedWord/>
      <trackRevisions>false</trackRevisions>
    </reviewItem>
    <reviewItem>
      <errorID>21d7c594-5fa5-4be3-9df4-7b732154a0db</errorID>
      <errorWord>）</errorWord>
      <group>L1_Punc</group>
      <groupName>标点问题</groupName>
      <ability>L2_Punc</ability>
      <abilityName>标点符号检查</abilityName>
      <candidateList/>
      <explain>同一形式括号套用。</explain>
      <paraID>52D65525</paraID>
      <start>185</start>
      <end>186</end>
      <status>unmodified</status>
      <modifiedWord/>
      <trackRevisions>false</trackRevisions>
    </reviewItem>
    <reviewItem>
      <errorID>9aa73919-5cff-4b00-bb5b-15f99d276572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20C5F022</paraID>
      <start>0</start>
      <end>2</end>
      <status>unmodified</status>
      <modifiedWord/>
      <trackRevisions>false</trackRevisions>
    </reviewItem>
    <reviewItem>
      <errorID>3eb48cce-5c26-44b1-aaef-d8f8022c35f1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26EAB0E5</paraID>
      <start>0</start>
      <end>2</end>
      <status>unmodified</status>
      <modifiedWord/>
      <trackRevisions>false</trackRevisions>
    </reviewItem>
    <reviewItem>
      <errorID>2d174169-b101-41aa-b3d9-aca9aeff97e2</errorID>
      <errorWord>原则表</errorWord>
      <group>L1_Word</group>
      <groupName>字词问题</groupName>
      <ability>L2_Typo</ability>
      <abilityName>字词错误</abilityName>
      <candidateList>
        <item>原则</item>
      </candidateList>
      <explain/>
      <paraID>7F24E5FB</paraID>
      <start>40</start>
      <end>43</end>
      <status>unmodified</status>
      <modifiedWord/>
      <trackRevisions>false</trackRevisions>
    </reviewItem>
    <reviewItem>
      <errorID>45dda4d7-c8b0-42b8-9a31-346dd4d5e72c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7BAF5541</paraID>
      <start>0</start>
      <end>2</end>
      <status>unmodified</status>
      <modifiedWord/>
      <trackRevisions>false</trackRevisions>
    </reviewItem>
    <reviewItem>
      <errorID>5a37266e-1b7c-401c-bfa0-8feba451db20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19542862</paraID>
      <start>0</start>
      <end>2</end>
      <status>unmodified</status>
      <modifiedWord/>
      <trackRevisions>false</trackRevisions>
    </reviewItem>
    <reviewItem>
      <errorID>d8637406-c3f9-4fa6-872e-12f59acbf655</errorID>
      <errorWord>生</errorWord>
      <group>L1_Word</group>
      <groupName>字词问题</groupName>
      <ability>L2_Typo</ability>
      <abilityName>字词错误</abilityName>
      <candidateList>
        <item>生态</item>
      </candidateList>
      <explain/>
      <paraID> 1060AA9</paraID>
      <start>24</start>
      <end>25</end>
      <status>unmodified</status>
      <modifiedWord/>
      <trackRevisions>false</trackRevisions>
    </reviewItem>
    <reviewItem>
      <errorID>1403cb0a-f405-4967-8701-4c3b4afd92aa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174BD826</paraID>
      <start>0</start>
      <end>2</end>
      <status>unmodified</status>
      <modifiedWord/>
      <trackRevisions>false</trackRevisions>
    </reviewItem>
    <reviewItem>
      <errorID>87e3b080-76a0-4cfd-afca-58bc270b1e82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17845662</paraID>
      <start>0</start>
      <end>2</end>
      <status>unmodified</status>
      <modifiedWord/>
      <trackRevisions>false</trackRevisions>
    </reviewItem>
    <reviewItem>
      <errorID>a68a5d86-d14a-47d0-9c77-3e60e93ec3ac</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3163B4FF</paraID>
      <start>0</start>
      <end>2</end>
      <status>unmodified</status>
      <modifiedWord/>
      <trackRevisions>false</trackRevisions>
    </reviewItem>
    <reviewItem>
      <errorID>de55af1c-df11-41c7-803e-b70f904ff297</errorID>
      <errorWord>）</errorWord>
      <group>L1_Format</group>
      <groupName>格式问题</groupName>
      <ability>L2_HalfPunc</ability>
      <abilityName>全半角检查</abilityName>
      <candidateList>
        <item>)</item>
      </candidateList>
      <explain>文本全半角错误。</explain>
      <paraID>4F4619F0</paraID>
      <start>6</start>
      <end>7</end>
      <status>unmodified</status>
      <modifiedWord/>
      <trackRevisions>false</trackRevisions>
    </reviewItem>
    <reviewItem>
      <errorID>2458be41-2e57-4e22-b44d-079efca04f7a</errorID>
      <errorWord>污水厂</errorWord>
      <group>L1_Word</group>
      <groupName>字词问题</groupName>
      <ability>L2_Typo</ability>
      <abilityName>字词错误</abilityName>
      <candidateList>
        <item>污水处理厂</item>
      </candidateList>
      <explain/>
      <paraID>158706F2</paraID>
      <start>34</start>
      <end>37</end>
      <status>unmodified</status>
      <modifiedWord/>
      <trackRevisions>false</trackRevisions>
    </reviewItem>
    <reviewItem>
      <errorID>18eed31a-f040-4036-9cf7-f75fac5170b5</errorID>
      <errorWord>防振</errorWord>
      <group>L1_Word</group>
      <groupName>字词问题</groupName>
      <ability>L2_Typo</ability>
      <abilityName>字词错误</abilityName>
      <candidateList>
        <item>防震</item>
      </candidateList>
      <explain>〈动〉❶采取一定的措施或安装某种装置，使建筑物、机器、仪表等减少震动或免受震动：～手表。❷防备地震：～棚。</explain>
      <paraID>58ADA770</paraID>
      <start>2</start>
      <end>4</end>
      <status>unmodified</status>
      <modifiedWord/>
      <trackRevisions>false</trackRevisions>
    </reviewItem>
    <reviewItem>
      <errorID>7a68fa8a-45f1-4a33-a0b0-cc5442c8ee69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198F0C16</paraID>
      <start>19</start>
      <end>22</end>
      <status>unmodified</status>
      <modifiedWord/>
      <trackRevisions>false</trackRevisions>
    </reviewItem>
    <reviewItem>
      <errorID>8c1b10bb-0e8e-4344-ad56-693bb9badeab</errorID>
      <errorWord>营运</errorWord>
      <group>L1_Word</group>
      <groupName>字词问题</groupName>
      <ability>L2_Typo</ability>
      <abilityName>字词错误</abilityName>
      <candidateList>
        <item>运营</item>
      </candidateList>
      <explain/>
      <paraID>68B769BF</paraID>
      <start>38</start>
      <end>40</end>
      <status>modified</status>
      <modifiedWord>运营</modifiedWord>
      <trackRevisions>false</trackRevisions>
    </reviewItem>
    <reviewItem>
      <errorID>461f87bb-47b6-485e-83ea-fbb4c5a02bfa</errorID>
      <errorWord>并且</errorWord>
      <group>L1_Word</group>
      <groupName>字词问题</groupName>
      <ability>L2_Typo</ability>
      <abilityName>字词错误</abilityName>
      <candidateList>
        <item>并</item>
      </candidateList>
      <explain>（並、竝）bìnɡ❶〈动〉两种或两种以上的事物平排着：～蒂莲｜我们手挽着手，肩～着肩。❷〈副〉表示不同的事物同时存在，不同的事情同时进行：两说～存｜相提～论。❸〈副〉用在否定词前面加强否定的语气，略带反驳的意味：你以为他糊涂，其实他～不糊涂｜所谓团结～非一团和气。❹〈连〉并且：我完全同意～拥护领导的决定。</explain>
      <paraID>68B769BF</paraID>
      <start>61</start>
      <end>62</end>
      <status>modified</status>
      <modifiedWord>并</modifiedWord>
      <trackRevisions>false</trackRevisions>
    </reviewItem>
    <reviewItem>
      <errorID>f1a8c619-90ca-4e8d-ae60-910ad22a26dd</errorID>
      <errorWord>营运</errorWord>
      <group>L1_Word</group>
      <groupName>字词问题</groupName>
      <ability>L2_Typo</ability>
      <abilityName>字词错误</abilityName>
      <candidateList>
        <item>运营</item>
      </candidateList>
      <explain/>
      <paraID>68B769BF</paraID>
      <start>95</start>
      <end>97</end>
      <status>modified</status>
      <modifiedWord>运营</modifiedWord>
      <trackRevisions>false</trackRevisions>
    </reviewItem>
    <reviewItem>
      <errorID>1cb8f1ec-4c0e-4471-9ba8-45fd9cbf3351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3669787D</paraID>
      <start>0</start>
      <end>2</end>
      <status>unmodified</status>
      <modifiedWord/>
      <trackRevisions>false</trackRevisions>
    </reviewItem>
    <reviewItem>
      <errorID>d4b610c5-2fc0-482c-9b57-ed897b312650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38F51F46</paraID>
      <start>0</start>
      <end>2</end>
      <status>unmodified</status>
      <modifiedWord/>
      <trackRevisions>false</trackRevisions>
    </reviewItem>
    <reviewItem>
      <errorID>1e87437e-70ff-47d4-87b5-71dfd190469d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25A8BEAC</paraID>
      <start>0</start>
      <end>2</end>
      <status>unmodified</status>
      <modifiedWord/>
      <trackRevisions>false</trackRevisions>
    </reviewItem>
    <reviewItem>
      <errorID>1b3e6eb2-bc45-4673-9572-edd5e1f70c27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32131C28</paraID>
      <start>0</start>
      <end>2</end>
      <status>unmodified</status>
      <modifiedWord/>
      <trackRevisions>false</trackRevisions>
    </reviewItem>
    <reviewItem>
      <errorID>c6dd46f9-e874-43a2-a1e3-0fa49a2c4b1c</errorID>
      <errorWord>）</errorWord>
      <group>L1_Format</group>
      <groupName>格式问题</groupName>
      <ability>L2_HalfPunc</ability>
      <abilityName>全半角检查</abilityName>
      <candidateList>
        <item>)</item>
      </candidateList>
      <explain>文本全半角错误。</explain>
      <paraID>1F26F871</paraID>
      <start>9</start>
      <end>10</end>
      <status>unmodified</status>
      <modifiedWord/>
      <trackRevisions>false</trackRevisions>
    </reviewItem>
    <reviewItem>
      <errorID>1d248608-3658-4180-ae27-1097efd9591a</errorID>
      <errorWord>）</errorWord>
      <group>L1_Format</group>
      <groupName>格式问题</groupName>
      <ability>L2_HalfPunc</ability>
      <abilityName>全半角检查</abilityName>
      <candidateList>
        <item>)</item>
      </candidateList>
      <explain>文本全半角错误。</explain>
      <paraID>5A4754C8</paraID>
      <start>8</start>
      <end>9</end>
      <status>unmodified</status>
      <modifiedWord/>
      <trackRevisions>false</trackRevisions>
    </reviewItem>
    <reviewItem>
      <errorID>c048cdd0-f928-408b-9ebe-ce3cbd42830b</errorID>
      <errorWord>）</errorWord>
      <group>L1_Format</group>
      <groupName>格式问题</groupName>
      <ability>L2_HalfPunc</ability>
      <abilityName>全半角检查</abilityName>
      <candidateList>
        <item>)</item>
      </candidateList>
      <explain>文本全半角错误。</explain>
      <paraID>45271220</paraID>
      <start>6</start>
      <end>7</end>
      <status>unmodified</status>
      <modifiedWord/>
      <trackRevisions>false</trackRevisions>
    </reviewItem>
    <reviewItem>
      <errorID>d0dcbaf0-f263-496f-abde-e90f47c27fbe</errorID>
      <errorWord>(</errorWord>
      <group>L1_Format</group>
      <groupName>格式问题</groupName>
      <ability>L2_HalfPunc</ability>
      <abilityName>全半角检查</abilityName>
      <candidateList>
        <item>（</item>
      </candidateList>
      <explain>文本全半角错误。</explain>
      <paraID>732CF085</paraID>
      <start>8</start>
      <end>9</end>
      <status>unmodified</status>
      <modifiedWord/>
      <trackRevisions>false</trackRevisions>
    </reviewItem>
    <reviewItem>
      <errorID>e09cb96e-df9c-481c-84df-15bf8b9c95c2</errorID>
      <errorWord>)</errorWord>
      <group>L1_Format</group>
      <groupName>格式问题</groupName>
      <ability>L2_HalfPunc</ability>
      <abilityName>全半角检查</abilityName>
      <candidateList>
        <item>）</item>
      </candidateList>
      <explain>文本全半角错误。</explain>
      <paraID>732CF085</paraID>
      <start>11</start>
      <end>12</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384a5a2-65e0-44cc-9f0c-010461049771}">
  <ds:schemaRefs/>
</ds:datastoreItem>
</file>

<file path=docProps/app.xml><?xml version="1.0" encoding="utf-8"?>
<Properties xmlns="http://schemas.openxmlformats.org/officeDocument/2006/extended-properties" xmlns:vt="http://schemas.openxmlformats.org/officeDocument/2006/docPropsVTypes">
  <Template>Normal.dotm</Template>
  <Pages>118</Pages>
  <Words>20303</Words>
  <Characters>22010</Characters>
  <Lines>1</Lines>
  <Paragraphs>1</Paragraphs>
  <TotalTime>0</TotalTime>
  <ScaleCrop>false</ScaleCrop>
  <LinksUpToDate>false</LinksUpToDate>
  <CharactersWithSpaces>22231</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2022-04-28T02:26:00Z</dcterms:created>
  <dc:creator>O</dc:creator>
  <cp:lastModifiedBy>杨宗祺-Swi</cp:lastModifiedBy>
  <cp:lastPrinted>2024-10-17T02:17:00Z</cp:lastPrinted>
  <dcterms:modified xsi:type="dcterms:W3CDTF">2026-05-21T01:48:21Z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C2BBCDC2D4B14CD6AC9149933E7E6B62_13</vt:lpwstr>
  </property>
  <property fmtid="{D5CDD505-2E9C-101B-9397-08002B2CF9AE}" pid="4" name="KSOTemplateDocerSaveRecord">
    <vt:lpwstr>eyJoZGlkIjoiYTY3NjljNDJiNDZmNDUzMTJiY2Y2OGFhMmE2ZDkwMDMiLCJ1c2VySWQiOiIzNzQ0OTk2MDAifQ==</vt:lpwstr>
  </property>
</Properties>
</file>