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16C0D">
      <w:pPr>
        <w:spacing w:before="110" w:line="224" w:lineRule="auto"/>
        <w:ind w:left="835"/>
        <w:rPr>
          <w:rFonts w:ascii="黑体" w:hAnsi="黑体" w:eastAsia="黑体" w:cs="黑体"/>
          <w:sz w:val="34"/>
          <w:szCs w:val="34"/>
        </w:rPr>
      </w:pPr>
      <w:r>
        <w:rPr>
          <w:rFonts w:ascii="黑体" w:hAnsi="黑体" w:eastAsia="黑体" w:cs="黑体"/>
          <w:spacing w:val="22"/>
          <w:sz w:val="34"/>
          <w:szCs w:val="34"/>
        </w:rPr>
        <w:t>附件</w:t>
      </w:r>
    </w:p>
    <w:p w14:paraId="36D9BE14">
      <w:pPr>
        <w:pStyle w:val="2"/>
        <w:spacing w:before="72" w:line="219" w:lineRule="auto"/>
        <w:ind w:left="5261"/>
        <w:rPr>
          <w:sz w:val="48"/>
          <w:szCs w:val="48"/>
        </w:rPr>
      </w:pPr>
      <w:bookmarkStart w:id="0" w:name="_GoBack"/>
      <w:r>
        <w:rPr>
          <w:rFonts w:hint="eastAsia" w:ascii="方正小标宋简体" w:hAnsi="方正小标宋简体" w:eastAsia="方正小标宋简体" w:cs="方正小标宋简体"/>
          <w:b/>
          <w:bCs/>
          <w:spacing w:val="0"/>
          <w:sz w:val="44"/>
          <w:szCs w:val="44"/>
        </w:rPr>
        <w:t>5项任务具体测算指标</w:t>
      </w:r>
      <w:bookmarkEnd w:id="0"/>
    </w:p>
    <w:p w14:paraId="31BDE2C8"/>
    <w:tbl>
      <w:tblPr>
        <w:tblStyle w:val="5"/>
        <w:tblW w:w="146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6"/>
        <w:gridCol w:w="1614"/>
        <w:gridCol w:w="4184"/>
        <w:gridCol w:w="4650"/>
        <w:gridCol w:w="3295"/>
        <w:gridCol w:w="21"/>
      </w:tblGrid>
      <w:tr w14:paraId="71C0B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3" w:hRule="atLeast"/>
        </w:trPr>
        <w:tc>
          <w:tcPr>
            <w:tcW w:w="836" w:type="dxa"/>
            <w:vAlign w:val="center"/>
          </w:tcPr>
          <w:p w14:paraId="13CB8247">
            <w:pPr>
              <w:pStyle w:val="6"/>
              <w:spacing w:before="81" w:line="221" w:lineRule="auto"/>
              <w:ind w:left="158"/>
              <w:jc w:val="both"/>
            </w:pPr>
            <w:r>
              <w:rPr>
                <w:b/>
                <w:bCs/>
                <w:spacing w:val="-5"/>
              </w:rPr>
              <w:t>序号</w:t>
            </w:r>
          </w:p>
        </w:tc>
        <w:tc>
          <w:tcPr>
            <w:tcW w:w="1614" w:type="dxa"/>
            <w:vAlign w:val="center"/>
          </w:tcPr>
          <w:p w14:paraId="3CC3F9B0">
            <w:pPr>
              <w:pStyle w:val="6"/>
              <w:spacing w:before="82" w:line="219" w:lineRule="auto"/>
              <w:jc w:val="center"/>
            </w:pPr>
            <w:r>
              <w:rPr>
                <w:b/>
                <w:bCs/>
                <w:spacing w:val="2"/>
              </w:rPr>
              <w:t>任务方向</w:t>
            </w:r>
          </w:p>
        </w:tc>
        <w:tc>
          <w:tcPr>
            <w:tcW w:w="4184" w:type="dxa"/>
            <w:vAlign w:val="center"/>
          </w:tcPr>
          <w:p w14:paraId="6796D433">
            <w:pPr>
              <w:pStyle w:val="6"/>
              <w:spacing w:before="211" w:line="219" w:lineRule="auto"/>
              <w:jc w:val="center"/>
            </w:pPr>
            <w:r>
              <w:rPr>
                <w:b/>
                <w:bCs/>
                <w:spacing w:val="-5"/>
              </w:rPr>
              <w:t>基础性因素</w:t>
            </w:r>
          </w:p>
          <w:p w14:paraId="0EAC5D27">
            <w:pPr>
              <w:pStyle w:val="6"/>
              <w:spacing w:before="303" w:line="219" w:lineRule="auto"/>
              <w:jc w:val="center"/>
            </w:pPr>
            <w:r>
              <w:rPr>
                <w:b/>
                <w:bCs/>
                <w:spacing w:val="3"/>
              </w:rPr>
              <w:t>(权重50%)</w:t>
            </w:r>
          </w:p>
        </w:tc>
        <w:tc>
          <w:tcPr>
            <w:tcW w:w="4650" w:type="dxa"/>
            <w:vAlign w:val="center"/>
          </w:tcPr>
          <w:p w14:paraId="1E9AA71B">
            <w:pPr>
              <w:pStyle w:val="6"/>
              <w:spacing w:before="231" w:line="219" w:lineRule="auto"/>
              <w:ind w:left="1488"/>
              <w:jc w:val="both"/>
            </w:pPr>
            <w:r>
              <w:rPr>
                <w:b/>
                <w:bCs/>
                <w:spacing w:val="-5"/>
              </w:rPr>
              <w:t>政策性因素</w:t>
            </w:r>
          </w:p>
          <w:p w14:paraId="33401133">
            <w:pPr>
              <w:pStyle w:val="6"/>
              <w:spacing w:before="303" w:line="219" w:lineRule="auto"/>
              <w:ind w:left="1548"/>
              <w:jc w:val="both"/>
            </w:pPr>
            <w:r>
              <w:rPr>
                <w:b/>
                <w:bCs/>
                <w:spacing w:val="4"/>
              </w:rPr>
              <w:t>(权重40%)</w:t>
            </w:r>
          </w:p>
        </w:tc>
        <w:tc>
          <w:tcPr>
            <w:tcW w:w="3316" w:type="dxa"/>
            <w:gridSpan w:val="2"/>
            <w:vAlign w:val="center"/>
          </w:tcPr>
          <w:p w14:paraId="5CCEB050">
            <w:pPr>
              <w:pStyle w:val="6"/>
              <w:spacing w:before="229" w:line="218" w:lineRule="auto"/>
              <w:ind w:left="451"/>
              <w:jc w:val="both"/>
            </w:pPr>
            <w:r>
              <w:rPr>
                <w:b/>
                <w:bCs/>
                <w:spacing w:val="-4"/>
              </w:rPr>
              <w:t>绩效评价结果等因素</w:t>
            </w:r>
          </w:p>
          <w:p w14:paraId="7CFB8B96">
            <w:pPr>
              <w:pStyle w:val="6"/>
              <w:spacing w:before="307" w:line="219" w:lineRule="auto"/>
              <w:ind w:left="1011"/>
              <w:jc w:val="both"/>
            </w:pPr>
            <w:r>
              <w:rPr>
                <w:b/>
                <w:bCs/>
                <w:spacing w:val="4"/>
              </w:rPr>
              <w:t>(权重10%)</w:t>
            </w:r>
          </w:p>
        </w:tc>
      </w:tr>
      <w:tr w14:paraId="6DAE7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5" w:hRule="atLeast"/>
        </w:trPr>
        <w:tc>
          <w:tcPr>
            <w:tcW w:w="836" w:type="dxa"/>
            <w:vAlign w:val="center"/>
          </w:tcPr>
          <w:p w14:paraId="63376D9A">
            <w:pPr>
              <w:pStyle w:val="6"/>
              <w:spacing w:before="82" w:line="241" w:lineRule="auto"/>
              <w:ind w:left="335"/>
              <w:jc w:val="both"/>
            </w:pPr>
            <w:r>
              <w:t>1</w:t>
            </w:r>
          </w:p>
        </w:tc>
        <w:tc>
          <w:tcPr>
            <w:tcW w:w="1614" w:type="dxa"/>
            <w:vAlign w:val="center"/>
          </w:tcPr>
          <w:p w14:paraId="79916C10">
            <w:pPr>
              <w:pStyle w:val="6"/>
              <w:spacing w:before="178" w:line="348" w:lineRule="auto"/>
              <w:ind w:left="15"/>
              <w:jc w:val="center"/>
            </w:pPr>
            <w:r>
              <w:rPr>
                <w:spacing w:val="-4"/>
              </w:rPr>
              <w:t>开发式帮扶</w:t>
            </w:r>
          </w:p>
        </w:tc>
        <w:tc>
          <w:tcPr>
            <w:tcW w:w="4184" w:type="dxa"/>
            <w:vAlign w:val="center"/>
          </w:tcPr>
          <w:p w14:paraId="5E6D9D12">
            <w:pPr>
              <w:pStyle w:val="6"/>
              <w:spacing w:before="178" w:line="348" w:lineRule="auto"/>
              <w:ind w:left="15"/>
              <w:jc w:val="both"/>
            </w:pPr>
            <w:r>
              <w:rPr>
                <w:spacing w:val="-4"/>
              </w:rPr>
              <w:t>包</w:t>
            </w:r>
            <w:r>
              <w:rPr>
                <w:spacing w:val="-4"/>
              </w:rPr>
              <w:t>括防止返贫致贫对象、需要继续帮扶的原建档立卡脱贫人口等相关群体规模及 结构，以及农村居民人均可支配收入等</w:t>
            </w:r>
          </w:p>
        </w:tc>
        <w:tc>
          <w:tcPr>
            <w:tcW w:w="4650" w:type="dxa"/>
            <w:vAlign w:val="center"/>
          </w:tcPr>
          <w:p w14:paraId="55DBFBEF">
            <w:pPr>
              <w:pStyle w:val="6"/>
              <w:spacing w:before="178" w:line="348" w:lineRule="auto"/>
              <w:ind w:left="15"/>
              <w:jc w:val="both"/>
            </w:pPr>
            <w:r>
              <w:rPr>
                <w:spacing w:val="-4"/>
              </w:rPr>
              <w:t>对国家乡村振兴重点帮扶县等欠发达地</w:t>
            </w:r>
            <w:r>
              <w:rPr>
                <w:spacing w:val="-17"/>
              </w:rPr>
              <w:t>区和新疆、西藏倾斜支持，“十三五”易</w:t>
            </w:r>
            <w:r>
              <w:rPr>
                <w:spacing w:val="-3"/>
              </w:rPr>
              <w:t>地扶贫搬迁后续扶持，吸纳重点帮扶群</w:t>
            </w:r>
            <w:r>
              <w:rPr>
                <w:spacing w:val="-4"/>
              </w:rPr>
              <w:t>体跨省就业，支持解决因受灾等返贫致</w:t>
            </w:r>
            <w:r>
              <w:rPr>
                <w:spacing w:val="-3"/>
              </w:rPr>
              <w:t>贫突出风险问题等，以及党中央、国务</w:t>
            </w:r>
            <w:r>
              <w:rPr>
                <w:spacing w:val="5"/>
              </w:rPr>
              <w:t>院有明确部署的常态化帮扶重点任务</w:t>
            </w:r>
          </w:p>
        </w:tc>
        <w:tc>
          <w:tcPr>
            <w:tcW w:w="3316" w:type="dxa"/>
            <w:gridSpan w:val="2"/>
            <w:vAlign w:val="center"/>
          </w:tcPr>
          <w:p w14:paraId="429724D5">
            <w:pPr>
              <w:pStyle w:val="6"/>
              <w:spacing w:before="178" w:line="348" w:lineRule="auto"/>
              <w:ind w:left="15"/>
              <w:jc w:val="both"/>
            </w:pPr>
            <w:r>
              <w:rPr>
                <w:spacing w:val="-4"/>
              </w:rPr>
              <w:t>根据年度常态化帮扶考核评  估、资金绩效评价等相关结  果确定(可用于对市县奖励、 支持通过竞争立项等方式确  定的县级谋划项目)</w:t>
            </w:r>
          </w:p>
        </w:tc>
      </w:tr>
      <w:tr w14:paraId="07D9C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0" w:hRule="atLeast"/>
        </w:trPr>
        <w:tc>
          <w:tcPr>
            <w:tcW w:w="836" w:type="dxa"/>
            <w:vAlign w:val="center"/>
          </w:tcPr>
          <w:p w14:paraId="77F40749">
            <w:pPr>
              <w:pStyle w:val="6"/>
              <w:spacing w:before="81" w:line="241" w:lineRule="auto"/>
              <w:ind w:left="335"/>
              <w:jc w:val="both"/>
            </w:pPr>
            <w:r>
              <w:t>2</w:t>
            </w:r>
          </w:p>
        </w:tc>
        <w:tc>
          <w:tcPr>
            <w:tcW w:w="1614" w:type="dxa"/>
            <w:vAlign w:val="center"/>
          </w:tcPr>
          <w:p w14:paraId="70A3E557">
            <w:pPr>
              <w:pStyle w:val="6"/>
              <w:spacing w:before="178" w:line="348" w:lineRule="auto"/>
              <w:ind w:left="15"/>
              <w:jc w:val="center"/>
            </w:pPr>
            <w:r>
              <w:rPr>
                <w:spacing w:val="-4"/>
              </w:rPr>
              <w:t>以工代赈</w:t>
            </w:r>
          </w:p>
        </w:tc>
        <w:tc>
          <w:tcPr>
            <w:tcW w:w="4184" w:type="dxa"/>
            <w:vAlign w:val="center"/>
          </w:tcPr>
          <w:p w14:paraId="48247919">
            <w:pPr>
              <w:pStyle w:val="6"/>
              <w:spacing w:before="178" w:line="348" w:lineRule="auto"/>
              <w:ind w:left="15"/>
              <w:jc w:val="both"/>
            </w:pPr>
            <w:r>
              <w:rPr>
                <w:spacing w:val="-4"/>
              </w:rPr>
              <w:t>包括防止返贫致贫对象、需要继续帮扶的原建档立卡脱贫人口等相关群体规模及结构，以及农村居民人均可支配收入等</w:t>
            </w:r>
          </w:p>
        </w:tc>
        <w:tc>
          <w:tcPr>
            <w:tcW w:w="4650" w:type="dxa"/>
            <w:vAlign w:val="center"/>
          </w:tcPr>
          <w:p w14:paraId="5DF33944">
            <w:pPr>
              <w:pStyle w:val="6"/>
              <w:spacing w:before="178" w:line="348" w:lineRule="auto"/>
              <w:ind w:left="15"/>
              <w:jc w:val="both"/>
            </w:pPr>
            <w:r>
              <w:rPr>
                <w:spacing w:val="-4"/>
              </w:rPr>
              <w:t>以工代赈项目劳务报酬发放情况、“十三五”易地扶贫搬迁后续扶持、支持解决因受灾等返贫致贫突出风险问题等</w:t>
            </w:r>
          </w:p>
        </w:tc>
        <w:tc>
          <w:tcPr>
            <w:tcW w:w="3316" w:type="dxa"/>
            <w:gridSpan w:val="2"/>
            <w:vAlign w:val="center"/>
          </w:tcPr>
          <w:p w14:paraId="260B79ED">
            <w:pPr>
              <w:pStyle w:val="6"/>
              <w:spacing w:before="81" w:line="381" w:lineRule="auto"/>
              <w:ind w:left="117" w:right="54" w:hanging="40"/>
              <w:jc w:val="both"/>
            </w:pPr>
            <w:r>
              <w:rPr>
                <w:spacing w:val="1"/>
              </w:rPr>
              <w:t>根据年度资金绩效评价等相</w:t>
            </w:r>
            <w:r>
              <w:rPr>
                <w:spacing w:val="3"/>
              </w:rPr>
              <w:t>关结果确定</w:t>
            </w:r>
          </w:p>
        </w:tc>
      </w:tr>
      <w:tr w14:paraId="456B8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9" w:hRule="atLeast"/>
        </w:trPr>
        <w:tc>
          <w:tcPr>
            <w:tcW w:w="836" w:type="dxa"/>
            <w:vAlign w:val="center"/>
          </w:tcPr>
          <w:p w14:paraId="7980C115">
            <w:pPr>
              <w:pStyle w:val="6"/>
              <w:spacing w:before="82"/>
              <w:ind w:left="335"/>
              <w:jc w:val="both"/>
            </w:pPr>
            <w:r>
              <w:t>3</w:t>
            </w:r>
          </w:p>
        </w:tc>
        <w:tc>
          <w:tcPr>
            <w:tcW w:w="1614" w:type="dxa"/>
            <w:vAlign w:val="center"/>
          </w:tcPr>
          <w:p w14:paraId="471CA68C">
            <w:pPr>
              <w:pStyle w:val="6"/>
              <w:spacing w:before="81" w:line="381" w:lineRule="auto"/>
              <w:ind w:left="97" w:right="54" w:hanging="20"/>
              <w:jc w:val="both"/>
            </w:pPr>
            <w:r>
              <w:rPr>
                <w:spacing w:val="1"/>
              </w:rPr>
              <w:t>少数民族发展</w:t>
            </w:r>
          </w:p>
        </w:tc>
        <w:tc>
          <w:tcPr>
            <w:tcW w:w="4184" w:type="dxa"/>
            <w:vAlign w:val="center"/>
          </w:tcPr>
          <w:p w14:paraId="592529FA">
            <w:pPr>
              <w:pStyle w:val="6"/>
              <w:spacing w:before="178" w:line="348" w:lineRule="auto"/>
              <w:ind w:left="15"/>
              <w:jc w:val="both"/>
            </w:pPr>
            <w:r>
              <w:rPr>
                <w:spacing w:val="-4"/>
              </w:rPr>
              <w:t>包括少数民族人口数量及结构，以及民族自治地方农村居民人均可支配收入等</w:t>
            </w:r>
          </w:p>
        </w:tc>
        <w:tc>
          <w:tcPr>
            <w:tcW w:w="4650" w:type="dxa"/>
            <w:vAlign w:val="center"/>
          </w:tcPr>
          <w:p w14:paraId="37315E34">
            <w:pPr>
              <w:pStyle w:val="6"/>
              <w:spacing w:before="178" w:line="348" w:lineRule="auto"/>
              <w:ind w:left="15"/>
              <w:jc w:val="both"/>
            </w:pPr>
            <w:r>
              <w:rPr>
                <w:spacing w:val="-4"/>
              </w:rPr>
              <w:t>党中央</w:t>
            </w:r>
            <w:r>
              <w:rPr>
                <w:spacing w:val="-5"/>
              </w:rPr>
              <w:t>、国务院关于铸牢中华民族共同</w:t>
            </w:r>
            <w:r>
              <w:rPr>
                <w:spacing w:val="1"/>
              </w:rPr>
              <w:t xml:space="preserve"> </w:t>
            </w:r>
            <w:r>
              <w:rPr>
                <w:spacing w:val="-4"/>
              </w:rPr>
              <w:t>体意识、少数民族发展有关工作部署，</w:t>
            </w:r>
            <w:r>
              <w:t>以及民族地区常态化帮扶任务等</w:t>
            </w:r>
          </w:p>
        </w:tc>
        <w:tc>
          <w:tcPr>
            <w:tcW w:w="3316" w:type="dxa"/>
            <w:gridSpan w:val="2"/>
            <w:vAlign w:val="center"/>
          </w:tcPr>
          <w:p w14:paraId="39E7F5B1">
            <w:pPr>
              <w:pStyle w:val="6"/>
              <w:spacing w:before="81" w:line="381" w:lineRule="auto"/>
              <w:ind w:left="97" w:right="54" w:hanging="20"/>
              <w:jc w:val="both"/>
            </w:pPr>
            <w:r>
              <w:rPr>
                <w:spacing w:val="1"/>
              </w:rPr>
              <w:t>根据年度资金绩效评价等相</w:t>
            </w:r>
            <w:r>
              <w:rPr>
                <w:spacing w:val="3"/>
              </w:rPr>
              <w:t>关结果确定</w:t>
            </w:r>
          </w:p>
        </w:tc>
      </w:tr>
      <w:tr w14:paraId="0307B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1" w:type="dxa"/>
          <w:trHeight w:val="1387" w:hRule="atLeast"/>
        </w:trPr>
        <w:tc>
          <w:tcPr>
            <w:tcW w:w="836" w:type="dxa"/>
            <w:vAlign w:val="center"/>
          </w:tcPr>
          <w:p w14:paraId="2F3D0F5B">
            <w:pPr>
              <w:pStyle w:val="6"/>
              <w:spacing w:before="81" w:line="241" w:lineRule="auto"/>
              <w:ind w:left="335"/>
              <w:jc w:val="both"/>
            </w:pPr>
            <w:r>
              <w:t>4</w:t>
            </w:r>
          </w:p>
        </w:tc>
        <w:tc>
          <w:tcPr>
            <w:tcW w:w="1614" w:type="dxa"/>
            <w:vAlign w:val="center"/>
          </w:tcPr>
          <w:p w14:paraId="4C0A47F6">
            <w:pPr>
              <w:pStyle w:val="6"/>
              <w:spacing w:before="178" w:line="348" w:lineRule="auto"/>
              <w:ind w:left="15"/>
              <w:jc w:val="both"/>
            </w:pPr>
            <w:r>
              <w:rPr>
                <w:spacing w:val="-4"/>
              </w:rPr>
              <w:t>欠发达国有农场巩固提升</w:t>
            </w:r>
          </w:p>
        </w:tc>
        <w:tc>
          <w:tcPr>
            <w:tcW w:w="4184" w:type="dxa"/>
            <w:vAlign w:val="center"/>
          </w:tcPr>
          <w:p w14:paraId="58B6A074">
            <w:pPr>
              <w:pStyle w:val="6"/>
              <w:spacing w:before="178" w:line="348" w:lineRule="auto"/>
              <w:ind w:left="15"/>
              <w:jc w:val="both"/>
            </w:pPr>
            <w:r>
              <w:rPr>
                <w:spacing w:val="-4"/>
              </w:rPr>
              <w:t>包括欠发达国有农场从业人员数量及结 构，以及年均收入等</w:t>
            </w:r>
          </w:p>
        </w:tc>
        <w:tc>
          <w:tcPr>
            <w:tcW w:w="4650" w:type="dxa"/>
            <w:vAlign w:val="center"/>
          </w:tcPr>
          <w:p w14:paraId="2D1F1C06">
            <w:pPr>
              <w:pStyle w:val="6"/>
              <w:spacing w:before="178" w:line="348" w:lineRule="auto"/>
              <w:ind w:left="15"/>
              <w:jc w:val="both"/>
            </w:pPr>
            <w:r>
              <w:rPr>
                <w:spacing w:val="-4"/>
              </w:rPr>
              <w:t>党中央、国务院关于国有农场发展有关 重点工作部署及农场改革等情况</w:t>
            </w:r>
          </w:p>
        </w:tc>
        <w:tc>
          <w:tcPr>
            <w:tcW w:w="3295" w:type="dxa"/>
            <w:vAlign w:val="center"/>
          </w:tcPr>
          <w:p w14:paraId="10DAC6E2">
            <w:pPr>
              <w:pStyle w:val="6"/>
              <w:spacing w:before="253" w:line="320" w:lineRule="auto"/>
              <w:ind w:left="138" w:right="3" w:hanging="10"/>
              <w:jc w:val="both"/>
            </w:pPr>
            <w:r>
              <w:rPr>
                <w:spacing w:val="1"/>
              </w:rPr>
              <w:t>根据年度资金绩效评价等相</w:t>
            </w:r>
            <w:r>
              <w:rPr>
                <w:spacing w:val="7"/>
              </w:rPr>
              <w:t xml:space="preserve"> </w:t>
            </w:r>
            <w:r>
              <w:rPr>
                <w:spacing w:val="3"/>
              </w:rPr>
              <w:t>关结果确定</w:t>
            </w:r>
          </w:p>
        </w:tc>
      </w:tr>
      <w:tr w14:paraId="60D61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1" w:type="dxa"/>
          <w:trHeight w:val="1572" w:hRule="atLeast"/>
        </w:trPr>
        <w:tc>
          <w:tcPr>
            <w:tcW w:w="836" w:type="dxa"/>
            <w:vAlign w:val="center"/>
          </w:tcPr>
          <w:p w14:paraId="453D9EC2">
            <w:pPr>
              <w:pStyle w:val="6"/>
              <w:spacing w:before="82"/>
              <w:ind w:left="335"/>
              <w:jc w:val="both"/>
            </w:pPr>
            <w:r>
              <w:t>5</w:t>
            </w:r>
          </w:p>
        </w:tc>
        <w:tc>
          <w:tcPr>
            <w:tcW w:w="1614" w:type="dxa"/>
            <w:vAlign w:val="center"/>
          </w:tcPr>
          <w:p w14:paraId="018422C8">
            <w:pPr>
              <w:pStyle w:val="6"/>
              <w:spacing w:before="178" w:line="348" w:lineRule="auto"/>
              <w:ind w:left="15"/>
              <w:jc w:val="both"/>
            </w:pPr>
            <w:r>
              <w:rPr>
                <w:spacing w:val="-4"/>
              </w:rPr>
              <w:t>欠发达国有林场巩固提升</w:t>
            </w:r>
          </w:p>
        </w:tc>
        <w:tc>
          <w:tcPr>
            <w:tcW w:w="4184" w:type="dxa"/>
            <w:vAlign w:val="center"/>
          </w:tcPr>
          <w:p w14:paraId="20C36850">
            <w:pPr>
              <w:pStyle w:val="6"/>
              <w:spacing w:before="178" w:line="348" w:lineRule="auto"/>
              <w:ind w:left="15"/>
              <w:jc w:val="both"/>
            </w:pPr>
            <w:r>
              <w:rPr>
                <w:spacing w:val="-4"/>
              </w:rPr>
              <w:t>包括欠发达国有林场从业人员数量及结 构，以及年均收入等</w:t>
            </w:r>
          </w:p>
        </w:tc>
        <w:tc>
          <w:tcPr>
            <w:tcW w:w="4650" w:type="dxa"/>
            <w:vAlign w:val="center"/>
          </w:tcPr>
          <w:p w14:paraId="63B8073B">
            <w:pPr>
              <w:pStyle w:val="6"/>
              <w:spacing w:before="178" w:line="348" w:lineRule="auto"/>
              <w:ind w:left="15"/>
              <w:jc w:val="both"/>
            </w:pPr>
            <w:r>
              <w:rPr>
                <w:spacing w:val="-4"/>
              </w:rPr>
              <w:t>党中央、国务院关于国有林场发展有关 重点工作部署及林场改革等情况</w:t>
            </w:r>
          </w:p>
        </w:tc>
        <w:tc>
          <w:tcPr>
            <w:tcW w:w="3295" w:type="dxa"/>
            <w:vAlign w:val="center"/>
          </w:tcPr>
          <w:p w14:paraId="4BBED59B">
            <w:pPr>
              <w:pStyle w:val="6"/>
              <w:spacing w:before="81" w:line="327" w:lineRule="auto"/>
              <w:ind w:left="138" w:right="3" w:hanging="10"/>
              <w:jc w:val="both"/>
            </w:pPr>
            <w:r>
              <w:rPr>
                <w:spacing w:val="1"/>
              </w:rPr>
              <w:t>根据年度资金绩效评价等相</w:t>
            </w:r>
            <w:r>
              <w:rPr>
                <w:spacing w:val="7"/>
              </w:rPr>
              <w:t xml:space="preserve"> </w:t>
            </w:r>
            <w:r>
              <w:rPr>
                <w:spacing w:val="3"/>
              </w:rPr>
              <w:t>关结果确定</w:t>
            </w:r>
          </w:p>
        </w:tc>
      </w:tr>
    </w:tbl>
    <w:p w14:paraId="5575E036">
      <w:pPr>
        <w:spacing w:before="270" w:line="220" w:lineRule="auto"/>
        <w:ind w:left="805"/>
        <w:rPr>
          <w:rFonts w:ascii="仿宋" w:hAnsi="仿宋" w:eastAsia="仿宋" w:cs="仿宋"/>
          <w:sz w:val="23"/>
          <w:szCs w:val="23"/>
        </w:rPr>
      </w:pPr>
      <w:r>
        <w:rPr>
          <w:rFonts w:ascii="仿宋" w:hAnsi="仿宋" w:eastAsia="仿宋" w:cs="仿宋"/>
          <w:spacing w:val="7"/>
          <w:sz w:val="23"/>
          <w:szCs w:val="23"/>
        </w:rPr>
        <w:t>注：1.上述任务方向分配因素及权重可根据党中央、国务院关于推进乡村全面振兴的决策部署和常态化帮扶工作重点适当调整。</w:t>
      </w:r>
    </w:p>
    <w:p w14:paraId="2124EE82">
      <w:pPr>
        <w:ind w:firstLine="1240" w:firstLineChars="500"/>
      </w:pPr>
      <w:r>
        <w:rPr>
          <w:rFonts w:ascii="仿宋" w:hAnsi="仿宋" w:eastAsia="仿宋" w:cs="仿宋"/>
          <w:spacing w:val="4"/>
          <w:sz w:val="24"/>
          <w:szCs w:val="24"/>
        </w:rPr>
        <w:t>2. “三西”农业建设任务方向按照国务院批准的规模和期限安排(本轮实施期限为2026—2030年</w:t>
      </w:r>
      <w:r>
        <w:rPr>
          <w:rFonts w:ascii="仿宋" w:hAnsi="仿宋" w:eastAsia="仿宋" w:cs="仿宋"/>
          <w:spacing w:val="3"/>
          <w:sz w:val="24"/>
          <w:szCs w:val="24"/>
        </w:rPr>
        <w:t>)</w:t>
      </w:r>
    </w:p>
    <w:sectPr>
      <w:footerReference r:id="rId5" w:type="default"/>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50B05">
    <w:pPr>
      <w:pStyle w:val="2"/>
      <w:spacing w:line="232" w:lineRule="auto"/>
      <w:ind w:left="6825"/>
      <w:rPr>
        <w:sz w:val="25"/>
        <w:szCs w:val="25"/>
      </w:rPr>
    </w:pPr>
    <w:r>
      <w:rPr>
        <w:spacing w:val="-2"/>
        <w:sz w:val="25"/>
        <w:szCs w:val="25"/>
      </w:rPr>
      <w:t>—13—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6C2828"/>
    <w:rsid w:val="606C2828"/>
    <w:rsid w:val="78304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88"/>
      <w:szCs w:val="8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5"/>
      <w:szCs w:val="25"/>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52</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2026-06-04T02:12:00Z</dcterms:created>
  <dc:creator>Administrator</dc:creator>
  <cp:lastModifiedBy>Administrator</cp:lastModifiedBy>
  <dcterms:modified xsi:type="dcterms:W3CDTF">2026-06-04T03:06:11Z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E97289751469478CAD8907BA5A7AA7C8_11</vt:lpwstr>
  </property>
  <property fmtid="{D5CDD505-2E9C-101B-9397-08002B2CF9AE}" pid="4" name="KSOTemplateDocerSaveRecord">
    <vt:lpwstr>eyJoZGlkIjoiMzQ4NTU0M2FlZjcyYzA4NjlmZmM0ZjEyMWVjYWRlYzIiLCJ1c2VySWQiOiIzMTc4OTU5MzQifQ==</vt:lpwstr>
  </property>
</Properties>
</file>