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6D7BE6">
      <w:pPr>
        <w:pageBreakBefore w:val="0"/>
        <w:wordWrap w:val="0"/>
        <w:bidi w:val="0"/>
        <w:adjustRightInd w:val="0"/>
        <w:snapToGrid w:val="0"/>
        <w:ind w:firstLine="280" w:firstLineChars="100"/>
        <w:jc w:val="left"/>
        <w:rPr>
          <w:rFonts w:hint="default" w:ascii="Times New Roman" w:hAnsi="Times New Roman" w:eastAsia="宋体" w:cs="Times New Roman"/>
          <w:bCs/>
          <w:color w:val="auto"/>
          <w:sz w:val="28"/>
          <w:szCs w:val="28"/>
          <w:highlight w:val="none"/>
          <w:lang w:val="en-US" w:eastAsia="zh-CN"/>
        </w:rPr>
      </w:pPr>
      <w:r>
        <w:rPr>
          <w:rFonts w:hint="default" w:ascii="Times New Roman" w:hAnsi="Times New Roman" w:cs="Times New Roman"/>
          <w:bCs/>
          <w:color w:val="auto"/>
          <w:sz w:val="28"/>
          <w:szCs w:val="28"/>
          <w:highlight w:val="none"/>
        </w:rPr>
        <w:t>项目编号：</w:t>
      </w:r>
      <w:r>
        <w:rPr>
          <w:rFonts w:hint="eastAsia" w:cs="Times New Roman"/>
          <w:bCs/>
          <w:color w:val="auto"/>
          <w:sz w:val="28"/>
          <w:szCs w:val="28"/>
          <w:highlight w:val="none"/>
          <w:lang w:val="en-US" w:eastAsia="zh-CN"/>
        </w:rPr>
        <w:t>z92k5h</w:t>
      </w:r>
    </w:p>
    <w:p w14:paraId="1FC39720">
      <w:pPr>
        <w:pageBreakBefore w:val="0"/>
        <w:wordWrap w:val="0"/>
        <w:bidi w:val="0"/>
        <w:adjustRightInd w:val="0"/>
        <w:snapToGrid w:val="0"/>
        <w:jc w:val="left"/>
        <w:rPr>
          <w:rFonts w:hint="default" w:ascii="Times New Roman" w:hAnsi="Times New Roman" w:cs="Times New Roman"/>
          <w:bCs/>
          <w:color w:val="auto"/>
          <w:sz w:val="36"/>
          <w:szCs w:val="36"/>
          <w:highlight w:val="none"/>
        </w:rPr>
      </w:pPr>
    </w:p>
    <w:p w14:paraId="1401511A">
      <w:pPr>
        <w:pageBreakBefore w:val="0"/>
        <w:wordWrap w:val="0"/>
        <w:bidi w:val="0"/>
        <w:adjustRightInd w:val="0"/>
        <w:snapToGrid w:val="0"/>
        <w:jc w:val="left"/>
        <w:rPr>
          <w:rFonts w:hint="default" w:ascii="Times New Roman" w:hAnsi="Times New Roman" w:cs="Times New Roman"/>
          <w:bCs/>
          <w:color w:val="auto"/>
          <w:sz w:val="36"/>
          <w:szCs w:val="36"/>
          <w:highlight w:val="none"/>
        </w:rPr>
      </w:pPr>
    </w:p>
    <w:p w14:paraId="6C5426AE">
      <w:pPr>
        <w:pageBreakBefore w:val="0"/>
        <w:wordWrap w:val="0"/>
        <w:bidi w:val="0"/>
        <w:adjustRightInd w:val="0"/>
        <w:snapToGrid w:val="0"/>
        <w:jc w:val="left"/>
        <w:rPr>
          <w:rFonts w:hint="default" w:ascii="Times New Roman" w:hAnsi="Times New Roman" w:cs="Times New Roman"/>
          <w:bCs/>
          <w:color w:val="auto"/>
          <w:sz w:val="36"/>
          <w:szCs w:val="36"/>
          <w:highlight w:val="none"/>
        </w:rPr>
      </w:pPr>
    </w:p>
    <w:p w14:paraId="08AFF4BF">
      <w:pPr>
        <w:pageBreakBefore w:val="0"/>
        <w:wordWrap w:val="0"/>
        <w:bidi w:val="0"/>
        <w:adjustRightInd w:val="0"/>
        <w:snapToGrid w:val="0"/>
        <w:jc w:val="center"/>
        <w:rPr>
          <w:rFonts w:hint="default" w:ascii="Times New Roman" w:hAnsi="Times New Roman" w:cs="Times New Roman"/>
          <w:bCs/>
          <w:color w:val="auto"/>
          <w:sz w:val="72"/>
          <w:szCs w:val="72"/>
          <w:highlight w:val="none"/>
        </w:rPr>
      </w:pPr>
      <w:r>
        <w:rPr>
          <w:rFonts w:hint="default" w:ascii="Times New Roman" w:hAnsi="Times New Roman" w:cs="Times New Roman"/>
          <w:bCs/>
          <w:color w:val="auto"/>
          <w:sz w:val="72"/>
          <w:szCs w:val="72"/>
          <w:highlight w:val="none"/>
        </w:rPr>
        <w:t>建设项目环境影响报告表</w:t>
      </w:r>
    </w:p>
    <w:p w14:paraId="49E99094">
      <w:pPr>
        <w:pageBreakBefore w:val="0"/>
        <w:wordWrap w:val="0"/>
        <w:bidi w:val="0"/>
        <w:adjustRightInd w:val="0"/>
        <w:snapToGrid w:val="0"/>
        <w:spacing w:before="192" w:beforeLines="80"/>
        <w:jc w:val="center"/>
        <w:rPr>
          <w:rFonts w:hint="default" w:ascii="Times New Roman" w:hAnsi="Times New Roman" w:cs="Times New Roman"/>
          <w:bCs/>
          <w:color w:val="auto"/>
          <w:sz w:val="48"/>
          <w:szCs w:val="48"/>
          <w:highlight w:val="none"/>
        </w:rPr>
      </w:pPr>
      <w:r>
        <w:rPr>
          <w:rFonts w:hint="default" w:ascii="Times New Roman" w:hAnsi="Times New Roman" w:cs="Times New Roman"/>
          <w:bCs/>
          <w:color w:val="auto"/>
          <w:sz w:val="48"/>
          <w:szCs w:val="48"/>
          <w:highlight w:val="none"/>
        </w:rPr>
        <w:t>（污染影响类）</w:t>
      </w:r>
    </w:p>
    <w:p w14:paraId="7E120BF4">
      <w:pPr>
        <w:pageBreakBefore w:val="0"/>
        <w:wordWrap w:val="0"/>
        <w:bidi w:val="0"/>
        <w:adjustRightInd w:val="0"/>
        <w:snapToGrid w:val="0"/>
        <w:spacing w:line="288" w:lineRule="auto"/>
        <w:jc w:val="center"/>
        <w:rPr>
          <w:rFonts w:hint="default" w:ascii="Times New Roman" w:hAnsi="Times New Roman" w:cs="Times New Roman"/>
          <w:color w:val="auto"/>
          <w:kern w:val="44"/>
          <w:sz w:val="44"/>
          <w:szCs w:val="44"/>
          <w:highlight w:val="none"/>
        </w:rPr>
      </w:pPr>
    </w:p>
    <w:p w14:paraId="20DDFE20">
      <w:pPr>
        <w:pageBreakBefore w:val="0"/>
        <w:wordWrap w:val="0"/>
        <w:bidi w:val="0"/>
        <w:jc w:val="center"/>
        <w:rPr>
          <w:rFonts w:hint="default" w:ascii="Times New Roman" w:hAnsi="Times New Roman" w:cs="Times New Roman"/>
          <w:color w:val="auto"/>
          <w:sz w:val="52"/>
          <w:szCs w:val="52"/>
          <w:highlight w:val="none"/>
        </w:rPr>
      </w:pPr>
    </w:p>
    <w:p w14:paraId="54A03015">
      <w:pPr>
        <w:pageBreakBefore w:val="0"/>
        <w:wordWrap w:val="0"/>
        <w:bidi w:val="0"/>
        <w:jc w:val="center"/>
        <w:rPr>
          <w:rFonts w:hint="default" w:ascii="Times New Roman" w:hAnsi="Times New Roman" w:cs="Times New Roman"/>
          <w:color w:val="auto"/>
          <w:sz w:val="44"/>
          <w:szCs w:val="44"/>
          <w:highlight w:val="none"/>
        </w:rPr>
      </w:pPr>
    </w:p>
    <w:p w14:paraId="27FAF0E1">
      <w:pPr>
        <w:pageBreakBefore w:val="0"/>
        <w:tabs>
          <w:tab w:val="left" w:pos="0"/>
        </w:tabs>
        <w:wordWrap w:val="0"/>
        <w:bidi w:val="0"/>
        <w:jc w:val="center"/>
        <w:rPr>
          <w:rFonts w:hint="default" w:ascii="Times New Roman" w:hAnsi="Times New Roman" w:cs="Times New Roman"/>
          <w:color w:val="auto"/>
          <w:sz w:val="44"/>
          <w:szCs w:val="44"/>
          <w:highlight w:val="none"/>
        </w:rPr>
      </w:pPr>
    </w:p>
    <w:p w14:paraId="64F877AA">
      <w:pPr>
        <w:keepNext w:val="0"/>
        <w:keepLines w:val="0"/>
        <w:pageBreakBefore w:val="0"/>
        <w:widowControl w:val="0"/>
        <w:tabs>
          <w:tab w:val="left" w:leader="underscore" w:pos="3150"/>
        </w:tabs>
        <w:kinsoku/>
        <w:wordWrap w:val="0"/>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color w:val="auto"/>
          <w:sz w:val="32"/>
          <w:szCs w:val="32"/>
          <w:highlight w:val="none"/>
          <w:u w:val="single"/>
          <w:lang w:val="en-US" w:eastAsia="zh-CN"/>
        </w:rPr>
      </w:pPr>
      <w:r>
        <w:rPr>
          <w:rFonts w:hint="default" w:ascii="Times New Roman" w:hAnsi="Times New Roman" w:cs="Times New Roman"/>
          <w:color w:val="auto"/>
          <w:sz w:val="32"/>
          <w:szCs w:val="32"/>
          <w:highlight w:val="none"/>
        </w:rPr>
        <w:t>项目名称：</w:t>
      </w:r>
      <w:r>
        <w:rPr>
          <w:rFonts w:hint="default" w:ascii="Times New Roman" w:hAnsi="Times New Roman" w:cs="Times New Roman"/>
          <w:color w:val="auto"/>
          <w:sz w:val="32"/>
          <w:szCs w:val="32"/>
          <w:highlight w:val="none"/>
          <w:u w:val="single"/>
          <w:lang w:val="en-US" w:eastAsia="zh-CN"/>
        </w:rPr>
        <w:t>乐昌鑫景源新材料项目</w:t>
      </w:r>
    </w:p>
    <w:p w14:paraId="415FF9BD">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32"/>
          <w:szCs w:val="32"/>
          <w:highlight w:val="none"/>
          <w:u w:val="single"/>
          <w:lang w:val="en-US"/>
        </w:rPr>
      </w:pPr>
      <w:r>
        <w:rPr>
          <w:rFonts w:hint="default" w:ascii="Times New Roman" w:hAnsi="Times New Roman" w:cs="Times New Roman"/>
          <w:color w:val="auto"/>
          <w:sz w:val="32"/>
          <w:szCs w:val="32"/>
          <w:highlight w:val="none"/>
        </w:rPr>
        <w:t>建设单位（盖章）：</w:t>
      </w:r>
      <w:r>
        <w:rPr>
          <w:rFonts w:hint="default" w:ascii="Times New Roman" w:hAnsi="Times New Roman" w:cs="Times New Roman"/>
          <w:color w:val="auto"/>
          <w:sz w:val="32"/>
          <w:szCs w:val="32"/>
          <w:highlight w:val="none"/>
          <w:u w:val="single"/>
          <w:lang w:val="en-US" w:eastAsia="zh-CN"/>
        </w:rPr>
        <w:t>广东鑫景源新材料有限公司</w:t>
      </w:r>
    </w:p>
    <w:p w14:paraId="72B2238E">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32"/>
          <w:szCs w:val="32"/>
          <w:highlight w:val="none"/>
          <w:u w:val="single"/>
        </w:rPr>
      </w:pPr>
      <w:r>
        <w:rPr>
          <w:rFonts w:hint="default" w:ascii="Times New Roman" w:hAnsi="Times New Roman" w:cs="Times New Roman"/>
          <w:color w:val="auto"/>
          <w:sz w:val="32"/>
          <w:szCs w:val="32"/>
          <w:highlight w:val="none"/>
        </w:rPr>
        <w:t>编制日期：</w:t>
      </w:r>
      <w:r>
        <w:rPr>
          <w:rFonts w:hint="default" w:ascii="Times New Roman" w:hAnsi="Times New Roman" w:cs="Times New Roman"/>
          <w:color w:val="auto"/>
          <w:sz w:val="32"/>
          <w:szCs w:val="32"/>
          <w:highlight w:val="none"/>
          <w:u w:val="single"/>
        </w:rPr>
        <w:t xml:space="preserve"> 202</w:t>
      </w:r>
      <w:r>
        <w:rPr>
          <w:rFonts w:hint="default" w:ascii="Times New Roman" w:hAnsi="Times New Roman" w:cs="Times New Roman"/>
          <w:color w:val="auto"/>
          <w:sz w:val="32"/>
          <w:szCs w:val="32"/>
          <w:highlight w:val="none"/>
          <w:u w:val="single"/>
          <w:lang w:val="en-US" w:eastAsia="zh-CN"/>
        </w:rPr>
        <w:t>6</w:t>
      </w:r>
      <w:r>
        <w:rPr>
          <w:rFonts w:hint="default" w:ascii="Times New Roman" w:hAnsi="Times New Roman" w:cs="Times New Roman"/>
          <w:color w:val="auto"/>
          <w:sz w:val="32"/>
          <w:szCs w:val="32"/>
          <w:highlight w:val="none"/>
          <w:u w:val="single"/>
        </w:rPr>
        <w:t>年</w:t>
      </w:r>
      <w:r>
        <w:rPr>
          <w:rFonts w:hint="eastAsia" w:cs="Times New Roman"/>
          <w:color w:val="auto"/>
          <w:sz w:val="32"/>
          <w:szCs w:val="32"/>
          <w:highlight w:val="none"/>
          <w:u w:val="single"/>
          <w:lang w:val="en-US" w:eastAsia="zh-CN"/>
        </w:rPr>
        <w:t>6</w:t>
      </w:r>
      <w:r>
        <w:rPr>
          <w:rFonts w:hint="default" w:ascii="Times New Roman" w:hAnsi="Times New Roman" w:cs="Times New Roman"/>
          <w:color w:val="auto"/>
          <w:sz w:val="32"/>
          <w:szCs w:val="32"/>
          <w:highlight w:val="none"/>
          <w:u w:val="single"/>
        </w:rPr>
        <w:t>月</w:t>
      </w:r>
    </w:p>
    <w:p w14:paraId="2019D970">
      <w:pPr>
        <w:pageBreakBefore w:val="0"/>
        <w:wordWrap w:val="0"/>
        <w:bidi w:val="0"/>
        <w:adjustRightInd w:val="0"/>
        <w:snapToGrid w:val="0"/>
        <w:spacing w:line="288" w:lineRule="auto"/>
        <w:jc w:val="center"/>
        <w:rPr>
          <w:rFonts w:hint="default" w:ascii="Times New Roman" w:hAnsi="Times New Roman" w:cs="Times New Roman"/>
          <w:color w:val="auto"/>
          <w:sz w:val="36"/>
          <w:szCs w:val="36"/>
          <w:highlight w:val="none"/>
          <w:u w:val="single"/>
        </w:rPr>
      </w:pPr>
      <w:bookmarkStart w:id="0" w:name="_Hlk57884087"/>
    </w:p>
    <w:p w14:paraId="349D01DC">
      <w:pPr>
        <w:pageBreakBefore w:val="0"/>
        <w:wordWrap w:val="0"/>
        <w:bidi w:val="0"/>
        <w:adjustRightInd w:val="0"/>
        <w:snapToGrid w:val="0"/>
        <w:spacing w:line="288" w:lineRule="auto"/>
        <w:jc w:val="center"/>
        <w:rPr>
          <w:rFonts w:hint="default" w:ascii="Times New Roman" w:hAnsi="Times New Roman" w:cs="Times New Roman"/>
          <w:color w:val="auto"/>
          <w:sz w:val="36"/>
          <w:szCs w:val="36"/>
          <w:highlight w:val="none"/>
        </w:rPr>
      </w:pPr>
    </w:p>
    <w:p w14:paraId="65954AC5">
      <w:pPr>
        <w:pageBreakBefore w:val="0"/>
        <w:wordWrap w:val="0"/>
        <w:bidi w:val="0"/>
        <w:adjustRightInd w:val="0"/>
        <w:snapToGrid w:val="0"/>
        <w:spacing w:line="288" w:lineRule="auto"/>
        <w:jc w:val="center"/>
        <w:rPr>
          <w:rFonts w:hint="default" w:ascii="Times New Roman" w:hAnsi="Times New Roman" w:cs="Times New Roman"/>
          <w:color w:val="auto"/>
          <w:sz w:val="36"/>
          <w:szCs w:val="36"/>
          <w:highlight w:val="none"/>
        </w:rPr>
      </w:pPr>
    </w:p>
    <w:bookmarkEnd w:id="0"/>
    <w:p w14:paraId="4B11CB9E">
      <w:pPr>
        <w:pageBreakBefore w:val="0"/>
        <w:wordWrap w:val="0"/>
        <w:bidi w:val="0"/>
        <w:adjustRightInd w:val="0"/>
        <w:snapToGrid w:val="0"/>
        <w:spacing w:line="288" w:lineRule="auto"/>
        <w:jc w:val="center"/>
        <w:rPr>
          <w:rFonts w:hint="default" w:ascii="Times New Roman" w:hAnsi="Times New Roman" w:cs="Times New Roman"/>
          <w:color w:val="auto"/>
          <w:sz w:val="32"/>
          <w:szCs w:val="32"/>
          <w:highlight w:val="none"/>
        </w:rPr>
      </w:pPr>
    </w:p>
    <w:p w14:paraId="62C860A8">
      <w:pPr>
        <w:pageBreakBefore w:val="0"/>
        <w:wordWrap w:val="0"/>
        <w:bidi w:val="0"/>
        <w:adjustRightInd w:val="0"/>
        <w:snapToGrid w:val="0"/>
        <w:spacing w:line="288" w:lineRule="auto"/>
        <w:jc w:val="center"/>
        <w:rPr>
          <w:rFonts w:hint="default" w:ascii="Times New Roman" w:hAnsi="Times New Roman" w:cs="Times New Roman"/>
          <w:color w:val="auto"/>
          <w:sz w:val="32"/>
          <w:szCs w:val="32"/>
          <w:highlight w:val="none"/>
        </w:rPr>
      </w:pPr>
    </w:p>
    <w:p w14:paraId="2C38C92D">
      <w:pPr>
        <w:pageBreakBefore w:val="0"/>
        <w:wordWrap w:val="0"/>
        <w:bidi w:val="0"/>
        <w:adjustRightInd w:val="0"/>
        <w:snapToGrid w:val="0"/>
        <w:spacing w:line="288" w:lineRule="auto"/>
        <w:jc w:val="center"/>
        <w:rPr>
          <w:rFonts w:hint="default" w:ascii="Times New Roman" w:hAnsi="Times New Roman" w:cs="Times New Roman"/>
          <w:color w:val="auto"/>
          <w:sz w:val="32"/>
          <w:szCs w:val="32"/>
          <w:highlight w:val="none"/>
        </w:rPr>
      </w:pPr>
    </w:p>
    <w:p w14:paraId="3777EBFE">
      <w:pPr>
        <w:pageBreakBefore w:val="0"/>
        <w:wordWrap w:val="0"/>
        <w:bidi w:val="0"/>
        <w:adjustRightInd w:val="0"/>
        <w:snapToGrid w:val="0"/>
        <w:spacing w:line="288" w:lineRule="auto"/>
        <w:jc w:val="center"/>
        <w:rPr>
          <w:rFonts w:hint="default" w:ascii="Times New Roman" w:hAnsi="Times New Roman" w:cs="Times New Roman"/>
          <w:color w:val="auto"/>
          <w:sz w:val="32"/>
          <w:szCs w:val="32"/>
          <w:highlight w:val="none"/>
        </w:rPr>
      </w:pPr>
      <w:r>
        <w:rPr>
          <w:rFonts w:hint="default" w:ascii="Times New Roman" w:hAnsi="Times New Roman" w:cs="Times New Roman"/>
          <w:color w:val="auto"/>
          <w:sz w:val="32"/>
          <w:szCs w:val="32"/>
          <w:highlight w:val="none"/>
        </w:rPr>
        <w:t>中华人民共和国生态环境部制</w:t>
      </w:r>
    </w:p>
    <w:p w14:paraId="6519C052">
      <w:pPr>
        <w:pageBreakBefore w:val="0"/>
        <w:wordWrap w:val="0"/>
        <w:bidi w:val="0"/>
        <w:adjustRightInd w:val="0"/>
        <w:snapToGrid w:val="0"/>
        <w:spacing w:line="288" w:lineRule="auto"/>
        <w:ind w:firstLine="1040"/>
        <w:rPr>
          <w:rFonts w:hint="default" w:ascii="Times New Roman" w:hAnsi="Times New Roman" w:cs="Times New Roman"/>
          <w:color w:val="auto"/>
          <w:sz w:val="36"/>
          <w:szCs w:val="36"/>
          <w:highlight w:val="none"/>
        </w:rPr>
        <w:sectPr>
          <w:footerReference r:id="rId5" w:type="default"/>
          <w:footerReference r:id="rId6" w:type="even"/>
          <w:pgSz w:w="11906" w:h="16838"/>
          <w:pgMar w:top="1440" w:right="1080" w:bottom="1440" w:left="1080" w:header="851" w:footer="1077" w:gutter="0"/>
          <w:pgBorders>
            <w:top w:val="none" w:sz="0" w:space="0"/>
            <w:left w:val="none" w:sz="0" w:space="0"/>
            <w:bottom w:val="none" w:sz="0" w:space="0"/>
            <w:right w:val="none" w:sz="0" w:space="0"/>
          </w:pgBorders>
          <w:pgNumType w:start="3"/>
          <w:cols w:space="720" w:num="1"/>
          <w:docGrid w:linePitch="312" w:charSpace="0"/>
        </w:sectPr>
      </w:pPr>
    </w:p>
    <w:sdt>
      <w:sdtPr>
        <w:rPr>
          <w:rFonts w:hint="default" w:ascii="Times New Roman" w:hAnsi="Times New Roman" w:eastAsia="仿宋" w:cs="Times New Roman"/>
          <w:b/>
          <w:bCs/>
          <w:color w:val="auto"/>
          <w:sz w:val="36"/>
          <w:szCs w:val="36"/>
          <w:highlight w:val="none"/>
        </w:rPr>
        <w:id w:val="147459935"/>
        <w15:color w:val="DBDBDB"/>
        <w:docPartObj>
          <w:docPartGallery w:val="Table of Contents"/>
          <w:docPartUnique/>
        </w:docPartObj>
      </w:sdtPr>
      <w:sdtEndPr>
        <w:rPr>
          <w:rFonts w:hint="default" w:ascii="Times New Roman" w:hAnsi="Times New Roman" w:eastAsia="仿宋" w:cs="Times New Roman"/>
          <w:b/>
          <w:bCs/>
          <w:color w:val="auto"/>
          <w:sz w:val="24"/>
          <w:szCs w:val="24"/>
          <w:highlight w:val="none"/>
        </w:rPr>
      </w:sdtEndPr>
      <w:sdtContent>
        <w:p w14:paraId="6B3B2995">
          <w:pPr>
            <w:pageBreakBefore w:val="0"/>
            <w:wordWrap w:val="0"/>
            <w:bidi w:val="0"/>
            <w:spacing w:line="240" w:lineRule="auto"/>
            <w:jc w:val="center"/>
            <w:rPr>
              <w:rFonts w:hint="default" w:ascii="Times New Roman" w:hAnsi="Times New Roman" w:eastAsia="仿宋" w:cs="Times New Roman"/>
              <w:b/>
              <w:bCs/>
              <w:color w:val="auto"/>
              <w:sz w:val="36"/>
              <w:szCs w:val="36"/>
              <w:highlight w:val="none"/>
            </w:rPr>
          </w:pPr>
          <w:r>
            <w:rPr>
              <w:rFonts w:hint="default" w:ascii="Times New Roman" w:hAnsi="Times New Roman" w:eastAsia="仿宋" w:cs="Times New Roman"/>
              <w:b/>
              <w:bCs/>
              <w:color w:val="auto"/>
              <w:sz w:val="36"/>
              <w:szCs w:val="36"/>
              <w:highlight w:val="none"/>
            </w:rPr>
            <w:t>目</w:t>
          </w:r>
          <w:r>
            <w:rPr>
              <w:rFonts w:hint="default" w:ascii="Times New Roman" w:hAnsi="Times New Roman" w:eastAsia="仿宋" w:cs="Times New Roman"/>
              <w:b/>
              <w:bCs/>
              <w:color w:val="auto"/>
              <w:sz w:val="36"/>
              <w:szCs w:val="36"/>
              <w:highlight w:val="none"/>
              <w:lang w:val="en-US" w:eastAsia="zh-CN"/>
            </w:rPr>
            <w:t xml:space="preserve"> </w:t>
          </w:r>
          <w:r>
            <w:rPr>
              <w:rFonts w:hint="default" w:ascii="Times New Roman" w:hAnsi="Times New Roman" w:eastAsia="仿宋" w:cs="Times New Roman"/>
              <w:b/>
              <w:bCs/>
              <w:color w:val="auto"/>
              <w:sz w:val="36"/>
              <w:szCs w:val="36"/>
              <w:highlight w:val="none"/>
            </w:rPr>
            <w:t>录</w:t>
          </w:r>
        </w:p>
        <w:p w14:paraId="33E8945C">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_Toc27985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一、建设项目基本情况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_Toc27985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149CC3F">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_Toc7568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二、建设项目工程分析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_Toc7568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- 24 -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226FBEA">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_Toc877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三、区域环境质量现状、环境保护目标及评价标准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- 46 -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5E94EBC">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_Toc8634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四、主要环境影响和保护措施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_Toc8634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- 53 -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05D775E">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_Toc31767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五、环境保护措施监督检查清单</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_Toc31767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12729E0">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_Toc7784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六、 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_Toc7784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7367E50">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_Toc28588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snapToGrid w:val="0"/>
              <w:color w:val="auto"/>
              <w:szCs w:val="32"/>
              <w:highlight w:val="none"/>
            </w:rPr>
            <w:t>附表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_Toc28588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D4FC344">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_Toc11755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4"/>
              <w:highlight w:val="none"/>
            </w:rPr>
            <w:t>附图1项目地理位置图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_Toc11755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1F7433F">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_Toc3325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4"/>
              <w:highlight w:val="none"/>
            </w:rPr>
            <w:t>附图2 项目四至情况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_Toc3325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3BDBD88">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_Toc21131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4"/>
              <w:highlight w:val="none"/>
            </w:rPr>
            <w:t>附图</w:t>
          </w:r>
          <w:r>
            <w:rPr>
              <w:rFonts w:hint="default" w:ascii="Times New Roman" w:hAnsi="Times New Roman" w:cs="Times New Roman"/>
              <w:bCs/>
              <w:color w:val="auto"/>
              <w:szCs w:val="24"/>
              <w:highlight w:val="none"/>
              <w:lang w:val="en-US" w:eastAsia="zh-CN"/>
            </w:rPr>
            <w:t>3-1项目首层</w:t>
          </w:r>
          <w:r>
            <w:rPr>
              <w:rFonts w:hint="default" w:ascii="Times New Roman" w:hAnsi="Times New Roman" w:eastAsia="宋体" w:cs="Times New Roman"/>
              <w:bCs/>
              <w:color w:val="auto"/>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_Toc21131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- 98 -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2B418831">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_Toc2305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4"/>
              <w:highlight w:val="none"/>
            </w:rPr>
            <w:t>附图</w:t>
          </w:r>
          <w:r>
            <w:rPr>
              <w:rFonts w:hint="default" w:ascii="Times New Roman" w:hAnsi="Times New Roman" w:cs="Times New Roman"/>
              <w:bCs/>
              <w:color w:val="auto"/>
              <w:szCs w:val="24"/>
              <w:highlight w:val="none"/>
              <w:lang w:val="en-US" w:eastAsia="zh-CN"/>
            </w:rPr>
            <w:t>3-2项目夹层</w:t>
          </w:r>
          <w:r>
            <w:rPr>
              <w:rFonts w:hint="default" w:ascii="Times New Roman" w:hAnsi="Times New Roman" w:eastAsia="宋体" w:cs="Times New Roman"/>
              <w:bCs/>
              <w:color w:val="auto"/>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_Toc2305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- 99 -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D545E5E">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_Toc492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4"/>
              <w:highlight w:val="none"/>
            </w:rPr>
            <w:t>附图4 环境保护目标分布图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27C7215">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_Toc27954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附图5 建设项目土地利用规划图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_Toc27954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- 101 -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5B3CF8D">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_Toc26751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附图6 大气环境功能区划图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_Toc26751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- 102 -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8F9A8D8">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_Toc16814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附图7 水环境功能区划图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_Toc16814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C9B42C2">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_Toc3469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附图8 生态红线分布图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_Toc3469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210EBF9D">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_Toc14745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 xml:space="preserve">附图9 </w:t>
          </w:r>
          <w:r>
            <w:rPr>
              <w:rFonts w:hint="default" w:ascii="Times New Roman" w:hAnsi="Times New Roman" w:cs="Times New Roman"/>
              <w:bCs/>
              <w:color w:val="auto"/>
              <w:highlight w:val="none"/>
            </w:rPr>
            <w:t>水环境管控单元</w:t>
          </w:r>
          <w:r>
            <w:rPr>
              <w:rFonts w:hint="default" w:ascii="Times New Roman" w:hAnsi="Times New Roman" w:cs="Times New Roman"/>
              <w:bCs/>
              <w:color w:val="auto"/>
              <w:szCs w:val="22"/>
              <w:highlight w:val="none"/>
            </w:rPr>
            <w:t>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_Toc14745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- 105 -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161253C">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_Toc1193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附图10 大气环境管控单元图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_Toc1193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8FA3D74">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_Toc31569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附图11 生态管控单元分区图</w:t>
          </w:r>
          <w:r>
            <w:rPr>
              <w:rFonts w:hint="default" w:ascii="Times New Roman" w:hAnsi="Times New Roman" w:cs="Times New Roman"/>
              <w:color w:val="auto"/>
              <w:szCs w:val="21"/>
              <w:highlight w:val="none"/>
              <w:lang w:val="en-US" w:eastAsia="zh-CN"/>
            </w:rPr>
            <w:t>i</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_Toc31569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01EC7EB">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_Toc32639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附图1</w:t>
          </w:r>
          <w:r>
            <w:rPr>
              <w:rFonts w:hint="default" w:ascii="Times New Roman" w:hAnsi="Times New Roman" w:cs="Times New Roman"/>
              <w:bCs/>
              <w:color w:val="auto"/>
              <w:szCs w:val="22"/>
              <w:highlight w:val="none"/>
              <w:lang w:val="en-US" w:eastAsia="zh-CN"/>
            </w:rPr>
            <w:t>2</w:t>
          </w:r>
          <w:r>
            <w:rPr>
              <w:rFonts w:hint="default" w:ascii="Times New Roman" w:hAnsi="Times New Roman" w:cs="Times New Roman"/>
              <w:bCs/>
              <w:color w:val="auto"/>
              <w:szCs w:val="22"/>
              <w:highlight w:val="none"/>
            </w:rPr>
            <w:t xml:space="preserve"> 生态管控单元分区图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_Toc32639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- 108 -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7230D99">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_Toc11119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附图1</w:t>
          </w:r>
          <w:r>
            <w:rPr>
              <w:rFonts w:hint="default" w:ascii="Times New Roman" w:hAnsi="Times New Roman" w:cs="Times New Roman"/>
              <w:bCs/>
              <w:color w:val="auto"/>
              <w:szCs w:val="22"/>
              <w:highlight w:val="none"/>
              <w:lang w:val="en-US" w:eastAsia="zh-CN"/>
            </w:rPr>
            <w:t>3</w:t>
          </w:r>
          <w:r>
            <w:rPr>
              <w:rFonts w:hint="default" w:ascii="Times New Roman" w:hAnsi="Times New Roman" w:cs="Times New Roman"/>
              <w:bCs/>
              <w:color w:val="auto"/>
              <w:szCs w:val="22"/>
              <w:highlight w:val="none"/>
            </w:rPr>
            <w:t xml:space="preserve"> 生态管控单元分区图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_Toc11119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- 109 -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B70E4FF">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_Toc27491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附图1</w:t>
          </w:r>
          <w:r>
            <w:rPr>
              <w:rFonts w:hint="default" w:ascii="Times New Roman" w:hAnsi="Times New Roman" w:cs="Times New Roman"/>
              <w:bCs/>
              <w:color w:val="auto"/>
              <w:szCs w:val="22"/>
              <w:highlight w:val="none"/>
              <w:lang w:val="en-US" w:eastAsia="zh-CN"/>
            </w:rPr>
            <w:t>4</w:t>
          </w:r>
          <w:r>
            <w:rPr>
              <w:rFonts w:hint="default" w:ascii="Times New Roman" w:hAnsi="Times New Roman" w:cs="Times New Roman"/>
              <w:bCs/>
              <w:color w:val="auto"/>
              <w:szCs w:val="22"/>
              <w:highlight w:val="none"/>
            </w:rPr>
            <w:t xml:space="preserve"> 项目</w:t>
          </w:r>
          <w:r>
            <w:rPr>
              <w:rFonts w:hint="default" w:ascii="Times New Roman" w:hAnsi="Times New Roman" w:cs="Times New Roman"/>
              <w:bCs/>
              <w:color w:val="auto"/>
              <w:szCs w:val="22"/>
              <w:highlight w:val="none"/>
              <w:lang w:val="en-US" w:eastAsia="zh-CN"/>
            </w:rPr>
            <w:t>和项目</w:t>
          </w:r>
          <w:r>
            <w:rPr>
              <w:rFonts w:hint="default" w:ascii="Times New Roman" w:hAnsi="Times New Roman" w:cs="Times New Roman"/>
              <w:bCs/>
              <w:color w:val="auto"/>
              <w:szCs w:val="22"/>
              <w:highlight w:val="none"/>
            </w:rPr>
            <w:t>周边现状图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_Toc27491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6A7EEF8">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_Toc24585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附图</w:t>
          </w:r>
          <w:r>
            <w:rPr>
              <w:rFonts w:hint="default" w:ascii="Times New Roman" w:hAnsi="Times New Roman" w:cs="Times New Roman"/>
              <w:bCs/>
              <w:color w:val="auto"/>
              <w:highlight w:val="none"/>
              <w:lang w:val="en-US" w:eastAsia="zh-CN"/>
            </w:rPr>
            <w:t>15-1</w:t>
          </w:r>
          <w:r>
            <w:rPr>
              <w:rFonts w:hint="default" w:ascii="Times New Roman" w:hAnsi="Times New Roman" w:cs="Times New Roman"/>
              <w:bCs/>
              <w:color w:val="auto"/>
              <w:highlight w:val="none"/>
            </w:rPr>
            <w:t xml:space="preserve"> 广东省“三线一单”</w:t>
          </w:r>
          <w:r>
            <w:rPr>
              <w:rFonts w:hint="default" w:ascii="Times New Roman" w:hAnsi="Times New Roman" w:cs="Times New Roman"/>
              <w:bCs/>
              <w:color w:val="auto"/>
              <w:highlight w:val="none"/>
              <w:lang w:val="en-US" w:eastAsia="zh-CN"/>
            </w:rPr>
            <w:t>平台</w:t>
          </w:r>
          <w:r>
            <w:rPr>
              <w:rFonts w:hint="default" w:ascii="Times New Roman" w:hAnsi="Times New Roman" w:cs="Times New Roman"/>
              <w:bCs/>
              <w:color w:val="auto"/>
              <w:highlight w:val="none"/>
            </w:rPr>
            <w:t>截图</w:t>
          </w:r>
          <w:r>
            <w:rPr>
              <w:rFonts w:hint="default" w:ascii="Times New Roman" w:hAnsi="Times New Roman" w:cs="Times New Roman"/>
              <w:bCs/>
              <w:color w:val="auto"/>
              <w:highlight w:val="none"/>
              <w:lang w:val="en-US" w:eastAsia="zh-CN"/>
            </w:rPr>
            <w:t>-乐昌经济开发区重点管控单元</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_Toc24585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- 111 -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9F822AF">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_Toc6191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附图</w:t>
          </w:r>
          <w:r>
            <w:rPr>
              <w:rFonts w:hint="default" w:ascii="Times New Roman" w:hAnsi="Times New Roman" w:cs="Times New Roman"/>
              <w:bCs/>
              <w:color w:val="auto"/>
              <w:highlight w:val="none"/>
              <w:lang w:val="en-US" w:eastAsia="zh-CN"/>
            </w:rPr>
            <w:t>15-2</w:t>
          </w:r>
          <w:r>
            <w:rPr>
              <w:rFonts w:hint="default" w:ascii="Times New Roman" w:hAnsi="Times New Roman" w:cs="Times New Roman"/>
              <w:bCs/>
              <w:color w:val="auto"/>
              <w:highlight w:val="none"/>
            </w:rPr>
            <w:t xml:space="preserve"> 广东省“三线一单”</w:t>
          </w:r>
          <w:r>
            <w:rPr>
              <w:rFonts w:hint="default" w:ascii="Times New Roman" w:hAnsi="Times New Roman" w:cs="Times New Roman"/>
              <w:bCs/>
              <w:color w:val="auto"/>
              <w:highlight w:val="none"/>
              <w:lang w:val="en-US" w:eastAsia="zh-CN"/>
            </w:rPr>
            <w:t>平台</w:t>
          </w:r>
          <w:r>
            <w:rPr>
              <w:rFonts w:hint="default" w:ascii="Times New Roman" w:hAnsi="Times New Roman" w:cs="Times New Roman"/>
              <w:bCs/>
              <w:color w:val="auto"/>
              <w:highlight w:val="none"/>
            </w:rPr>
            <w:t>截图</w:t>
          </w:r>
          <w:r>
            <w:rPr>
              <w:rFonts w:hint="default" w:ascii="Times New Roman" w:hAnsi="Times New Roman" w:cs="Times New Roman"/>
              <w:bCs/>
              <w:color w:val="auto"/>
              <w:highlight w:val="none"/>
              <w:lang w:val="en-US" w:eastAsia="zh-CN"/>
            </w:rPr>
            <w:t>-乐昌市生态空间一般管控区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_Toc6191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- 112 -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78B6625">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_Toc4430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附图</w:t>
          </w:r>
          <w:r>
            <w:rPr>
              <w:rFonts w:hint="default" w:ascii="Times New Roman" w:hAnsi="Times New Roman" w:cs="Times New Roman"/>
              <w:bCs/>
              <w:color w:val="auto"/>
              <w:highlight w:val="none"/>
              <w:lang w:val="en-US" w:eastAsia="zh-CN"/>
            </w:rPr>
            <w:t>15-3</w:t>
          </w:r>
          <w:r>
            <w:rPr>
              <w:rFonts w:hint="default" w:ascii="Times New Roman" w:hAnsi="Times New Roman" w:cs="Times New Roman"/>
              <w:bCs/>
              <w:color w:val="auto"/>
              <w:highlight w:val="none"/>
            </w:rPr>
            <w:t xml:space="preserve"> 广东省“三线一单”</w:t>
          </w:r>
          <w:r>
            <w:rPr>
              <w:rFonts w:hint="default" w:ascii="Times New Roman" w:hAnsi="Times New Roman" w:cs="Times New Roman"/>
              <w:bCs/>
              <w:color w:val="auto"/>
              <w:highlight w:val="none"/>
              <w:lang w:val="en-US" w:eastAsia="zh-CN"/>
            </w:rPr>
            <w:t>平台</w:t>
          </w:r>
          <w:r>
            <w:rPr>
              <w:rFonts w:hint="default" w:ascii="Times New Roman" w:hAnsi="Times New Roman" w:cs="Times New Roman"/>
              <w:bCs/>
              <w:color w:val="auto"/>
              <w:highlight w:val="none"/>
            </w:rPr>
            <w:t>截图</w:t>
          </w:r>
          <w:r>
            <w:rPr>
              <w:rFonts w:hint="default" w:ascii="Times New Roman" w:hAnsi="Times New Roman" w:cs="Times New Roman"/>
              <w:bCs/>
              <w:color w:val="auto"/>
              <w:highlight w:val="none"/>
              <w:lang w:val="en-US" w:eastAsia="zh-CN"/>
            </w:rPr>
            <w:t>-武水韶关市长来-廊田镇控制单元</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_Toc4430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8E04884">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_Toc23727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附图</w:t>
          </w:r>
          <w:r>
            <w:rPr>
              <w:rFonts w:hint="default" w:ascii="Times New Roman" w:hAnsi="Times New Roman" w:cs="Times New Roman"/>
              <w:bCs/>
              <w:color w:val="auto"/>
              <w:highlight w:val="none"/>
              <w:lang w:val="en-US" w:eastAsia="zh-CN"/>
            </w:rPr>
            <w:t>15-4</w:t>
          </w:r>
          <w:r>
            <w:rPr>
              <w:rFonts w:hint="default" w:ascii="Times New Roman" w:hAnsi="Times New Roman" w:cs="Times New Roman"/>
              <w:bCs/>
              <w:color w:val="auto"/>
              <w:highlight w:val="none"/>
            </w:rPr>
            <w:t xml:space="preserve"> 广东省“三线一单”</w:t>
          </w:r>
          <w:r>
            <w:rPr>
              <w:rFonts w:hint="default" w:ascii="Times New Roman" w:hAnsi="Times New Roman" w:cs="Times New Roman"/>
              <w:bCs/>
              <w:color w:val="auto"/>
              <w:highlight w:val="none"/>
              <w:lang w:val="en-US" w:eastAsia="zh-CN"/>
            </w:rPr>
            <w:t>平台</w:t>
          </w:r>
          <w:r>
            <w:rPr>
              <w:rFonts w:hint="default" w:ascii="Times New Roman" w:hAnsi="Times New Roman" w:cs="Times New Roman"/>
              <w:bCs/>
              <w:color w:val="auto"/>
              <w:highlight w:val="none"/>
            </w:rPr>
            <w:t>截图</w:t>
          </w:r>
          <w:r>
            <w:rPr>
              <w:rFonts w:hint="default" w:ascii="Times New Roman" w:hAnsi="Times New Roman" w:cs="Times New Roman"/>
              <w:bCs/>
              <w:color w:val="auto"/>
              <w:highlight w:val="none"/>
              <w:lang w:val="en-US" w:eastAsia="zh-CN"/>
            </w:rPr>
            <w:t>-大气环境高排放重点管控区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_Toc23727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10BC069">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_Toc17404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附图</w:t>
          </w:r>
          <w:r>
            <w:rPr>
              <w:rFonts w:hint="default" w:ascii="Times New Roman" w:hAnsi="Times New Roman" w:cs="Times New Roman"/>
              <w:bCs/>
              <w:color w:val="auto"/>
              <w:highlight w:val="none"/>
              <w:lang w:val="en-US" w:eastAsia="zh-CN"/>
            </w:rPr>
            <w:t>15-5</w:t>
          </w:r>
          <w:r>
            <w:rPr>
              <w:rFonts w:hint="default" w:ascii="Times New Roman" w:hAnsi="Times New Roman" w:cs="Times New Roman"/>
              <w:bCs/>
              <w:color w:val="auto"/>
              <w:highlight w:val="none"/>
            </w:rPr>
            <w:t xml:space="preserve"> 广东省“三线一单”</w:t>
          </w:r>
          <w:r>
            <w:rPr>
              <w:rFonts w:hint="default" w:ascii="Times New Roman" w:hAnsi="Times New Roman" w:cs="Times New Roman"/>
              <w:bCs/>
              <w:color w:val="auto"/>
              <w:highlight w:val="none"/>
              <w:lang w:val="en-US" w:eastAsia="zh-CN"/>
            </w:rPr>
            <w:t>平台</w:t>
          </w:r>
          <w:r>
            <w:rPr>
              <w:rFonts w:hint="default" w:ascii="Times New Roman" w:hAnsi="Times New Roman" w:cs="Times New Roman"/>
              <w:bCs/>
              <w:color w:val="auto"/>
              <w:highlight w:val="none"/>
            </w:rPr>
            <w:t>截图</w:t>
          </w:r>
          <w:r>
            <w:rPr>
              <w:rFonts w:hint="default" w:ascii="Times New Roman" w:hAnsi="Times New Roman" w:cs="Times New Roman"/>
              <w:bCs/>
              <w:color w:val="auto"/>
              <w:highlight w:val="none"/>
              <w:lang w:val="en-US" w:eastAsia="zh-CN"/>
            </w:rPr>
            <w:t>-乐昌市高污染燃料禁燃区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_Toc17404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- 115 -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ABED945">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_Toc10418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lang w:val="en-US" w:eastAsia="zh-CN"/>
            </w:rPr>
            <w:t xml:space="preserve">附图16 </w:t>
          </w:r>
          <w:r>
            <w:rPr>
              <w:rFonts w:hint="default" w:ascii="Times New Roman" w:hAnsi="Times New Roman" w:cs="Times New Roman"/>
              <w:bCs/>
              <w:color w:val="auto"/>
              <w:highlight w:val="none"/>
            </w:rPr>
            <w:t>项目与大气补充监测点位置图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_Toc10418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6CF68D1">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_Toc1513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lang w:eastAsia="zh-CN"/>
            </w:rPr>
            <w:t>附图</w:t>
          </w:r>
          <w:r>
            <w:rPr>
              <w:rFonts w:hint="default" w:ascii="Times New Roman" w:hAnsi="Times New Roman" w:cs="Times New Roman"/>
              <w:bCs/>
              <w:color w:val="auto"/>
              <w:highlight w:val="none"/>
              <w:lang w:val="en-US" w:eastAsia="zh-CN"/>
            </w:rPr>
            <w:t>17 乐昌产业转移工业园管网分布图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_Toc1513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AA6CB40">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_Toc31401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4"/>
              <w:highlight w:val="none"/>
            </w:rPr>
            <w:t>附件1营业执照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_Toc31401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- 118 -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60BDA4F">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_Toc11241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rPr>
            <w:t>附件2 法人身份证复印件</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_Toc11241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- 119 -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843046E">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_Toc27747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lang w:bidi="ar"/>
            </w:rPr>
            <w:t>附件3</w:t>
          </w:r>
          <w:r>
            <w:rPr>
              <w:rFonts w:hint="default" w:ascii="Times New Roman" w:hAnsi="Times New Roman" w:cs="Times New Roman"/>
              <w:bCs/>
              <w:color w:val="auto"/>
              <w:szCs w:val="28"/>
              <w:highlight w:val="none"/>
            </w:rPr>
            <w:t xml:space="preserve"> </w:t>
          </w:r>
          <w:r>
            <w:rPr>
              <w:rFonts w:hint="default" w:ascii="Times New Roman" w:hAnsi="Times New Roman" w:cs="Times New Roman"/>
              <w:bCs/>
              <w:color w:val="auto"/>
              <w:highlight w:val="none"/>
              <w:lang w:val="en-US" w:eastAsia="zh-CN" w:bidi="ar"/>
            </w:rPr>
            <w:t>不动产权证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_Toc27747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- 120 -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5F18778">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_Toc25489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en-US" w:eastAsia="zh-CN"/>
            </w:rPr>
            <w:t>附件4租赁合同</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_Toc25489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- 124 -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32EB428">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_Toc9970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4"/>
              <w:highlight w:val="none"/>
              <w:lang w:eastAsia="zh-CN"/>
            </w:rPr>
            <w:t>附件</w:t>
          </w:r>
          <w:r>
            <w:rPr>
              <w:rFonts w:hint="default" w:ascii="Times New Roman" w:hAnsi="Times New Roman" w:cs="Times New Roman"/>
              <w:color w:val="auto"/>
              <w:szCs w:val="24"/>
              <w:highlight w:val="none"/>
              <w:lang w:val="en-US" w:eastAsia="zh-CN"/>
            </w:rPr>
            <w:t>5备案证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_Toc9970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- 127 -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34C53FE">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_Toc30382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4"/>
              <w:highlight w:val="none"/>
              <w:lang w:bidi="ar"/>
            </w:rPr>
            <w:t>附件</w:t>
          </w:r>
          <w:r>
            <w:rPr>
              <w:rFonts w:hint="default" w:ascii="Times New Roman" w:hAnsi="Times New Roman" w:cs="Times New Roman"/>
              <w:bCs/>
              <w:color w:val="auto"/>
              <w:szCs w:val="24"/>
              <w:highlight w:val="none"/>
              <w:lang w:val="en-US" w:eastAsia="zh-CN" w:bidi="ar"/>
            </w:rPr>
            <w:t>6</w:t>
          </w:r>
          <w:r>
            <w:rPr>
              <w:rFonts w:hint="default" w:ascii="Times New Roman" w:hAnsi="Times New Roman" w:cs="Times New Roman"/>
              <w:bCs/>
              <w:color w:val="auto"/>
              <w:szCs w:val="24"/>
              <w:highlight w:val="none"/>
              <w:lang w:val="en-US" w:eastAsia="zh-CN"/>
            </w:rPr>
            <w:t>水性漆MSDS及VOC检测报告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_Toc30382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- 128 -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59559CB">
          <w:pPr>
            <w:pStyle w:val="27"/>
            <w:tabs>
              <w:tab w:val="right" w:leader="dot" w:pos="8844"/>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_Toc24143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4"/>
              <w:highlight w:val="none"/>
              <w:lang w:bidi="ar"/>
            </w:rPr>
            <w:t>附件</w:t>
          </w:r>
          <w:r>
            <w:rPr>
              <w:rFonts w:hint="default" w:ascii="Times New Roman" w:hAnsi="Times New Roman" w:cs="Times New Roman"/>
              <w:bCs/>
              <w:color w:val="auto"/>
              <w:szCs w:val="24"/>
              <w:highlight w:val="none"/>
              <w:lang w:val="en-US" w:eastAsia="zh-CN" w:bidi="ar"/>
            </w:rPr>
            <w:t>7</w:t>
          </w:r>
          <w:r>
            <w:rPr>
              <w:rFonts w:hint="default" w:ascii="Times New Roman" w:hAnsi="Times New Roman" w:cs="Times New Roman"/>
              <w:bCs/>
              <w:color w:val="auto"/>
              <w:szCs w:val="24"/>
              <w:highlight w:val="none"/>
              <w:lang w:val="en-US" w:eastAsia="zh-CN"/>
            </w:rPr>
            <w:t>丙烯酸乳液MSDS及VOC检测报告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_Toc24143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- 140 -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85247DD">
          <w:pPr>
            <w:rPr>
              <w:rFonts w:hint="default" w:eastAsia="宋体"/>
              <w:lang w:val="en-US" w:eastAsia="zh-CN"/>
            </w:rPr>
          </w:pPr>
          <w:r>
            <w:rPr>
              <w:rFonts w:hint="eastAsia" w:cs="Times New Roman"/>
              <w:color w:val="auto"/>
              <w:highlight w:val="none"/>
              <w:lang w:val="en-US" w:eastAsia="zh-CN"/>
            </w:rPr>
            <w:t>附件8总量来源...............................................................................................................-150-</w:t>
          </w:r>
        </w:p>
        <w:p w14:paraId="6E7C2F51">
          <w:pPr>
            <w:pStyle w:val="27"/>
            <w:keepNext w:val="0"/>
            <w:keepLines w:val="0"/>
            <w:pageBreakBefore w:val="0"/>
            <w:widowControl w:val="0"/>
            <w:tabs>
              <w:tab w:val="right" w:leader="dot" w:pos="8844"/>
            </w:tabs>
            <w:kinsoku/>
            <w:wordWrap w:val="0"/>
            <w:overflowPunct/>
            <w:topLinePunct w:val="0"/>
            <w:autoSpaceDE/>
            <w:autoSpaceDN/>
            <w:bidi w:val="0"/>
            <w:adjustRightInd/>
            <w:snapToGrid w:val="0"/>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sdtContent>
    </w:sdt>
    <w:p w14:paraId="310DC0D8">
      <w:pPr>
        <w:pageBreakBefore w:val="0"/>
        <w:wordWrap w:val="0"/>
        <w:bidi w:val="0"/>
        <w:adjustRightInd w:val="0"/>
        <w:spacing w:line="288" w:lineRule="auto"/>
        <w:rPr>
          <w:rFonts w:hint="default" w:ascii="Times New Roman" w:hAnsi="Times New Roman" w:eastAsia="楷体_GB2312" w:cs="Times New Roman"/>
          <w:color w:val="auto"/>
          <w:sz w:val="36"/>
          <w:szCs w:val="36"/>
          <w:highlight w:val="none"/>
        </w:rPr>
      </w:pPr>
    </w:p>
    <w:p w14:paraId="2EFDF69E">
      <w:pPr>
        <w:pageBreakBefore w:val="0"/>
        <w:wordWrap w:val="0"/>
        <w:bidi w:val="0"/>
        <w:rPr>
          <w:rFonts w:hint="default" w:ascii="Times New Roman" w:hAnsi="Times New Roman" w:cs="Times New Roman"/>
          <w:color w:val="auto"/>
          <w:highlight w:val="none"/>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4628F7E8">
      <w:pPr>
        <w:pStyle w:val="2"/>
        <w:pageBreakBefore w:val="0"/>
        <w:numPr>
          <w:ilvl w:val="0"/>
          <w:numId w:val="0"/>
        </w:numPr>
        <w:wordWrap w:val="0"/>
        <w:bidi w:val="0"/>
        <w:rPr>
          <w:rFonts w:hint="default" w:ascii="Times New Roman" w:hAnsi="Times New Roman" w:cs="Times New Roman"/>
          <w:color w:val="auto"/>
          <w:highlight w:val="none"/>
        </w:rPr>
      </w:pPr>
      <w:bookmarkStart w:id="1" w:name="_Toc2620"/>
      <w:bookmarkStart w:id="2" w:name="_Toc27985"/>
      <w:bookmarkStart w:id="3" w:name="_Toc20765"/>
      <w:r>
        <w:rPr>
          <w:rFonts w:hint="default" w:ascii="Times New Roman" w:hAnsi="Times New Roman" w:cs="Times New Roman"/>
          <w:color w:val="auto"/>
          <w:highlight w:val="none"/>
        </w:rPr>
        <w:t>一、建设项目基本情况</w:t>
      </w:r>
      <w:bookmarkEnd w:id="1"/>
      <w:bookmarkEnd w:id="2"/>
      <w:bookmarkEnd w:id="3"/>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1244"/>
        <w:gridCol w:w="2627"/>
        <w:gridCol w:w="592"/>
        <w:gridCol w:w="1345"/>
        <w:gridCol w:w="1136"/>
        <w:gridCol w:w="2537"/>
      </w:tblGrid>
      <w:tr w14:paraId="5680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D02EF39">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建设项目名称</w:t>
            </w:r>
          </w:p>
        </w:tc>
        <w:tc>
          <w:tcPr>
            <w:tcW w:w="4133" w:type="pct"/>
            <w:gridSpan w:val="5"/>
            <w:vAlign w:val="center"/>
          </w:tcPr>
          <w:p w14:paraId="48614816">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乐昌鑫景源新材料项目</w:t>
            </w:r>
          </w:p>
        </w:tc>
      </w:tr>
      <w:tr w14:paraId="6A82A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EE4B1F7">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项目代码</w:t>
            </w:r>
          </w:p>
        </w:tc>
        <w:tc>
          <w:tcPr>
            <w:tcW w:w="4133" w:type="pct"/>
            <w:gridSpan w:val="5"/>
            <w:vAlign w:val="center"/>
          </w:tcPr>
          <w:p w14:paraId="72825C5E">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2408-440281-04-01-468388</w:t>
            </w:r>
          </w:p>
        </w:tc>
      </w:tr>
      <w:tr w14:paraId="26F90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6248204">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建设单位联系人</w:t>
            </w:r>
          </w:p>
        </w:tc>
        <w:tc>
          <w:tcPr>
            <w:tcW w:w="1615" w:type="pct"/>
            <w:gridSpan w:val="2"/>
            <w:vAlign w:val="center"/>
          </w:tcPr>
          <w:p w14:paraId="1CF39C3C">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p>
        </w:tc>
        <w:tc>
          <w:tcPr>
            <w:tcW w:w="1245" w:type="pct"/>
            <w:gridSpan w:val="2"/>
            <w:vAlign w:val="center"/>
          </w:tcPr>
          <w:p w14:paraId="006E197F">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b/>
                <w:bCs/>
                <w:color w:val="auto"/>
                <w:kern w:val="2"/>
                <w:sz w:val="24"/>
                <w:szCs w:val="24"/>
                <w:highlight w:val="none"/>
              </w:rPr>
              <w:t>联系方式</w:t>
            </w:r>
          </w:p>
        </w:tc>
        <w:tc>
          <w:tcPr>
            <w:tcW w:w="1273" w:type="pct"/>
            <w:vAlign w:val="center"/>
          </w:tcPr>
          <w:p w14:paraId="6CE8BF38">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bookmarkStart w:id="203" w:name="_GoBack"/>
            <w:bookmarkEnd w:id="203"/>
          </w:p>
        </w:tc>
      </w:tr>
      <w:tr w14:paraId="664AA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366994B">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建设地点</w:t>
            </w:r>
          </w:p>
        </w:tc>
        <w:tc>
          <w:tcPr>
            <w:tcW w:w="4133" w:type="pct"/>
            <w:gridSpan w:val="5"/>
            <w:vAlign w:val="center"/>
          </w:tcPr>
          <w:p w14:paraId="483A9AC6">
            <w:pPr>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韶关市乐昌市产业转移工业园金岭五路6号厂房</w:t>
            </w:r>
          </w:p>
        </w:tc>
      </w:tr>
      <w:tr w14:paraId="1690E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F1B0E38">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地理坐标</w:t>
            </w:r>
          </w:p>
        </w:tc>
        <w:tc>
          <w:tcPr>
            <w:tcW w:w="4133" w:type="pct"/>
            <w:gridSpan w:val="5"/>
            <w:vAlign w:val="center"/>
          </w:tcPr>
          <w:p w14:paraId="2EDBA064">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highlight w:val="none"/>
              </w:rPr>
              <w:t>E113°24′20.899″</w:t>
            </w:r>
            <w:r>
              <w:rPr>
                <w:rFonts w:hint="default" w:ascii="Times New Roman" w:hAnsi="Times New Roman" w:cs="Times New Roman"/>
                <w:color w:val="auto"/>
                <w:kern w:val="2"/>
                <w:sz w:val="24"/>
                <w:highlight w:val="none"/>
                <w:lang w:eastAsia="zh-CN"/>
              </w:rPr>
              <w:t>，</w:t>
            </w:r>
            <w:r>
              <w:rPr>
                <w:rFonts w:hint="default" w:ascii="Times New Roman" w:hAnsi="Times New Roman" w:cs="Times New Roman"/>
                <w:color w:val="auto"/>
                <w:kern w:val="2"/>
                <w:sz w:val="24"/>
                <w:highlight w:val="none"/>
              </w:rPr>
              <w:t>N25°7′48.963″</w:t>
            </w:r>
          </w:p>
        </w:tc>
      </w:tr>
      <w:tr w14:paraId="38F79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866" w:type="pct"/>
            <w:gridSpan w:val="2"/>
            <w:vAlign w:val="center"/>
          </w:tcPr>
          <w:p w14:paraId="60448B25">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国民经济</w:t>
            </w:r>
          </w:p>
          <w:p w14:paraId="2BA7DBDB">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318" w:type="pct"/>
            <w:vAlign w:val="center"/>
          </w:tcPr>
          <w:p w14:paraId="55D32A81">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rPr>
              <w:t>C3</w:t>
            </w:r>
            <w:r>
              <w:rPr>
                <w:rFonts w:hint="default" w:ascii="Times New Roman" w:hAnsi="Times New Roman" w:cs="Times New Roman"/>
                <w:color w:val="auto"/>
                <w:kern w:val="2"/>
                <w:sz w:val="24"/>
                <w:szCs w:val="24"/>
                <w:highlight w:val="none"/>
                <w:lang w:val="en-US" w:eastAsia="zh-CN"/>
              </w:rPr>
              <w:t>039其他建筑材料制造</w:t>
            </w:r>
          </w:p>
        </w:tc>
        <w:tc>
          <w:tcPr>
            <w:tcW w:w="972" w:type="pct"/>
            <w:gridSpan w:val="2"/>
            <w:vAlign w:val="center"/>
          </w:tcPr>
          <w:p w14:paraId="197183AC">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2009776D">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843" w:type="pct"/>
            <w:gridSpan w:val="2"/>
            <w:vAlign w:val="center"/>
          </w:tcPr>
          <w:p w14:paraId="68FACFC2">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二十七</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非</w:t>
            </w:r>
            <w:r>
              <w:rPr>
                <w:rFonts w:hint="default" w:ascii="Times New Roman" w:hAnsi="Times New Roman" w:cs="Times New Roman"/>
                <w:color w:val="auto"/>
                <w:kern w:val="2"/>
                <w:sz w:val="24"/>
                <w:szCs w:val="24"/>
                <w:highlight w:val="none"/>
              </w:rPr>
              <w:t>金属</w:t>
            </w:r>
            <w:r>
              <w:rPr>
                <w:rFonts w:hint="default" w:ascii="Times New Roman" w:hAnsi="Times New Roman" w:cs="Times New Roman"/>
                <w:color w:val="auto"/>
                <w:kern w:val="2"/>
                <w:sz w:val="24"/>
                <w:szCs w:val="24"/>
                <w:highlight w:val="none"/>
                <w:lang w:val="en-US" w:eastAsia="zh-CN"/>
              </w:rPr>
              <w:t>矿物</w:t>
            </w:r>
            <w:r>
              <w:rPr>
                <w:rFonts w:hint="default" w:ascii="Times New Roman" w:hAnsi="Times New Roman" w:cs="Times New Roman"/>
                <w:color w:val="auto"/>
                <w:kern w:val="2"/>
                <w:sz w:val="24"/>
                <w:szCs w:val="24"/>
                <w:highlight w:val="none"/>
              </w:rPr>
              <w:t xml:space="preserve">制品业 </w:t>
            </w:r>
            <w:r>
              <w:rPr>
                <w:rFonts w:hint="default" w:ascii="Times New Roman" w:hAnsi="Times New Roman" w:cs="Times New Roman"/>
                <w:color w:val="auto"/>
                <w:kern w:val="2"/>
                <w:sz w:val="24"/>
                <w:szCs w:val="24"/>
                <w:highlight w:val="none"/>
                <w:lang w:val="en-US" w:eastAsia="zh-CN"/>
              </w:rPr>
              <w:t>30</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砖瓦</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石材等建筑材料制造303</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其他建筑材料制造</w:t>
            </w:r>
          </w:p>
        </w:tc>
      </w:tr>
      <w:tr w14:paraId="7E43D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866" w:type="pct"/>
            <w:gridSpan w:val="2"/>
            <w:vAlign w:val="center"/>
          </w:tcPr>
          <w:p w14:paraId="5058D211">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建设性质</w:t>
            </w:r>
          </w:p>
        </w:tc>
        <w:tc>
          <w:tcPr>
            <w:tcW w:w="1318" w:type="pct"/>
            <w:vAlign w:val="center"/>
          </w:tcPr>
          <w:p w14:paraId="50545AA6">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43A0931D">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18DB3323">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4C62C6A2">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707FB6C8">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5A65AA1C">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申报情形</w:t>
            </w:r>
          </w:p>
        </w:tc>
        <w:tc>
          <w:tcPr>
            <w:tcW w:w="1843" w:type="pct"/>
            <w:gridSpan w:val="2"/>
            <w:vAlign w:val="center"/>
          </w:tcPr>
          <w:p w14:paraId="63AFFF2A">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首次申报项目</w:t>
            </w:r>
          </w:p>
          <w:p w14:paraId="22D9118F">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671C49AD">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77CF627E">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重大变动重新报批项目</w:t>
            </w:r>
          </w:p>
        </w:tc>
      </w:tr>
      <w:tr w14:paraId="4C3E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866" w:type="pct"/>
            <w:gridSpan w:val="2"/>
            <w:vAlign w:val="center"/>
          </w:tcPr>
          <w:p w14:paraId="53385451">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项目审批（核准/备案）部门（选填）</w:t>
            </w:r>
          </w:p>
        </w:tc>
        <w:tc>
          <w:tcPr>
            <w:tcW w:w="1318" w:type="pct"/>
            <w:vAlign w:val="center"/>
          </w:tcPr>
          <w:p w14:paraId="0496A4E5">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c>
          <w:tcPr>
            <w:tcW w:w="972" w:type="pct"/>
            <w:gridSpan w:val="2"/>
            <w:vAlign w:val="center"/>
          </w:tcPr>
          <w:p w14:paraId="33345C6C">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项目审批（核准/备案）文号（选填）</w:t>
            </w:r>
          </w:p>
        </w:tc>
        <w:tc>
          <w:tcPr>
            <w:tcW w:w="1843" w:type="pct"/>
            <w:gridSpan w:val="2"/>
            <w:vAlign w:val="center"/>
          </w:tcPr>
          <w:p w14:paraId="2D38D343">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r>
      <w:tr w14:paraId="12AE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866" w:type="pct"/>
            <w:gridSpan w:val="2"/>
            <w:vAlign w:val="center"/>
          </w:tcPr>
          <w:p w14:paraId="261B7895">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总投资（万元）</w:t>
            </w:r>
          </w:p>
        </w:tc>
        <w:tc>
          <w:tcPr>
            <w:tcW w:w="1318" w:type="pct"/>
            <w:vAlign w:val="center"/>
          </w:tcPr>
          <w:p w14:paraId="4AAD9DBD">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1000</w:t>
            </w:r>
          </w:p>
        </w:tc>
        <w:tc>
          <w:tcPr>
            <w:tcW w:w="972" w:type="pct"/>
            <w:gridSpan w:val="2"/>
            <w:vAlign w:val="center"/>
          </w:tcPr>
          <w:p w14:paraId="31A79BE1">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w:t>
            </w:r>
          </w:p>
          <w:p w14:paraId="7385F809">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（万元）</w:t>
            </w:r>
          </w:p>
        </w:tc>
        <w:tc>
          <w:tcPr>
            <w:tcW w:w="1843" w:type="pct"/>
            <w:gridSpan w:val="2"/>
            <w:vAlign w:val="center"/>
          </w:tcPr>
          <w:p w14:paraId="7794B2CB">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50</w:t>
            </w:r>
          </w:p>
        </w:tc>
      </w:tr>
      <w:tr w14:paraId="6DE1A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866" w:type="pct"/>
            <w:gridSpan w:val="2"/>
            <w:vAlign w:val="center"/>
          </w:tcPr>
          <w:p w14:paraId="3952AF39">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环保投资占比（%）</w:t>
            </w:r>
          </w:p>
        </w:tc>
        <w:tc>
          <w:tcPr>
            <w:tcW w:w="1318" w:type="pct"/>
            <w:vAlign w:val="center"/>
          </w:tcPr>
          <w:p w14:paraId="630CB50E">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5</w:t>
            </w:r>
          </w:p>
        </w:tc>
        <w:tc>
          <w:tcPr>
            <w:tcW w:w="972" w:type="pct"/>
            <w:gridSpan w:val="2"/>
            <w:vAlign w:val="center"/>
          </w:tcPr>
          <w:p w14:paraId="6EC97350">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施工工期</w:t>
            </w:r>
          </w:p>
        </w:tc>
        <w:tc>
          <w:tcPr>
            <w:tcW w:w="1843" w:type="pct"/>
            <w:gridSpan w:val="2"/>
            <w:vAlign w:val="center"/>
          </w:tcPr>
          <w:p w14:paraId="78D2FAEE">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cs="Times New Roman"/>
                <w:color w:val="auto"/>
                <w:kern w:val="2"/>
                <w:sz w:val="24"/>
                <w:szCs w:val="24"/>
                <w:highlight w:val="none"/>
                <w:lang w:val="en-US" w:eastAsia="zh-CN"/>
              </w:rPr>
              <w:t>1</w:t>
            </w:r>
            <w:r>
              <w:rPr>
                <w:rFonts w:hint="default" w:ascii="Times New Roman" w:hAnsi="Times New Roman" w:cs="Times New Roman"/>
                <w:color w:val="auto"/>
                <w:kern w:val="2"/>
                <w:sz w:val="24"/>
                <w:szCs w:val="24"/>
                <w:highlight w:val="none"/>
                <w:lang w:eastAsia="zh-CN"/>
              </w:rPr>
              <w:t>个月</w:t>
            </w:r>
          </w:p>
        </w:tc>
      </w:tr>
      <w:tr w14:paraId="5910C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866" w:type="pct"/>
            <w:gridSpan w:val="2"/>
            <w:vAlign w:val="center"/>
          </w:tcPr>
          <w:p w14:paraId="380E4C09">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是否开工建设</w:t>
            </w:r>
          </w:p>
        </w:tc>
        <w:tc>
          <w:tcPr>
            <w:tcW w:w="1318" w:type="pct"/>
            <w:vAlign w:val="center"/>
          </w:tcPr>
          <w:p w14:paraId="2D5EDAEF">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否</w:t>
            </w:r>
          </w:p>
          <w:p w14:paraId="0E47FC67">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是：</w:t>
            </w:r>
          </w:p>
        </w:tc>
        <w:tc>
          <w:tcPr>
            <w:tcW w:w="972" w:type="pct"/>
            <w:gridSpan w:val="2"/>
            <w:vAlign w:val="center"/>
          </w:tcPr>
          <w:p w14:paraId="69FD37C4">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用地（用海）面积（m</w:t>
            </w:r>
            <w:r>
              <w:rPr>
                <w:rFonts w:hint="default" w:ascii="Times New Roman" w:hAnsi="Times New Roman" w:cs="Times New Roman"/>
                <w:b/>
                <w:bCs/>
                <w:color w:val="auto"/>
                <w:kern w:val="2"/>
                <w:sz w:val="24"/>
                <w:szCs w:val="24"/>
                <w:highlight w:val="none"/>
                <w:vertAlign w:val="superscript"/>
              </w:rPr>
              <w:t>2</w:t>
            </w:r>
            <w:r>
              <w:rPr>
                <w:rFonts w:hint="default" w:ascii="Times New Roman" w:hAnsi="Times New Roman" w:cs="Times New Roman"/>
                <w:b/>
                <w:bCs/>
                <w:color w:val="auto"/>
                <w:kern w:val="2"/>
                <w:sz w:val="24"/>
                <w:szCs w:val="24"/>
                <w:highlight w:val="none"/>
              </w:rPr>
              <w:t>）</w:t>
            </w:r>
          </w:p>
        </w:tc>
        <w:tc>
          <w:tcPr>
            <w:tcW w:w="1843" w:type="pct"/>
            <w:gridSpan w:val="2"/>
            <w:vAlign w:val="center"/>
          </w:tcPr>
          <w:p w14:paraId="4C6023CB">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4165.14</w:t>
            </w:r>
          </w:p>
        </w:tc>
      </w:tr>
      <w:tr w14:paraId="5012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32895A98">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专项评价设置情况</w:t>
            </w:r>
          </w:p>
        </w:tc>
        <w:tc>
          <w:tcPr>
            <w:tcW w:w="4133" w:type="pct"/>
            <w:gridSpan w:val="5"/>
            <w:vAlign w:val="center"/>
          </w:tcPr>
          <w:p w14:paraId="079D9DA5">
            <w:pPr>
              <w:pStyle w:val="101"/>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项目专项评价设置情况一览表</w:t>
            </w:r>
          </w:p>
          <w:tbl>
            <w:tblPr>
              <w:tblStyle w:val="10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26"/>
              <w:gridCol w:w="3449"/>
              <w:gridCol w:w="2986"/>
              <w:gridCol w:w="750"/>
            </w:tblGrid>
            <w:tr w14:paraId="5DAA7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109AC509">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76" w:lineRule="auto"/>
                    <w:ind w:left="0" w:right="0" w:firstLine="0" w:firstLineChars="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专项评价</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FE7ED04">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76" w:lineRule="auto"/>
                    <w:ind w:left="0" w:right="0" w:firstLine="0" w:firstLineChars="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设置原则</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17C9A730">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76" w:lineRule="auto"/>
                    <w:ind w:left="0" w:right="0" w:firstLine="0" w:firstLineChars="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F7FDB57">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76" w:lineRule="auto"/>
                    <w:ind w:left="0" w:right="0" w:firstLine="0" w:firstLineChars="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判定结果</w:t>
                  </w:r>
                </w:p>
              </w:tc>
            </w:tr>
            <w:tr w14:paraId="4C905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1E9F475">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大气</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480C467B">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排放废气含有毒有害污染物、二噁英、苯并芘、氰化物、氯气且厂界外500米范围内有环境空气保护目标的建设项目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35BF51A7">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本项目排放的废气不涉及技术指南规定的有毒有害废气污染物</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17EC5AD2">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EB8B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3DCBF664">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地表水</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2A80BA5A">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新增工业废水直排建设项目（槽罐车外送污水处理厂的除外）；新增废水直排的污水集中处理厂</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781ED6">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项目废水自处理后依托园区污水处理厂进一步处理，达标后排放至武江，不直排</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7196D346">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49015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0DC88ABA">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环境风险</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9A69566">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有毒有害和易燃易爆危险物质存储量超过临界量的建设项目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482EED">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经分析，本项目危险物质存储量总计未超过临界量</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C9BDC8F">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11C5B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C20006E">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3646EF7A">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取水口下游500米范围内有重要水生生物的自然产卵场、索饵场、越冬场和洄游通道的新增河道取水的污染类建设项目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50C9219A">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本项目不涉及直接从河道取水</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21559E1">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C574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711F1525">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海洋</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04C52663">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直接向海排放污染物的海洋工程建设项目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7A4D35DB">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本项目污水排放不涉及海洋</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6D145FDB">
                  <w:pPr>
                    <w:pStyle w:val="65"/>
                    <w:keepNext w:val="0"/>
                    <w:keepLines w:val="0"/>
                    <w:pageBreakBefore w:val="0"/>
                    <w:widowControl w:val="0"/>
                    <w:suppressLineNumbers w:val="0"/>
                    <w:kinsoku/>
                    <w:wordWrap w:val="0"/>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bl>
          <w:p w14:paraId="2427A7B3">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ind w:left="0" w:right="0"/>
              <w:jc w:val="both"/>
              <w:outlineLvl w:val="9"/>
              <w:rPr>
                <w:rFonts w:hint="default" w:ascii="Times New Roman" w:hAnsi="Times New Roman" w:eastAsia="宋体" w:cs="Times New Roman"/>
                <w:color w:val="auto"/>
                <w:kern w:val="2"/>
                <w:sz w:val="24"/>
                <w:szCs w:val="22"/>
                <w:highlight w:val="none"/>
                <w:lang w:val="en-US" w:eastAsia="zh-CN"/>
              </w:rPr>
            </w:pPr>
            <w:r>
              <w:rPr>
                <w:rFonts w:hint="default" w:ascii="Times New Roman" w:hAnsi="Times New Roman" w:cs="Times New Roman"/>
                <w:color w:val="auto"/>
                <w:kern w:val="2"/>
                <w:sz w:val="24"/>
                <w:szCs w:val="22"/>
                <w:highlight w:val="none"/>
                <w:lang w:val="en-US" w:eastAsia="zh-CN"/>
              </w:rPr>
              <w:t xml:space="preserve"> </w:t>
            </w:r>
          </w:p>
        </w:tc>
      </w:tr>
      <w:tr w14:paraId="3C591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 w:hRule="atLeast"/>
          <w:jc w:val="center"/>
        </w:trPr>
        <w:tc>
          <w:tcPr>
            <w:tcW w:w="866" w:type="pct"/>
            <w:gridSpan w:val="2"/>
            <w:vAlign w:val="center"/>
          </w:tcPr>
          <w:p w14:paraId="2E8CE91C">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规划情况</w:t>
            </w:r>
          </w:p>
        </w:tc>
        <w:tc>
          <w:tcPr>
            <w:tcW w:w="4133" w:type="pct"/>
            <w:gridSpan w:val="5"/>
            <w:vAlign w:val="center"/>
          </w:tcPr>
          <w:p w14:paraId="6E1F13B5">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ind w:left="0" w:right="0"/>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《乐昌产业转移工业园</w:t>
            </w:r>
            <w:r>
              <w:rPr>
                <w:rFonts w:hint="default" w:ascii="Times New Roman" w:hAnsi="Times New Roman" w:cs="Times New Roman"/>
                <w:color w:val="auto"/>
                <w:spacing w:val="-1"/>
                <w:kern w:val="2"/>
                <w:sz w:val="24"/>
                <w:szCs w:val="24"/>
                <w:highlight w:val="none"/>
                <w:lang w:val="en-US" w:eastAsia="zh-CN"/>
              </w:rPr>
              <w:t>城东片区控制性详细规划修编</w:t>
            </w:r>
            <w:r>
              <w:rPr>
                <w:rFonts w:hint="default" w:ascii="Times New Roman" w:hAnsi="Times New Roman" w:cs="Times New Roman"/>
                <w:color w:val="auto"/>
                <w:spacing w:val="-1"/>
                <w:kern w:val="2"/>
                <w:sz w:val="24"/>
                <w:szCs w:val="24"/>
                <w:highlight w:val="none"/>
              </w:rPr>
              <w:t>》</w:t>
            </w:r>
          </w:p>
        </w:tc>
      </w:tr>
      <w:tr w14:paraId="0E927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16351832">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规划环境影响评价情况</w:t>
            </w:r>
          </w:p>
        </w:tc>
        <w:tc>
          <w:tcPr>
            <w:tcW w:w="4133" w:type="pct"/>
            <w:gridSpan w:val="5"/>
            <w:vAlign w:val="center"/>
          </w:tcPr>
          <w:p w14:paraId="7399F12D">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360" w:lineRule="auto"/>
              <w:ind w:left="0" w:right="0"/>
              <w:jc w:val="left"/>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w:t>
            </w:r>
            <w:r>
              <w:rPr>
                <w:rFonts w:hint="eastAsia" w:ascii="Times New Roman" w:hAnsi="Times New Roman" w:cs="Times New Roman"/>
                <w:color w:val="auto"/>
                <w:spacing w:val="-1"/>
                <w:kern w:val="2"/>
                <w:sz w:val="24"/>
                <w:szCs w:val="24"/>
                <w:highlight w:val="none"/>
                <w:lang w:val="en-US" w:eastAsia="zh-CN"/>
              </w:rPr>
              <w:t>韶关乐昌经济开发区规划环境影响报告书</w:t>
            </w:r>
            <w:r>
              <w:rPr>
                <w:rFonts w:hint="default" w:ascii="Times New Roman" w:hAnsi="Times New Roman" w:cs="Times New Roman"/>
                <w:color w:val="auto"/>
                <w:spacing w:val="-1"/>
                <w:kern w:val="2"/>
                <w:sz w:val="24"/>
                <w:szCs w:val="24"/>
                <w:highlight w:val="none"/>
              </w:rPr>
              <w:t>》，</w:t>
            </w:r>
            <w:r>
              <w:rPr>
                <w:rFonts w:hint="default" w:ascii="Times New Roman" w:hAnsi="Times New Roman" w:cs="Times New Roman"/>
                <w:color w:val="auto"/>
                <w:spacing w:val="-1"/>
                <w:kern w:val="2"/>
                <w:sz w:val="24"/>
                <w:szCs w:val="24"/>
                <w:highlight w:val="none"/>
                <w:lang w:eastAsia="zh-CN"/>
              </w:rPr>
              <w:t>审查单位：</w:t>
            </w:r>
            <w:r>
              <w:rPr>
                <w:rFonts w:hint="default" w:ascii="Times New Roman" w:hAnsi="Times New Roman" w:cs="Times New Roman"/>
                <w:color w:val="auto"/>
                <w:spacing w:val="-1"/>
                <w:kern w:val="2"/>
                <w:sz w:val="24"/>
                <w:szCs w:val="24"/>
                <w:highlight w:val="none"/>
              </w:rPr>
              <w:t>广东省</w:t>
            </w:r>
            <w:r>
              <w:rPr>
                <w:rFonts w:hint="eastAsia" w:ascii="Times New Roman" w:hAnsi="Times New Roman" w:cs="Times New Roman"/>
                <w:color w:val="auto"/>
                <w:spacing w:val="-1"/>
                <w:kern w:val="2"/>
                <w:sz w:val="24"/>
                <w:szCs w:val="24"/>
                <w:highlight w:val="none"/>
                <w:lang w:val="en-US" w:eastAsia="zh-CN"/>
              </w:rPr>
              <w:t>生态环境厅</w:t>
            </w:r>
            <w:r>
              <w:rPr>
                <w:rFonts w:hint="default" w:ascii="Times New Roman" w:hAnsi="Times New Roman" w:cs="Times New Roman"/>
                <w:color w:val="auto"/>
                <w:spacing w:val="-1"/>
                <w:kern w:val="2"/>
                <w:sz w:val="24"/>
                <w:szCs w:val="24"/>
                <w:highlight w:val="none"/>
              </w:rPr>
              <w:t>，广东省</w:t>
            </w:r>
            <w:r>
              <w:rPr>
                <w:rFonts w:hint="eastAsia" w:ascii="Times New Roman" w:hAnsi="Times New Roman" w:cs="Times New Roman"/>
                <w:color w:val="auto"/>
                <w:spacing w:val="-1"/>
                <w:kern w:val="2"/>
                <w:sz w:val="24"/>
                <w:szCs w:val="24"/>
                <w:highlight w:val="none"/>
                <w:lang w:val="en-US" w:eastAsia="zh-CN"/>
              </w:rPr>
              <w:t>生态环境厅</w:t>
            </w:r>
            <w:r>
              <w:rPr>
                <w:rFonts w:hint="default" w:ascii="Times New Roman" w:hAnsi="Times New Roman" w:cs="Times New Roman"/>
                <w:color w:val="auto"/>
                <w:spacing w:val="-1"/>
                <w:kern w:val="2"/>
                <w:sz w:val="24"/>
                <w:szCs w:val="24"/>
                <w:highlight w:val="none"/>
              </w:rPr>
              <w:t>关于印发《</w:t>
            </w:r>
            <w:r>
              <w:rPr>
                <w:rFonts w:hint="eastAsia" w:ascii="Times New Roman" w:hAnsi="Times New Roman" w:cs="Times New Roman"/>
                <w:color w:val="auto"/>
                <w:spacing w:val="-1"/>
                <w:kern w:val="2"/>
                <w:sz w:val="24"/>
                <w:szCs w:val="24"/>
                <w:highlight w:val="none"/>
                <w:lang w:val="en-US" w:eastAsia="zh-CN"/>
              </w:rPr>
              <w:t>韶关乐昌经济开发区规划环境影响报告书审查意见</w:t>
            </w:r>
            <w:r>
              <w:rPr>
                <w:rFonts w:hint="default" w:ascii="Times New Roman" w:hAnsi="Times New Roman" w:cs="Times New Roman"/>
                <w:color w:val="auto"/>
                <w:spacing w:val="-1"/>
                <w:kern w:val="2"/>
                <w:sz w:val="24"/>
                <w:szCs w:val="24"/>
                <w:highlight w:val="none"/>
              </w:rPr>
              <w:t>》的函（粤环函</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20</w:t>
            </w:r>
            <w:r>
              <w:rPr>
                <w:rFonts w:hint="eastAsia" w:ascii="Times New Roman" w:hAnsi="Times New Roman" w:cs="Times New Roman"/>
                <w:color w:val="auto"/>
                <w:spacing w:val="-1"/>
                <w:kern w:val="2"/>
                <w:sz w:val="24"/>
                <w:szCs w:val="24"/>
                <w:highlight w:val="none"/>
                <w:lang w:val="en-US" w:eastAsia="zh-CN"/>
              </w:rPr>
              <w:t>26</w:t>
            </w:r>
            <w:r>
              <w:rPr>
                <w:rFonts w:hint="default" w:ascii="Times New Roman" w:hAnsi="Times New Roman" w:cs="Times New Roman"/>
                <w:color w:val="auto"/>
                <w:spacing w:val="-1"/>
                <w:kern w:val="2"/>
                <w:sz w:val="24"/>
                <w:szCs w:val="24"/>
                <w:highlight w:val="none"/>
                <w:lang w:eastAsia="zh-CN"/>
              </w:rPr>
              <w:t>〕</w:t>
            </w:r>
            <w:r>
              <w:rPr>
                <w:rFonts w:hint="eastAsia" w:ascii="Times New Roman" w:hAnsi="Times New Roman" w:cs="Times New Roman"/>
                <w:color w:val="auto"/>
                <w:spacing w:val="-1"/>
                <w:kern w:val="2"/>
                <w:sz w:val="24"/>
                <w:szCs w:val="24"/>
                <w:highlight w:val="none"/>
                <w:lang w:val="en-US" w:eastAsia="zh-CN"/>
              </w:rPr>
              <w:t>80</w:t>
            </w:r>
            <w:r>
              <w:rPr>
                <w:rFonts w:hint="default" w:ascii="Times New Roman" w:hAnsi="Times New Roman" w:cs="Times New Roman"/>
                <w:color w:val="auto"/>
                <w:spacing w:val="-1"/>
                <w:kern w:val="2"/>
                <w:sz w:val="24"/>
                <w:szCs w:val="24"/>
                <w:highlight w:val="none"/>
              </w:rPr>
              <w:t>号）</w:t>
            </w:r>
          </w:p>
        </w:tc>
      </w:tr>
      <w:tr w14:paraId="0321D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0" w:hRule="atLeast"/>
          <w:jc w:val="center"/>
        </w:trPr>
        <w:tc>
          <w:tcPr>
            <w:tcW w:w="866" w:type="pct"/>
            <w:gridSpan w:val="2"/>
            <w:vAlign w:val="center"/>
          </w:tcPr>
          <w:p w14:paraId="644433B3">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规划及规划环境影响评价符合性分析</w:t>
            </w:r>
          </w:p>
        </w:tc>
        <w:tc>
          <w:tcPr>
            <w:tcW w:w="4133" w:type="pct"/>
            <w:gridSpan w:val="5"/>
            <w:vAlign w:val="center"/>
          </w:tcPr>
          <w:p w14:paraId="5FBAC69A">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cs="Times New Roman"/>
                <w:color w:val="auto"/>
                <w:spacing w:val="-1"/>
                <w:sz w:val="24"/>
                <w:szCs w:val="24"/>
                <w:highlight w:val="none"/>
                <w:lang w:eastAsia="zh-CN"/>
              </w:rPr>
            </w:pPr>
            <w:bookmarkStart w:id="4" w:name="_Toc24148"/>
            <w:bookmarkStart w:id="5" w:name="_Toc9596"/>
            <w:r>
              <w:rPr>
                <w:rFonts w:hint="default" w:ascii="Times New Roman" w:hAnsi="Times New Roman" w:eastAsia="宋体" w:cs="Times New Roman"/>
                <w:color w:val="auto"/>
                <w:spacing w:val="-1"/>
                <w:sz w:val="24"/>
                <w:szCs w:val="24"/>
                <w:highlight w:val="none"/>
              </w:rPr>
              <w:t>根据</w:t>
            </w:r>
            <w:r>
              <w:rPr>
                <w:rFonts w:hint="default" w:ascii="Times New Roman" w:hAnsi="Times New Roman" w:cs="Times New Roman"/>
                <w:color w:val="auto"/>
                <w:spacing w:val="-1"/>
                <w:kern w:val="2"/>
                <w:sz w:val="24"/>
                <w:szCs w:val="24"/>
                <w:highlight w:val="none"/>
              </w:rPr>
              <w:t>《</w:t>
            </w:r>
            <w:r>
              <w:rPr>
                <w:rFonts w:hint="eastAsia" w:ascii="Times New Roman" w:hAnsi="Times New Roman" w:cs="Times New Roman"/>
                <w:color w:val="auto"/>
                <w:spacing w:val="-1"/>
                <w:kern w:val="2"/>
                <w:sz w:val="24"/>
                <w:szCs w:val="24"/>
                <w:highlight w:val="none"/>
                <w:lang w:val="en-US" w:eastAsia="zh-CN"/>
              </w:rPr>
              <w:t>韶关乐昌经济开发区规划环境影响报告书</w:t>
            </w:r>
            <w:r>
              <w:rPr>
                <w:rFonts w:hint="default" w:ascii="Times New Roman" w:hAnsi="Times New Roman" w:cs="Times New Roman"/>
                <w:color w:val="auto"/>
                <w:spacing w:val="-1"/>
                <w:kern w:val="2"/>
                <w:sz w:val="24"/>
                <w:szCs w:val="24"/>
                <w:highlight w:val="none"/>
              </w:rPr>
              <w:t>》</w:t>
            </w:r>
            <w:r>
              <w:rPr>
                <w:rFonts w:hint="default" w:ascii="Times New Roman" w:hAnsi="Times New Roman" w:eastAsia="宋体" w:cs="Times New Roman"/>
                <w:color w:val="auto"/>
                <w:spacing w:val="-1"/>
                <w:sz w:val="24"/>
                <w:szCs w:val="24"/>
                <w:highlight w:val="none"/>
              </w:rPr>
              <w:t>及其审查意见</w:t>
            </w:r>
            <w:r>
              <w:rPr>
                <w:rFonts w:hint="eastAsia" w:ascii="Times New Roman" w:hAnsi="Times New Roman" w:cs="Times New Roman"/>
                <w:color w:val="auto"/>
                <w:spacing w:val="-1"/>
                <w:sz w:val="24"/>
                <w:szCs w:val="24"/>
                <w:highlight w:val="none"/>
                <w:lang w:eastAsia="zh-CN"/>
              </w:rPr>
              <w:t>：</w:t>
            </w:r>
          </w:p>
          <w:p w14:paraId="4CE475AD">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eastAsia="宋体"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一</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原广东乐昌经济开发区与原乐昌产业转移工业园及周边新增用地进行整合优化，形成韶关乐昌经济开发区（以下简称园区），并调整园区边界。调整后的园区面积为 691.1483 公顷，分为城东片区（520.2648 公顷）、城南片区（170.8835 公顷）两个片区，主导产业为金属制品业、橡胶和塑料制品业以及计算机、通信和其他电子设备制造业，兼顾发展食品加工产业</w:t>
            </w:r>
            <w:r>
              <w:rPr>
                <w:rFonts w:hint="eastAsia" w:ascii="Times New Roman" w:hAnsi="Times New Roman" w:cs="Times New Roman"/>
                <w:color w:val="auto"/>
                <w:spacing w:val="-1"/>
                <w:sz w:val="24"/>
                <w:szCs w:val="24"/>
                <w:highlight w:val="none"/>
                <w:lang w:eastAsia="zh-CN"/>
              </w:rPr>
              <w:t>；</w:t>
            </w:r>
          </w:p>
          <w:p w14:paraId="0932CF8C">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eastAsia="宋体"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二</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开发建设应符合国家开发区管理有关政策以及我省国土空间总体规划、工业园区高质量发展等要求，严格执行生态环境分区管控相关要求，禁止建设不符合生态环境分区管控要求和规划环评生态环境准入清单的项目</w:t>
            </w:r>
            <w:r>
              <w:rPr>
                <w:rFonts w:hint="eastAsia" w:ascii="Times New Roman" w:hAnsi="Times New Roman" w:cs="Times New Roman"/>
                <w:color w:val="auto"/>
                <w:spacing w:val="-1"/>
                <w:sz w:val="24"/>
                <w:szCs w:val="24"/>
                <w:highlight w:val="none"/>
                <w:lang w:eastAsia="zh-CN"/>
              </w:rPr>
              <w:t>；</w:t>
            </w:r>
          </w:p>
          <w:p w14:paraId="4A3DAD36">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eastAsia="宋体"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三</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邻近居民点、学校的工业用地优先建设无污染或轻污染的企业和项目，加强园区企业管理，并采取设置绿化隔离带等措施，防止对周边居民和学校造成不良环境影响</w:t>
            </w:r>
            <w:r>
              <w:rPr>
                <w:rFonts w:hint="eastAsia" w:ascii="Times New Roman" w:hAnsi="Times New Roman" w:cs="Times New Roman"/>
                <w:color w:val="auto"/>
                <w:spacing w:val="-1"/>
                <w:sz w:val="24"/>
                <w:szCs w:val="24"/>
                <w:highlight w:val="none"/>
                <w:lang w:eastAsia="zh-CN"/>
              </w:rPr>
              <w:t>；</w:t>
            </w:r>
          </w:p>
          <w:p w14:paraId="53B2A3B0">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四</w:t>
            </w:r>
            <w:r>
              <w:rPr>
                <w:rFonts w:hint="eastAsia" w:ascii="Times New Roman" w:hAnsi="Times New Roman" w:cs="Times New Roman"/>
                <w:color w:val="auto"/>
                <w:spacing w:val="-1"/>
                <w:sz w:val="24"/>
                <w:szCs w:val="24"/>
                <w:highlight w:val="none"/>
                <w:lang w:eastAsia="zh-CN"/>
              </w:rPr>
              <w:t>）入园企业应优先使用天然气、电能等清洁能源，提升能源资源利用效率；应按规定淘汰落后、低效废气处理措施，强化废气收集、处理，确保大气污染物达标排放；按照《关于加强重点行业涉新污染物建设项目环境影响评价工作的意见》（环环评〔2025〕28 号）要求，加强重点行业涉新污染物建设项目生态环境管理，不得建设以禁止生产、加工使用的新污染物作为原辅料或产品的项目。</w:t>
            </w:r>
          </w:p>
          <w:bookmarkEnd w:id="4"/>
          <w:bookmarkEnd w:id="5"/>
          <w:p w14:paraId="3637924F">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eastAsia="宋体" w:cs="Times New Roman"/>
                <w:color w:val="auto"/>
                <w:spacing w:val="-1"/>
                <w:kern w:val="2"/>
                <w:sz w:val="24"/>
                <w:szCs w:val="24"/>
                <w:highlight w:val="none"/>
                <w:lang w:val="en-US" w:eastAsia="zh-CN"/>
              </w:rPr>
            </w:pPr>
            <w:r>
              <w:rPr>
                <w:rFonts w:hint="default" w:ascii="Times New Roman" w:hAnsi="Times New Roman" w:cs="Times New Roman"/>
                <w:color w:val="auto"/>
                <w:spacing w:val="-1"/>
                <w:kern w:val="2"/>
                <w:sz w:val="24"/>
                <w:szCs w:val="24"/>
                <w:highlight w:val="none"/>
              </w:rPr>
              <w:t>本项目</w:t>
            </w:r>
            <w:r>
              <w:rPr>
                <w:rFonts w:hint="eastAsia" w:ascii="Times New Roman" w:hAnsi="Times New Roman" w:cs="Times New Roman"/>
                <w:color w:val="auto"/>
                <w:spacing w:val="-1"/>
                <w:kern w:val="2"/>
                <w:sz w:val="24"/>
                <w:szCs w:val="24"/>
                <w:highlight w:val="none"/>
                <w:lang w:val="en-US" w:eastAsia="zh-CN"/>
              </w:rPr>
              <w:t>属于非金属矿物制品业，主要从事其他建筑材料制造，不属于建设以禁止生产、加工使用的新污染物作为原辅料或产品的项目，符合</w:t>
            </w:r>
            <w:r>
              <w:rPr>
                <w:rFonts w:hint="default" w:ascii="Times New Roman" w:hAnsi="Times New Roman" w:eastAsia="宋体" w:cs="Times New Roman"/>
                <w:color w:val="auto"/>
                <w:spacing w:val="-1"/>
                <w:kern w:val="2"/>
                <w:sz w:val="24"/>
                <w:szCs w:val="24"/>
                <w:highlight w:val="none"/>
              </w:rPr>
              <w:t>生态环境分区管控要求和规划环评生态环境准入清单</w:t>
            </w:r>
            <w:r>
              <w:rPr>
                <w:rFonts w:hint="eastAsia" w:cs="Times New Roman"/>
                <w:color w:val="auto"/>
                <w:spacing w:val="-1"/>
                <w:kern w:val="2"/>
                <w:sz w:val="24"/>
                <w:szCs w:val="24"/>
                <w:highlight w:val="none"/>
                <w:lang w:val="en-US" w:eastAsia="zh-CN"/>
              </w:rPr>
              <w:t>准入要求；建设项目厂界外500m范围内无自然保护区、风景名胜区、文化区，大气环境保护目标等敏感点</w:t>
            </w:r>
            <w:r>
              <w:rPr>
                <w:rFonts w:hint="default" w:ascii="Times New Roman" w:hAnsi="Times New Roman" w:cs="Times New Roman"/>
                <w:color w:val="auto"/>
                <w:spacing w:val="-1"/>
                <w:kern w:val="2"/>
                <w:sz w:val="24"/>
                <w:szCs w:val="24"/>
                <w:highlight w:val="none"/>
              </w:rPr>
              <w:t>。</w:t>
            </w:r>
            <w:r>
              <w:rPr>
                <w:rFonts w:hint="eastAsia" w:ascii="Times New Roman" w:hAnsi="Times New Roman" w:cs="Times New Roman"/>
                <w:color w:val="auto"/>
                <w:spacing w:val="-1"/>
                <w:kern w:val="2"/>
                <w:sz w:val="24"/>
                <w:szCs w:val="24"/>
                <w:highlight w:val="none"/>
                <w:lang w:val="en-US" w:eastAsia="zh-CN"/>
              </w:rPr>
              <w:t>项目能源和资源消耗主要为电能、天然气，项目生产废气处理措施不属于淘汰、落后类，各大气污染物经</w:t>
            </w:r>
            <w:r>
              <w:rPr>
                <w:rFonts w:hint="eastAsia" w:ascii="Times New Roman" w:hAnsi="Times New Roman" w:cs="Times New Roman"/>
                <w:color w:val="auto"/>
                <w:spacing w:val="-1"/>
                <w:kern w:val="2"/>
                <w:sz w:val="24"/>
                <w:szCs w:val="24"/>
                <w:highlight w:val="none"/>
                <w:lang w:eastAsia="zh-CN"/>
              </w:rPr>
              <w:t>收集、处理</w:t>
            </w:r>
            <w:r>
              <w:rPr>
                <w:rFonts w:hint="eastAsia" w:cs="Times New Roman"/>
                <w:color w:val="auto"/>
                <w:spacing w:val="-1"/>
                <w:kern w:val="2"/>
                <w:sz w:val="24"/>
                <w:szCs w:val="24"/>
                <w:highlight w:val="none"/>
                <w:lang w:val="en-US" w:eastAsia="zh-CN"/>
              </w:rPr>
              <w:t>后均能</w:t>
            </w:r>
            <w:r>
              <w:rPr>
                <w:rFonts w:hint="eastAsia" w:ascii="Times New Roman" w:hAnsi="Times New Roman" w:cs="Times New Roman"/>
                <w:color w:val="auto"/>
                <w:spacing w:val="-1"/>
                <w:kern w:val="2"/>
                <w:sz w:val="24"/>
                <w:szCs w:val="24"/>
                <w:highlight w:val="none"/>
                <w:lang w:eastAsia="zh-CN"/>
              </w:rPr>
              <w:t>达标排放</w:t>
            </w:r>
            <w:r>
              <w:rPr>
                <w:rFonts w:hint="eastAsia" w:cs="Times New Roman"/>
                <w:color w:val="auto"/>
                <w:spacing w:val="-1"/>
                <w:kern w:val="2"/>
                <w:sz w:val="24"/>
                <w:szCs w:val="24"/>
                <w:highlight w:val="none"/>
                <w:lang w:eastAsia="zh-CN"/>
              </w:rPr>
              <w:t>。</w:t>
            </w:r>
          </w:p>
          <w:p w14:paraId="05238669">
            <w:pPr>
              <w:pStyle w:val="101"/>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与</w:t>
            </w:r>
            <w:r>
              <w:rPr>
                <w:rFonts w:hint="default" w:ascii="Times New Roman" w:hAnsi="Times New Roman" w:cs="Times New Roman"/>
                <w:b/>
                <w:bCs/>
                <w:color w:val="auto"/>
                <w:sz w:val="21"/>
                <w:szCs w:val="21"/>
                <w:highlight w:val="none"/>
              </w:rPr>
              <w:t>城东片区总体生态环境准入清单</w:t>
            </w:r>
            <w:r>
              <w:rPr>
                <w:rFonts w:hint="default" w:ascii="Times New Roman" w:hAnsi="Times New Roman" w:cs="Times New Roman"/>
                <w:b/>
                <w:bCs/>
                <w:color w:val="auto"/>
                <w:sz w:val="21"/>
                <w:szCs w:val="21"/>
                <w:highlight w:val="none"/>
                <w:lang w:val="en-US" w:eastAsia="zh-CN"/>
              </w:rPr>
              <w:t>相符性分析</w:t>
            </w:r>
          </w:p>
          <w:tbl>
            <w:tblPr>
              <w:tblStyle w:val="36"/>
              <w:tblW w:w="0" w:type="auto"/>
              <w:tblInd w:w="-3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36"/>
              <w:gridCol w:w="491"/>
              <w:gridCol w:w="3029"/>
              <w:gridCol w:w="3420"/>
              <w:gridCol w:w="645"/>
            </w:tblGrid>
            <w:tr w14:paraId="4C338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109C9B2B">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3C6CF399">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管控要求</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2783A5ED">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总体准入要求</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2DED4BF0">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项目情况</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3629FC47">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相符性</w:t>
                  </w:r>
                </w:p>
              </w:tc>
            </w:tr>
            <w:tr w14:paraId="6BA0D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605D65D7">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609E7FE3">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空间布局约束</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7A3AA026">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引入产业应符合现行有效的《产业结构调整指导目录》、《市场准入负面清单》、《广东省国家重点生态功能区产业准入负面清单(试行）》等相关产业政策要求。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DE9815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本项目所属行业类别为C</w:t>
                  </w:r>
                  <w:r>
                    <w:rPr>
                      <w:rFonts w:hint="default" w:ascii="Times New Roman" w:hAnsi="Times New Roman" w:eastAsia="宋体" w:cs="Times New Roman"/>
                      <w:i w:val="0"/>
                      <w:iCs w:val="0"/>
                      <w:color w:val="auto"/>
                      <w:sz w:val="21"/>
                      <w:szCs w:val="21"/>
                      <w:highlight w:val="none"/>
                      <w:u w:val="none"/>
                      <w:lang w:val="en-US" w:eastAsia="zh-CN"/>
                    </w:rPr>
                    <w:t>3039其他建筑材料制造</w:t>
                  </w:r>
                  <w:r>
                    <w:rPr>
                      <w:rFonts w:hint="default" w:ascii="Times New Roman" w:hAnsi="Times New Roman" w:eastAsia="宋体" w:cs="Times New Roman"/>
                      <w:i w:val="0"/>
                      <w:iCs w:val="0"/>
                      <w:color w:val="auto"/>
                      <w:sz w:val="21"/>
                      <w:szCs w:val="21"/>
                      <w:highlight w:val="none"/>
                      <w:u w:val="none"/>
                    </w:rPr>
                    <w:t>，根据《产业结构调整指导目录（2024年本）》（国家发展和改革委员会令 第7号），本项目不属于指导目录中的鼓励类、限制类和淘汰类产业，符合国家有关法律、法规和政策规定，属于允许类。</w:t>
                  </w:r>
                </w:p>
                <w:p w14:paraId="6B39697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根据《国家发展改革委商务部关于印发&lt;市场准入负面清单（202</w:t>
                  </w:r>
                  <w:r>
                    <w:rPr>
                      <w:rFonts w:hint="default" w:ascii="Times New Roman" w:hAnsi="Times New Roman" w:eastAsia="宋体" w:cs="Times New Roman"/>
                      <w:i w:val="0"/>
                      <w:iCs w:val="0"/>
                      <w:color w:val="auto"/>
                      <w:sz w:val="21"/>
                      <w:szCs w:val="21"/>
                      <w:highlight w:val="none"/>
                      <w:u w:val="none"/>
                      <w:lang w:val="en-US" w:eastAsia="zh-CN"/>
                    </w:rPr>
                    <w:t>5</w:t>
                  </w:r>
                  <w:r>
                    <w:rPr>
                      <w:rFonts w:hint="default" w:ascii="Times New Roman" w:hAnsi="Times New Roman" w:eastAsia="宋体" w:cs="Times New Roman"/>
                      <w:i w:val="0"/>
                      <w:iCs w:val="0"/>
                      <w:color w:val="auto"/>
                      <w:sz w:val="21"/>
                      <w:szCs w:val="21"/>
                      <w:highlight w:val="none"/>
                      <w:u w:val="none"/>
                    </w:rPr>
                    <w:t>年版）&gt;的通知》（发改体改规〔2022〕397号）</w:t>
                  </w:r>
                  <w:r>
                    <w:rPr>
                      <w:rFonts w:hint="default"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《广东省国家重点生态功能区产业准入负面清单（试行）》（粤发改规划</w:t>
                  </w:r>
                  <w:r>
                    <w:rPr>
                      <w:rFonts w:hint="default" w:ascii="Times New Roman" w:hAnsi="Times New Roman" w:eastAsia="宋体" w:cs="Times New Roman"/>
                      <w:i w:val="0"/>
                      <w:iCs w:val="0"/>
                      <w:color w:val="auto"/>
                      <w:sz w:val="21"/>
                      <w:szCs w:val="21"/>
                      <w:highlight w:val="none"/>
                      <w:u w:val="none"/>
                      <w:lang w:eastAsia="zh-CN"/>
                    </w:rPr>
                    <w:t>〔2017〕331号</w:t>
                  </w:r>
                  <w:r>
                    <w:rPr>
                      <w:rFonts w:hint="default" w:ascii="Times New Roman" w:hAnsi="Times New Roman" w:eastAsia="宋体" w:cs="Times New Roman"/>
                      <w:i w:val="0"/>
                      <w:iCs w:val="0"/>
                      <w:color w:val="auto"/>
                      <w:sz w:val="21"/>
                      <w:szCs w:val="21"/>
                      <w:highlight w:val="none"/>
                      <w:u w:val="none"/>
                    </w:rPr>
                    <w:t>），</w:t>
                  </w:r>
                  <w:r>
                    <w:rPr>
                      <w:rFonts w:hint="default" w:ascii="Times New Roman" w:hAnsi="Times New Roman" w:eastAsia="宋体" w:cs="Times New Roman"/>
                      <w:i w:val="0"/>
                      <w:iCs w:val="0"/>
                      <w:color w:val="auto"/>
                      <w:sz w:val="21"/>
                      <w:szCs w:val="21"/>
                      <w:highlight w:val="none"/>
                      <w:u w:val="none"/>
                      <w:lang w:eastAsia="zh-CN"/>
                    </w:rPr>
                    <w:t>项目</w:t>
                  </w:r>
                  <w:r>
                    <w:rPr>
                      <w:rFonts w:hint="default" w:ascii="Times New Roman" w:hAnsi="Times New Roman" w:eastAsia="宋体" w:cs="Times New Roman"/>
                      <w:i w:val="0"/>
                      <w:iCs w:val="0"/>
                      <w:color w:val="auto"/>
                      <w:sz w:val="21"/>
                      <w:szCs w:val="21"/>
                      <w:highlight w:val="none"/>
                      <w:u w:val="none"/>
                    </w:rPr>
                    <w:t>不属于</w:t>
                  </w:r>
                  <w:r>
                    <w:rPr>
                      <w:rFonts w:hint="default" w:ascii="Times New Roman" w:hAnsi="Times New Roman" w:eastAsia="宋体" w:cs="Times New Roman"/>
                      <w:i w:val="0"/>
                      <w:iCs w:val="0"/>
                      <w:color w:val="auto"/>
                      <w:sz w:val="21"/>
                      <w:szCs w:val="21"/>
                      <w:highlight w:val="none"/>
                      <w:u w:val="none"/>
                      <w:lang w:val="en-US" w:eastAsia="zh-CN"/>
                    </w:rPr>
                    <w:t>负面清单所列行业，也不属于许可准入事项</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FF722E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D5CE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67070DE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07F3F9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4DDE58DD">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严格控制高污染高能耗项目建设。新、改、扩建项目要达到国内清洁生产先进水平。</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7F8C86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本项目不属于高污染高能耗项目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C264D6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30A2A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532E790A">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55BCCC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4C705EEC">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禁止销售、燃用高污染燃料；禁止新建、扩建燃用高污染燃料的设施；禁止建设生产和使用高VOCs含量的溶剂型涂料、油墨、胶粘剂等项目。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04657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rPr>
                    <w:t>本项目所属行业类别为C</w:t>
                  </w:r>
                  <w:r>
                    <w:rPr>
                      <w:rFonts w:hint="default" w:ascii="Times New Roman" w:hAnsi="Times New Roman" w:eastAsia="宋体" w:cs="Times New Roman"/>
                      <w:i w:val="0"/>
                      <w:iCs w:val="0"/>
                      <w:color w:val="auto"/>
                      <w:sz w:val="21"/>
                      <w:szCs w:val="21"/>
                      <w:highlight w:val="none"/>
                      <w:u w:val="none"/>
                      <w:lang w:val="en-US" w:eastAsia="zh-CN"/>
                    </w:rPr>
                    <w:t>3039其他建筑材料制造</w:t>
                  </w:r>
                  <w:r>
                    <w:rPr>
                      <w:rFonts w:hint="default" w:ascii="Times New Roman" w:hAnsi="Times New Roman" w:eastAsia="宋体" w:cs="Times New Roman"/>
                      <w:i w:val="0"/>
                      <w:iCs w:val="0"/>
                      <w:color w:val="auto"/>
                      <w:sz w:val="21"/>
                      <w:szCs w:val="21"/>
                      <w:highlight w:val="none"/>
                      <w:u w:val="none"/>
                    </w:rPr>
                    <w:t>，</w:t>
                  </w:r>
                  <w:r>
                    <w:rPr>
                      <w:rFonts w:hint="eastAsia" w:ascii="Times New Roman" w:hAnsi="Times New Roman" w:eastAsia="宋体" w:cs="Times New Roman"/>
                      <w:i w:val="0"/>
                      <w:iCs w:val="0"/>
                      <w:color w:val="auto"/>
                      <w:sz w:val="21"/>
                      <w:szCs w:val="21"/>
                      <w:highlight w:val="none"/>
                      <w:u w:val="none"/>
                      <w:lang w:val="en-US" w:eastAsia="zh-CN"/>
                    </w:rPr>
                    <w:t>主要从事新形建筑软瓷的生产，不涉及</w:t>
                  </w:r>
                  <w:r>
                    <w:rPr>
                      <w:rFonts w:hint="default" w:ascii="Times New Roman" w:hAnsi="Times New Roman" w:eastAsia="宋体" w:cs="Times New Roman"/>
                      <w:i w:val="0"/>
                      <w:iCs w:val="0"/>
                      <w:color w:val="auto"/>
                      <w:kern w:val="0"/>
                      <w:sz w:val="21"/>
                      <w:szCs w:val="21"/>
                      <w:highlight w:val="none"/>
                      <w:u w:val="none"/>
                      <w:lang w:val="en-US" w:eastAsia="zh-CN" w:bidi="ar"/>
                    </w:rPr>
                    <w:t>销售、燃用高污染燃料</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新建、扩建燃用高污染燃料的设施</w:t>
                  </w:r>
                  <w:r>
                    <w:rPr>
                      <w:rFonts w:hint="eastAsia" w:ascii="Times New Roman" w:hAnsi="Times New Roman" w:eastAsia="宋体" w:cs="Times New Roman"/>
                      <w:i w:val="0"/>
                      <w:iCs w:val="0"/>
                      <w:color w:val="auto"/>
                      <w:kern w:val="0"/>
                      <w:sz w:val="21"/>
                      <w:szCs w:val="21"/>
                      <w:highlight w:val="none"/>
                      <w:u w:val="none"/>
                      <w:lang w:val="en-US" w:eastAsia="zh-CN" w:bidi="ar"/>
                    </w:rPr>
                    <w:t>；设VOCs物料中丙烯酸乳液VOCs</w:t>
                  </w:r>
                  <w:r>
                    <w:rPr>
                      <w:rFonts w:hint="default" w:ascii="Times New Roman" w:hAnsi="Times New Roman" w:eastAsia="宋体" w:cs="Times New Roman"/>
                      <w:i w:val="0"/>
                      <w:iCs w:val="0"/>
                      <w:color w:val="auto"/>
                      <w:kern w:val="0"/>
                      <w:sz w:val="21"/>
                      <w:szCs w:val="21"/>
                      <w:highlight w:val="none"/>
                      <w:u w:val="none"/>
                      <w:lang w:val="en-US" w:eastAsia="zh-CN" w:bidi="ar"/>
                    </w:rPr>
                    <w:t>含量</w:t>
                  </w:r>
                  <w:r>
                    <w:rPr>
                      <w:rFonts w:hint="eastAsia" w:ascii="Times New Roman" w:hAnsi="Times New Roman" w:eastAsia="宋体" w:cs="Times New Roman"/>
                      <w:i w:val="0"/>
                      <w:iCs w:val="0"/>
                      <w:color w:val="auto"/>
                      <w:kern w:val="0"/>
                      <w:sz w:val="21"/>
                      <w:szCs w:val="21"/>
                      <w:highlight w:val="none"/>
                      <w:u w:val="none"/>
                      <w:lang w:val="en-US" w:eastAsia="zh-CN" w:bidi="ar"/>
                    </w:rPr>
                    <w:t>为1g/L，水性漆69g/L，均符合</w:t>
                  </w:r>
                  <w:r>
                    <w:rPr>
                      <w:rFonts w:hint="default" w:ascii="Times New Roman" w:hAnsi="Times New Roman" w:cs="Times New Roman"/>
                      <w:bCs/>
                      <w:color w:val="auto"/>
                      <w:sz w:val="21"/>
                      <w:szCs w:val="21"/>
                      <w:highlight w:val="none"/>
                    </w:rPr>
                    <w:t>《低挥发性有机化合物含量涂料产品技术要求》（GB/T38597-2020）</w:t>
                  </w:r>
                  <w:r>
                    <w:rPr>
                      <w:rFonts w:hint="eastAsia" w:ascii="Times New Roman" w:hAnsi="Times New Roman" w:cs="Times New Roman"/>
                      <w:bCs/>
                      <w:color w:val="auto"/>
                      <w:sz w:val="21"/>
                      <w:szCs w:val="21"/>
                      <w:highlight w:val="none"/>
                      <w:lang w:val="en-US" w:eastAsia="zh-CN"/>
                    </w:rPr>
                    <w:t>相应限值要求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8BAA6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78C4A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0C400D8B">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079DF74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39B23237">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禁止新建、扩建专业电镀、鞣革、印染、化学制浆等水污染物排放量大或排放一类污染物、持久性有机污染物的项目。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8FF7C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本项目所属行业类别为C</w:t>
                  </w:r>
                  <w:r>
                    <w:rPr>
                      <w:rFonts w:hint="default" w:ascii="Times New Roman" w:hAnsi="Times New Roman" w:eastAsia="宋体" w:cs="Times New Roman"/>
                      <w:i w:val="0"/>
                      <w:iCs w:val="0"/>
                      <w:color w:val="auto"/>
                      <w:sz w:val="21"/>
                      <w:szCs w:val="21"/>
                      <w:highlight w:val="none"/>
                      <w:u w:val="none"/>
                      <w:lang w:val="en-US" w:eastAsia="zh-CN"/>
                    </w:rPr>
                    <w:t>3039其他建筑材料制造</w:t>
                  </w:r>
                  <w:r>
                    <w:rPr>
                      <w:rFonts w:hint="default" w:ascii="Times New Roman" w:hAnsi="Times New Roman" w:eastAsia="宋体" w:cs="Times New Roman"/>
                      <w:i w:val="0"/>
                      <w:iCs w:val="0"/>
                      <w:color w:val="auto"/>
                      <w:sz w:val="21"/>
                      <w:szCs w:val="21"/>
                      <w:highlight w:val="none"/>
                      <w:u w:val="none"/>
                    </w:rPr>
                    <w:t>，</w:t>
                  </w:r>
                  <w:r>
                    <w:rPr>
                      <w:rFonts w:hint="eastAsia" w:ascii="Times New Roman" w:hAnsi="Times New Roman" w:eastAsia="宋体" w:cs="Times New Roman"/>
                      <w:i w:val="0"/>
                      <w:iCs w:val="0"/>
                      <w:color w:val="auto"/>
                      <w:sz w:val="21"/>
                      <w:szCs w:val="21"/>
                      <w:highlight w:val="none"/>
                      <w:u w:val="none"/>
                      <w:lang w:val="en-US" w:eastAsia="zh-CN"/>
                    </w:rPr>
                    <w:t>主要从事新形建筑软瓷的生产，不属于</w:t>
                  </w:r>
                  <w:r>
                    <w:rPr>
                      <w:rFonts w:hint="default" w:ascii="Times New Roman" w:hAnsi="Times New Roman" w:eastAsia="宋体" w:cs="Times New Roman"/>
                      <w:i w:val="0"/>
                      <w:iCs w:val="0"/>
                      <w:color w:val="auto"/>
                      <w:kern w:val="0"/>
                      <w:sz w:val="21"/>
                      <w:szCs w:val="21"/>
                      <w:highlight w:val="none"/>
                      <w:u w:val="none"/>
                      <w:lang w:val="en-US" w:eastAsia="zh-CN" w:bidi="ar"/>
                    </w:rPr>
                    <w:t>新建、扩建专业电镀、鞣革、印染、化学制浆等水污染物排放量大或排放一类污染物、持久性有机污染物的项目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17273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19D63F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03FC0BE2">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69B321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64391F56">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中部规划居住用地、行政办公用地、教育用地等敏感区域临近的区域优先引进无污染的生产性服务业，布置废气排放量小、工业噪声影响小及没有恶臭气体产生的产业。学校周围直线延伸二百米范围内禁止设立易燃易爆、剧毒、放射性、腐蚀性等危险物品的生产、经营、储存、使用场所或者设施。临近南岸村、饮用水源准保护区等敏感用地优先引进无污染的生产性服务业，布置废气排放量小、工业噪声影响小及没有恶臭气体产生的产业。相关项目环评阶段应充分论证、优化项目布局以及按照相关要求确定大气环境防护距离。</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9DA88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sz w:val="21"/>
                      <w:szCs w:val="21"/>
                      <w:highlight w:val="none"/>
                      <w:u w:val="none"/>
                      <w:lang w:val="en-US" w:eastAsia="zh-CN"/>
                    </w:rPr>
                    <w:t>本</w:t>
                  </w:r>
                  <w:r>
                    <w:rPr>
                      <w:rFonts w:hint="default" w:ascii="Times New Roman" w:hAnsi="Times New Roman" w:eastAsia="宋体" w:cs="Times New Roman"/>
                      <w:i w:val="0"/>
                      <w:iCs w:val="0"/>
                      <w:color w:val="auto"/>
                      <w:sz w:val="21"/>
                      <w:szCs w:val="21"/>
                      <w:highlight w:val="none"/>
                      <w:u w:val="none"/>
                      <w:lang w:val="en-US" w:eastAsia="zh-CN"/>
                    </w:rPr>
                    <w:t>项目厂界外500m范围内无自然保护区、风景名胜区、文化区，大气环境保护目标等敏感点</w:t>
                  </w:r>
                  <w:r>
                    <w:rPr>
                      <w:rFonts w:hint="eastAsia" w:ascii="Times New Roman" w:hAnsi="Times New Roman" w:eastAsia="宋体" w:cs="Times New Roman"/>
                      <w:i w:val="0"/>
                      <w:iCs w:val="0"/>
                      <w:color w:val="auto"/>
                      <w:sz w:val="21"/>
                      <w:szCs w:val="21"/>
                      <w:highlight w:val="none"/>
                      <w:u w:val="none"/>
                      <w:lang w:val="en-US" w:eastAsia="zh-CN"/>
                    </w:rPr>
                    <w:t>，无大气环境防护距离要求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9EE04C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3E1EA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74C160B3">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296A9C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63FE0079">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与饮用水源准保护区重叠区域划定为优先保护单元，不进行工业开发利用，禁止新建、扩建对水体污染严重的建设项目，改建项目不得增加排污量。</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564AF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本项目建设范围不涉及饮用水源准保护区红线范围，不属于水体污染严重的建设项目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8C16F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6E9D0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8E44B18">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5A4C8D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48675B36">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在永久基本农田以及居民区、学校、医疗和养老机构等单位周边，避免新建涉重金属、多环芳烃类等持久性有机污染物企业。永久基本农田集中区域内，禁止建设工业固体废物、危险废物集中贮存、利用、处置的设施、场所。</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DA0CF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w:t>
                  </w:r>
                  <w:r>
                    <w:rPr>
                      <w:rFonts w:hint="default" w:ascii="Times New Roman" w:hAnsi="Times New Roman" w:eastAsia="宋体" w:cs="Times New Roman"/>
                      <w:i w:val="0"/>
                      <w:iCs w:val="0"/>
                      <w:color w:val="auto"/>
                      <w:sz w:val="21"/>
                      <w:szCs w:val="21"/>
                      <w:highlight w:val="none"/>
                      <w:u w:val="none"/>
                      <w:lang w:val="en-US" w:eastAsia="zh-CN"/>
                    </w:rPr>
                    <w:t>项目厂界外500m范围内无自然保护区、风景名胜区、文化区，大气环境保护目标等敏感点</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B1998B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5EBBE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29CD8273">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0B2CCC97">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污染物排放管控</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072D92E">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在可核查、可监管的基础上，新建项目原则上实施氮氧化物(NOx)和挥发性有机物(VOCs)等量替代。</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A5213C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rPr>
                    <w:t>本项目建成后VOCs总排放量为0.036t/a（其中VOCs有组织排放量：0.02t/a，VOCs无组织排放量：0.016</w:t>
                  </w:r>
                  <w:r>
                    <w:rPr>
                      <w:rFonts w:hint="eastAsia" w:cs="Times New Roman"/>
                      <w:i w:val="0"/>
                      <w:iCs w:val="0"/>
                      <w:color w:val="auto"/>
                      <w:sz w:val="21"/>
                      <w:szCs w:val="21"/>
                      <w:highlight w:val="none"/>
                      <w:u w:val="none"/>
                      <w:lang w:val="en-US" w:eastAsia="zh-CN"/>
                    </w:rPr>
                    <w:t>t</w:t>
                  </w:r>
                  <w:r>
                    <w:rPr>
                      <w:rFonts w:hint="default" w:ascii="Times New Roman" w:hAnsi="Times New Roman" w:eastAsia="宋体" w:cs="Times New Roman"/>
                      <w:i w:val="0"/>
                      <w:iCs w:val="0"/>
                      <w:color w:val="auto"/>
                      <w:sz w:val="21"/>
                      <w:szCs w:val="21"/>
                      <w:highlight w:val="none"/>
                      <w:u w:val="none"/>
                    </w:rPr>
                    <w:t>/a）；氮氧化物总量为0.684t/a（氮氧化物有组织排放量：0.684t/a）</w:t>
                  </w:r>
                  <w:r>
                    <w:rPr>
                      <w:rFonts w:hint="eastAsia" w:ascii="Times New Roman" w:hAnsi="Times New Roman" w:eastAsia="宋体" w:cs="Times New Roman"/>
                      <w:i w:val="0"/>
                      <w:iCs w:val="0"/>
                      <w:color w:val="auto"/>
                      <w:sz w:val="21"/>
                      <w:szCs w:val="21"/>
                      <w:highlight w:val="none"/>
                      <w:u w:val="none"/>
                      <w:lang w:eastAsia="zh-CN"/>
                    </w:rPr>
                    <w:t>，</w:t>
                  </w:r>
                  <w:r>
                    <w:rPr>
                      <w:rFonts w:hint="eastAsia" w:ascii="Times New Roman" w:hAnsi="Times New Roman" w:eastAsia="宋体" w:cs="Times New Roman"/>
                      <w:i w:val="0"/>
                      <w:iCs w:val="0"/>
                      <w:color w:val="auto"/>
                      <w:sz w:val="21"/>
                      <w:szCs w:val="21"/>
                      <w:highlight w:val="none"/>
                      <w:u w:val="none"/>
                      <w:lang w:val="en-US" w:eastAsia="zh-CN"/>
                    </w:rPr>
                    <w:t>以上总量指标均实施</w:t>
                  </w:r>
                  <w:r>
                    <w:rPr>
                      <w:rFonts w:hint="default" w:ascii="Times New Roman" w:hAnsi="Times New Roman" w:eastAsia="宋体" w:cs="Times New Roman"/>
                      <w:i w:val="0"/>
                      <w:iCs w:val="0"/>
                      <w:color w:val="auto"/>
                      <w:kern w:val="0"/>
                      <w:sz w:val="21"/>
                      <w:szCs w:val="21"/>
                      <w:highlight w:val="none"/>
                      <w:u w:val="none"/>
                      <w:lang w:val="en-US" w:eastAsia="zh-CN" w:bidi="ar"/>
                    </w:rPr>
                    <w:t>等量替代</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D15B89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288A0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707F6110">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1E3A673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50113A04">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根据《广东省生态环境厅关于在重点区域执行污染物特别排放限值的公告》(粤环发(2023)1号)要求，执行相应特别排放限值要求。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249D8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9402F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016A7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4002967F">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197DF6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2CF23DE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开发区内各企业污废水原则上应接入园区污水处理厂进行集中处理、达标排放。各企业生产废水需经预处理达到广东省《水污染物排放限值》(DB4426-2001)第二时段三级标准、所属行业排放标准(间接排放)，以及污水处理厂接管标准后，方可与规划区生活污水通过污水管线一并进入园区污水处理厂处理。</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69B79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本项目</w:t>
                  </w:r>
                  <w:r>
                    <w:rPr>
                      <w:rFonts w:hint="default" w:ascii="Times New Roman" w:hAnsi="Times New Roman" w:eastAsia="宋体" w:cs="Times New Roman"/>
                      <w:i w:val="0"/>
                      <w:iCs w:val="0"/>
                      <w:color w:val="auto"/>
                      <w:sz w:val="21"/>
                      <w:szCs w:val="21"/>
                      <w:highlight w:val="none"/>
                      <w:u w:val="none"/>
                    </w:rPr>
                    <w:t>生活污水采取“三级化粪池”预处理后，经DW001排放口排入园区污水处理厂进一步处理，处理达标后通过出水管道输送尾水，经废水排放口（WS-LC005001）排放至榴村霜降坑河，最终流入武江；无生产废水排放</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CC4C11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3274D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76777E7B">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2CB11B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6D4DDA4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燃气锅炉废气执行《锅炉大气污染物排放标准》(DB44/765-2019)表3大气污染物特别排放限值:现有单台出力1蒸吨/小时(0.7兆瓦)以上，65蒸吨/小时及以下燃气锅炉执行《锅炉大气污染物排放标准》(DB44/765-2019)表3大气污染物特别排放限值;其它行业工艺废气有行业标准的执行行业标准，无行业标准的排放执行广东省地方标准《大气污染物排放限值》DB44/27-2001)第二时段二级标准。</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FEA365D">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新建燃气锅炉，生产废气中非甲烷总烃、苯系物执行广东省《固定污染源挥发性有机物综合排放标准》（DB44/2367-2022）中表1挥发性有机物排放限值要求；厂区内VOCs无组织排放监控点浓度执行表3厂区内VOCs无组织排放限值；</w:t>
                  </w:r>
                </w:p>
                <w:p w14:paraId="0FE5720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天然气燃烧废气中颗粒物、氮氧化物、二氧化硫执行《关于贯彻落实&lt;工业炉窑大气污染综合治理方案&gt;的实施意见》（粤环函〔2019〕1112号）限值要求；烟气黑度有组织排放执行《工业炉窑大气污染物排放标准》（GB9078—1996）表2限值要求；投料粉尘、切割粉尘执行广东省《大气污染物排放限值》（DB44/27-2001）无组织排放监控浓度限值要求；</w:t>
                  </w:r>
                </w:p>
                <w:p w14:paraId="1113AF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厂区内颗粒物执行《工业炉窑大气污染物排放标准》（GB9078—1996）表3限值要求。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4B8A4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1B77D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454EF3B8">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404B10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3910C345">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产生固体废物(含危险废物)的企业须配套建设符合规范且满足需求的贮存场所，固体废物(含危险废物)贮存、转移过程中应配套防扬散、防流失、防渗漏及其它防止污染环境的措施。</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CED0D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本项目已</w:t>
                  </w:r>
                  <w:r>
                    <w:rPr>
                      <w:rFonts w:hint="default" w:ascii="Times New Roman" w:hAnsi="Times New Roman" w:eastAsia="宋体" w:cs="Times New Roman"/>
                      <w:i w:val="0"/>
                      <w:iCs w:val="0"/>
                      <w:color w:val="auto"/>
                      <w:sz w:val="21"/>
                      <w:szCs w:val="21"/>
                      <w:highlight w:val="none"/>
                      <w:u w:val="none"/>
                    </w:rPr>
                    <w:t>配套建设符合规范且满足需求的贮存场所，固体废物(含危险废物)贮存、转移过程中</w:t>
                  </w:r>
                  <w:r>
                    <w:rPr>
                      <w:rFonts w:hint="eastAsia" w:ascii="Times New Roman" w:hAnsi="Times New Roman" w:eastAsia="宋体" w:cs="Times New Roman"/>
                      <w:i w:val="0"/>
                      <w:iCs w:val="0"/>
                      <w:color w:val="auto"/>
                      <w:sz w:val="21"/>
                      <w:szCs w:val="21"/>
                      <w:highlight w:val="none"/>
                      <w:u w:val="none"/>
                      <w:lang w:val="en-US" w:eastAsia="zh-CN"/>
                    </w:rPr>
                    <w:t>已</w:t>
                  </w:r>
                  <w:r>
                    <w:rPr>
                      <w:rFonts w:hint="default" w:ascii="Times New Roman" w:hAnsi="Times New Roman" w:eastAsia="宋体" w:cs="Times New Roman"/>
                      <w:i w:val="0"/>
                      <w:iCs w:val="0"/>
                      <w:color w:val="auto"/>
                      <w:sz w:val="21"/>
                      <w:szCs w:val="21"/>
                      <w:highlight w:val="none"/>
                      <w:u w:val="none"/>
                    </w:rPr>
                    <w:t>配套防扬散、防流失、防渗漏及其它防止污染环境的措施</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07984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6402E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386D4C6B">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083BC28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3A2D75C5">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重点重金属按照韶关市生态环境分区管控要求执行。</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4E169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A76E11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16D5F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6757A10E">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69204260">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环境风险管控</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6661F3F">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使用、储存危险化学品或其他存在环境风险的入区项目应配套有效的风险防范措施，并根据国家及广东省环境应急预案管理的要求编制环境风险应急预案，防止因渗漏污染地下水、土壤，以及因事故废水直排污染地表水体。</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7A960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本项目</w:t>
                  </w:r>
                  <w:r>
                    <w:rPr>
                      <w:rFonts w:hint="default" w:ascii="Times New Roman" w:hAnsi="Times New Roman" w:eastAsia="宋体" w:cs="Times New Roman"/>
                      <w:i w:val="0"/>
                      <w:iCs w:val="0"/>
                      <w:color w:val="auto"/>
                      <w:sz w:val="21"/>
                      <w:szCs w:val="21"/>
                      <w:highlight w:val="none"/>
                      <w:u w:val="none"/>
                    </w:rPr>
                    <w:t>严格执行应急管理、消防等相关规范，从总图布置和建筑安全方面进行风险防范，预留疏散通道或安置场所</w:t>
                  </w:r>
                  <w:r>
                    <w:rPr>
                      <w:rFonts w:hint="eastAsia"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从优化改进生产工艺、减少储存量、改善储存条件等方面降低风险程度</w:t>
                  </w:r>
                  <w:r>
                    <w:rPr>
                      <w:rFonts w:hint="eastAsia"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加强日常管理，降低管理失误而出现的风险事故，提高员工规范性操作水平，减少误操作引发的风险事故</w:t>
                  </w:r>
                  <w:r>
                    <w:rPr>
                      <w:rFonts w:hint="eastAsia"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43D78E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EE0A3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6ECFCAA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616A9B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299DDD7C">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涉及生产废水排放企业需配套有效措施，防止事故废水直排污染地表水体，防止因渗漏污染地下水。</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BC240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本项目无生产废水排放</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190F0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66CAF0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779B92ED">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773EA8F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3F2523A5">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应符合《韶关市人民政府关于印发韶关市“三线一单"生态环境分区管控方案的通知》(韶府(2021)10号)、《韶关市生态环境分区管控动态更新成果》及后续生态环境分区管控动态更新要求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0EEAC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本项目</w:t>
                  </w:r>
                  <w:r>
                    <w:rPr>
                      <w:rFonts w:hint="default" w:ascii="Times New Roman" w:hAnsi="Times New Roman" w:eastAsia="宋体" w:cs="Times New Roman"/>
                      <w:i w:val="0"/>
                      <w:iCs w:val="0"/>
                      <w:color w:val="auto"/>
                      <w:kern w:val="0"/>
                      <w:sz w:val="21"/>
                      <w:szCs w:val="21"/>
                      <w:highlight w:val="none"/>
                      <w:u w:val="none"/>
                      <w:lang w:val="en-US" w:eastAsia="zh-CN" w:bidi="ar"/>
                    </w:rPr>
                    <w:t>符合《韶关市人民政府关于印发韶关市“三线一单"生态环境分区管控方案的通知》(韶府(2021)10号)、《韶关市生态环境分区管控动态更新成果》及后续生态环境分区管控动态更新要求</w:t>
                  </w:r>
                  <w:r>
                    <w:rPr>
                      <w:rFonts w:hint="eastAsia" w:ascii="Times New Roman" w:hAnsi="Times New Roman" w:eastAsia="宋体" w:cs="Times New Roman"/>
                      <w:i w:val="0"/>
                      <w:iCs w:val="0"/>
                      <w:color w:val="auto"/>
                      <w:kern w:val="0"/>
                      <w:sz w:val="21"/>
                      <w:szCs w:val="21"/>
                      <w:highlight w:val="none"/>
                      <w:u w:val="none"/>
                      <w:lang w:val="en-US" w:eastAsia="zh-CN" w:bidi="ar"/>
                    </w:rPr>
                    <w:t>，详见下文分析内容</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8B0A12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7802B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AD8FC53">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2BF1B105">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资源开发利用管理</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CD00A6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禁止使用高污染燃料，建议使用电能、天然气等清洁能源。</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E2DB37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本项目不涉及使用高污染燃料，主要使用电能、天然气</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787173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18F0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5A567F75">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3F349D0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213091C7">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贯彻落实“节水优先”方针，实行最严格水资源管理制度。</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74EC8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本项目将</w:t>
                  </w:r>
                  <w:r>
                    <w:rPr>
                      <w:rFonts w:hint="default" w:ascii="Times New Roman" w:hAnsi="Times New Roman" w:eastAsia="宋体" w:cs="Times New Roman"/>
                      <w:i w:val="0"/>
                      <w:iCs w:val="0"/>
                      <w:color w:val="auto"/>
                      <w:kern w:val="0"/>
                      <w:sz w:val="21"/>
                      <w:szCs w:val="21"/>
                      <w:highlight w:val="none"/>
                      <w:u w:val="none"/>
                      <w:lang w:val="en-US" w:eastAsia="zh-CN" w:bidi="ar"/>
                    </w:rPr>
                    <w:t>贯彻落实“节水优先”方针，实行最严格水资源管理制度。</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7A19F2E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28492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04EDF5D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41C48F1">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其他</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1FB6E56">
                  <w:pPr>
                    <w:keepNext w:val="0"/>
                    <w:keepLines w:val="0"/>
                    <w:widowControl/>
                    <w:suppressLineNumbers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符合《韶关市人民政府关于印发韶关市“三线一单”生态环境分区管控方案的通知》(韶府(2021)10号)《韶关市生态环境分区管控动态更新成果》及后续生态环境分区管控动态更新要求。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059B5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本项目</w:t>
                  </w:r>
                  <w:r>
                    <w:rPr>
                      <w:rFonts w:hint="default" w:ascii="Times New Roman" w:hAnsi="Times New Roman" w:eastAsia="宋体" w:cs="Times New Roman"/>
                      <w:i w:val="0"/>
                      <w:iCs w:val="0"/>
                      <w:color w:val="auto"/>
                      <w:kern w:val="0"/>
                      <w:sz w:val="21"/>
                      <w:szCs w:val="21"/>
                      <w:highlight w:val="none"/>
                      <w:u w:val="none"/>
                      <w:lang w:val="en-US" w:eastAsia="zh-CN" w:bidi="ar"/>
                    </w:rPr>
                    <w:t>符合《韶关市人民政府关于印发韶关市“三线一单"生态环境分区管控方案的通知》(韶府(2021)10号)、《韶关市生态环境分区管控动态更新成果》及后续生态环境分区管控动态更新要求</w:t>
                  </w:r>
                  <w:r>
                    <w:rPr>
                      <w:rFonts w:hint="eastAsia" w:ascii="Times New Roman" w:hAnsi="Times New Roman" w:eastAsia="宋体" w:cs="Times New Roman"/>
                      <w:i w:val="0"/>
                      <w:iCs w:val="0"/>
                      <w:color w:val="auto"/>
                      <w:kern w:val="0"/>
                      <w:sz w:val="21"/>
                      <w:szCs w:val="21"/>
                      <w:highlight w:val="none"/>
                      <w:u w:val="none"/>
                      <w:lang w:val="en-US" w:eastAsia="zh-CN" w:bidi="ar"/>
                    </w:rPr>
                    <w:t>，详见下文分析内容</w:t>
                  </w:r>
                </w:p>
              </w:tc>
              <w:tc>
                <w:tcPr>
                  <w:tcW w:w="0" w:type="auto"/>
                  <w:tcBorders>
                    <w:top w:val="nil"/>
                    <w:left w:val="single" w:color="000000" w:sz="8" w:space="0"/>
                    <w:bottom w:val="single" w:color="000000" w:sz="8" w:space="0"/>
                    <w:right w:val="single" w:color="000000" w:sz="8" w:space="0"/>
                  </w:tcBorders>
                  <w:shd w:val="clear" w:color="auto" w:fill="auto"/>
                  <w:noWrap/>
                  <w:vAlign w:val="center"/>
                </w:tcPr>
                <w:p w14:paraId="40CC63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bl>
          <w:p w14:paraId="077180E0">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360" w:lineRule="auto"/>
              <w:ind w:left="0" w:right="0"/>
              <w:jc w:val="left"/>
              <w:outlineLvl w:val="9"/>
              <w:rPr>
                <w:rFonts w:hint="default" w:ascii="Times New Roman" w:hAnsi="Times New Roman" w:eastAsia="宋体" w:cs="Times New Roman"/>
                <w:color w:val="auto"/>
                <w:kern w:val="2"/>
                <w:sz w:val="24"/>
                <w:szCs w:val="22"/>
                <w:highlight w:val="none"/>
                <w:lang w:val="en-US" w:eastAsia="zh-CN"/>
              </w:rPr>
            </w:pPr>
          </w:p>
        </w:tc>
      </w:tr>
      <w:tr w14:paraId="13C7F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9" w:hRule="atLeast"/>
          <w:jc w:val="center"/>
        </w:trPr>
        <w:tc>
          <w:tcPr>
            <w:tcW w:w="242" w:type="pct"/>
            <w:vAlign w:val="center"/>
          </w:tcPr>
          <w:p w14:paraId="708F452C">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6" w:name="_Toc27052"/>
            <w:bookmarkStart w:id="7" w:name="_Toc2999"/>
            <w:bookmarkStart w:id="8" w:name="_Toc11884"/>
            <w:bookmarkStart w:id="9" w:name="_Toc22642"/>
            <w:bookmarkStart w:id="10" w:name="_Toc28749"/>
            <w:r>
              <w:rPr>
                <w:rFonts w:hint="default" w:ascii="Times New Roman" w:hAnsi="Times New Roman" w:cs="Times New Roman"/>
                <w:b/>
                <w:bCs/>
                <w:color w:val="auto"/>
                <w:highlight w:val="none"/>
              </w:rPr>
              <w:t>其他符合性分析</w:t>
            </w:r>
            <w:bookmarkEnd w:id="6"/>
            <w:bookmarkEnd w:id="7"/>
            <w:bookmarkEnd w:id="8"/>
            <w:bookmarkEnd w:id="9"/>
            <w:bookmarkEnd w:id="10"/>
          </w:p>
        </w:tc>
        <w:tc>
          <w:tcPr>
            <w:tcW w:w="4757" w:type="pct"/>
            <w:gridSpan w:val="6"/>
            <w:vAlign w:val="center"/>
          </w:tcPr>
          <w:p w14:paraId="0605E24E">
            <w:pPr>
              <w:keepNext/>
              <w:keepLines/>
              <w:pageBreakBefore w:val="0"/>
              <w:suppressLineNumbers w:val="0"/>
              <w:tabs>
                <w:tab w:val="left" w:pos="0"/>
              </w:tabs>
              <w:kinsoku/>
              <w:wordWrap w:val="0"/>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一、产业政策相符性分析</w:t>
            </w:r>
          </w:p>
          <w:p w14:paraId="18C494CF">
            <w:pPr>
              <w:keepNext/>
              <w:keepLines/>
              <w:pageBreakBefore w:val="0"/>
              <w:widowControl w:val="0"/>
              <w:suppressLineNumbers w:val="0"/>
              <w:tabs>
                <w:tab w:val="left" w:pos="0"/>
              </w:tabs>
              <w:kinsoku/>
              <w:wordWrap w:val="0"/>
              <w:overflowPunct/>
              <w:topLinePunct w:val="0"/>
              <w:autoSpaceDE/>
              <w:autoSpaceDN/>
              <w:bidi w:val="0"/>
              <w:snapToGrid/>
              <w:spacing w:before="0" w:beforeAutospacing="0" w:after="0" w:afterAutospacing="0"/>
              <w:ind w:left="0" w:right="0" w:firstLine="480" w:firstLineChars="200"/>
              <w:textAlignment w:val="auto"/>
              <w:outlineLvl w:val="2"/>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本项目所属行业类别为C</w:t>
            </w:r>
            <w:r>
              <w:rPr>
                <w:rFonts w:hint="default" w:ascii="Times New Roman" w:hAnsi="Times New Roman" w:cs="Times New Roman"/>
                <w:color w:val="auto"/>
                <w:highlight w:val="none"/>
                <w:lang w:val="en-US" w:eastAsia="zh-CN"/>
              </w:rPr>
              <w:t>3039其他建筑材料制造</w:t>
            </w:r>
            <w:r>
              <w:rPr>
                <w:rFonts w:hint="default" w:ascii="Times New Roman" w:hAnsi="Times New Roman" w:cs="Times New Roman"/>
                <w:color w:val="auto"/>
                <w:highlight w:val="none"/>
              </w:rPr>
              <w:t>，根据《产业结构调整指导目录（2024年本）》（国家发展和改革委员会令 第7号），本项目不属于指导目录中的鼓励类、限制类和淘汰类产业，符合国家有关法律、法规和政策规定，属于允许类。</w:t>
            </w:r>
          </w:p>
          <w:p w14:paraId="36E72C07">
            <w:pPr>
              <w:pStyle w:val="15"/>
              <w:keepNext w:val="0"/>
              <w:keepLines w:val="0"/>
              <w:pageBreakBefore w:val="0"/>
              <w:widowControl w:val="0"/>
              <w:suppressLineNumbers w:val="0"/>
              <w:kinsoku/>
              <w:wordWrap w:val="0"/>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根据《国家发展改革委商务部关于印发&lt;市场准入负面清单（202</w:t>
            </w:r>
            <w:r>
              <w:rPr>
                <w:rFonts w:hint="default" w:ascii="Times New Roman" w:hAnsi="Times New Roman" w:cs="Times New Roman"/>
                <w:color w:val="auto"/>
                <w:kern w:val="0"/>
                <w:highlight w:val="none"/>
                <w:lang w:val="en-US" w:eastAsia="zh-CN" w:bidi="ar"/>
              </w:rPr>
              <w:t>5</w:t>
            </w:r>
            <w:r>
              <w:rPr>
                <w:rFonts w:hint="default" w:ascii="Times New Roman" w:hAnsi="Times New Roman" w:cs="Times New Roman"/>
                <w:color w:val="auto"/>
                <w:kern w:val="0"/>
                <w:highlight w:val="none"/>
                <w:lang w:bidi="ar"/>
              </w:rPr>
              <w:t>年版）&gt;的通知》（发改体改规〔2022〕397号）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《广东省国家重点生态功能区产业准入负面清单（试行）》（粤发改规划</w:t>
            </w:r>
            <w:r>
              <w:rPr>
                <w:rFonts w:hint="default" w:ascii="Times New Roman" w:hAnsi="Times New Roman" w:cs="Times New Roman"/>
                <w:color w:val="auto"/>
                <w:kern w:val="0"/>
                <w:highlight w:val="none"/>
                <w:lang w:eastAsia="zh-CN" w:bidi="ar"/>
              </w:rPr>
              <w:t>〔2017〕331号</w:t>
            </w:r>
            <w:r>
              <w:rPr>
                <w:rFonts w:hint="default" w:ascii="Times New Roman" w:hAnsi="Times New Roman" w:cs="Times New Roman"/>
                <w:color w:val="auto"/>
                <w:kern w:val="0"/>
                <w:highlight w:val="none"/>
                <w:lang w:bidi="ar"/>
              </w:rPr>
              <w:t>），</w:t>
            </w:r>
            <w:r>
              <w:rPr>
                <w:rFonts w:hint="default" w:ascii="Times New Roman" w:hAnsi="Times New Roman" w:cs="Times New Roman"/>
                <w:color w:val="auto"/>
                <w:kern w:val="0"/>
                <w:highlight w:val="none"/>
                <w:lang w:eastAsia="zh-CN" w:bidi="ar"/>
              </w:rPr>
              <w:t>项目</w:t>
            </w:r>
            <w:r>
              <w:rPr>
                <w:rFonts w:hint="default" w:ascii="Times New Roman" w:hAnsi="Times New Roman" w:cs="Times New Roman"/>
                <w:color w:val="auto"/>
                <w:kern w:val="0"/>
                <w:highlight w:val="none"/>
                <w:lang w:bidi="ar"/>
              </w:rPr>
              <w:t>不属于</w:t>
            </w:r>
            <w:r>
              <w:rPr>
                <w:rFonts w:hint="default" w:ascii="Times New Roman" w:hAnsi="Times New Roman" w:cs="Times New Roman"/>
                <w:color w:val="auto"/>
                <w:highlight w:val="none"/>
                <w:lang w:val="en-US" w:eastAsia="zh-CN"/>
              </w:rPr>
              <w:t>负面清单所列行业，也不属于许可准入事项</w:t>
            </w:r>
            <w:r>
              <w:rPr>
                <w:rFonts w:hint="default" w:ascii="Times New Roman" w:hAnsi="Times New Roman" w:cs="Times New Roman"/>
                <w:color w:val="auto"/>
                <w:kern w:val="0"/>
                <w:highlight w:val="none"/>
                <w:lang w:bidi="ar"/>
              </w:rPr>
              <w:t>。因此，本项目可依法进行建设和投产。</w:t>
            </w:r>
          </w:p>
          <w:p w14:paraId="72276B48">
            <w:pPr>
              <w:keepNext w:val="0"/>
              <w:keepLines w:val="0"/>
              <w:pageBreakBefore w:val="0"/>
              <w:suppressLineNumbers w:val="0"/>
              <w:kinsoku/>
              <w:wordWrap w:val="0"/>
              <w:overflowPunct/>
              <w:topLinePunct w:val="0"/>
              <w:bidi w:val="0"/>
              <w:adjustRightInd w:val="0"/>
              <w:snapToGrid/>
              <w:spacing w:before="0" w:beforeAutospacing="0" w:after="0" w:afterAutospacing="0"/>
              <w:ind w:left="0" w:right="0"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二</w:t>
            </w:r>
            <w:r>
              <w:rPr>
                <w:rFonts w:hint="default" w:ascii="Times New Roman" w:hAnsi="Times New Roman" w:cs="Times New Roman"/>
                <w:b/>
                <w:bCs/>
                <w:color w:val="auto"/>
                <w:kern w:val="0"/>
                <w:highlight w:val="none"/>
              </w:rPr>
              <w:t>、与城市规划相符性分析</w:t>
            </w:r>
          </w:p>
          <w:p w14:paraId="5DC07481">
            <w:pPr>
              <w:keepNext w:val="0"/>
              <w:keepLines w:val="0"/>
              <w:pageBreakBefore w:val="0"/>
              <w:suppressLineNumbers w:val="0"/>
              <w:kinsoku/>
              <w:wordWrap w:val="0"/>
              <w:overflowPunct/>
              <w:topLinePunct w:val="0"/>
              <w:bidi w:val="0"/>
              <w:adjustRightInd w:val="0"/>
              <w:snapToGrid/>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项目位于</w:t>
            </w:r>
            <w:r>
              <w:rPr>
                <w:rFonts w:hint="default" w:ascii="Times New Roman" w:hAnsi="Times New Roman" w:cs="Times New Roman"/>
                <w:color w:val="auto"/>
                <w:kern w:val="0"/>
                <w:highlight w:val="none"/>
                <w:lang w:eastAsia="zh-CN"/>
              </w:rPr>
              <w:t>韶关市乐昌市乐昌产业转移工业园</w:t>
            </w:r>
            <w:r>
              <w:rPr>
                <w:rFonts w:hint="default" w:ascii="Times New Roman" w:hAnsi="Times New Roman" w:cs="Times New Roman"/>
                <w:color w:val="auto"/>
                <w:kern w:val="0"/>
                <w:highlight w:val="none"/>
                <w:lang w:val="en-US" w:eastAsia="zh-CN"/>
              </w:rPr>
              <w:t>金岭五路6号</w:t>
            </w:r>
            <w:r>
              <w:rPr>
                <w:rFonts w:hint="default" w:ascii="Times New Roman" w:hAnsi="Times New Roman" w:cs="Times New Roman"/>
                <w:color w:val="auto"/>
                <w:kern w:val="0"/>
                <w:highlight w:val="none"/>
                <w:lang w:eastAsia="zh-CN"/>
              </w:rPr>
              <w:t>（韶关乐昌产业园区</w:t>
            </w:r>
            <w:r>
              <w:rPr>
                <w:rFonts w:hint="default" w:ascii="Times New Roman" w:hAnsi="Times New Roman" w:cs="Times New Roman"/>
                <w:color w:val="auto"/>
                <w:kern w:val="0"/>
                <w:highlight w:val="none"/>
                <w:lang w:val="en-US" w:eastAsia="zh-CN"/>
              </w:rPr>
              <w:t>内</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，根据《乐昌产业转移工业园控制性详细规划》（详见附图</w:t>
            </w:r>
            <w:r>
              <w:rPr>
                <w:rFonts w:hint="default" w:ascii="Times New Roman" w:hAnsi="Times New Roman" w:cs="Times New Roman"/>
                <w:color w:val="auto"/>
                <w:kern w:val="0"/>
                <w:highlight w:val="none"/>
                <w:lang w:val="en-US" w:eastAsia="zh-CN"/>
              </w:rPr>
              <w:t>5</w:t>
            </w:r>
            <w:r>
              <w:rPr>
                <w:rFonts w:hint="default" w:ascii="Times New Roman" w:hAnsi="Times New Roman" w:cs="Times New Roman"/>
                <w:color w:val="auto"/>
                <w:kern w:val="0"/>
                <w:highlight w:val="none"/>
              </w:rPr>
              <w:t>），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11" w:name="_Toc459880767"/>
          </w:p>
          <w:bookmarkEnd w:id="11"/>
          <w:p w14:paraId="5A55B95F">
            <w:pPr>
              <w:keepNext w:val="0"/>
              <w:keepLines w:val="0"/>
              <w:pageBreakBefore w:val="0"/>
              <w:widowControl w:val="0"/>
              <w:suppressLineNumbers w:val="0"/>
              <w:kinsoku/>
              <w:wordWrap w:val="0"/>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三</w:t>
            </w:r>
            <w:r>
              <w:rPr>
                <w:rFonts w:hint="default" w:ascii="Times New Roman" w:hAnsi="Times New Roman" w:cs="Times New Roman"/>
                <w:b/>
                <w:bCs/>
                <w:color w:val="auto"/>
                <w:kern w:val="0"/>
                <w:highlight w:val="none"/>
              </w:rPr>
              <w:t>、与环境功能区划相符性分析</w:t>
            </w:r>
          </w:p>
          <w:p w14:paraId="4CDD91AF">
            <w:pPr>
              <w:pStyle w:val="15"/>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根据《广东省人民政府关于印发部分市乡镇集中式饮用水源保护区划分方案的通知》（粤府函〔2015〕17号）及《广东省人民政府关于韶关市部分饮用水水源保护区调整方案的批复》（粤府函〔2024〕31号），项目所在地不属于韶关市</w:t>
            </w:r>
            <w:r>
              <w:rPr>
                <w:rFonts w:hint="default" w:ascii="Times New Roman" w:hAnsi="Times New Roman" w:cs="Times New Roman"/>
                <w:color w:val="auto"/>
                <w:kern w:val="0"/>
                <w:highlight w:val="none"/>
                <w:lang w:val="en-US" w:eastAsia="zh-CN"/>
              </w:rPr>
              <w:t>韶关市区武江饮用水水源地一级保护区、二级保护区、准保护区范围内</w:t>
            </w:r>
            <w:r>
              <w:rPr>
                <w:rFonts w:hint="default" w:ascii="Times New Roman" w:hAnsi="Times New Roman" w:cs="Times New Roman"/>
                <w:color w:val="auto"/>
                <w:kern w:val="0"/>
                <w:highlight w:val="none"/>
              </w:rPr>
              <w:t>，符合</w:t>
            </w:r>
            <w:r>
              <w:rPr>
                <w:rFonts w:hint="default" w:ascii="Times New Roman" w:hAnsi="Times New Roman" w:cs="Times New Roman"/>
                <w:color w:val="auto"/>
                <w:highlight w:val="none"/>
              </w:rPr>
              <w:t>水污染防治条例</w:t>
            </w:r>
            <w:r>
              <w:rPr>
                <w:rFonts w:hint="default" w:ascii="Times New Roman" w:hAnsi="Times New Roman" w:cs="Times New Roman"/>
                <w:color w:val="auto"/>
                <w:kern w:val="0"/>
                <w:highlight w:val="none"/>
              </w:rPr>
              <w:t>的有关要求。</w:t>
            </w:r>
          </w:p>
          <w:p w14:paraId="78D0BC37">
            <w:pPr>
              <w:keepNext w:val="0"/>
              <w:keepLines w:val="0"/>
              <w:pageBreakBefore w:val="0"/>
              <w:widowControl/>
              <w:suppressLineNumbers w:val="0"/>
              <w:kinsoku/>
              <w:wordWrap w:val="0"/>
              <w:overflowPunct/>
              <w:topLinePunct w:val="0"/>
              <w:autoSpaceDE/>
              <w:autoSpaceDN/>
              <w:bidi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根据《乐昌市人民政府办公室关于印发乐昌市生态环境保护“十四五”规划的通知》（乐府办〔2022〕16号）中《乐昌市“十四五”生态环境保护规划大气环境功能区划图》，项目所在区域为环境空气质量二类功能区（详见附图6），</w:t>
            </w:r>
            <w:r>
              <w:rPr>
                <w:rFonts w:hint="default" w:ascii="Times New Roman" w:hAnsi="Times New Roman" w:cs="Times New Roman"/>
                <w:color w:val="auto"/>
                <w:kern w:val="0"/>
                <w:highlight w:val="none"/>
                <w:lang w:bidi="ar"/>
              </w:rPr>
              <w:t>不属于环境空气质量一类功能区中的自然保护区风景名胜区和</w:t>
            </w:r>
            <w:r>
              <w:rPr>
                <w:rFonts w:hint="default" w:ascii="Times New Roman" w:hAnsi="Times New Roman" w:cs="Times New Roman"/>
                <w:color w:val="auto"/>
                <w:kern w:val="0"/>
                <w:highlight w:val="none"/>
                <w:lang w:eastAsia="zh-CN" w:bidi="ar"/>
              </w:rPr>
              <w:t>其他需要</w:t>
            </w:r>
            <w:r>
              <w:rPr>
                <w:rFonts w:hint="default" w:ascii="Times New Roman" w:hAnsi="Times New Roman" w:cs="Times New Roman"/>
                <w:color w:val="auto"/>
                <w:kern w:val="0"/>
                <w:highlight w:val="none"/>
                <w:lang w:bidi="ar"/>
              </w:rPr>
              <w:t>特殊保护的区域</w:t>
            </w:r>
            <w:r>
              <w:rPr>
                <w:rFonts w:hint="default" w:ascii="Times New Roman" w:hAnsi="Times New Roman" w:cs="Times New Roman"/>
                <w:color w:val="auto"/>
                <w:kern w:val="0"/>
                <w:highlight w:val="none"/>
              </w:rPr>
              <w:t>。</w:t>
            </w:r>
          </w:p>
          <w:p w14:paraId="48772F53">
            <w:pPr>
              <w:keepNext w:val="0"/>
              <w:keepLines w:val="0"/>
              <w:pageBreakBefore w:val="0"/>
              <w:suppressLineNumbers w:val="0"/>
              <w:kinsoku/>
              <w:wordWrap w:val="0"/>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（3）根据《乐昌产业转移工业园控制性详细规划》及不动产权证，项目所在地位为工业用地，项目所在区域为声环境3类区，不属于声环境1类区。</w:t>
            </w:r>
          </w:p>
          <w:p w14:paraId="3D1F686A">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41E550FD">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1793C198">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rPr>
            </w:pPr>
          </w:p>
        </w:tc>
      </w:tr>
    </w:tbl>
    <w:p w14:paraId="6F386421">
      <w:pPr>
        <w:pageBreakBefore w:val="0"/>
        <w:wordWrap w:val="0"/>
        <w:bidi w:val="0"/>
        <w:rPr>
          <w:rFonts w:hint="default" w:ascii="Times New Roman" w:hAnsi="Times New Roman" w:cs="Times New Roman"/>
          <w:color w:val="auto"/>
          <w:highlight w:val="none"/>
        </w:rPr>
        <w:sectPr>
          <w:footerReference r:id="rId8" w:type="default"/>
          <w:pgSz w:w="11906" w:h="16838"/>
          <w:pgMar w:top="1440" w:right="1080" w:bottom="1440" w:left="1080" w:header="851" w:footer="680" w:gutter="0"/>
          <w:pgBorders>
            <w:top w:val="none" w:sz="0" w:space="0"/>
            <w:left w:val="none" w:sz="0" w:space="0"/>
            <w:bottom w:val="none" w:sz="0" w:space="0"/>
            <w:right w:val="none" w:sz="0" w:space="0"/>
          </w:pgBorders>
          <w:pgNumType w:fmt="numberInDash" w:start="1"/>
          <w:cols w:space="720" w:num="1"/>
          <w:docGrid w:type="linesAndChars" w:linePitch="312" w:charSpace="0"/>
        </w:sectPr>
      </w:pP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3717"/>
      </w:tblGrid>
      <w:tr w14:paraId="49773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186" w:type="pct"/>
            <w:vAlign w:val="center"/>
          </w:tcPr>
          <w:p w14:paraId="672828CC">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其他符合性分析</w:t>
            </w:r>
          </w:p>
        </w:tc>
        <w:tc>
          <w:tcPr>
            <w:tcW w:w="4813" w:type="pct"/>
            <w:vAlign w:val="center"/>
          </w:tcPr>
          <w:p w14:paraId="35B6E9B2">
            <w:pPr>
              <w:keepNext/>
              <w:keepLines/>
              <w:pageBreakBefore w:val="0"/>
              <w:suppressLineNumbers w:val="0"/>
              <w:tabs>
                <w:tab w:val="left" w:pos="0"/>
              </w:tabs>
              <w:kinsoku/>
              <w:wordWrap w:val="0"/>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四、与《</w:t>
            </w:r>
            <w:r>
              <w:rPr>
                <w:rFonts w:hint="default" w:ascii="Times New Roman" w:hAnsi="Times New Roman" w:cs="Times New Roman"/>
                <w:b/>
                <w:bCs/>
                <w:color w:val="auto"/>
                <w:szCs w:val="28"/>
                <w:highlight w:val="none"/>
              </w:rPr>
              <w:t>工业和信息化部发布&lt;限期淘汰产生严重污染环境的工业固体废物的落后生产工艺设备名录&gt;公告》（中华人民共和国工业和信息化部公告 2021年第25号）相符性分析</w:t>
            </w:r>
          </w:p>
          <w:p w14:paraId="56019CF8">
            <w:pPr>
              <w:pStyle w:val="43"/>
              <w:keepNext w:val="0"/>
              <w:keepLines w:val="0"/>
              <w:pageBreakBefore w:val="0"/>
              <w:suppressLineNumbers w:val="0"/>
              <w:kinsoku/>
              <w:wordWrap w:val="0"/>
              <w:overflowPunct/>
              <w:topLinePunct w:val="0"/>
              <w:bidi w:val="0"/>
              <w:snapToGrid/>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Cs w:val="28"/>
                <w:highlight w:val="none"/>
              </w:rPr>
              <w:t>本项目所用生产工艺及设备</w:t>
            </w:r>
            <w:r>
              <w:rPr>
                <w:rFonts w:hint="default" w:ascii="Times New Roman" w:hAnsi="Times New Roman" w:cs="Times New Roman"/>
                <w:color w:val="auto"/>
                <w:szCs w:val="28"/>
                <w:highlight w:val="none"/>
                <w:lang w:val="en-US" w:eastAsia="zh-CN"/>
              </w:rPr>
              <w:t>均</w:t>
            </w:r>
            <w:r>
              <w:rPr>
                <w:rFonts w:hint="default" w:ascii="Times New Roman" w:hAnsi="Times New Roman" w:cs="Times New Roman"/>
                <w:color w:val="auto"/>
                <w:szCs w:val="28"/>
                <w:highlight w:val="none"/>
              </w:rPr>
              <w:t>不属于《限期淘汰产生严重污染环境的工业固体废物的落后生产工艺设备名录》中限期淘汰的落后生产工艺设备，故与《工业和信息化部发布&lt;限期淘汰产生严重污染环境的工业固体废物的落后生产工艺设备名录&gt;公告》（中华人民共和国工业和信息化部公告 2021年第25号）相符。</w:t>
            </w:r>
          </w:p>
          <w:p w14:paraId="44C5613C">
            <w:pPr>
              <w:keepNext/>
              <w:keepLines/>
              <w:pageBreakBefore w:val="0"/>
              <w:suppressLineNumbers w:val="0"/>
              <w:tabs>
                <w:tab w:val="left" w:pos="0"/>
              </w:tabs>
              <w:kinsoku/>
              <w:wordWrap w:val="0"/>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五、“三线一单”相符性分析</w:t>
            </w:r>
          </w:p>
          <w:p w14:paraId="074CE754">
            <w:pPr>
              <w:pStyle w:val="5"/>
              <w:pageBreakBefore w:val="0"/>
              <w:numPr>
                <w:ilvl w:val="3"/>
                <w:numId w:val="0"/>
              </w:numPr>
              <w:suppressLineNumbers w:val="0"/>
              <w:kinsoku/>
              <w:wordWrap w:val="0"/>
              <w:overflowPunct/>
              <w:topLinePunct w:val="0"/>
              <w:bidi w:val="0"/>
              <w:snapToGrid/>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1、《关于印发广东省“三线一单”生态环境分区管控方案的通知》（粤府〔2020〕71号）</w:t>
            </w:r>
          </w:p>
          <w:p w14:paraId="3807EFF2">
            <w:pPr>
              <w:pStyle w:val="101"/>
              <w:keepNext w:val="0"/>
              <w:keepLines w:val="0"/>
              <w:pageBreakBefore w:val="0"/>
              <w:suppressLineNumbers w:val="0"/>
              <w:kinsoku/>
              <w:wordWrap w:val="0"/>
              <w:overflowPunct/>
              <w:topLinePunct w:val="0"/>
              <w:bidi w:val="0"/>
              <w:snapToGrid/>
              <w:spacing w:before="0" w:beforeAutospacing="0" w:after="0" w:afterAutospacing="0"/>
              <w:ind w:left="0" w:leftChars="0" w:right="0" w:firstLine="0" w:firstLineChars="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lang w:val="en-US" w:eastAsia="zh-CN"/>
              </w:rPr>
              <w:t>与</w:t>
            </w:r>
            <w:r>
              <w:rPr>
                <w:rFonts w:hint="default" w:ascii="Times New Roman" w:hAnsi="Times New Roman" w:cs="Times New Roman"/>
                <w:color w:val="auto"/>
                <w:sz w:val="21"/>
                <w:szCs w:val="21"/>
                <w:highlight w:val="none"/>
              </w:rPr>
              <w:t>广东省“三线一单”相符性分析一览表</w:t>
            </w:r>
          </w:p>
          <w:tbl>
            <w:tblPr>
              <w:tblStyle w:val="37"/>
              <w:tblW w:w="134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38"/>
              <w:gridCol w:w="1071"/>
              <w:gridCol w:w="4947"/>
              <w:gridCol w:w="5847"/>
              <w:gridCol w:w="967"/>
            </w:tblGrid>
            <w:tr w14:paraId="2536A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28D44D04">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序号</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1291BE00">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管控要求</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1FB0B67D">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具体内容</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269DC6AF">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712ABE8E">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符合性</w:t>
                  </w:r>
                </w:p>
              </w:tc>
            </w:tr>
            <w:tr w14:paraId="53FA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7B8D0456">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6DCED692">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2B375CB0">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11A8B0D3">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项目用地用途为工业厂房，不在生态保护红线和生态环境空间管控区内，符合生态保护红线要求。</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74346D31">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0200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612C5B10">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2</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41566EC3">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环境质量底线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78D65796">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全省水环境质量持续改善，国考、省考断面优良水质比例稳步提升，全面消除劣Ⅳ类水体。大气环境质量继续领跑先行，PM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年均浓度率先达到世界卫生组织过渡期二阶段目标值（25微克/立方米），臭氧污染得到有效遏制。土壤环境质量稳中向好，土壤环境风险得到管控。近岸海域水体质量稳步提升。</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51AC2888">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根据《202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rPr>
                    <w:t>年韶关市生态环境状况公报》，可知项目所在地大气环境质量属于达标区，地表水环境质量现状良好。生活污水、生产废水经预处理后引入园区污水处理厂处理，不直接排入水体。在严格落实各项污染防治措施的前提下，本项目的建设对周边环境影响较小，建成后不会突破当地环境质量底线，符合环境质量底线要求。</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5DE28138">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757A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25DC4B71">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36A78E8E">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资源利用上线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79C3F8BB">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强化节约集约利用，持续提升资源能源利用效率，水资源、土地资源、岸线资源、能源消耗等达到或优于国家下达的总量和强度控制目标。</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73221D12">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2491DD46">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4774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1BFB8F89">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73E0B6CA">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生态环境准入清单</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26CAF7FE">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从区域布局管控、能源资源利用、污染物排放管控和环境风险防控等方面明确准入要求，建立“1+3+N”三级生态环境准入清单体系。“1”为全省总体管控要求，“3”为“一核一带一区”区域管控要求，“N”为1912个陆域环境管控单元和471个海域环境管控单元的管控要求。</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5440002E">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营运期主要污染物为废水、废气、噪声和固体废物，分别经处理后均能实现达标排放，固体废物经有效的分类收集、处置，对周围环境影响较小，故本项目可与周围环境相容，本项目不属于《市场准入负面清单（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rPr>
                    <w:t>年版）》禁止准入类项目。</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39C87697">
                  <w:pPr>
                    <w:pStyle w:val="65"/>
                    <w:keepNext w:val="0"/>
                    <w:keepLines w:val="0"/>
                    <w:pageBreakBefore w:val="0"/>
                    <w:widowControl w:val="0"/>
                    <w:suppressLineNumbers w:val="0"/>
                    <w:kinsoku/>
                    <w:wordWrap w:val="0"/>
                    <w:overflowPunct/>
                    <w:topLinePunct w:val="0"/>
                    <w:autoSpaceDE/>
                    <w:autoSpaceDN/>
                    <w:bidi w:val="0"/>
                    <w:adjustRightInd/>
                    <w:snapToGrid w:val="0"/>
                    <w:spacing w:before="0" w:beforeLines="0" w:beforeAutospacing="0" w:after="0" w:afterLines="0" w:afterAutospacing="0" w:line="240" w:lineRule="auto"/>
                    <w:ind w:left="0" w:right="0" w:firstLine="0" w:firstLineChars="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bl>
          <w:p w14:paraId="20CFACB0">
            <w:pPr>
              <w:pStyle w:val="101"/>
              <w:keepNext w:val="0"/>
              <w:keepLines w:val="0"/>
              <w:pageBreakBefore w:val="0"/>
              <w:suppressLineNumbers w:val="0"/>
              <w:wordWrap w:val="0"/>
              <w:bidi w:val="0"/>
              <w:spacing w:before="0" w:beforeAutospacing="0" w:after="0" w:afterAutospacing="0"/>
              <w:ind w:left="0" w:leftChars="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环境管控单元要求一览表</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7050"/>
              <w:gridCol w:w="4398"/>
              <w:gridCol w:w="1175"/>
            </w:tblGrid>
            <w:tr w14:paraId="2360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Align w:val="center"/>
                </w:tcPr>
                <w:p w14:paraId="1F65B821">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单元</w:t>
                  </w:r>
                </w:p>
              </w:tc>
              <w:tc>
                <w:tcPr>
                  <w:tcW w:w="2613" w:type="pct"/>
                  <w:vAlign w:val="center"/>
                </w:tcPr>
                <w:p w14:paraId="118CF8B3">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保护和管控分区或相关要求（节选）</w:t>
                  </w:r>
                </w:p>
              </w:tc>
              <w:tc>
                <w:tcPr>
                  <w:tcW w:w="1630" w:type="pct"/>
                  <w:vAlign w:val="center"/>
                </w:tcPr>
                <w:p w14:paraId="4809C9E0">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项目情况</w:t>
                  </w:r>
                </w:p>
              </w:tc>
              <w:tc>
                <w:tcPr>
                  <w:tcW w:w="435" w:type="pct"/>
                  <w:vAlign w:val="center"/>
                </w:tcPr>
                <w:p w14:paraId="661DDE3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是否符合</w:t>
                  </w:r>
                </w:p>
              </w:tc>
            </w:tr>
            <w:tr w14:paraId="7538B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restart"/>
                  <w:vAlign w:val="center"/>
                </w:tcPr>
                <w:p w14:paraId="4F6B208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优先保护单元</w:t>
                  </w:r>
                </w:p>
              </w:tc>
              <w:tc>
                <w:tcPr>
                  <w:tcW w:w="2613" w:type="pct"/>
                  <w:vAlign w:val="center"/>
                </w:tcPr>
                <w:p w14:paraId="422F1AE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生态优先保护区：生态保护红线、一般生态空间</w:t>
                  </w:r>
                </w:p>
              </w:tc>
              <w:tc>
                <w:tcPr>
                  <w:tcW w:w="1630" w:type="pct"/>
                  <w:vAlign w:val="center"/>
                </w:tcPr>
                <w:p w14:paraId="5797DD3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rPr>
                    <w:t>项目不在生态保护红线内，详见附图</w:t>
                  </w:r>
                  <w:r>
                    <w:rPr>
                      <w:rFonts w:hint="default" w:ascii="Times New Roman" w:hAnsi="Times New Roman" w:cs="Times New Roman"/>
                      <w:color w:val="auto"/>
                      <w:kern w:val="2"/>
                      <w:highlight w:val="none"/>
                      <w:lang w:val="en-US" w:eastAsia="zh-CN"/>
                    </w:rPr>
                    <w:t>8</w:t>
                  </w:r>
                </w:p>
              </w:tc>
              <w:tc>
                <w:tcPr>
                  <w:tcW w:w="435" w:type="pct"/>
                  <w:vAlign w:val="center"/>
                </w:tcPr>
                <w:p w14:paraId="7576821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r w14:paraId="4EF0F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0DE10858">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2613" w:type="pct"/>
                  <w:vAlign w:val="center"/>
                </w:tcPr>
                <w:p w14:paraId="21EE935A">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水环境优先保护区：饮用水水源一级保护区、二级保护区、准保护区</w:t>
                  </w:r>
                </w:p>
              </w:tc>
              <w:tc>
                <w:tcPr>
                  <w:tcW w:w="1630" w:type="pct"/>
                  <w:vAlign w:val="center"/>
                </w:tcPr>
                <w:p w14:paraId="3EB2202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项目不在饮用水水源保护区内，不属于水环境优先保护区</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详见附图</w:t>
                  </w:r>
                  <w:r>
                    <w:rPr>
                      <w:rFonts w:hint="default" w:ascii="Times New Roman" w:hAnsi="Times New Roman" w:cs="Times New Roman"/>
                      <w:color w:val="auto"/>
                      <w:kern w:val="2"/>
                      <w:highlight w:val="none"/>
                      <w:lang w:val="en-US" w:eastAsia="zh-CN"/>
                    </w:rPr>
                    <w:t>9</w:t>
                  </w:r>
                </w:p>
              </w:tc>
              <w:tc>
                <w:tcPr>
                  <w:tcW w:w="435" w:type="pct"/>
                  <w:vAlign w:val="center"/>
                </w:tcPr>
                <w:p w14:paraId="6CE7022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r w14:paraId="56BAD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0" w:type="pct"/>
                  <w:vMerge w:val="continue"/>
                  <w:vAlign w:val="center"/>
                </w:tcPr>
                <w:p w14:paraId="12A3FB1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2613" w:type="pct"/>
                  <w:vAlign w:val="center"/>
                </w:tcPr>
                <w:p w14:paraId="2E059E5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大气环境优先保护区（环境空气质量一类功能区）</w:t>
                  </w:r>
                </w:p>
              </w:tc>
              <w:tc>
                <w:tcPr>
                  <w:tcW w:w="1630" w:type="pct"/>
                  <w:vAlign w:val="center"/>
                </w:tcPr>
                <w:p w14:paraId="48D9F16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项目属于空气质量二类功能区，不属于大气环境优先保护区</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lang w:val="en-US" w:eastAsia="zh-CN"/>
                    </w:rPr>
                    <w:t>详见附图10</w:t>
                  </w:r>
                </w:p>
              </w:tc>
              <w:tc>
                <w:tcPr>
                  <w:tcW w:w="435" w:type="pct"/>
                  <w:vAlign w:val="center"/>
                </w:tcPr>
                <w:p w14:paraId="4A72907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r w14:paraId="4634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restart"/>
                  <w:vAlign w:val="center"/>
                </w:tcPr>
                <w:p w14:paraId="19FAF00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重点管控单元</w:t>
                  </w:r>
                </w:p>
              </w:tc>
              <w:tc>
                <w:tcPr>
                  <w:tcW w:w="2613" w:type="pct"/>
                  <w:vAlign w:val="center"/>
                </w:tcPr>
                <w:p w14:paraId="0C0E52E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630" w:type="pct"/>
                  <w:vAlign w:val="center"/>
                </w:tcPr>
                <w:p w14:paraId="00A1C031">
                  <w:pPr>
                    <w:keepNext w:val="0"/>
                    <w:keepLines w:val="0"/>
                    <w:pageBreakBefore w:val="0"/>
                    <w:suppressLineNumbers w:val="0"/>
                    <w:kinsoku/>
                    <w:wordWrap w:val="0"/>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根据附图1</w:t>
                  </w:r>
                  <w:r>
                    <w:rPr>
                      <w:rFonts w:hint="default" w:ascii="Times New Roman" w:hAnsi="Times New Roman" w:cs="Times New Roman"/>
                      <w:color w:val="auto"/>
                      <w:sz w:val="21"/>
                      <w:szCs w:val="21"/>
                      <w:highlight w:val="none"/>
                      <w:lang w:val="en-US" w:eastAsia="zh-CN"/>
                    </w:rPr>
                    <w:t>5-1</w:t>
                  </w:r>
                  <w:r>
                    <w:rPr>
                      <w:rFonts w:hint="default" w:ascii="Times New Roman" w:hAnsi="Times New Roman" w:cs="Times New Roman"/>
                      <w:color w:val="auto"/>
                      <w:sz w:val="21"/>
                      <w:szCs w:val="21"/>
                      <w:highlight w:val="none"/>
                    </w:rPr>
                    <w:t>，项目位于乐昌经济开发区重点管控单元（管控编码ZH44028120003），属于园区重点管控单元，项目主要从事</w:t>
                  </w:r>
                  <w:r>
                    <w:rPr>
                      <w:rFonts w:hint="default" w:ascii="Times New Roman" w:hAnsi="Times New Roman" w:cs="Times New Roman"/>
                      <w:color w:val="auto"/>
                      <w:sz w:val="21"/>
                      <w:szCs w:val="21"/>
                      <w:highlight w:val="none"/>
                      <w:lang w:val="en-US" w:eastAsia="zh-CN"/>
                    </w:rPr>
                    <w:t>建筑软瓷材料制造</w:t>
                  </w:r>
                  <w:r>
                    <w:rPr>
                      <w:rFonts w:hint="default" w:ascii="Times New Roman" w:hAnsi="Times New Roman" w:cs="Times New Roman"/>
                      <w:color w:val="auto"/>
                      <w:sz w:val="21"/>
                      <w:szCs w:val="21"/>
                      <w:highlight w:val="none"/>
                    </w:rPr>
                    <w:t>，生产过程中产生</w:t>
                  </w:r>
                  <w:r>
                    <w:rPr>
                      <w:rFonts w:hint="default" w:ascii="Times New Roman" w:hAnsi="Times New Roman" w:cs="Times New Roman"/>
                      <w:color w:val="auto"/>
                      <w:sz w:val="21"/>
                      <w:szCs w:val="21"/>
                      <w:highlight w:val="none"/>
                      <w:lang w:val="en-US" w:eastAsia="zh-CN"/>
                    </w:rPr>
                    <w:t>VOCs、</w:t>
                  </w:r>
                  <w:r>
                    <w:rPr>
                      <w:rFonts w:hint="default" w:ascii="Times New Roman" w:hAnsi="Times New Roman" w:cs="Times New Roman"/>
                      <w:color w:val="auto"/>
                      <w:sz w:val="21"/>
                      <w:szCs w:val="21"/>
                      <w:highlight w:val="none"/>
                    </w:rPr>
                    <w:t>氮氧化物需分配大气污染物总量；生活污水经三级化粪池处理后排入园区污水处理厂处理，无需分配水污染物总量。</w:t>
                  </w:r>
                </w:p>
              </w:tc>
              <w:tc>
                <w:tcPr>
                  <w:tcW w:w="435" w:type="pct"/>
                  <w:vAlign w:val="center"/>
                </w:tcPr>
                <w:p w14:paraId="425253CB">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r w14:paraId="015AB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7FA1DF5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2613" w:type="pct"/>
                  <w:vAlign w:val="center"/>
                </w:tcPr>
                <w:p w14:paraId="77BEDD9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630" w:type="pct"/>
                  <w:vAlign w:val="center"/>
                </w:tcPr>
                <w:p w14:paraId="6331E918">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项目不属于耗水量大和污染物排放强度高的行业，生活污水经三级化粪池预处理后排入园区污水处理</w:t>
                  </w:r>
                  <w:r>
                    <w:rPr>
                      <w:rFonts w:hint="default" w:ascii="Times New Roman" w:hAnsi="Times New Roman" w:cs="Times New Roman"/>
                      <w:color w:val="auto"/>
                      <w:kern w:val="2"/>
                      <w:highlight w:val="none"/>
                      <w:lang w:eastAsia="zh-CN"/>
                    </w:rPr>
                    <w:t>厂</w:t>
                  </w:r>
                  <w:r>
                    <w:rPr>
                      <w:rFonts w:hint="default" w:ascii="Times New Roman" w:hAnsi="Times New Roman" w:cs="Times New Roman"/>
                      <w:color w:val="auto"/>
                      <w:kern w:val="2"/>
                      <w:highlight w:val="none"/>
                    </w:rPr>
                    <w:t>，不直接纳入水体，对水环境影响不大。</w:t>
                  </w:r>
                </w:p>
              </w:tc>
              <w:tc>
                <w:tcPr>
                  <w:tcW w:w="435" w:type="pct"/>
                  <w:vAlign w:val="center"/>
                </w:tcPr>
                <w:p w14:paraId="347A8E7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r w14:paraId="1FE9C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7FE0B0F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2613" w:type="pct"/>
                  <w:vAlign w:val="center"/>
                </w:tcPr>
                <w:p w14:paraId="3A482B1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630" w:type="pct"/>
                  <w:vAlign w:val="center"/>
                </w:tcPr>
                <w:p w14:paraId="6D2E0BC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项目不属于</w:t>
                  </w:r>
                  <w:r>
                    <w:rPr>
                      <w:rFonts w:hint="default" w:ascii="Times New Roman" w:hAnsi="Times New Roman" w:cs="Times New Roman"/>
                      <w:color w:val="auto"/>
                      <w:kern w:val="2"/>
                      <w:highlight w:val="none"/>
                      <w:lang w:val="en-US" w:eastAsia="zh-CN"/>
                    </w:rPr>
                    <w:t>产生和排放</w:t>
                  </w:r>
                  <w:r>
                    <w:rPr>
                      <w:rFonts w:hint="default" w:ascii="Times New Roman" w:hAnsi="Times New Roman" w:cs="Times New Roman"/>
                      <w:color w:val="auto"/>
                      <w:kern w:val="2"/>
                      <w:highlight w:val="none"/>
                    </w:rPr>
                    <w:t>有毒有害大气污染物的项目</w:t>
                  </w:r>
                </w:p>
              </w:tc>
              <w:tc>
                <w:tcPr>
                  <w:tcW w:w="435" w:type="pct"/>
                  <w:vAlign w:val="center"/>
                </w:tcPr>
                <w:p w14:paraId="62ECA54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r w14:paraId="66C4A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Align w:val="center"/>
                </w:tcPr>
                <w:p w14:paraId="20C631D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一般管控单元</w:t>
                  </w:r>
                </w:p>
              </w:tc>
              <w:tc>
                <w:tcPr>
                  <w:tcW w:w="2613" w:type="pct"/>
                  <w:vAlign w:val="center"/>
                </w:tcPr>
                <w:p w14:paraId="0C59FF5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执行区域生态环境保护的基本要求。根据资源环境承载能力，引导产业科学布局，合理控制开发强度，维护生态环境功能稳定</w:t>
                  </w:r>
                </w:p>
              </w:tc>
              <w:tc>
                <w:tcPr>
                  <w:tcW w:w="1630" w:type="pct"/>
                  <w:vAlign w:val="center"/>
                </w:tcPr>
                <w:p w14:paraId="6A797FA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项目执行区域生态环境保护的基本要求</w:t>
                  </w:r>
                </w:p>
              </w:tc>
              <w:tc>
                <w:tcPr>
                  <w:tcW w:w="435" w:type="pct"/>
                  <w:vAlign w:val="center"/>
                </w:tcPr>
                <w:p w14:paraId="0FF9A038">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符合</w:t>
                  </w:r>
                </w:p>
              </w:tc>
            </w:tr>
          </w:tbl>
          <w:p w14:paraId="06765BD9">
            <w:pPr>
              <w:keepNext w:val="0"/>
              <w:keepLines w:val="0"/>
              <w:pageBreakBefore w:val="0"/>
              <w:suppressLineNumbers w:val="0"/>
              <w:kinsoku/>
              <w:wordWrap w:val="0"/>
              <w:overflowPunct/>
              <w:topLinePunct w:val="0"/>
              <w:bidi w:val="0"/>
              <w:snapToGrid/>
              <w:spacing w:before="0" w:beforeAutospacing="0" w:after="0" w:afterAutospacing="0" w:line="348" w:lineRule="auto"/>
              <w:ind w:left="0" w:right="86" w:rightChars="36"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综上所述，项目符合《广东省人民政府关于印发广东省“三线一单”生态环境分区管控方案的通知（粤府〔2020〕71 号）》的相关要求。</w:t>
            </w:r>
          </w:p>
          <w:p w14:paraId="1726A676">
            <w:pPr>
              <w:keepNext w:val="0"/>
              <w:keepLines w:val="0"/>
              <w:pageBreakBefore w:val="0"/>
              <w:suppressLineNumbers w:val="0"/>
              <w:kinsoku/>
              <w:wordWrap w:val="0"/>
              <w:overflowPunct/>
              <w:topLinePunct w:val="0"/>
              <w:bidi w:val="0"/>
              <w:snapToGrid/>
              <w:spacing w:before="0" w:beforeAutospacing="0" w:after="0" w:afterAutospacing="0" w:line="348" w:lineRule="auto"/>
              <w:ind w:left="0" w:right="86" w:rightChars="36" w:firstLine="480"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项目与《韶关市“三线一单”生态环境分区管控方案》（韶府〔2021〕10号）</w:t>
            </w:r>
            <w:r>
              <w:rPr>
                <w:rFonts w:hint="default" w:ascii="Times New Roman" w:hAnsi="Times New Roman" w:cs="Times New Roman"/>
                <w:b/>
                <w:bCs/>
                <w:color w:val="auto"/>
                <w:highlight w:val="none"/>
                <w:lang w:val="en-US" w:eastAsia="zh-CN"/>
              </w:rPr>
              <w:t>和《韶关市生态环境分区管控动态更新成果》</w:t>
            </w:r>
            <w:r>
              <w:rPr>
                <w:rFonts w:hint="default" w:ascii="Times New Roman" w:hAnsi="Times New Roman" w:cs="Times New Roman"/>
                <w:b/>
                <w:bCs/>
                <w:color w:val="auto"/>
                <w:highlight w:val="none"/>
              </w:rPr>
              <w:t>的相符性分析</w:t>
            </w:r>
          </w:p>
          <w:p w14:paraId="743EFA43">
            <w:pPr>
              <w:keepNext w:val="0"/>
              <w:keepLines w:val="0"/>
              <w:pageBreakBefore w:val="0"/>
              <w:suppressLineNumbers w:val="0"/>
              <w:kinsoku/>
              <w:wordWrap w:val="0"/>
              <w:overflowPunct/>
              <w:topLinePunct w:val="0"/>
              <w:bidi w:val="0"/>
              <w:snapToGrid/>
              <w:spacing w:before="0" w:beforeAutospacing="0" w:after="0" w:afterAutospacing="0" w:line="348" w:lineRule="auto"/>
              <w:ind w:left="0" w:right="86" w:rightChars="36" w:firstLine="480" w:firstLineChars="200"/>
              <w:jc w:val="both"/>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Cs/>
                <w:color w:val="auto"/>
                <w:sz w:val="24"/>
                <w:szCs w:val="24"/>
                <w:highlight w:val="none"/>
              </w:rPr>
              <w:t>根据</w:t>
            </w:r>
            <w:r>
              <w:rPr>
                <w:rFonts w:hint="default" w:ascii="Times New Roman" w:hAnsi="Times New Roman" w:cs="Times New Roman"/>
                <w:color w:val="auto"/>
                <w:kern w:val="0"/>
                <w:sz w:val="24"/>
                <w:szCs w:val="24"/>
                <w:highlight w:val="none"/>
              </w:rPr>
              <w:t>《韶关市生态环境分区管控动态更新成果》</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本项目所在环境管控单位为乐昌经济开发区重点管控单元（编号：ZH44028120003）</w:t>
            </w:r>
            <w:r>
              <w:rPr>
                <w:rFonts w:hint="default" w:ascii="Times New Roman" w:hAnsi="Times New Roman" w:cs="Times New Roman"/>
                <w:bCs/>
                <w:color w:val="auto"/>
                <w:sz w:val="24"/>
                <w:szCs w:val="24"/>
                <w:highlight w:val="none"/>
              </w:rPr>
              <w:t>，本项目与所在区域的生态保护红线、环境质量底线、资源利用上线</w:t>
            </w:r>
            <w:r>
              <w:rPr>
                <w:rFonts w:hint="default" w:ascii="Times New Roman" w:hAnsi="Times New Roman" w:cs="Times New Roman"/>
                <w:bCs/>
                <w:color w:val="auto"/>
                <w:sz w:val="24"/>
                <w:szCs w:val="24"/>
                <w:highlight w:val="none"/>
                <w:lang w:val="en-US" w:eastAsia="zh-CN"/>
              </w:rPr>
              <w:t>如下表所示</w:t>
            </w:r>
            <w:r>
              <w:rPr>
                <w:rFonts w:hint="default" w:ascii="Times New Roman" w:hAnsi="Times New Roman" w:cs="Times New Roman"/>
                <w:bCs/>
                <w:color w:val="auto"/>
                <w:sz w:val="24"/>
                <w:szCs w:val="24"/>
                <w:highlight w:val="none"/>
                <w:lang w:eastAsia="zh-CN"/>
              </w:rPr>
              <w:t>。</w:t>
            </w:r>
          </w:p>
          <w:p w14:paraId="2CCBF11B">
            <w:pPr>
              <w:pStyle w:val="101"/>
              <w:keepNext w:val="0"/>
              <w:keepLines w:val="0"/>
              <w:pageBreakBefore w:val="0"/>
              <w:suppressLineNumbers w:val="0"/>
              <w:wordWrap w:val="0"/>
              <w:bidi w:val="0"/>
              <w:spacing w:before="0" w:beforeAutospacing="0" w:after="0" w:afterAutospacing="0"/>
              <w:ind w:left="0" w:leftChars="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与韶关市“三线一单”</w:t>
            </w:r>
            <w:r>
              <w:rPr>
                <w:rFonts w:hint="default" w:ascii="Times New Roman" w:hAnsi="Times New Roman" w:cs="Times New Roman"/>
                <w:color w:val="auto"/>
                <w:sz w:val="21"/>
                <w:szCs w:val="21"/>
                <w:highlight w:val="none"/>
              </w:rPr>
              <w:t>相符性分析一览表</w:t>
            </w:r>
          </w:p>
          <w:tbl>
            <w:tblPr>
              <w:tblStyle w:val="36"/>
              <w:tblW w:w="134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6055"/>
              <w:gridCol w:w="5643"/>
              <w:gridCol w:w="1019"/>
            </w:tblGrid>
            <w:tr w14:paraId="68202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82" w:type="pct"/>
                  <w:vAlign w:val="center"/>
                </w:tcPr>
                <w:p w14:paraId="6E749E05">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类别</w:t>
                  </w:r>
                </w:p>
              </w:tc>
              <w:tc>
                <w:tcPr>
                  <w:tcW w:w="2246" w:type="pct"/>
                  <w:vAlign w:val="center"/>
                </w:tcPr>
                <w:p w14:paraId="16F00BEA">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文件要求</w:t>
                  </w:r>
                </w:p>
              </w:tc>
              <w:tc>
                <w:tcPr>
                  <w:tcW w:w="2093" w:type="pct"/>
                  <w:vAlign w:val="center"/>
                </w:tcPr>
                <w:p w14:paraId="32B50E7F">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本项目情况</w:t>
                  </w:r>
                </w:p>
              </w:tc>
              <w:tc>
                <w:tcPr>
                  <w:tcW w:w="378" w:type="pct"/>
                  <w:vAlign w:val="center"/>
                </w:tcPr>
                <w:p w14:paraId="00BB4DF2">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符合性</w:t>
                  </w:r>
                </w:p>
              </w:tc>
            </w:tr>
            <w:tr w14:paraId="537AD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5" w:hRule="atLeast"/>
                <w:jc w:val="center"/>
              </w:trPr>
              <w:tc>
                <w:tcPr>
                  <w:tcW w:w="282" w:type="pct"/>
                  <w:vAlign w:val="center"/>
                </w:tcPr>
                <w:p w14:paraId="1AA89DDC">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生态保护红线</w:t>
                  </w:r>
                </w:p>
              </w:tc>
              <w:tc>
                <w:tcPr>
                  <w:tcW w:w="2246" w:type="pct"/>
                  <w:vAlign w:val="center"/>
                </w:tcPr>
                <w:p w14:paraId="7123006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生态保护红线及一般生态空间。全市陆域生态保护红线面积5827.58平方千米，占全市陆域国土面积的31.65%；一般生态空间面积4951.43平方千米</w:t>
                  </w:r>
                  <w:r>
                    <w:rPr>
                      <w:rFonts w:hint="default" w:ascii="Times New Roman" w:hAnsi="Times New Roman" w:eastAsia="宋体" w:cs="Times New Roman"/>
                      <w:color w:val="auto"/>
                      <w:kern w:val="0"/>
                      <w:sz w:val="24"/>
                      <w:szCs w:val="24"/>
                      <w:highlight w:val="none"/>
                      <w:lang w:val="en-US" w:eastAsia="zh-CN" w:bidi="ar"/>
                    </w:rPr>
                    <w:t>。</w:t>
                  </w:r>
                </w:p>
                <w:p w14:paraId="284C1CA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bidi="ar"/>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tc>
              <w:tc>
                <w:tcPr>
                  <w:tcW w:w="2093" w:type="pct"/>
                  <w:vAlign w:val="center"/>
                </w:tcPr>
                <w:p w14:paraId="75777E8D">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本项目选址不涉及自然保护区、风景名胜区、饮用水源保护区、基本农田保护区及其它需要特殊保护的敏感区域，项目位于</w:t>
                  </w:r>
                  <w:r>
                    <w:rPr>
                      <w:rFonts w:hint="default" w:ascii="Times New Roman" w:hAnsi="Times New Roman" w:cs="Times New Roman"/>
                      <w:color w:val="auto"/>
                      <w:kern w:val="0"/>
                      <w:sz w:val="21"/>
                      <w:szCs w:val="21"/>
                      <w:highlight w:val="none"/>
                      <w:lang w:eastAsia="zh-CN"/>
                    </w:rPr>
                    <w:t>韶关市乐昌市乐昌产业转移工业园</w:t>
                  </w:r>
                  <w:r>
                    <w:rPr>
                      <w:rFonts w:hint="default" w:ascii="Times New Roman" w:hAnsi="Times New Roman" w:cs="Times New Roman"/>
                      <w:color w:val="auto"/>
                      <w:kern w:val="0"/>
                      <w:sz w:val="21"/>
                      <w:szCs w:val="21"/>
                      <w:highlight w:val="none"/>
                      <w:lang w:val="en-US" w:eastAsia="zh-CN"/>
                    </w:rPr>
                    <w:t>金岭五路6号</w:t>
                  </w:r>
                  <w:r>
                    <w:rPr>
                      <w:rFonts w:hint="default" w:ascii="Times New Roman" w:hAnsi="Times New Roman" w:cs="Times New Roman"/>
                      <w:color w:val="auto"/>
                      <w:sz w:val="21"/>
                      <w:szCs w:val="21"/>
                      <w:highlight w:val="none"/>
                    </w:rPr>
                    <w:t>，不在生态红线内。</w:t>
                  </w:r>
                </w:p>
              </w:tc>
              <w:tc>
                <w:tcPr>
                  <w:tcW w:w="378" w:type="pct"/>
                  <w:vAlign w:val="center"/>
                </w:tcPr>
                <w:p w14:paraId="75AF5478">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14:paraId="1A416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5" w:hRule="atLeast"/>
                <w:jc w:val="center"/>
              </w:trPr>
              <w:tc>
                <w:tcPr>
                  <w:tcW w:w="282" w:type="pct"/>
                  <w:vAlign w:val="center"/>
                </w:tcPr>
                <w:p w14:paraId="498DE7B2">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环境质量底线</w:t>
                  </w:r>
                </w:p>
              </w:tc>
              <w:tc>
                <w:tcPr>
                  <w:tcW w:w="2246" w:type="pct"/>
                  <w:vAlign w:val="center"/>
                </w:tcPr>
                <w:p w14:paraId="7E41D5E9">
                  <w:pPr>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全市水环境质量保持优良，县级以上集中式饮用水水源水质全面稳定达到或优于Ⅲ类，考核断面优良水质比例达100%。大气环境质量持续改善，AQI和PM</w:t>
                  </w:r>
                  <w:r>
                    <w:rPr>
                      <w:rFonts w:hint="default" w:ascii="Times New Roman" w:hAnsi="Times New Roman" w:cs="Times New Roman"/>
                      <w:color w:val="auto"/>
                      <w:kern w:val="0"/>
                      <w:sz w:val="21"/>
                      <w:szCs w:val="21"/>
                      <w:highlight w:val="none"/>
                      <w:vertAlign w:val="subscript"/>
                    </w:rPr>
                    <w:t>2.5</w:t>
                  </w:r>
                  <w:r>
                    <w:rPr>
                      <w:rFonts w:hint="default" w:ascii="Times New Roman" w:hAnsi="Times New Roman" w:cs="Times New Roman"/>
                      <w:color w:val="auto"/>
                      <w:kern w:val="0"/>
                      <w:sz w:val="21"/>
                      <w:szCs w:val="21"/>
                      <w:highlight w:val="none"/>
                    </w:rPr>
                    <w:t>等主要指标达到省下达的任务要求，臭氧污染得到有效遏制。土壤环境质量稳中向好，土壤环境风险得到管控。</w:t>
                  </w:r>
                </w:p>
              </w:tc>
              <w:tc>
                <w:tcPr>
                  <w:tcW w:w="2093" w:type="pct"/>
                  <w:vAlign w:val="center"/>
                </w:tcPr>
                <w:p w14:paraId="659C4212">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项目所在区域的声环境质量能够符合相应的标准要求；地表水质量达标；根据《韶关市生态环境状况公报》（202</w:t>
                  </w:r>
                  <w:r>
                    <w:rPr>
                      <w:rFonts w:hint="default" w:ascii="Times New Roman" w:hAnsi="Times New Roman"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rPr>
                    <w:t>年）</w:t>
                  </w:r>
                  <w:r>
                    <w:rPr>
                      <w:rFonts w:hint="default" w:ascii="Times New Roman" w:hAnsi="Times New Roman" w:cs="Times New Roman"/>
                      <w:bCs/>
                      <w:color w:val="auto"/>
                      <w:sz w:val="21"/>
                      <w:szCs w:val="21"/>
                      <w:highlight w:val="none"/>
                    </w:rPr>
                    <w:t>，乐昌市</w:t>
                  </w:r>
                  <w:r>
                    <w:rPr>
                      <w:rFonts w:hint="default" w:ascii="Times New Roman" w:hAnsi="Times New Roman" w:cs="Times New Roman"/>
                      <w:bCs/>
                      <w:color w:val="auto"/>
                      <w:sz w:val="21"/>
                      <w:szCs w:val="21"/>
                      <w:highlight w:val="none"/>
                      <w:lang w:val="en-US" w:eastAsia="zh-CN"/>
                    </w:rPr>
                    <w:t>各项基本污染物</w:t>
                  </w:r>
                  <w:r>
                    <w:rPr>
                      <w:rFonts w:hint="default" w:ascii="Times New Roman" w:hAnsi="Times New Roman" w:cs="Times New Roman"/>
                      <w:bCs/>
                      <w:color w:val="auto"/>
                      <w:sz w:val="21"/>
                      <w:szCs w:val="21"/>
                      <w:highlight w:val="none"/>
                    </w:rPr>
                    <w:t>均满足《环境空气质量标准》(GB3095-2026)中</w:t>
                  </w:r>
                  <w:r>
                    <w:rPr>
                      <w:rFonts w:hint="default" w:ascii="Times New Roman" w:hAnsi="Times New Roman" w:cs="Times New Roman"/>
                      <w:bCs/>
                      <w:color w:val="auto"/>
                      <w:sz w:val="21"/>
                      <w:szCs w:val="21"/>
                      <w:highlight w:val="none"/>
                      <w:lang w:eastAsia="zh-CN"/>
                    </w:rPr>
                    <w:t>过渡阶段</w:t>
                  </w:r>
                  <w:r>
                    <w:rPr>
                      <w:rFonts w:hint="default" w:ascii="Times New Roman" w:hAnsi="Times New Roman" w:cs="Times New Roman"/>
                      <w:bCs/>
                      <w:color w:val="auto"/>
                      <w:sz w:val="21"/>
                      <w:szCs w:val="21"/>
                      <w:highlight w:val="none"/>
                    </w:rPr>
                    <w:t>浓度限值的二级标准，由此说明</w:t>
                  </w:r>
                  <w:r>
                    <w:rPr>
                      <w:rFonts w:hint="default" w:ascii="Times New Roman" w:hAnsi="Times New Roman" w:cs="Times New Roman"/>
                      <w:bCs/>
                      <w:color w:val="auto"/>
                      <w:sz w:val="21"/>
                      <w:szCs w:val="21"/>
                      <w:highlight w:val="none"/>
                      <w:lang w:val="en-US" w:eastAsia="zh-CN"/>
                    </w:rPr>
                    <w:t>韶关市</w:t>
                  </w:r>
                  <w:r>
                    <w:rPr>
                      <w:rFonts w:hint="default" w:ascii="Times New Roman" w:hAnsi="Times New Roman" w:cs="Times New Roman"/>
                      <w:bCs/>
                      <w:color w:val="auto"/>
                      <w:sz w:val="21"/>
                      <w:szCs w:val="21"/>
                      <w:highlight w:val="none"/>
                    </w:rPr>
                    <w:t>乐昌市属于环境空气质量达标区</w:t>
                  </w:r>
                  <w:r>
                    <w:rPr>
                      <w:rFonts w:hint="default" w:ascii="Times New Roman" w:hAnsi="Times New Roman" w:cs="Times New Roman"/>
                      <w:color w:val="auto"/>
                      <w:kern w:val="0"/>
                      <w:sz w:val="21"/>
                      <w:szCs w:val="21"/>
                      <w:highlight w:val="none"/>
                    </w:rPr>
                    <w:t>。本项目排放的大气污染物</w:t>
                  </w:r>
                  <w:r>
                    <w:rPr>
                      <w:rFonts w:hint="default" w:ascii="Times New Roman" w:hAnsi="Times New Roman" w:cs="Times New Roman"/>
                      <w:color w:val="auto"/>
                      <w:kern w:val="0"/>
                      <w:sz w:val="21"/>
                      <w:szCs w:val="21"/>
                      <w:highlight w:val="none"/>
                      <w:lang w:val="en-US" w:eastAsia="zh-CN"/>
                    </w:rPr>
                    <w:t>为VOCs、颗粒物、二氧化硫、氮氧化物</w:t>
                  </w:r>
                  <w:r>
                    <w:rPr>
                      <w:rFonts w:hint="default" w:ascii="Times New Roman" w:hAnsi="Times New Roman" w:cs="Times New Roman"/>
                      <w:color w:val="auto"/>
                      <w:kern w:val="0"/>
                      <w:sz w:val="21"/>
                      <w:szCs w:val="21"/>
                      <w:highlight w:val="none"/>
                    </w:rPr>
                    <w:t>，</w:t>
                  </w:r>
                  <w:r>
                    <w:rPr>
                      <w:rFonts w:hint="default" w:ascii="Times New Roman" w:hAnsi="Times New Roman" w:cs="Times New Roman"/>
                      <w:color w:val="auto"/>
                      <w:kern w:val="0"/>
                      <w:sz w:val="21"/>
                      <w:szCs w:val="21"/>
                      <w:highlight w:val="none"/>
                      <w:lang w:val="en-US" w:eastAsia="zh-CN"/>
                    </w:rPr>
                    <w:t>项目废气排放量较少</w:t>
                  </w:r>
                  <w:r>
                    <w:rPr>
                      <w:rFonts w:hint="default" w:ascii="Times New Roman" w:hAnsi="Times New Roman" w:cs="Times New Roman"/>
                      <w:color w:val="auto"/>
                      <w:kern w:val="0"/>
                      <w:sz w:val="21"/>
                      <w:szCs w:val="21"/>
                      <w:highlight w:val="none"/>
                    </w:rPr>
                    <w:t>，对周围大气环境影响不大。项目</w:t>
                  </w:r>
                  <w:r>
                    <w:rPr>
                      <w:rFonts w:hint="default" w:ascii="Times New Roman" w:hAnsi="Times New Roman" w:cs="Times New Roman"/>
                      <w:color w:val="auto"/>
                      <w:sz w:val="21"/>
                      <w:szCs w:val="21"/>
                      <w:highlight w:val="none"/>
                    </w:rPr>
                    <w:t>生活污水经三级化粪池预处理后</w:t>
                  </w:r>
                  <w:r>
                    <w:rPr>
                      <w:rFonts w:hint="default" w:ascii="Times New Roman" w:hAnsi="Times New Roman" w:cs="Times New Roman"/>
                      <w:color w:val="auto"/>
                      <w:sz w:val="21"/>
                      <w:szCs w:val="21"/>
                      <w:highlight w:val="none"/>
                      <w:lang w:val="en-US" w:eastAsia="zh-CN"/>
                    </w:rPr>
                    <w:t>排入园区污水处理厂处理</w:t>
                  </w:r>
                  <w:r>
                    <w:rPr>
                      <w:rFonts w:hint="default" w:ascii="Times New Roman" w:hAnsi="Times New Roman" w:cs="Times New Roman"/>
                      <w:color w:val="auto"/>
                      <w:sz w:val="21"/>
                      <w:szCs w:val="21"/>
                      <w:highlight w:val="none"/>
                    </w:rPr>
                    <w:t>。</w:t>
                  </w:r>
                </w:p>
              </w:tc>
              <w:tc>
                <w:tcPr>
                  <w:tcW w:w="378" w:type="pct"/>
                  <w:vAlign w:val="center"/>
                </w:tcPr>
                <w:p w14:paraId="4F6D9FFF">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14:paraId="7BD7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0" w:hRule="atLeast"/>
                <w:jc w:val="center"/>
              </w:trPr>
              <w:tc>
                <w:tcPr>
                  <w:tcW w:w="282" w:type="pct"/>
                  <w:vAlign w:val="center"/>
                </w:tcPr>
                <w:p w14:paraId="5AD6D97A">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资源利用上线</w:t>
                  </w:r>
                </w:p>
              </w:tc>
              <w:tc>
                <w:tcPr>
                  <w:tcW w:w="2246" w:type="pct"/>
                  <w:vAlign w:val="center"/>
                </w:tcPr>
                <w:p w14:paraId="282AB2F0">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强化节约集约利用，持续提升资源能源利用效率，水资源、土地资源、岸线资源、能源消耗等达到或优于国家、省下达的总量和强度控制目标。水资源利用效率持续提高。到2025年，全市用水总量控制在19.71亿立方米以内，万元地区生产总值用水量较2020年降幅不低于24%，万元工业增加值用水量较2020年降幅不低于20%。</w:t>
                  </w:r>
                </w:p>
                <w:p w14:paraId="3EA42B85">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土地资源集约化利用水平不断提升。耕地保有量、永久基本农田保护面积、建设用地总规模、城乡建设用地规模等严格落实国家和省下达的总量和强度控制指标。</w:t>
                  </w:r>
                </w:p>
                <w:p w14:paraId="186B249F">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岸线资源得到有效保护。自然岸线保有率达到省级考核要求。</w:t>
                  </w:r>
                </w:p>
                <w:p w14:paraId="31FCA7E1">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能源利用效率持续提升，能源结构不断优化。到2025年，全市单位地区生产总值能源消耗比2020年下降15.5%。碳排放控制步伐加快推进，与全省同步达峰。</w:t>
                  </w:r>
                </w:p>
              </w:tc>
              <w:tc>
                <w:tcPr>
                  <w:tcW w:w="2093" w:type="pct"/>
                  <w:vAlign w:val="center"/>
                </w:tcPr>
                <w:p w14:paraId="11529018">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本项目营运过程中消耗一定量的电能</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天然气</w:t>
                  </w:r>
                  <w:r>
                    <w:rPr>
                      <w:rFonts w:hint="default" w:ascii="Times New Roman" w:hAnsi="Times New Roman" w:cs="Times New Roman"/>
                      <w:color w:val="auto"/>
                      <w:kern w:val="0"/>
                      <w:sz w:val="21"/>
                      <w:szCs w:val="21"/>
                      <w:highlight w:val="none"/>
                    </w:rPr>
                    <w:t>、水资源，项目资源消耗量相对区域资料利用总量较少，符合资源利用上限的要求。</w:t>
                  </w:r>
                </w:p>
              </w:tc>
              <w:tc>
                <w:tcPr>
                  <w:tcW w:w="378" w:type="pct"/>
                  <w:vAlign w:val="center"/>
                </w:tcPr>
                <w:p w14:paraId="515D2880">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bl>
          <w:p w14:paraId="1DBEABA5">
            <w:pPr>
              <w:pStyle w:val="101"/>
              <w:keepNext w:val="0"/>
              <w:keepLines w:val="0"/>
              <w:pageBreakBefore w:val="0"/>
              <w:numPr>
                <w:ilvl w:val="0"/>
                <w:numId w:val="0"/>
              </w:numPr>
              <w:suppressLineNumbers w:val="0"/>
              <w:wordWrap w:val="0"/>
              <w:bidi w:val="0"/>
              <w:spacing w:before="0" w:beforeAutospacing="0" w:after="0" w:afterAutospacing="0"/>
              <w:ind w:left="0" w:leftChars="0" w:right="0" w:firstLine="480" w:firstLineChars="200"/>
              <w:jc w:val="both"/>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rPr>
              <w:t>本项目与</w:t>
            </w:r>
            <w:r>
              <w:rPr>
                <w:rFonts w:hint="default" w:ascii="Times New Roman" w:hAnsi="Times New Roman" w:cs="Times New Roman"/>
                <w:b w:val="0"/>
                <w:bCs w:val="0"/>
                <w:color w:val="auto"/>
                <w:sz w:val="24"/>
                <w:szCs w:val="24"/>
                <w:highlight w:val="none"/>
                <w:lang w:val="en-US" w:eastAsia="zh-CN"/>
              </w:rPr>
              <w:t>韶关市</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三线一单</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全市管控要求如下表所示：</w:t>
            </w:r>
          </w:p>
          <w:p w14:paraId="16F3ABE0">
            <w:pPr>
              <w:pStyle w:val="101"/>
              <w:keepNext w:val="0"/>
              <w:keepLines w:val="0"/>
              <w:pageBreakBefore w:val="0"/>
              <w:suppressLineNumbers w:val="0"/>
              <w:wordWrap w:val="0"/>
              <w:bidi w:val="0"/>
              <w:spacing w:before="0" w:beforeAutospacing="0" w:after="0" w:afterAutospacing="0"/>
              <w:ind w:left="0" w:leftChars="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与“三线一单”全市管控要求相符性分析</w:t>
            </w:r>
          </w:p>
          <w:tbl>
            <w:tblPr>
              <w:tblStyle w:val="37"/>
              <w:tblW w:w="5010"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
              <w:gridCol w:w="865"/>
              <w:gridCol w:w="8125"/>
              <w:gridCol w:w="3151"/>
              <w:gridCol w:w="855"/>
            </w:tblGrid>
            <w:tr w14:paraId="1301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3" w:type="pct"/>
                  <w:gridSpan w:val="2"/>
                  <w:tcBorders>
                    <w:tl2br w:val="nil"/>
                    <w:tr2bl w:val="nil"/>
                  </w:tcBorders>
                  <w:vAlign w:val="center"/>
                </w:tcPr>
                <w:p w14:paraId="239738A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3004" w:type="pct"/>
                  <w:tcBorders>
                    <w:tl2br w:val="nil"/>
                    <w:tr2bl w:val="nil"/>
                  </w:tcBorders>
                  <w:vAlign w:val="center"/>
                </w:tcPr>
                <w:p w14:paraId="2D91F57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要求</w:t>
                  </w:r>
                </w:p>
              </w:tc>
              <w:tc>
                <w:tcPr>
                  <w:tcW w:w="1165" w:type="pct"/>
                  <w:tcBorders>
                    <w:tl2br w:val="nil"/>
                    <w:tr2bl w:val="nil"/>
                  </w:tcBorders>
                  <w:vAlign w:val="center"/>
                </w:tcPr>
                <w:p w14:paraId="20EF5BD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相符性分析</w:t>
                  </w:r>
                </w:p>
              </w:tc>
              <w:tc>
                <w:tcPr>
                  <w:tcW w:w="316" w:type="pct"/>
                  <w:tcBorders>
                    <w:tl2br w:val="nil"/>
                    <w:tr2bl w:val="nil"/>
                  </w:tcBorders>
                  <w:vAlign w:val="center"/>
                </w:tcPr>
                <w:p w14:paraId="63DD282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结论</w:t>
                  </w:r>
                </w:p>
              </w:tc>
            </w:tr>
            <w:tr w14:paraId="457C9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93" w:type="pct"/>
                  <w:vMerge w:val="restart"/>
                  <w:tcBorders>
                    <w:tl2br w:val="nil"/>
                    <w:tr2bl w:val="nil"/>
                  </w:tcBorders>
                  <w:vAlign w:val="center"/>
                </w:tcPr>
                <w:p w14:paraId="7DFEDA2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全市总体管控</w:t>
                  </w:r>
                </w:p>
              </w:tc>
              <w:tc>
                <w:tcPr>
                  <w:tcW w:w="319" w:type="pct"/>
                  <w:tcBorders>
                    <w:tl2br w:val="nil"/>
                    <w:tr2bl w:val="nil"/>
                  </w:tcBorders>
                  <w:vAlign w:val="center"/>
                </w:tcPr>
                <w:p w14:paraId="61EEACF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区域布局管控</w:t>
                  </w:r>
                </w:p>
              </w:tc>
              <w:tc>
                <w:tcPr>
                  <w:tcW w:w="3004" w:type="pct"/>
                  <w:tcBorders>
                    <w:tl2br w:val="nil"/>
                    <w:tr2bl w:val="nil"/>
                  </w:tcBorders>
                  <w:vAlign w:val="center"/>
                </w:tcPr>
                <w:p w14:paraId="486F9DB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165" w:type="pct"/>
                  <w:tcBorders>
                    <w:tl2br w:val="nil"/>
                    <w:tr2bl w:val="nil"/>
                  </w:tcBorders>
                  <w:vAlign w:val="center"/>
                </w:tcPr>
                <w:p w14:paraId="03F4ACF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本项目主要从事</w:t>
                  </w:r>
                  <w:r>
                    <w:rPr>
                      <w:rFonts w:hint="default" w:ascii="Times New Roman" w:hAnsi="Times New Roman" w:cs="Times New Roman"/>
                      <w:color w:val="auto"/>
                      <w:sz w:val="21"/>
                      <w:szCs w:val="21"/>
                      <w:highlight w:val="none"/>
                      <w:lang w:val="en-US" w:eastAsia="zh-CN"/>
                    </w:rPr>
                    <w:t>建筑软瓷材料制造</w:t>
                  </w:r>
                  <w:r>
                    <w:rPr>
                      <w:rFonts w:hint="default" w:ascii="Times New Roman" w:hAnsi="Times New Roman" w:cs="Times New Roman"/>
                      <w:color w:val="auto"/>
                      <w:sz w:val="21"/>
                      <w:szCs w:val="21"/>
                      <w:highlight w:val="none"/>
                    </w:rPr>
                    <w:t>，不涉重金属，不属于高污染高耗能行业，项目位于乐昌产业转移工业园，园区已开展规划环境评价，项目符合园区准入条件。项目所在地属于环境功能二类区、水环境质量达标区。</w:t>
                  </w:r>
                </w:p>
              </w:tc>
              <w:tc>
                <w:tcPr>
                  <w:tcW w:w="316" w:type="pct"/>
                  <w:tcBorders>
                    <w:tl2br w:val="nil"/>
                    <w:tr2bl w:val="nil"/>
                  </w:tcBorders>
                  <w:vAlign w:val="center"/>
                </w:tcPr>
                <w:p w14:paraId="264613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010A4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93" w:type="pct"/>
                  <w:vMerge w:val="continue"/>
                  <w:tcBorders>
                    <w:tl2br w:val="nil"/>
                    <w:tr2bl w:val="nil"/>
                  </w:tcBorders>
                  <w:vAlign w:val="center"/>
                </w:tcPr>
                <w:p w14:paraId="3C0DFBE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p>
              </w:tc>
              <w:tc>
                <w:tcPr>
                  <w:tcW w:w="319" w:type="pct"/>
                  <w:tcBorders>
                    <w:tl2br w:val="nil"/>
                    <w:tr2bl w:val="nil"/>
                  </w:tcBorders>
                  <w:vAlign w:val="center"/>
                </w:tcPr>
                <w:p w14:paraId="725E5E9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3004" w:type="pct"/>
                  <w:tcBorders>
                    <w:tl2br w:val="nil"/>
                    <w:tr2bl w:val="nil"/>
                  </w:tcBorders>
                  <w:vAlign w:val="center"/>
                </w:tcPr>
                <w:p w14:paraId="1A20D56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165" w:type="pct"/>
                  <w:tcBorders>
                    <w:tl2br w:val="nil"/>
                    <w:tr2bl w:val="nil"/>
                  </w:tcBorders>
                  <w:vAlign w:val="center"/>
                </w:tcPr>
                <w:p w14:paraId="5104A64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属于</w:t>
                  </w:r>
                  <w:r>
                    <w:rPr>
                      <w:rFonts w:hint="default" w:ascii="Times New Roman" w:hAnsi="Times New Roman" w:cs="Times New Roman"/>
                      <w:color w:val="auto"/>
                      <w:sz w:val="21"/>
                      <w:szCs w:val="21"/>
                      <w:highlight w:val="none"/>
                      <w:lang w:val="en-US" w:eastAsia="zh-CN"/>
                    </w:rPr>
                    <w:t>非金属矿物制品</w:t>
                  </w:r>
                  <w:r>
                    <w:rPr>
                      <w:rFonts w:hint="default" w:ascii="Times New Roman" w:hAnsi="Times New Roman" w:cs="Times New Roman"/>
                      <w:color w:val="auto"/>
                      <w:sz w:val="21"/>
                      <w:szCs w:val="21"/>
                      <w:highlight w:val="none"/>
                    </w:rPr>
                    <w:t>行业，不属于电力、建材、冶炼等重点耗能行业，不涉及水电、风电、矿产资源开发。项目使用</w:t>
                  </w:r>
                  <w:r>
                    <w:rPr>
                      <w:rFonts w:hint="default" w:ascii="Times New Roman" w:hAnsi="Times New Roman" w:cs="Times New Roman"/>
                      <w:color w:val="auto"/>
                      <w:sz w:val="21"/>
                      <w:szCs w:val="21"/>
                      <w:highlight w:val="none"/>
                      <w:lang w:val="en-US" w:eastAsia="zh-CN"/>
                    </w:rPr>
                    <w:t>的</w:t>
                  </w:r>
                  <w:r>
                    <w:rPr>
                      <w:rFonts w:hint="default" w:ascii="Times New Roman" w:hAnsi="Times New Roman" w:cs="Times New Roman"/>
                      <w:color w:val="auto"/>
                      <w:sz w:val="21"/>
                      <w:szCs w:val="21"/>
                      <w:highlight w:val="none"/>
                    </w:rPr>
                    <w:t>天然气属于清洁能源。</w:t>
                  </w:r>
                </w:p>
              </w:tc>
              <w:tc>
                <w:tcPr>
                  <w:tcW w:w="316" w:type="pct"/>
                  <w:tcBorders>
                    <w:tl2br w:val="nil"/>
                    <w:tr2bl w:val="nil"/>
                  </w:tcBorders>
                  <w:vAlign w:val="center"/>
                </w:tcPr>
                <w:p w14:paraId="11DC7E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0096E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93" w:type="pct"/>
                  <w:vMerge w:val="continue"/>
                  <w:tcBorders>
                    <w:tl2br w:val="nil"/>
                    <w:tr2bl w:val="nil"/>
                  </w:tcBorders>
                  <w:vAlign w:val="center"/>
                </w:tcPr>
                <w:p w14:paraId="7207B0F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p>
              </w:tc>
              <w:tc>
                <w:tcPr>
                  <w:tcW w:w="319" w:type="pct"/>
                  <w:tcBorders>
                    <w:tl2br w:val="nil"/>
                    <w:tr2bl w:val="nil"/>
                  </w:tcBorders>
                  <w:vAlign w:val="center"/>
                </w:tcPr>
                <w:p w14:paraId="793CE60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污染物排放管控</w:t>
                  </w:r>
                </w:p>
              </w:tc>
              <w:tc>
                <w:tcPr>
                  <w:tcW w:w="3004" w:type="pct"/>
                  <w:tcBorders>
                    <w:tl2br w:val="nil"/>
                    <w:tr2bl w:val="nil"/>
                  </w:tcBorders>
                  <w:vAlign w:val="center"/>
                </w:tcPr>
                <w:p w14:paraId="3DEFB6F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78369EB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56C8A7A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3ED7C0F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165" w:type="pct"/>
                  <w:tcBorders>
                    <w:tl2br w:val="nil"/>
                    <w:tr2bl w:val="nil"/>
                  </w:tcBorders>
                  <w:vAlign w:val="center"/>
                </w:tcPr>
                <w:p w14:paraId="1E5108E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w:t>
                  </w:r>
                  <w:r>
                    <w:rPr>
                      <w:rFonts w:hint="default" w:ascii="Times New Roman" w:hAnsi="Times New Roman" w:cs="Times New Roman"/>
                      <w:color w:val="auto"/>
                      <w:sz w:val="21"/>
                      <w:szCs w:val="21"/>
                      <w:highlight w:val="none"/>
                      <w:lang w:val="en-US" w:eastAsia="zh-CN"/>
                    </w:rPr>
                    <w:t>非金属矿物制品</w:t>
                  </w:r>
                  <w:r>
                    <w:rPr>
                      <w:rFonts w:hint="default" w:ascii="Times New Roman" w:hAnsi="Times New Roman" w:cs="Times New Roman"/>
                      <w:color w:val="auto"/>
                      <w:sz w:val="21"/>
                      <w:szCs w:val="21"/>
                      <w:highlight w:val="none"/>
                    </w:rPr>
                    <w:t>业，不属于造纸、焦化、有色金属、印染、农副食品加工、原料药制造、制革、农药、电镀等行业，不属于“两高”项目。</w:t>
                  </w:r>
                  <w:r>
                    <w:rPr>
                      <w:rFonts w:hint="default" w:ascii="Times New Roman" w:hAnsi="Times New Roman" w:cs="Times New Roman"/>
                      <w:color w:val="auto"/>
                      <w:sz w:val="21"/>
                      <w:szCs w:val="21"/>
                      <w:highlight w:val="none"/>
                      <w:lang w:val="en-US" w:eastAsia="zh-CN"/>
                    </w:rPr>
                    <w:t>项目使用的</w:t>
                  </w:r>
                  <w:r>
                    <w:rPr>
                      <w:rFonts w:hint="default" w:ascii="Times New Roman" w:hAnsi="Times New Roman" w:cs="Times New Roman"/>
                      <w:color w:val="auto"/>
                      <w:sz w:val="21"/>
                      <w:szCs w:val="21"/>
                      <w:highlight w:val="none"/>
                    </w:rPr>
                    <w:t>VOCs</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氮氧化物实行总量控制。项目所在地不涉及饮用水水源保护区；生活污水经三级化粪池处理后排入园区污水处理厂，园区污水处理厂执行《城镇污水处理厂污染物排放标准》(GB18918-2002)中一级B标准和广东省《水污染物排放限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（DB44/26-2001）中的第二时段一级排放标准中严者，</w:t>
                  </w:r>
                  <w:r>
                    <w:rPr>
                      <w:rFonts w:hint="default" w:ascii="Times New Roman" w:hAnsi="Times New Roman" w:cs="Times New Roman"/>
                      <w:color w:val="auto"/>
                      <w:sz w:val="21"/>
                      <w:szCs w:val="21"/>
                      <w:highlight w:val="none"/>
                      <w:lang w:val="en-US" w:eastAsia="zh-CN"/>
                    </w:rPr>
                    <w:t>处理</w:t>
                  </w:r>
                  <w:r>
                    <w:rPr>
                      <w:rFonts w:hint="default" w:ascii="Times New Roman" w:hAnsi="Times New Roman" w:cs="Times New Roman"/>
                      <w:color w:val="auto"/>
                      <w:sz w:val="21"/>
                      <w:szCs w:val="21"/>
                      <w:highlight w:val="none"/>
                    </w:rPr>
                    <w:t>达标后通过出水管道输送</w:t>
                  </w:r>
                  <w:r>
                    <w:rPr>
                      <w:rFonts w:hint="default" w:ascii="Times New Roman" w:hAnsi="Times New Roman" w:cs="Times New Roman"/>
                      <w:color w:val="auto"/>
                      <w:sz w:val="21"/>
                      <w:szCs w:val="21"/>
                      <w:highlight w:val="none"/>
                      <w:lang w:val="en-US" w:eastAsia="zh-CN"/>
                    </w:rPr>
                    <w:t>尾水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经</w:t>
                  </w:r>
                  <w:r>
                    <w:rPr>
                      <w:rFonts w:hint="default" w:ascii="Times New Roman" w:hAnsi="Times New Roman" w:cs="Times New Roman"/>
                      <w:color w:val="auto"/>
                      <w:sz w:val="21"/>
                      <w:szCs w:val="21"/>
                      <w:highlight w:val="none"/>
                    </w:rPr>
                    <w:t>废水排放口</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WS-LC005001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排放至</w:t>
                  </w:r>
                  <w:r>
                    <w:rPr>
                      <w:rFonts w:hint="default" w:ascii="Times New Roman" w:hAnsi="Times New Roman" w:cs="Times New Roman"/>
                      <w:color w:val="auto"/>
                      <w:sz w:val="21"/>
                      <w:szCs w:val="21"/>
                      <w:highlight w:val="none"/>
                    </w:rPr>
                    <w:t>榴村霜降坑河</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最终</w:t>
                  </w:r>
                  <w:r>
                    <w:rPr>
                      <w:rFonts w:hint="default" w:ascii="Times New Roman" w:hAnsi="Times New Roman" w:cs="Times New Roman"/>
                      <w:color w:val="auto"/>
                      <w:sz w:val="21"/>
                      <w:szCs w:val="21"/>
                      <w:highlight w:val="none"/>
                    </w:rPr>
                    <w:t>流入武江。</w:t>
                  </w:r>
                </w:p>
              </w:tc>
              <w:tc>
                <w:tcPr>
                  <w:tcW w:w="316" w:type="pct"/>
                  <w:tcBorders>
                    <w:tl2br w:val="nil"/>
                    <w:tr2bl w:val="nil"/>
                  </w:tcBorders>
                  <w:vAlign w:val="center"/>
                </w:tcPr>
                <w:p w14:paraId="5FFE870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004C6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93" w:type="pct"/>
                  <w:vMerge w:val="continue"/>
                  <w:tcBorders>
                    <w:tl2br w:val="nil"/>
                    <w:tr2bl w:val="nil"/>
                  </w:tcBorders>
                  <w:vAlign w:val="center"/>
                </w:tcPr>
                <w:p w14:paraId="016E2B2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319" w:type="pct"/>
                  <w:tcBorders>
                    <w:tl2br w:val="nil"/>
                    <w:tr2bl w:val="nil"/>
                  </w:tcBorders>
                  <w:vAlign w:val="center"/>
                </w:tcPr>
                <w:p w14:paraId="4366016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环境风险管控</w:t>
                  </w:r>
                </w:p>
              </w:tc>
              <w:tc>
                <w:tcPr>
                  <w:tcW w:w="3004" w:type="pct"/>
                  <w:tcBorders>
                    <w:tl2br w:val="nil"/>
                    <w:tr2bl w:val="nil"/>
                  </w:tcBorders>
                  <w:vAlign w:val="center"/>
                </w:tcPr>
                <w:p w14:paraId="15C32CE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165" w:type="pct"/>
                  <w:tcBorders>
                    <w:tl2br w:val="nil"/>
                    <w:tr2bl w:val="nil"/>
                  </w:tcBorders>
                  <w:vAlign w:val="center"/>
                </w:tcPr>
                <w:p w14:paraId="2DF61CF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本项目不涉及石油加工、化学原料和化学制品制造、有色金属冶炼、纺织印染行业，不涉及饮用水水源地，本项目</w:t>
                  </w:r>
                  <w:r>
                    <w:rPr>
                      <w:rFonts w:hint="default" w:ascii="Times New Roman" w:hAnsi="Times New Roman" w:cs="Times New Roman"/>
                      <w:color w:val="auto"/>
                      <w:sz w:val="21"/>
                      <w:szCs w:val="21"/>
                      <w:highlight w:val="none"/>
                      <w:lang w:val="en-US" w:eastAsia="zh-CN"/>
                    </w:rPr>
                    <w:t>应</w:t>
                  </w:r>
                  <w:r>
                    <w:rPr>
                      <w:rFonts w:hint="default" w:ascii="Times New Roman" w:hAnsi="Times New Roman" w:cs="Times New Roman"/>
                      <w:color w:val="auto"/>
                      <w:sz w:val="21"/>
                      <w:szCs w:val="21"/>
                      <w:highlight w:val="none"/>
                    </w:rPr>
                    <w:t>制定有效的事故风险防范和应急措施，为防范污染事故发生，并避免发生事故对周围环境造成污染，确保环境安全。项目符合环境风险防控要求。</w:t>
                  </w:r>
                </w:p>
              </w:tc>
              <w:tc>
                <w:tcPr>
                  <w:tcW w:w="316" w:type="pct"/>
                  <w:tcBorders>
                    <w:tl2br w:val="nil"/>
                    <w:tr2bl w:val="nil"/>
                  </w:tcBorders>
                  <w:vAlign w:val="center"/>
                </w:tcPr>
                <w:p w14:paraId="4B8674F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33B7F6F2">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w:t>
            </w:r>
            <w:r>
              <w:rPr>
                <w:rFonts w:hint="default" w:ascii="Times New Roman" w:hAnsi="Times New Roman" w:cs="Times New Roman"/>
                <w:color w:val="auto"/>
                <w:highlight w:val="none"/>
                <w:lang w:val="en-US" w:eastAsia="zh-CN"/>
              </w:rPr>
              <w:t>韶关市乐昌市乐昌产业转移工业园GL-01-15-02地块</w:t>
            </w:r>
            <w:r>
              <w:rPr>
                <w:rFonts w:hint="default" w:ascii="Times New Roman" w:hAnsi="Times New Roman" w:eastAsia="宋体" w:cs="Times New Roman"/>
                <w:color w:val="auto"/>
                <w:highlight w:val="none"/>
                <w:lang w:val="en-US" w:eastAsia="zh-CN"/>
              </w:rPr>
              <w:t>，根据广东省“三线一单”应用平台的查询结果，涉及5个单元，根据单元准入要求分析，总计发现需关注的准入要求16条，其他准入要求22条。其中：</w:t>
            </w:r>
          </w:p>
          <w:p w14:paraId="1A24DBEF">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（1）本项目陆域环境管控单元为ZH44028120003(乐昌经济开发区重点管控单元)（见附图</w:t>
            </w:r>
            <w:r>
              <w:rPr>
                <w:rFonts w:hint="default" w:ascii="Times New Roman" w:hAnsi="Times New Roman" w:cs="Times New Roman"/>
                <w:b w:val="0"/>
                <w:bCs w:val="0"/>
                <w:color w:val="auto"/>
                <w:kern w:val="0"/>
                <w:sz w:val="24"/>
                <w:szCs w:val="24"/>
                <w:highlight w:val="none"/>
                <w:lang w:val="en-US" w:eastAsia="zh-CN" w:bidi="ar"/>
              </w:rPr>
              <w:t>15</w:t>
            </w:r>
            <w:r>
              <w:rPr>
                <w:rFonts w:hint="default" w:ascii="Times New Roman" w:hAnsi="Times New Roman" w:eastAsia="宋体" w:cs="Times New Roman"/>
                <w:b w:val="0"/>
                <w:bCs w:val="0"/>
                <w:color w:val="auto"/>
                <w:kern w:val="0"/>
                <w:sz w:val="24"/>
                <w:szCs w:val="24"/>
                <w:highlight w:val="none"/>
                <w:lang w:val="en-US" w:eastAsia="zh-CN" w:bidi="ar"/>
              </w:rPr>
              <w:t>-1）。</w:t>
            </w:r>
          </w:p>
          <w:p w14:paraId="40F5FF30">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（2）本项目生态空间分区为YS4402813110001(乐昌市生态空间一般管控区)（见附图</w:t>
            </w:r>
            <w:r>
              <w:rPr>
                <w:rFonts w:hint="default" w:ascii="Times New Roman" w:hAnsi="Times New Roman" w:cs="Times New Roman"/>
                <w:b w:val="0"/>
                <w:bCs w:val="0"/>
                <w:color w:val="auto"/>
                <w:kern w:val="0"/>
                <w:sz w:val="24"/>
                <w:szCs w:val="24"/>
                <w:highlight w:val="none"/>
                <w:lang w:val="en-US" w:eastAsia="zh-CN" w:bidi="ar"/>
              </w:rPr>
              <w:t>15</w:t>
            </w:r>
            <w:r>
              <w:rPr>
                <w:rFonts w:hint="default" w:ascii="Times New Roman" w:hAnsi="Times New Roman" w:eastAsia="宋体" w:cs="Times New Roman"/>
                <w:b w:val="0"/>
                <w:bCs w:val="0"/>
                <w:color w:val="auto"/>
                <w:kern w:val="0"/>
                <w:sz w:val="24"/>
                <w:szCs w:val="24"/>
                <w:highlight w:val="none"/>
                <w:lang w:val="en-US" w:eastAsia="zh-CN" w:bidi="ar"/>
              </w:rPr>
              <w:t>-2）。</w:t>
            </w:r>
          </w:p>
          <w:p w14:paraId="6296CE56">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（3）本项目</w:t>
            </w:r>
            <w:r>
              <w:rPr>
                <w:rFonts w:hint="default" w:ascii="Times New Roman" w:hAnsi="Times New Roman" w:cs="Times New Roman"/>
                <w:b w:val="0"/>
                <w:bCs w:val="0"/>
                <w:color w:val="auto"/>
                <w:highlight w:val="none"/>
                <w:lang w:val="en-US" w:eastAsia="zh-CN"/>
              </w:rPr>
              <w:t>水环境管控分区为YS4402813210014(武水韶关市长来-廊田镇控制单元)</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default" w:ascii="Times New Roman" w:hAnsi="Times New Roman" w:cs="Times New Roman"/>
                <w:b w:val="0"/>
                <w:bCs w:val="0"/>
                <w:color w:val="auto"/>
                <w:kern w:val="0"/>
                <w:sz w:val="24"/>
                <w:szCs w:val="24"/>
                <w:highlight w:val="none"/>
                <w:lang w:val="en-US" w:eastAsia="zh-CN" w:bidi="ar"/>
              </w:rPr>
              <w:t>15</w:t>
            </w:r>
            <w:r>
              <w:rPr>
                <w:rFonts w:hint="default" w:ascii="Times New Roman" w:hAnsi="Times New Roman" w:eastAsia="宋体" w:cs="Times New Roman"/>
                <w:b w:val="0"/>
                <w:bCs w:val="0"/>
                <w:color w:val="auto"/>
                <w:kern w:val="0"/>
                <w:sz w:val="24"/>
                <w:szCs w:val="24"/>
                <w:highlight w:val="none"/>
                <w:lang w:val="en-US" w:eastAsia="zh-CN" w:bidi="ar"/>
              </w:rPr>
              <w:t>-3）。</w:t>
            </w:r>
          </w:p>
          <w:p w14:paraId="244EF526">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（4）本项目</w:t>
            </w:r>
            <w:r>
              <w:rPr>
                <w:rFonts w:hint="default" w:ascii="Times New Roman" w:hAnsi="Times New Roman" w:cs="Times New Roman"/>
                <w:b w:val="0"/>
                <w:bCs w:val="0"/>
                <w:color w:val="auto"/>
                <w:highlight w:val="none"/>
                <w:lang w:val="en-US" w:eastAsia="zh-CN"/>
              </w:rPr>
              <w:t>大气环境管控分区为YS4402812310002(大气环境高排放重点管控区）</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default" w:ascii="Times New Roman" w:hAnsi="Times New Roman" w:cs="Times New Roman"/>
                <w:b w:val="0"/>
                <w:bCs w:val="0"/>
                <w:color w:val="auto"/>
                <w:kern w:val="0"/>
                <w:sz w:val="24"/>
                <w:szCs w:val="24"/>
                <w:highlight w:val="none"/>
                <w:lang w:val="en-US" w:eastAsia="zh-CN" w:bidi="ar"/>
              </w:rPr>
              <w:t>15</w:t>
            </w:r>
            <w:r>
              <w:rPr>
                <w:rFonts w:hint="default" w:ascii="Times New Roman" w:hAnsi="Times New Roman" w:eastAsia="宋体" w:cs="Times New Roman"/>
                <w:b w:val="0"/>
                <w:bCs w:val="0"/>
                <w:color w:val="auto"/>
                <w:kern w:val="0"/>
                <w:sz w:val="24"/>
                <w:szCs w:val="24"/>
                <w:highlight w:val="none"/>
                <w:lang w:val="en-US" w:eastAsia="zh-CN" w:bidi="ar"/>
              </w:rPr>
              <w:t>-4）。</w:t>
            </w:r>
          </w:p>
          <w:p w14:paraId="570E4488">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（5）本项目</w:t>
            </w:r>
            <w:r>
              <w:rPr>
                <w:rFonts w:hint="default" w:ascii="Times New Roman" w:hAnsi="Times New Roman" w:cs="Times New Roman"/>
                <w:b w:val="0"/>
                <w:bCs w:val="0"/>
                <w:color w:val="auto"/>
                <w:highlight w:val="none"/>
                <w:lang w:val="en-US" w:eastAsia="zh-CN"/>
              </w:rPr>
              <w:t>自然资源管控分区为YS4402812540001(乐昌市高污染燃料禁燃区)</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default" w:ascii="Times New Roman" w:hAnsi="Times New Roman" w:cs="Times New Roman"/>
                <w:b w:val="0"/>
                <w:bCs w:val="0"/>
                <w:color w:val="auto"/>
                <w:kern w:val="0"/>
                <w:sz w:val="24"/>
                <w:szCs w:val="24"/>
                <w:highlight w:val="none"/>
                <w:lang w:val="en-US" w:eastAsia="zh-CN" w:bidi="ar"/>
              </w:rPr>
              <w:t>15</w:t>
            </w:r>
            <w:r>
              <w:rPr>
                <w:rFonts w:hint="default" w:ascii="Times New Roman" w:hAnsi="Times New Roman" w:eastAsia="宋体" w:cs="Times New Roman"/>
                <w:b w:val="0"/>
                <w:bCs w:val="0"/>
                <w:color w:val="auto"/>
                <w:kern w:val="0"/>
                <w:sz w:val="24"/>
                <w:szCs w:val="24"/>
                <w:highlight w:val="none"/>
                <w:lang w:val="en-US" w:eastAsia="zh-CN" w:bidi="ar"/>
              </w:rPr>
              <w:t>-5）。</w:t>
            </w:r>
          </w:p>
          <w:p w14:paraId="016A7A35">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其具体管控要求相符性分析详见下表。</w:t>
            </w:r>
          </w:p>
          <w:p w14:paraId="3D7FCA0A">
            <w:pPr>
              <w:pStyle w:val="101"/>
              <w:keepNext w:val="0"/>
              <w:keepLines w:val="0"/>
              <w:pageBreakBefore w:val="0"/>
              <w:suppressLineNumbers w:val="0"/>
              <w:wordWrap w:val="0"/>
              <w:bidi w:val="0"/>
              <w:spacing w:before="0" w:beforeAutospacing="0" w:after="0" w:afterAutospacing="0"/>
              <w:ind w:left="0" w:leftChars="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与</w:t>
            </w:r>
            <w:r>
              <w:rPr>
                <w:rFonts w:hint="default" w:ascii="Times New Roman" w:hAnsi="Times New Roman" w:cs="Times New Roman"/>
                <w:b/>
                <w:bCs/>
                <w:color w:val="auto"/>
                <w:sz w:val="21"/>
                <w:szCs w:val="21"/>
                <w:highlight w:val="none"/>
              </w:rPr>
              <w:t>生态环境准入清单</w:t>
            </w:r>
            <w:r>
              <w:rPr>
                <w:rFonts w:hint="default" w:ascii="Times New Roman" w:hAnsi="Times New Roman" w:cs="Times New Roman"/>
                <w:color w:val="auto"/>
                <w:sz w:val="21"/>
                <w:szCs w:val="21"/>
                <w:highlight w:val="none"/>
                <w:lang w:val="en-US" w:eastAsia="zh-CN"/>
              </w:rPr>
              <w:t>相符性分析</w:t>
            </w:r>
          </w:p>
          <w:tbl>
            <w:tblPr>
              <w:tblStyle w:val="37"/>
              <w:tblW w:w="13518"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922"/>
              <w:gridCol w:w="1052"/>
              <w:gridCol w:w="6467"/>
              <w:gridCol w:w="3517"/>
              <w:gridCol w:w="54"/>
              <w:gridCol w:w="41"/>
              <w:gridCol w:w="965"/>
            </w:tblGrid>
            <w:tr w14:paraId="3626B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8"/>
                  <w:tcBorders>
                    <w:tl2br w:val="nil"/>
                    <w:tr2bl w:val="nil"/>
                  </w:tcBorders>
                  <w:vAlign w:val="center"/>
                </w:tcPr>
                <w:p w14:paraId="7BC8D62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与</w:t>
                  </w:r>
                  <w:r>
                    <w:rPr>
                      <w:rFonts w:hint="default" w:ascii="Times New Roman" w:hAnsi="Times New Roman" w:cs="Times New Roman"/>
                      <w:b/>
                      <w:bCs/>
                      <w:color w:val="auto"/>
                      <w:kern w:val="0"/>
                      <w:sz w:val="21"/>
                      <w:szCs w:val="21"/>
                      <w:highlight w:val="none"/>
                      <w:lang w:val="en-US" w:eastAsia="zh-CN"/>
                    </w:rPr>
                    <w:t>乐昌经济开发区重点管控单元（ZH44028120003）要求相符性分析</w:t>
                  </w:r>
                </w:p>
              </w:tc>
            </w:tr>
            <w:tr w14:paraId="4A6BD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85" w:type="pct"/>
                  <w:vMerge w:val="restart"/>
                  <w:tcBorders>
                    <w:tl2br w:val="nil"/>
                    <w:tr2bl w:val="nil"/>
                  </w:tcBorders>
                  <w:vAlign w:val="center"/>
                </w:tcPr>
                <w:p w14:paraId="5C4C762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生态环境准入清单</w:t>
                  </w:r>
                </w:p>
              </w:tc>
              <w:tc>
                <w:tcPr>
                  <w:tcW w:w="341" w:type="pct"/>
                  <w:tcBorders>
                    <w:tl2br w:val="nil"/>
                    <w:tr2bl w:val="nil"/>
                  </w:tcBorders>
                  <w:vAlign w:val="center"/>
                </w:tcPr>
                <w:p w14:paraId="469843D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区域布局管控</w:t>
                  </w:r>
                </w:p>
              </w:tc>
              <w:tc>
                <w:tcPr>
                  <w:tcW w:w="2781" w:type="pct"/>
                  <w:gridSpan w:val="2"/>
                  <w:tcBorders>
                    <w:tl2br w:val="nil"/>
                    <w:tr2bl w:val="nil"/>
                  </w:tcBorders>
                  <w:vAlign w:val="center"/>
                </w:tcPr>
                <w:p w14:paraId="25432C8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1-1.【产业/鼓励引导类】重点发展现代轻工产业（消费电子等）、先进装备制造业等产业，优先引进无污染物或轻污染项目。</w:t>
                  </w:r>
                </w:p>
                <w:p w14:paraId="1654651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1-2.【产业/禁止类】园区禁止引入专业电镀、化学制浆、鞣革等水污染物排放量大或排放一类污染物、持久性有机污染物的项目。</w:t>
                  </w:r>
                </w:p>
                <w:p w14:paraId="2DC3009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1-3.【产业/限制类】严格限制不符合园区发展定位的项目入驻。</w:t>
                  </w:r>
                </w:p>
                <w:p w14:paraId="2D38351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1-4.【产业/综合类】居民区、学校等环境敏感点邻近地块优先布局废气排放量小、工业噪声影响小的产业。</w:t>
                  </w:r>
                </w:p>
              </w:tc>
              <w:tc>
                <w:tcPr>
                  <w:tcW w:w="1321" w:type="pct"/>
                  <w:gridSpan w:val="2"/>
                  <w:tcBorders>
                    <w:tl2br w:val="nil"/>
                    <w:tr2bl w:val="nil"/>
                  </w:tcBorders>
                  <w:vAlign w:val="center"/>
                </w:tcPr>
                <w:p w14:paraId="04D77FA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w:t>
                  </w:r>
                  <w:r>
                    <w:rPr>
                      <w:rFonts w:hint="default" w:ascii="Times New Roman" w:hAnsi="Times New Roman" w:cs="Times New Roman"/>
                      <w:color w:val="auto"/>
                      <w:sz w:val="21"/>
                      <w:szCs w:val="21"/>
                      <w:highlight w:val="none"/>
                      <w:lang w:val="en-US" w:eastAsia="zh-CN"/>
                    </w:rPr>
                    <w:t>非金属矿物制品业</w:t>
                  </w:r>
                  <w:r>
                    <w:rPr>
                      <w:rFonts w:hint="default" w:ascii="Times New Roman" w:hAnsi="Times New Roman" w:cs="Times New Roman"/>
                      <w:color w:val="auto"/>
                      <w:sz w:val="21"/>
                      <w:szCs w:val="21"/>
                      <w:highlight w:val="none"/>
                    </w:rPr>
                    <w:t>，不属于专业电镀、化学制浆、鞣革等水污染物排放量大或排放一类污染物、持久性有机污染物的项目；项目符合园区发展定位；</w:t>
                  </w:r>
                  <w:r>
                    <w:rPr>
                      <w:rFonts w:hint="default" w:ascii="Times New Roman" w:hAnsi="Times New Roman" w:cs="Times New Roman"/>
                      <w:color w:val="auto"/>
                      <w:sz w:val="21"/>
                      <w:szCs w:val="21"/>
                      <w:highlight w:val="none"/>
                      <w:lang w:val="en-US" w:eastAsia="zh-CN"/>
                    </w:rPr>
                    <w:t>本项目废气排放量较小，项目建设位置500m范围内无环境敏感点，符合布局要求</w:t>
                  </w:r>
                  <w:r>
                    <w:rPr>
                      <w:rFonts w:hint="default" w:ascii="Times New Roman" w:hAnsi="Times New Roman" w:cs="Times New Roman"/>
                      <w:color w:val="auto"/>
                      <w:sz w:val="21"/>
                      <w:szCs w:val="21"/>
                      <w:highlight w:val="none"/>
                    </w:rPr>
                    <w:t>。</w:t>
                  </w:r>
                </w:p>
              </w:tc>
              <w:tc>
                <w:tcPr>
                  <w:tcW w:w="370" w:type="pct"/>
                  <w:gridSpan w:val="2"/>
                  <w:tcBorders>
                    <w:tl2br w:val="nil"/>
                    <w:tr2bl w:val="nil"/>
                  </w:tcBorders>
                  <w:vAlign w:val="center"/>
                </w:tcPr>
                <w:p w14:paraId="36F4845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2D6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trPr>
              <w:tc>
                <w:tcPr>
                  <w:tcW w:w="185" w:type="pct"/>
                  <w:vMerge w:val="continue"/>
                  <w:tcBorders>
                    <w:tl2br w:val="nil"/>
                    <w:tr2bl w:val="nil"/>
                  </w:tcBorders>
                  <w:vAlign w:val="center"/>
                </w:tcPr>
                <w:p w14:paraId="2B8EA3E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341" w:type="pct"/>
                  <w:tcBorders>
                    <w:tl2br w:val="nil"/>
                    <w:tr2bl w:val="nil"/>
                  </w:tcBorders>
                  <w:vAlign w:val="center"/>
                </w:tcPr>
                <w:p w14:paraId="270082E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781" w:type="pct"/>
                  <w:gridSpan w:val="2"/>
                  <w:tcBorders>
                    <w:tl2br w:val="nil"/>
                    <w:tr2bl w:val="nil"/>
                  </w:tcBorders>
                  <w:vAlign w:val="center"/>
                </w:tcPr>
                <w:p w14:paraId="6E10AC5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2-1.【能源/鼓励引导类】园区内能源结构应以电能、燃气等清洁能源为主。</w:t>
                  </w:r>
                </w:p>
                <w:p w14:paraId="1BC239C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2-2.【水资源/综合类】提高园区水资源利用效率，加快中水回用系统建设。</w:t>
                  </w:r>
                </w:p>
                <w:p w14:paraId="1B5D366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2-3.【其他/综合类】有行业清洁生产标准的新引进项目清洁生产水平须达到本行业国内先进水平。</w:t>
                  </w:r>
                </w:p>
              </w:tc>
              <w:tc>
                <w:tcPr>
                  <w:tcW w:w="1321" w:type="pct"/>
                  <w:gridSpan w:val="2"/>
                  <w:tcBorders>
                    <w:tl2br w:val="nil"/>
                    <w:tr2bl w:val="nil"/>
                  </w:tcBorders>
                  <w:vAlign w:val="center"/>
                </w:tcPr>
                <w:p w14:paraId="35D5617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项目以主要电能、天然气作为生产能源，属于清洁能源；项目</w:t>
                  </w:r>
                  <w:r>
                    <w:rPr>
                      <w:rFonts w:hint="default" w:ascii="Times New Roman" w:hAnsi="Times New Roman"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rPr>
                    <w:t>经自建</w:t>
                  </w:r>
                  <w:r>
                    <w:rPr>
                      <w:rFonts w:hint="default" w:ascii="Times New Roman" w:hAnsi="Times New Roman" w:cs="Times New Roman"/>
                      <w:color w:val="auto"/>
                      <w:sz w:val="21"/>
                      <w:szCs w:val="21"/>
                      <w:highlight w:val="none"/>
                      <w:lang w:val="en-US" w:eastAsia="zh-CN"/>
                    </w:rPr>
                    <w:t>三级化粪池预</w:t>
                  </w:r>
                  <w:r>
                    <w:rPr>
                      <w:rFonts w:hint="default" w:ascii="Times New Roman" w:hAnsi="Times New Roman" w:cs="Times New Roman"/>
                      <w:color w:val="auto"/>
                      <w:sz w:val="21"/>
                      <w:szCs w:val="21"/>
                      <w:highlight w:val="none"/>
                    </w:rPr>
                    <w:t>处理后排入园区污水处理厂</w:t>
                  </w:r>
                  <w:r>
                    <w:rPr>
                      <w:rFonts w:hint="default" w:ascii="Times New Roman" w:hAnsi="Times New Roman" w:cs="Times New Roman"/>
                      <w:color w:val="auto"/>
                      <w:sz w:val="21"/>
                      <w:szCs w:val="21"/>
                      <w:highlight w:val="none"/>
                      <w:lang w:val="en-US" w:eastAsia="zh-CN"/>
                    </w:rPr>
                    <w:t>深度处理</w:t>
                  </w:r>
                  <w:r>
                    <w:rPr>
                      <w:rFonts w:hint="default" w:ascii="Times New Roman" w:hAnsi="Times New Roman" w:cs="Times New Roman"/>
                      <w:color w:val="auto"/>
                      <w:sz w:val="21"/>
                      <w:szCs w:val="21"/>
                      <w:highlight w:val="none"/>
                    </w:rPr>
                    <w:t>。</w:t>
                  </w:r>
                </w:p>
              </w:tc>
              <w:tc>
                <w:tcPr>
                  <w:tcW w:w="370" w:type="pct"/>
                  <w:gridSpan w:val="2"/>
                  <w:tcBorders>
                    <w:tl2br w:val="nil"/>
                    <w:tr2bl w:val="nil"/>
                  </w:tcBorders>
                  <w:vAlign w:val="center"/>
                </w:tcPr>
                <w:p w14:paraId="13BF359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5D9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85" w:type="pct"/>
                  <w:vMerge w:val="continue"/>
                  <w:tcBorders>
                    <w:tl2br w:val="nil"/>
                    <w:tr2bl w:val="nil"/>
                  </w:tcBorders>
                  <w:vAlign w:val="center"/>
                </w:tcPr>
                <w:p w14:paraId="009A0D2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341" w:type="pct"/>
                  <w:tcBorders>
                    <w:tl2br w:val="nil"/>
                    <w:tr2bl w:val="nil"/>
                  </w:tcBorders>
                  <w:vAlign w:val="center"/>
                </w:tcPr>
                <w:p w14:paraId="7AC122B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781" w:type="pct"/>
                  <w:gridSpan w:val="2"/>
                  <w:tcBorders>
                    <w:tl2br w:val="nil"/>
                    <w:tr2bl w:val="nil"/>
                  </w:tcBorders>
                  <w:vAlign w:val="center"/>
                </w:tcPr>
                <w:p w14:paraId="36AA788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3-1.【水、大气/限制类】园区各项污染物排放总量不得突破园区规划环评核定的污染物排放总量管控要求。</w:t>
                  </w:r>
                </w:p>
                <w:p w14:paraId="723994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26FD8B0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3-4.【其它/鼓励引导类】支持危险废物专业收集转运和利用处置单位建设区域性收集网点和贮存设施。</w:t>
                  </w:r>
                </w:p>
              </w:tc>
              <w:tc>
                <w:tcPr>
                  <w:tcW w:w="1321" w:type="pct"/>
                  <w:gridSpan w:val="2"/>
                  <w:tcBorders>
                    <w:tl2br w:val="nil"/>
                    <w:tr2bl w:val="nil"/>
                  </w:tcBorders>
                  <w:vAlign w:val="center"/>
                </w:tcPr>
                <w:p w14:paraId="4F97A25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项目生产过程产生</w:t>
                  </w:r>
                  <w:r>
                    <w:rPr>
                      <w:rFonts w:hint="default" w:ascii="Times New Roman" w:hAnsi="Times New Roman" w:cs="Times New Roman"/>
                      <w:color w:val="auto"/>
                      <w:sz w:val="21"/>
                      <w:szCs w:val="21"/>
                      <w:highlight w:val="none"/>
                      <w:lang w:eastAsia="zh-CN"/>
                    </w:rPr>
                    <w:t>的</w:t>
                  </w:r>
                  <w:r>
                    <w:rPr>
                      <w:rFonts w:hint="default" w:ascii="Times New Roman" w:hAnsi="Times New Roman" w:cs="Times New Roman"/>
                      <w:color w:val="auto"/>
                      <w:sz w:val="21"/>
                      <w:szCs w:val="21"/>
                      <w:highlight w:val="none"/>
                      <w:lang w:val="en-US" w:eastAsia="zh-CN"/>
                    </w:rPr>
                    <w:t>VOCs、</w:t>
                  </w:r>
                  <w:r>
                    <w:rPr>
                      <w:rFonts w:hint="default" w:ascii="Times New Roman" w:hAnsi="Times New Roman" w:cs="Times New Roman"/>
                      <w:color w:val="auto"/>
                      <w:sz w:val="21"/>
                      <w:szCs w:val="21"/>
                      <w:highlight w:val="none"/>
                    </w:rPr>
                    <w:t>氮氧化物没有突破园区规划环评核定的污染物排放总量，需向韶关市生态环境局乐昌分局申请分配实行等量代替，项目不涉及重金属污染物，危险废物贮存在厂区危险废物暂存间，统一收集后交有资质的单位处理。</w:t>
                  </w:r>
                </w:p>
              </w:tc>
              <w:tc>
                <w:tcPr>
                  <w:tcW w:w="370" w:type="pct"/>
                  <w:gridSpan w:val="2"/>
                  <w:tcBorders>
                    <w:tl2br w:val="nil"/>
                    <w:tr2bl w:val="nil"/>
                  </w:tcBorders>
                  <w:vAlign w:val="center"/>
                </w:tcPr>
                <w:p w14:paraId="6DABE69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B6E0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85" w:type="pct"/>
                  <w:vMerge w:val="continue"/>
                  <w:tcBorders>
                    <w:tl2br w:val="nil"/>
                    <w:tr2bl w:val="nil"/>
                  </w:tcBorders>
                  <w:vAlign w:val="center"/>
                </w:tcPr>
                <w:p w14:paraId="628A805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cs="Times New Roman"/>
                      <w:color w:val="auto"/>
                      <w:sz w:val="21"/>
                      <w:szCs w:val="21"/>
                      <w:highlight w:val="none"/>
                    </w:rPr>
                  </w:pPr>
                </w:p>
              </w:tc>
              <w:tc>
                <w:tcPr>
                  <w:tcW w:w="341" w:type="pct"/>
                  <w:tcBorders>
                    <w:tl2br w:val="nil"/>
                    <w:tr2bl w:val="nil"/>
                  </w:tcBorders>
                  <w:vAlign w:val="center"/>
                </w:tcPr>
                <w:p w14:paraId="70A8135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781" w:type="pct"/>
                  <w:gridSpan w:val="2"/>
                  <w:tcBorders>
                    <w:tl2br w:val="nil"/>
                    <w:tr2bl w:val="nil"/>
                  </w:tcBorders>
                  <w:vAlign w:val="center"/>
                </w:tcPr>
                <w:p w14:paraId="5B705B3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default" w:ascii="Times New Roman" w:hAnsi="Times New Roman" w:cs="Times New Roman"/>
                      <w:color w:val="auto"/>
                      <w:sz w:val="21"/>
                      <w:szCs w:val="21"/>
                      <w:highlight w:val="none"/>
                      <w:lang w:eastAsia="zh-CN"/>
                    </w:rPr>
                    <w:t>水</w:t>
                  </w:r>
                  <w:r>
                    <w:rPr>
                      <w:rFonts w:hint="default" w:ascii="Times New Roman" w:hAnsi="Times New Roman" w:cs="Times New Roman"/>
                      <w:color w:val="auto"/>
                      <w:sz w:val="21"/>
                      <w:szCs w:val="21"/>
                      <w:highlight w:val="none"/>
                    </w:rPr>
                    <w:t>处理厂设置足够容积的事故应急池，纳污水体设置水质监控断面，发现问题，及时采取限制废水排放等措施。</w:t>
                  </w:r>
                </w:p>
              </w:tc>
              <w:tc>
                <w:tcPr>
                  <w:tcW w:w="1321" w:type="pct"/>
                  <w:gridSpan w:val="2"/>
                  <w:tcBorders>
                    <w:tl2br w:val="nil"/>
                    <w:tr2bl w:val="nil"/>
                  </w:tcBorders>
                  <w:vAlign w:val="center"/>
                </w:tcPr>
                <w:p w14:paraId="601BD7D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w:t>
                  </w:r>
                  <w:r>
                    <w:rPr>
                      <w:rFonts w:hint="default" w:ascii="Times New Roman" w:hAnsi="Times New Roman" w:cs="Times New Roman"/>
                      <w:color w:val="auto"/>
                      <w:sz w:val="21"/>
                      <w:szCs w:val="21"/>
                      <w:highlight w:val="none"/>
                      <w:lang w:eastAsia="zh-CN"/>
                    </w:rPr>
                    <w:t>乐昌产业转移工业园</w:t>
                  </w:r>
                  <w:r>
                    <w:rPr>
                      <w:rFonts w:hint="default" w:ascii="Times New Roman" w:hAnsi="Times New Roman" w:cs="Times New Roman"/>
                      <w:color w:val="auto"/>
                      <w:sz w:val="21"/>
                      <w:szCs w:val="21"/>
                      <w:highlight w:val="none"/>
                    </w:rPr>
                    <w:t>内，</w:t>
                  </w:r>
                  <w:r>
                    <w:rPr>
                      <w:rFonts w:hint="default" w:ascii="Times New Roman" w:hAnsi="Times New Roman" w:cs="Times New Roman"/>
                      <w:color w:val="auto"/>
                      <w:sz w:val="21"/>
                      <w:szCs w:val="21"/>
                      <w:highlight w:val="none"/>
                      <w:lang w:eastAsia="zh-CN"/>
                    </w:rPr>
                    <w:t>乐昌产业转移工业园</w:t>
                  </w:r>
                  <w:r>
                    <w:rPr>
                      <w:rFonts w:hint="default" w:ascii="Times New Roman" w:hAnsi="Times New Roman" w:cs="Times New Roman"/>
                      <w:color w:val="auto"/>
                      <w:sz w:val="21"/>
                      <w:szCs w:val="21"/>
                      <w:highlight w:val="none"/>
                    </w:rPr>
                    <w:t>已完善相关环保手续，并制定了事故风险防范和应急措施，能够满足项目环境风险防控的要求。</w:t>
                  </w:r>
                </w:p>
              </w:tc>
              <w:tc>
                <w:tcPr>
                  <w:tcW w:w="370" w:type="pct"/>
                  <w:gridSpan w:val="2"/>
                  <w:tcBorders>
                    <w:tl2br w:val="nil"/>
                    <w:tr2bl w:val="nil"/>
                  </w:tcBorders>
                  <w:vAlign w:val="center"/>
                </w:tcPr>
                <w:p w14:paraId="563619B9">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1632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D97FDB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环境管控单元编码</w:t>
                  </w:r>
                </w:p>
              </w:tc>
              <w:tc>
                <w:tcPr>
                  <w:tcW w:w="2392" w:type="pct"/>
                  <w:tcBorders>
                    <w:tl2br w:val="nil"/>
                    <w:tr2bl w:val="nil"/>
                  </w:tcBorders>
                  <w:vAlign w:val="center"/>
                </w:tcPr>
                <w:p w14:paraId="0B4CBD3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环境管控单元名称</w:t>
                  </w:r>
                </w:p>
              </w:tc>
              <w:tc>
                <w:tcPr>
                  <w:tcW w:w="1691" w:type="pct"/>
                  <w:gridSpan w:val="4"/>
                  <w:tcBorders>
                    <w:tl2br w:val="nil"/>
                    <w:tr2bl w:val="nil"/>
                  </w:tcBorders>
                  <w:vAlign w:val="center"/>
                </w:tcPr>
                <w:p w14:paraId="280BE6B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管控单元分类</w:t>
                  </w:r>
                </w:p>
              </w:tc>
            </w:tr>
            <w:tr w14:paraId="2C614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2FC52AE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bidi="ar"/>
                    </w:rPr>
                    <w:t>YS4402813110001</w:t>
                  </w:r>
                </w:p>
              </w:tc>
              <w:tc>
                <w:tcPr>
                  <w:tcW w:w="2392" w:type="pct"/>
                  <w:tcBorders>
                    <w:tl2br w:val="nil"/>
                    <w:tr2bl w:val="nil"/>
                  </w:tcBorders>
                  <w:vAlign w:val="center"/>
                </w:tcPr>
                <w:p w14:paraId="0A277D6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bidi="ar"/>
                    </w:rPr>
                    <w:t>乐昌市生态空间一般管控区</w:t>
                  </w:r>
                </w:p>
              </w:tc>
              <w:tc>
                <w:tcPr>
                  <w:tcW w:w="1691" w:type="pct"/>
                  <w:gridSpan w:val="4"/>
                  <w:tcBorders>
                    <w:tl2br w:val="nil"/>
                    <w:tr2bl w:val="nil"/>
                  </w:tcBorders>
                  <w:vAlign w:val="center"/>
                </w:tcPr>
                <w:p w14:paraId="08BA0DED">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生态空间一般管控区</w:t>
                  </w:r>
                </w:p>
              </w:tc>
            </w:tr>
            <w:tr w14:paraId="28BC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2091B9C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管控维度</w:t>
                  </w:r>
                </w:p>
              </w:tc>
              <w:tc>
                <w:tcPr>
                  <w:tcW w:w="2392" w:type="pct"/>
                  <w:tcBorders>
                    <w:tl2br w:val="nil"/>
                    <w:tr2bl w:val="nil"/>
                  </w:tcBorders>
                  <w:vAlign w:val="center"/>
                </w:tcPr>
                <w:p w14:paraId="604CE1C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管控要求</w:t>
                  </w:r>
                </w:p>
              </w:tc>
              <w:tc>
                <w:tcPr>
                  <w:tcW w:w="1301" w:type="pct"/>
                  <w:tcBorders>
                    <w:tl2br w:val="nil"/>
                    <w:tr2bl w:val="nil"/>
                  </w:tcBorders>
                  <w:vAlign w:val="center"/>
                </w:tcPr>
                <w:p w14:paraId="3FB6180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项目情况</w:t>
                  </w:r>
                </w:p>
              </w:tc>
              <w:tc>
                <w:tcPr>
                  <w:tcW w:w="390" w:type="pct"/>
                  <w:gridSpan w:val="3"/>
                  <w:tcBorders>
                    <w:tl2br w:val="nil"/>
                    <w:tr2bl w:val="nil"/>
                  </w:tcBorders>
                  <w:vAlign w:val="center"/>
                </w:tcPr>
                <w:p w14:paraId="0E29E5D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w:t>
                  </w:r>
                </w:p>
              </w:tc>
            </w:tr>
            <w:tr w14:paraId="7AB7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2EB444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区域布局管控</w:t>
                  </w:r>
                </w:p>
              </w:tc>
              <w:tc>
                <w:tcPr>
                  <w:tcW w:w="2392" w:type="pct"/>
                  <w:tcBorders>
                    <w:tl2br w:val="nil"/>
                    <w:tr2bl w:val="nil"/>
                  </w:tcBorders>
                  <w:vAlign w:val="center"/>
                </w:tcPr>
                <w:p w14:paraId="7120B089">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按国家和省统一要求管理。</w:t>
                  </w:r>
                </w:p>
              </w:tc>
              <w:tc>
                <w:tcPr>
                  <w:tcW w:w="1301" w:type="pct"/>
                  <w:tcBorders>
                    <w:tl2br w:val="nil"/>
                    <w:tr2bl w:val="nil"/>
                  </w:tcBorders>
                  <w:vAlign w:val="center"/>
                </w:tcPr>
                <w:p w14:paraId="5B9855F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项目不涉及自然生态用地，合理开发，符合城市规划</w:t>
                  </w:r>
                </w:p>
              </w:tc>
              <w:tc>
                <w:tcPr>
                  <w:tcW w:w="390" w:type="pct"/>
                  <w:gridSpan w:val="3"/>
                  <w:tcBorders>
                    <w:tl2br w:val="nil"/>
                    <w:tr2bl w:val="nil"/>
                  </w:tcBorders>
                  <w:vAlign w:val="center"/>
                </w:tcPr>
                <w:p w14:paraId="463A4C0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481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13E7D843">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环境管控单元编码</w:t>
                  </w:r>
                </w:p>
              </w:tc>
              <w:tc>
                <w:tcPr>
                  <w:tcW w:w="2392" w:type="pct"/>
                  <w:tcBorders>
                    <w:tl2br w:val="nil"/>
                    <w:tr2bl w:val="nil"/>
                  </w:tcBorders>
                  <w:vAlign w:val="center"/>
                </w:tcPr>
                <w:p w14:paraId="30D0F435">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环境管控单元名称</w:t>
                  </w:r>
                </w:p>
              </w:tc>
              <w:tc>
                <w:tcPr>
                  <w:tcW w:w="1691" w:type="pct"/>
                  <w:gridSpan w:val="4"/>
                  <w:tcBorders>
                    <w:tl2br w:val="nil"/>
                    <w:tr2bl w:val="nil"/>
                  </w:tcBorders>
                  <w:vAlign w:val="center"/>
                </w:tcPr>
                <w:p w14:paraId="0A2167D5">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管控单元分类</w:t>
                  </w:r>
                </w:p>
              </w:tc>
            </w:tr>
            <w:tr w14:paraId="50463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D857CE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YS4402813210014</w:t>
                  </w:r>
                </w:p>
              </w:tc>
              <w:tc>
                <w:tcPr>
                  <w:tcW w:w="2392" w:type="pct"/>
                  <w:tcBorders>
                    <w:tl2br w:val="nil"/>
                    <w:tr2bl w:val="nil"/>
                  </w:tcBorders>
                  <w:vAlign w:val="center"/>
                </w:tcPr>
                <w:p w14:paraId="6010C72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武水韶关市长来-廊田镇控制单元</w:t>
                  </w:r>
                </w:p>
              </w:tc>
              <w:tc>
                <w:tcPr>
                  <w:tcW w:w="1691" w:type="pct"/>
                  <w:gridSpan w:val="4"/>
                  <w:tcBorders>
                    <w:tl2br w:val="nil"/>
                    <w:tr2bl w:val="nil"/>
                  </w:tcBorders>
                  <w:vAlign w:val="center"/>
                </w:tcPr>
                <w:p w14:paraId="50AD5C99">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水环境一般管控区</w:t>
                  </w:r>
                </w:p>
              </w:tc>
            </w:tr>
            <w:tr w14:paraId="74745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DF80DE2">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管控维度</w:t>
                  </w:r>
                </w:p>
              </w:tc>
              <w:tc>
                <w:tcPr>
                  <w:tcW w:w="2392" w:type="pct"/>
                  <w:tcBorders>
                    <w:tl2br w:val="nil"/>
                    <w:tr2bl w:val="nil"/>
                  </w:tcBorders>
                  <w:vAlign w:val="center"/>
                </w:tcPr>
                <w:p w14:paraId="79F03E4F">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管控要求</w:t>
                  </w:r>
                </w:p>
              </w:tc>
              <w:tc>
                <w:tcPr>
                  <w:tcW w:w="1301" w:type="pct"/>
                  <w:tcBorders>
                    <w:tl2br w:val="nil"/>
                    <w:tr2bl w:val="nil"/>
                  </w:tcBorders>
                  <w:vAlign w:val="center"/>
                </w:tcPr>
                <w:p w14:paraId="2B9B94D0">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bidi="ar"/>
                    </w:rPr>
                    <w:t>项目情况</w:t>
                  </w:r>
                </w:p>
              </w:tc>
              <w:tc>
                <w:tcPr>
                  <w:tcW w:w="390" w:type="pct"/>
                  <w:gridSpan w:val="3"/>
                  <w:tcBorders>
                    <w:tl2br w:val="nil"/>
                    <w:tr2bl w:val="nil"/>
                  </w:tcBorders>
                  <w:vAlign w:val="center"/>
                </w:tcPr>
                <w:p w14:paraId="410374F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相</w:t>
                  </w:r>
                  <w:r>
                    <w:rPr>
                      <w:rFonts w:hint="default" w:ascii="Times New Roman" w:hAnsi="Times New Roman" w:cs="Times New Roman"/>
                      <w:b/>
                      <w:bCs/>
                      <w:color w:val="auto"/>
                      <w:sz w:val="21"/>
                      <w:szCs w:val="21"/>
                      <w:highlight w:val="none"/>
                    </w:rPr>
                    <w:t>符性</w:t>
                  </w:r>
                </w:p>
              </w:tc>
            </w:tr>
            <w:tr w14:paraId="63AE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D25309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区域布局管控</w:t>
                  </w:r>
                </w:p>
              </w:tc>
              <w:tc>
                <w:tcPr>
                  <w:tcW w:w="2392" w:type="pct"/>
                  <w:tcBorders>
                    <w:tl2br w:val="nil"/>
                    <w:tr2bl w:val="nil"/>
                  </w:tcBorders>
                  <w:vAlign w:val="center"/>
                </w:tcPr>
                <w:p w14:paraId="5EB74E5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严格执行畜禽养殖禁养区管理要求，畜禽养殖禁养区内严禁建设规模化畜禽养殖场和规模化畜禽养殖小区，禁养区外的养殖场应配套污染防治设施</w:t>
                  </w:r>
                </w:p>
              </w:tc>
              <w:tc>
                <w:tcPr>
                  <w:tcW w:w="1301" w:type="pct"/>
                  <w:tcBorders>
                    <w:tl2br w:val="nil"/>
                    <w:tr2bl w:val="nil"/>
                  </w:tcBorders>
                  <w:vAlign w:val="center"/>
                </w:tcPr>
                <w:p w14:paraId="2F8F94D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本项目不涉及畜禽养殖。</w:t>
                  </w:r>
                </w:p>
              </w:tc>
              <w:tc>
                <w:tcPr>
                  <w:tcW w:w="390" w:type="pct"/>
                  <w:gridSpan w:val="3"/>
                  <w:tcBorders>
                    <w:tl2br w:val="nil"/>
                    <w:tr2bl w:val="nil"/>
                  </w:tcBorders>
                  <w:vAlign w:val="center"/>
                </w:tcPr>
                <w:p w14:paraId="0EBC39B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9108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0B2F4B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2392" w:type="pct"/>
                  <w:tcBorders>
                    <w:tl2br w:val="nil"/>
                    <w:tr2bl w:val="nil"/>
                  </w:tcBorders>
                  <w:vAlign w:val="center"/>
                </w:tcPr>
                <w:p w14:paraId="08320FA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集中式污水处理厂应采取有效措施，防止事故废水直接排入水体</w:t>
                  </w:r>
                </w:p>
              </w:tc>
              <w:tc>
                <w:tcPr>
                  <w:tcW w:w="1301" w:type="pct"/>
                  <w:tcBorders>
                    <w:tl2br w:val="nil"/>
                    <w:tr2bl w:val="nil"/>
                  </w:tcBorders>
                  <w:vAlign w:val="center"/>
                </w:tcPr>
                <w:p w14:paraId="6CF483A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本项目不属于集中式污水处理厂建设，依托的园区污水处理厂设有应急措施。</w:t>
                  </w:r>
                </w:p>
              </w:tc>
              <w:tc>
                <w:tcPr>
                  <w:tcW w:w="390" w:type="pct"/>
                  <w:gridSpan w:val="3"/>
                  <w:tcBorders>
                    <w:tl2br w:val="nil"/>
                    <w:tr2bl w:val="nil"/>
                  </w:tcBorders>
                  <w:vAlign w:val="center"/>
                </w:tcPr>
                <w:p w14:paraId="2D1F041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0392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76F0E045">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环境管控单元编码</w:t>
                  </w:r>
                </w:p>
              </w:tc>
              <w:tc>
                <w:tcPr>
                  <w:tcW w:w="2392" w:type="pct"/>
                  <w:tcBorders>
                    <w:tl2br w:val="nil"/>
                    <w:tr2bl w:val="nil"/>
                  </w:tcBorders>
                  <w:vAlign w:val="center"/>
                </w:tcPr>
                <w:p w14:paraId="0C0F6C23">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环境管控单元名称</w:t>
                  </w:r>
                </w:p>
              </w:tc>
              <w:tc>
                <w:tcPr>
                  <w:tcW w:w="1691" w:type="pct"/>
                  <w:gridSpan w:val="4"/>
                  <w:tcBorders>
                    <w:tl2br w:val="nil"/>
                    <w:tr2bl w:val="nil"/>
                  </w:tcBorders>
                  <w:vAlign w:val="center"/>
                </w:tcPr>
                <w:p w14:paraId="4E45ACD7">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管控单元分类</w:t>
                  </w:r>
                </w:p>
              </w:tc>
            </w:tr>
            <w:tr w14:paraId="2A9D2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7F1CBE8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YS4402812310002</w:t>
                  </w:r>
                </w:p>
              </w:tc>
              <w:tc>
                <w:tcPr>
                  <w:tcW w:w="2392" w:type="pct"/>
                  <w:tcBorders>
                    <w:tl2br w:val="nil"/>
                    <w:tr2bl w:val="nil"/>
                  </w:tcBorders>
                  <w:vAlign w:val="center"/>
                </w:tcPr>
                <w:p w14:paraId="44E061A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大气环境高排放重点管控区</w:t>
                  </w:r>
                </w:p>
              </w:tc>
              <w:tc>
                <w:tcPr>
                  <w:tcW w:w="1691" w:type="pct"/>
                  <w:gridSpan w:val="4"/>
                  <w:tcBorders>
                    <w:tl2br w:val="nil"/>
                    <w:tr2bl w:val="nil"/>
                  </w:tcBorders>
                  <w:vAlign w:val="center"/>
                </w:tcPr>
                <w:p w14:paraId="2259333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重点管控区</w:t>
                  </w:r>
                </w:p>
              </w:tc>
            </w:tr>
            <w:tr w14:paraId="47810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23970CF">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管控维度</w:t>
                  </w:r>
                </w:p>
              </w:tc>
              <w:tc>
                <w:tcPr>
                  <w:tcW w:w="2392" w:type="pct"/>
                  <w:tcBorders>
                    <w:tl2br w:val="nil"/>
                    <w:tr2bl w:val="nil"/>
                  </w:tcBorders>
                  <w:vAlign w:val="center"/>
                </w:tcPr>
                <w:p w14:paraId="6541F609">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管控要求</w:t>
                  </w:r>
                </w:p>
              </w:tc>
              <w:tc>
                <w:tcPr>
                  <w:tcW w:w="1336" w:type="pct"/>
                  <w:gridSpan w:val="3"/>
                  <w:tcBorders>
                    <w:tl2br w:val="nil"/>
                    <w:tr2bl w:val="nil"/>
                  </w:tcBorders>
                  <w:vAlign w:val="center"/>
                </w:tcPr>
                <w:p w14:paraId="06F2390A">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项目情况</w:t>
                  </w:r>
                </w:p>
              </w:tc>
              <w:tc>
                <w:tcPr>
                  <w:tcW w:w="355" w:type="pct"/>
                  <w:tcBorders>
                    <w:tl2br w:val="nil"/>
                    <w:tr2bl w:val="nil"/>
                  </w:tcBorders>
                  <w:vAlign w:val="center"/>
                </w:tcPr>
                <w:p w14:paraId="0BF4A01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相</w:t>
                  </w:r>
                  <w:r>
                    <w:rPr>
                      <w:rFonts w:hint="default" w:ascii="Times New Roman" w:hAnsi="Times New Roman" w:cs="Times New Roman"/>
                      <w:b/>
                      <w:bCs/>
                      <w:color w:val="auto"/>
                      <w:sz w:val="21"/>
                      <w:szCs w:val="21"/>
                      <w:highlight w:val="none"/>
                    </w:rPr>
                    <w:t>符性</w:t>
                  </w:r>
                </w:p>
              </w:tc>
            </w:tr>
            <w:tr w14:paraId="34250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7828BC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区域布局管控</w:t>
                  </w:r>
                </w:p>
              </w:tc>
              <w:tc>
                <w:tcPr>
                  <w:tcW w:w="2392" w:type="pct"/>
                  <w:tcBorders>
                    <w:tl2br w:val="nil"/>
                    <w:tr2bl w:val="nil"/>
                  </w:tcBorders>
                  <w:vAlign w:val="center"/>
                </w:tcPr>
                <w:p w14:paraId="6889211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1-1.引导工业项目科学布局，新建项目原则上入园管理，推动现有工业项目集中进园。</w:t>
                  </w:r>
                </w:p>
                <w:p w14:paraId="4E6D309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1-2.严格控制涉重金属及有毒有害污染物排放的项目建设，新建、改建、扩建涉重金属重点行业的项目应明确重金属污染物总量来源。</w:t>
                  </w:r>
                </w:p>
                <w:p w14:paraId="0E0E068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1-3.严格限制新建除热电联产以外的煤电项目；严格限制新（改、扩）建钢铁、建材（水泥、平板玻璃）、焦化、有色金属冶炼、石化等高污染行业项目。</w:t>
                  </w:r>
                </w:p>
                <w:p w14:paraId="6E913B1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1-4.禁止违法露天焚烧秸秆等产生烟尘污染物质以及焚烧垃圾等产生有毒有害烟尘、恶臭气体物质的行为。</w:t>
                  </w:r>
                </w:p>
              </w:tc>
              <w:tc>
                <w:tcPr>
                  <w:tcW w:w="1336" w:type="pct"/>
                  <w:gridSpan w:val="3"/>
                  <w:tcBorders>
                    <w:tl2br w:val="nil"/>
                    <w:tr2bl w:val="nil"/>
                  </w:tcBorders>
                  <w:vAlign w:val="center"/>
                </w:tcPr>
                <w:p w14:paraId="65D12FF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本项目选址位于乐昌产业转移工业园，属于入园管理项目；</w:t>
                  </w:r>
                </w:p>
                <w:p w14:paraId="2707334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本项目为</w:t>
                  </w:r>
                  <w:r>
                    <w:rPr>
                      <w:rFonts w:hint="default" w:ascii="Times New Roman" w:hAnsi="Times New Roman" w:cs="Times New Roman"/>
                      <w:color w:val="auto"/>
                      <w:sz w:val="21"/>
                      <w:szCs w:val="21"/>
                      <w:highlight w:val="none"/>
                      <w:lang w:val="en-US" w:eastAsia="zh-CN"/>
                    </w:rPr>
                    <w:t>非金属矿物制品业</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不属于严格限制的项目</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且废气排放不涉及</w:t>
                  </w:r>
                  <w:r>
                    <w:rPr>
                      <w:rFonts w:hint="default" w:ascii="Times New Roman" w:hAnsi="Times New Roman" w:eastAsia="宋体" w:cs="Times New Roman"/>
                      <w:color w:val="auto"/>
                      <w:sz w:val="21"/>
                      <w:szCs w:val="21"/>
                      <w:highlight w:val="none"/>
                    </w:rPr>
                    <w:t>重金属及有毒有害污染物</w:t>
                  </w:r>
                  <w:r>
                    <w:rPr>
                      <w:rFonts w:hint="default" w:ascii="Times New Roman" w:hAnsi="Times New Roman" w:cs="Times New Roman"/>
                      <w:color w:val="auto"/>
                      <w:sz w:val="21"/>
                      <w:szCs w:val="21"/>
                      <w:highlight w:val="none"/>
                      <w:lang w:eastAsia="zh-CN"/>
                    </w:rPr>
                    <w:t>。</w:t>
                  </w:r>
                </w:p>
              </w:tc>
              <w:tc>
                <w:tcPr>
                  <w:tcW w:w="355" w:type="pct"/>
                  <w:tcBorders>
                    <w:tl2br w:val="nil"/>
                    <w:tr2bl w:val="nil"/>
                  </w:tcBorders>
                  <w:vAlign w:val="center"/>
                </w:tcPr>
                <w:p w14:paraId="0307AB9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15D2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54A7A4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能源资源利用</w:t>
                  </w:r>
                </w:p>
              </w:tc>
              <w:tc>
                <w:tcPr>
                  <w:tcW w:w="2392" w:type="pct"/>
                  <w:tcBorders>
                    <w:tl2br w:val="nil"/>
                    <w:tr2bl w:val="nil"/>
                  </w:tcBorders>
                  <w:vAlign w:val="center"/>
                </w:tcPr>
                <w:p w14:paraId="27689A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4-1.推广节能技术，加快发展绿色货运与现代物流。</w:t>
                  </w:r>
                </w:p>
                <w:p w14:paraId="5CFFDAB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4-2.禁燃区内，禁止新建、扩建燃用高污染燃料的设施；已有使用高污染燃料设施改用清洁能源。</w:t>
                  </w:r>
                </w:p>
                <w:p w14:paraId="0090966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4-3.科学实施能源消费总量和强度“双控”，新建高能耗项目单位产品(产值)能耗达到国际国内先进水平。</w:t>
                  </w:r>
                </w:p>
              </w:tc>
              <w:tc>
                <w:tcPr>
                  <w:tcW w:w="1336" w:type="pct"/>
                  <w:gridSpan w:val="3"/>
                  <w:tcBorders>
                    <w:tl2br w:val="nil"/>
                    <w:tr2bl w:val="nil"/>
                  </w:tcBorders>
                  <w:vAlign w:val="center"/>
                </w:tcPr>
                <w:p w14:paraId="5DCAEC4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本项目主要能源使用为天然气和电能，不涉及高污染燃料且项目不属于高能耗类型项目</w:t>
                  </w:r>
                </w:p>
              </w:tc>
              <w:tc>
                <w:tcPr>
                  <w:tcW w:w="355" w:type="pct"/>
                  <w:tcBorders>
                    <w:tl2br w:val="nil"/>
                    <w:tr2bl w:val="nil"/>
                  </w:tcBorders>
                  <w:vAlign w:val="center"/>
                </w:tcPr>
                <w:p w14:paraId="61C49999">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3F635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37F0D4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2392" w:type="pct"/>
                  <w:tcBorders>
                    <w:tl2br w:val="nil"/>
                    <w:tr2bl w:val="nil"/>
                  </w:tcBorders>
                  <w:vAlign w:val="center"/>
                </w:tcPr>
                <w:p w14:paraId="2FB6A2A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2-1.园区各项污染物排放总量不得突破园区规划环评核定的污染物排放总量管控要求。</w:t>
                  </w:r>
                </w:p>
                <w:p w14:paraId="2553C69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2-2.实行重点重金属污染物（铅、砷、汞、镉、铬）等量替代。严格控制涉重金属及有毒有害污染物排放的项目建设，新建、改建、扩建涉重金属重点行业的项目应明确重金属污染物总量来源。</w:t>
                  </w:r>
                </w:p>
                <w:p w14:paraId="1AB7F80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2-3.新建项目原则上实施氮氧化物、挥发性有机物排放量等量替代。</w:t>
                  </w:r>
                </w:p>
                <w:p w14:paraId="6AFB762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2-4.支持危险废物专业收集转运和利用处置单位建设区域性收集网点和贮存设施。</w:t>
                  </w:r>
                </w:p>
                <w:p w14:paraId="0273991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2-5.积极实行集中供热，应尽快关停现有企业小锅炉。</w:t>
                  </w:r>
                </w:p>
              </w:tc>
              <w:tc>
                <w:tcPr>
                  <w:tcW w:w="1336" w:type="pct"/>
                  <w:gridSpan w:val="3"/>
                  <w:tcBorders>
                    <w:tl2br w:val="nil"/>
                    <w:tr2bl w:val="nil"/>
                  </w:tcBorders>
                  <w:vAlign w:val="center"/>
                </w:tcPr>
                <w:p w14:paraId="51BF721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本项目所在园区污染物排放总量未超过核定总量。本项目不涉及重金属污染物排放。本项目不涉及危险废物专业收集转运和利用处置。</w:t>
                  </w:r>
                </w:p>
              </w:tc>
              <w:tc>
                <w:tcPr>
                  <w:tcW w:w="355" w:type="pct"/>
                  <w:tcBorders>
                    <w:tl2br w:val="nil"/>
                    <w:tr2bl w:val="nil"/>
                  </w:tcBorders>
                  <w:vAlign w:val="center"/>
                </w:tcPr>
                <w:p w14:paraId="188802D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1055C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CB4ED5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2392" w:type="pct"/>
                  <w:tcBorders>
                    <w:tl2br w:val="nil"/>
                    <w:tr2bl w:val="nil"/>
                  </w:tcBorders>
                  <w:vAlign w:val="center"/>
                </w:tcPr>
                <w:p w14:paraId="08F6A9B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4-1.集中式污水处理厂应采取有效措施，防止事故废水直接排入水体。</w:t>
                  </w:r>
                </w:p>
                <w:p w14:paraId="6F7C9D9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有水环境污染风险的企事业单位，应当制定有关水污染事故的应急方案，做好应急准备，并定期进行演练，做好突发水污染事故应急处置和事后恢复等工作。有水环境污染风险的企事业单位，生产、储存危险化学品的企事业单位，应当采取措施，防止在应急处置过程中产生的消防废水、废液直接排入水体。</w:t>
                  </w:r>
                </w:p>
              </w:tc>
              <w:tc>
                <w:tcPr>
                  <w:tcW w:w="1336" w:type="pct"/>
                  <w:gridSpan w:val="3"/>
                  <w:tcBorders>
                    <w:tl2br w:val="nil"/>
                    <w:tr2bl w:val="nil"/>
                  </w:tcBorders>
                  <w:vAlign w:val="center"/>
                </w:tcPr>
                <w:p w14:paraId="5A0A790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项目建设完成后</w:t>
                  </w:r>
                  <w:r>
                    <w:rPr>
                      <w:rFonts w:hint="default" w:ascii="Times New Roman" w:hAnsi="Times New Roman" w:cs="Times New Roman"/>
                      <w:color w:val="auto"/>
                      <w:sz w:val="21"/>
                      <w:szCs w:val="21"/>
                      <w:highlight w:val="none"/>
                      <w:lang w:val="en-US" w:eastAsia="zh-CN"/>
                    </w:rPr>
                    <w:t>按照相关规定完善环境风险应急措施</w:t>
                  </w:r>
                  <w:r>
                    <w:rPr>
                      <w:rFonts w:hint="default" w:ascii="Times New Roman" w:hAnsi="Times New Roman" w:eastAsia="宋体" w:cs="Times New Roman"/>
                      <w:color w:val="auto"/>
                      <w:sz w:val="21"/>
                      <w:szCs w:val="21"/>
                      <w:highlight w:val="none"/>
                      <w:lang w:val="en-US" w:eastAsia="zh-CN"/>
                    </w:rPr>
                    <w:t>，与园区、政府构成三级环境风险防控体系</w:t>
                  </w:r>
                </w:p>
              </w:tc>
              <w:tc>
                <w:tcPr>
                  <w:tcW w:w="355" w:type="pct"/>
                  <w:tcBorders>
                    <w:tl2br w:val="nil"/>
                    <w:tr2bl w:val="nil"/>
                  </w:tcBorders>
                  <w:vAlign w:val="center"/>
                </w:tcPr>
                <w:p w14:paraId="728E62C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2A59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17CC2D13">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环境管控单元编码</w:t>
                  </w:r>
                </w:p>
              </w:tc>
              <w:tc>
                <w:tcPr>
                  <w:tcW w:w="2392" w:type="pct"/>
                  <w:tcBorders>
                    <w:tl2br w:val="nil"/>
                    <w:tr2bl w:val="nil"/>
                  </w:tcBorders>
                  <w:vAlign w:val="center"/>
                </w:tcPr>
                <w:p w14:paraId="3B4C5065">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环境管控单元名称</w:t>
                  </w:r>
                </w:p>
              </w:tc>
              <w:tc>
                <w:tcPr>
                  <w:tcW w:w="1691" w:type="pct"/>
                  <w:gridSpan w:val="4"/>
                  <w:tcBorders>
                    <w:tl2br w:val="nil"/>
                    <w:tr2bl w:val="nil"/>
                  </w:tcBorders>
                  <w:vAlign w:val="center"/>
                </w:tcPr>
                <w:p w14:paraId="4A11C477">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管控单元分类</w:t>
                  </w:r>
                </w:p>
              </w:tc>
            </w:tr>
            <w:tr w14:paraId="5D75D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E25AF38">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YS4402812540001</w:t>
                  </w:r>
                </w:p>
              </w:tc>
              <w:tc>
                <w:tcPr>
                  <w:tcW w:w="2392" w:type="pct"/>
                  <w:tcBorders>
                    <w:tl2br w:val="nil"/>
                    <w:tr2bl w:val="nil"/>
                  </w:tcBorders>
                  <w:vAlign w:val="center"/>
                </w:tcPr>
                <w:p w14:paraId="387468D3">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乐昌市高污染燃料禁燃区</w:t>
                  </w:r>
                </w:p>
              </w:tc>
              <w:tc>
                <w:tcPr>
                  <w:tcW w:w="1691" w:type="pct"/>
                  <w:gridSpan w:val="4"/>
                  <w:tcBorders>
                    <w:tl2br w:val="nil"/>
                    <w:tr2bl w:val="nil"/>
                  </w:tcBorders>
                  <w:vAlign w:val="center"/>
                </w:tcPr>
                <w:p w14:paraId="7DD96F7C">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重点管控区</w:t>
                  </w:r>
                </w:p>
              </w:tc>
            </w:tr>
            <w:tr w14:paraId="779B5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978BCF8">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管控维度</w:t>
                  </w:r>
                </w:p>
              </w:tc>
              <w:tc>
                <w:tcPr>
                  <w:tcW w:w="2392" w:type="pct"/>
                  <w:tcBorders>
                    <w:tl2br w:val="nil"/>
                    <w:tr2bl w:val="nil"/>
                  </w:tcBorders>
                  <w:vAlign w:val="center"/>
                </w:tcPr>
                <w:p w14:paraId="6519CB4E">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管控要求</w:t>
                  </w:r>
                </w:p>
              </w:tc>
              <w:tc>
                <w:tcPr>
                  <w:tcW w:w="1336" w:type="pct"/>
                  <w:gridSpan w:val="3"/>
                  <w:tcBorders>
                    <w:tl2br w:val="nil"/>
                    <w:tr2bl w:val="nil"/>
                  </w:tcBorders>
                  <w:vAlign w:val="center"/>
                </w:tcPr>
                <w:p w14:paraId="3E783C12">
                  <w:pPr>
                    <w:keepNext w:val="0"/>
                    <w:keepLines w:val="0"/>
                    <w:pageBreakBefore w:val="0"/>
                    <w:widowControl/>
                    <w:suppressLineNumbers w:val="0"/>
                    <w:wordWrap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bidi="ar"/>
                    </w:rPr>
                    <w:t>项目情况</w:t>
                  </w:r>
                </w:p>
              </w:tc>
              <w:tc>
                <w:tcPr>
                  <w:tcW w:w="355" w:type="pct"/>
                  <w:tcBorders>
                    <w:tl2br w:val="nil"/>
                    <w:tr2bl w:val="nil"/>
                  </w:tcBorders>
                  <w:vAlign w:val="center"/>
                </w:tcPr>
                <w:p w14:paraId="3A4FB2E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相</w:t>
                  </w:r>
                  <w:r>
                    <w:rPr>
                      <w:rFonts w:hint="default" w:ascii="Times New Roman" w:hAnsi="Times New Roman" w:cs="Times New Roman"/>
                      <w:b/>
                      <w:bCs/>
                      <w:color w:val="auto"/>
                      <w:sz w:val="21"/>
                      <w:szCs w:val="21"/>
                      <w:highlight w:val="none"/>
                    </w:rPr>
                    <w:t>符性</w:t>
                  </w:r>
                </w:p>
              </w:tc>
            </w:tr>
            <w:tr w14:paraId="3B950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A2C799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区域布局管控</w:t>
                  </w:r>
                </w:p>
              </w:tc>
              <w:tc>
                <w:tcPr>
                  <w:tcW w:w="2392" w:type="pct"/>
                  <w:tcBorders>
                    <w:tl2br w:val="nil"/>
                    <w:tr2bl w:val="nil"/>
                  </w:tcBorders>
                  <w:vAlign w:val="center"/>
                </w:tcPr>
                <w:p w14:paraId="05B73E0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禁止新、扩建燃用高污染燃料的设施</w:t>
                  </w:r>
                </w:p>
              </w:tc>
              <w:tc>
                <w:tcPr>
                  <w:tcW w:w="1336" w:type="pct"/>
                  <w:gridSpan w:val="3"/>
                  <w:tcBorders>
                    <w:tl2br w:val="nil"/>
                    <w:tr2bl w:val="nil"/>
                  </w:tcBorders>
                  <w:vAlign w:val="center"/>
                </w:tcPr>
                <w:p w14:paraId="4F386C7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本项目使用电能、天然气，不使用高污染燃料。</w:t>
                  </w:r>
                </w:p>
              </w:tc>
              <w:tc>
                <w:tcPr>
                  <w:tcW w:w="355" w:type="pct"/>
                  <w:tcBorders>
                    <w:tl2br w:val="nil"/>
                    <w:tr2bl w:val="nil"/>
                  </w:tcBorders>
                  <w:vAlign w:val="center"/>
                </w:tcPr>
                <w:p w14:paraId="6EF7D89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9516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6CDF44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能源资源利用</w:t>
                  </w:r>
                </w:p>
              </w:tc>
              <w:tc>
                <w:tcPr>
                  <w:tcW w:w="2392" w:type="pct"/>
                  <w:tcBorders>
                    <w:tl2br w:val="nil"/>
                    <w:tr2bl w:val="nil"/>
                  </w:tcBorders>
                  <w:vAlign w:val="center"/>
                </w:tcPr>
                <w:p w14:paraId="4FBB19C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在禁燃区内，禁止销售、燃用高污染燃料；已建成的高污染燃料设施应当改用天然气、页岩气、液化石油气、电等清洁能源。</w:t>
                  </w:r>
                </w:p>
              </w:tc>
              <w:tc>
                <w:tcPr>
                  <w:tcW w:w="1336" w:type="pct"/>
                  <w:gridSpan w:val="3"/>
                  <w:tcBorders>
                    <w:tl2br w:val="nil"/>
                    <w:tr2bl w:val="nil"/>
                  </w:tcBorders>
                  <w:vAlign w:val="center"/>
                </w:tcPr>
                <w:p w14:paraId="5CCB1D6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本项目使用电能和天然气，不销售、不使用高污染燃料。</w:t>
                  </w:r>
                </w:p>
              </w:tc>
              <w:tc>
                <w:tcPr>
                  <w:tcW w:w="355" w:type="pct"/>
                  <w:tcBorders>
                    <w:tl2br w:val="nil"/>
                    <w:tr2bl w:val="nil"/>
                  </w:tcBorders>
                  <w:vAlign w:val="center"/>
                </w:tcPr>
                <w:p w14:paraId="2CC4BBB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A36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294691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2392" w:type="pct"/>
                  <w:tcBorders>
                    <w:tl2br w:val="nil"/>
                    <w:tr2bl w:val="nil"/>
                  </w:tcBorders>
                  <w:vAlign w:val="center"/>
                </w:tcPr>
                <w:p w14:paraId="0EA1C35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燃区内使用生物质成型燃料锅炉和气化供热项目的，污染物排放浓度要达到或优于天燃气锅炉对应的大气污染物排放标准（折算基准氧含量排放浓度时，生物质成型燃料锅炉按9%执行，生物质气化供热项目按3.5%执行）。</w:t>
                  </w:r>
                </w:p>
              </w:tc>
              <w:tc>
                <w:tcPr>
                  <w:tcW w:w="1336" w:type="pct"/>
                  <w:gridSpan w:val="3"/>
                  <w:tcBorders>
                    <w:tl2br w:val="nil"/>
                    <w:tr2bl w:val="nil"/>
                  </w:tcBorders>
                  <w:vAlign w:val="center"/>
                </w:tcPr>
                <w:p w14:paraId="229616F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本项目不涉及</w:t>
                  </w:r>
                </w:p>
              </w:tc>
              <w:tc>
                <w:tcPr>
                  <w:tcW w:w="355" w:type="pct"/>
                  <w:tcBorders>
                    <w:tl2br w:val="nil"/>
                    <w:tr2bl w:val="nil"/>
                  </w:tcBorders>
                  <w:vAlign w:val="center"/>
                </w:tcPr>
                <w:p w14:paraId="4BE46D1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201B4A36">
            <w:pPr>
              <w:pStyle w:val="12"/>
              <w:keepNext w:val="0"/>
              <w:keepLines w:val="0"/>
              <w:pageBreakBefore w:val="0"/>
              <w:suppressLineNumbers w:val="0"/>
              <w:kinsoku/>
              <w:wordWrap w:val="0"/>
              <w:overflowPunct/>
              <w:topLinePunct w:val="0"/>
              <w:bidi w:val="0"/>
              <w:snapToGrid/>
              <w:spacing w:before="0" w:beforeAutospacing="0" w:after="0" w:afterAutospacing="0"/>
              <w:ind w:left="0" w:right="0"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b w:val="0"/>
                <w:bCs w:val="0"/>
                <w:color w:val="auto"/>
                <w:sz w:val="24"/>
                <w:highlight w:val="none"/>
              </w:rPr>
              <w:t>综上，项目符合韶关市人民政府关于印发《韶关市“三线一单”生态环境分区管控方案的通知》的通知（韶府〔2021〕10号）的相关要求。</w:t>
            </w:r>
          </w:p>
        </w:tc>
      </w:tr>
    </w:tbl>
    <w:p w14:paraId="2856F711">
      <w:pPr>
        <w:pStyle w:val="2"/>
        <w:pageBreakBefore w:val="0"/>
        <w:numPr>
          <w:ilvl w:val="0"/>
          <w:numId w:val="0"/>
        </w:numPr>
        <w:wordWrap w:val="0"/>
        <w:bidi w:val="0"/>
        <w:rPr>
          <w:rFonts w:hint="default" w:ascii="Times New Roman" w:hAnsi="Times New Roman" w:cs="Times New Roman"/>
          <w:color w:val="auto"/>
          <w:highlight w:val="none"/>
        </w:rPr>
        <w:sectPr>
          <w:pgSz w:w="16838" w:h="11906" w:orient="landscape"/>
          <w:pgMar w:top="1083" w:right="1440" w:bottom="1083" w:left="1440" w:header="851" w:footer="680" w:gutter="0"/>
          <w:pgBorders>
            <w:top w:val="none" w:sz="0" w:space="0"/>
            <w:left w:val="none" w:sz="0" w:space="0"/>
            <w:bottom w:val="none" w:sz="0" w:space="0"/>
            <w:right w:val="none" w:sz="0" w:space="0"/>
          </w:pgBorders>
          <w:pgNumType w:fmt="numberInDash"/>
          <w:cols w:space="0" w:num="1"/>
          <w:rtlGutter w:val="0"/>
          <w:docGrid w:type="linesAndChars" w:linePitch="335" w:charSpace="0"/>
        </w:sectPr>
      </w:pP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9480"/>
      </w:tblGrid>
      <w:tr w14:paraId="3ADE4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2" w:type="pct"/>
            <w:vAlign w:val="center"/>
          </w:tcPr>
          <w:p w14:paraId="2E56A98B">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其他符合性分析</w:t>
            </w:r>
          </w:p>
        </w:tc>
        <w:tc>
          <w:tcPr>
            <w:tcW w:w="4757" w:type="pct"/>
            <w:vAlign w:val="center"/>
          </w:tcPr>
          <w:p w14:paraId="3CF9E13F">
            <w:pPr>
              <w:keepNext/>
              <w:keepLines/>
              <w:pageBreakBefore w:val="0"/>
              <w:suppressLineNumbers w:val="0"/>
              <w:tabs>
                <w:tab w:val="left" w:pos="0"/>
              </w:tabs>
              <w:kinsoku/>
              <w:wordWrap w:val="0"/>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六、相关规划相符性分析</w:t>
            </w:r>
          </w:p>
          <w:p w14:paraId="0CBC9253">
            <w:pPr>
              <w:keepNext/>
              <w:keepLines/>
              <w:pageBreakBefore w:val="0"/>
              <w:suppressLineNumbers w:val="0"/>
              <w:tabs>
                <w:tab w:val="left" w:pos="0"/>
              </w:tabs>
              <w:kinsoku/>
              <w:wordWrap w:val="0"/>
              <w:overflowPunct/>
              <w:topLinePunct w:val="0"/>
              <w:bidi w:val="0"/>
              <w:snapToGrid/>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1、《关于印发&lt;广东省生态环境保护“十四五”规划&gt;的通知》（粤环〔2021〕10号）</w:t>
            </w:r>
          </w:p>
          <w:p w14:paraId="7BFA8D9B">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p>
          <w:p w14:paraId="0EC2FDE6">
            <w:pPr>
              <w:pStyle w:val="14"/>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项目不使用高VOCs含量的溶剂型涂料、油墨、胶粘剂等。</w:t>
            </w:r>
            <w:r>
              <w:rPr>
                <w:rFonts w:hint="default" w:ascii="Times New Roman" w:hAnsi="Times New Roman" w:cs="Times New Roman"/>
                <w:color w:val="auto"/>
                <w:sz w:val="24"/>
                <w:highlight w:val="none"/>
                <w:lang w:val="en-US" w:eastAsia="zh-CN"/>
              </w:rPr>
              <w:t>上色工序使用水性漆对产品表面喷涂上色；成型烘干、上色固化</w:t>
            </w:r>
            <w:r>
              <w:rPr>
                <w:rFonts w:hint="default" w:ascii="Times New Roman" w:hAnsi="Times New Roman" w:cs="Times New Roman"/>
                <w:color w:val="auto"/>
                <w:sz w:val="24"/>
                <w:highlight w:val="none"/>
              </w:rPr>
              <w:t>工序采用天然气加热，产生的污染物主要有</w:t>
            </w:r>
            <w:r>
              <w:rPr>
                <w:rFonts w:hint="default" w:ascii="Times New Roman" w:hAnsi="Times New Roman" w:cs="Times New Roman"/>
                <w:color w:val="auto"/>
                <w:sz w:val="24"/>
                <w:highlight w:val="none"/>
                <w:lang w:val="en-US" w:eastAsia="zh-CN"/>
              </w:rPr>
              <w:t>VOCs、</w:t>
            </w:r>
            <w:r>
              <w:rPr>
                <w:rFonts w:hint="default" w:ascii="Times New Roman" w:hAnsi="Times New Roman" w:cs="Times New Roman"/>
                <w:color w:val="auto"/>
                <w:sz w:val="24"/>
                <w:highlight w:val="none"/>
              </w:rPr>
              <w:t>颗粒物、二氧化硫、氮氧化物</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VOCs、</w:t>
            </w:r>
            <w:r>
              <w:rPr>
                <w:rFonts w:hint="default" w:ascii="Times New Roman" w:hAnsi="Times New Roman" w:cs="Times New Roman"/>
                <w:color w:val="auto"/>
                <w:sz w:val="24"/>
                <w:highlight w:val="none"/>
              </w:rPr>
              <w:t>氮氧化物等量替代，</w:t>
            </w:r>
            <w:r>
              <w:rPr>
                <w:rFonts w:hint="default" w:ascii="Times New Roman" w:hAnsi="Times New Roman" w:cs="Times New Roman"/>
                <w:color w:val="auto"/>
                <w:sz w:val="24"/>
                <w:highlight w:val="none"/>
                <w:lang w:val="en-US" w:eastAsia="zh-CN"/>
              </w:rPr>
              <w:t>以上工序的生产</w:t>
            </w:r>
            <w:r>
              <w:rPr>
                <w:rFonts w:hint="default" w:ascii="Times New Roman" w:hAnsi="Times New Roman" w:cs="Times New Roman"/>
                <w:color w:val="auto"/>
                <w:sz w:val="24"/>
                <w:highlight w:val="none"/>
              </w:rPr>
              <w:t>废气收集后经排气筒DA001高空排放，排放高度</w:t>
            </w:r>
            <w:r>
              <w:rPr>
                <w:rFonts w:hint="default" w:ascii="Times New Roman" w:hAnsi="Times New Roman" w:cs="Times New Roman"/>
                <w:color w:val="auto"/>
                <w:sz w:val="24"/>
                <w:highlight w:val="none"/>
                <w:lang w:val="en-US" w:eastAsia="zh-CN"/>
              </w:rPr>
              <w:t>不低于15</w:t>
            </w:r>
            <w:r>
              <w:rPr>
                <w:rFonts w:hint="default" w:ascii="Times New Roman" w:hAnsi="Times New Roman" w:cs="Times New Roman"/>
                <w:color w:val="auto"/>
                <w:sz w:val="24"/>
                <w:highlight w:val="none"/>
              </w:rPr>
              <w:t>m。</w:t>
            </w:r>
          </w:p>
          <w:p w14:paraId="565D4AEC">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综上所述，本项目与《关于印发&lt;广东省生态环境保护“十四五”规划&gt;的通知》（粤环〔2021〕10号）相符。</w:t>
            </w:r>
          </w:p>
          <w:p w14:paraId="77A770AC">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2、韶关市人民政府办公室《关于印发&lt;韶关市生态环境保护“十四五”规划&gt;的通知》（韶府办〔2022〕1号）</w:t>
            </w:r>
          </w:p>
          <w:p w14:paraId="69D0EA5B">
            <w:pPr>
              <w:keepNext w:val="0"/>
              <w:keepLines w:val="0"/>
              <w:pageBreakBefore w:val="0"/>
              <w:widowControl/>
              <w:suppressLineNumbers w:val="0"/>
              <w:kinsoku/>
              <w:wordWrap w:val="0"/>
              <w:overflowPunct/>
              <w:topLinePunct w:val="0"/>
              <w:bidi w:val="0"/>
              <w:snapToGrid/>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3D56B395">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项目不涉及锅炉。</w:t>
            </w:r>
            <w:r>
              <w:rPr>
                <w:rFonts w:hint="default" w:ascii="Times New Roman" w:hAnsi="Times New Roman" w:cs="Times New Roman"/>
                <w:color w:val="auto"/>
                <w:highlight w:val="none"/>
                <w:lang w:val="en-US" w:eastAsia="zh-CN"/>
              </w:rPr>
              <w:t>成型</w:t>
            </w:r>
            <w:r>
              <w:rPr>
                <w:rFonts w:hint="default" w:ascii="Times New Roman" w:hAnsi="Times New Roman" w:cs="Times New Roman"/>
                <w:color w:val="auto"/>
                <w:highlight w:val="none"/>
              </w:rPr>
              <w:t>烘干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上色固化</w:t>
            </w:r>
            <w:r>
              <w:rPr>
                <w:rFonts w:hint="default" w:ascii="Times New Roman" w:hAnsi="Times New Roman" w:cs="Times New Roman"/>
                <w:color w:val="auto"/>
                <w:highlight w:val="none"/>
              </w:rPr>
              <w:t>工序采用天然气加热，产生的污染物主要有颗粒物、二氧化硫、氮氧化物。燃烧废气收集后经</w:t>
            </w:r>
            <w:r>
              <w:rPr>
                <w:rFonts w:hint="default" w:ascii="Times New Roman" w:hAnsi="Times New Roman" w:cs="Times New Roman"/>
                <w:color w:val="auto"/>
                <w:highlight w:val="none"/>
                <w:lang w:val="en-US" w:eastAsia="zh-CN"/>
              </w:rPr>
              <w:t>15m高</w:t>
            </w:r>
            <w:r>
              <w:rPr>
                <w:rFonts w:hint="default" w:ascii="Times New Roman" w:hAnsi="Times New Roman" w:cs="Times New Roman"/>
                <w:color w:val="auto"/>
                <w:highlight w:val="none"/>
              </w:rPr>
              <w:t>排气筒DA001高空排放。本项目产生的工业固体废物均得到妥善处置。故本项目与韶关市人民政府办公室《关于印发&lt;韶关市生态环境保护“十四五”规划&gt;的通知》（韶府办〔2022〕1号）相符。</w:t>
            </w:r>
          </w:p>
          <w:p w14:paraId="6A3CFD05">
            <w:pPr>
              <w:pStyle w:val="14"/>
              <w:keepNext w:val="0"/>
              <w:keepLines w:val="0"/>
              <w:pageBreakBefore w:val="0"/>
              <w:suppressLineNumbers w:val="0"/>
              <w:kinsoku/>
              <w:wordWrap w:val="0"/>
              <w:overflowPunct/>
              <w:topLinePunct w:val="0"/>
              <w:bidi w:val="0"/>
              <w:snapToGrid/>
              <w:spacing w:before="0" w:beforeAutospacing="0" w:after="0" w:afterAutospacing="0"/>
              <w:ind w:left="0" w:right="0" w:firstLine="482"/>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3、乐昌市人民政府办公室《关于印发&lt;乐昌市生态环境保护“十四五”规划的通知》（乐府办〔2022〕16号）</w:t>
            </w:r>
          </w:p>
          <w:p w14:paraId="58ED4FB7">
            <w:pPr>
              <w:pStyle w:val="58"/>
              <w:keepNext w:val="0"/>
              <w:keepLines w:val="0"/>
              <w:pageBreakBefore w:val="0"/>
              <w:suppressLineNumbers w:val="0"/>
              <w:kinsoku/>
              <w:wordWrap w:val="0"/>
              <w:overflowPunct/>
              <w:topLinePunct w:val="0"/>
              <w:bidi w:val="0"/>
              <w:snapToGrid/>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深化重点污染源治理，推进污染物减排。在水泥、化工、火电等行业全面执行大气污染物特别排放限值。逐步推进水泥行业实施超低排放改造，力争到2025年全市水泥</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熟料</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制造企业的水泥窑及窑尾余热利用系统烟气NOx排放浓度不高于100mg/m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5A065537">
            <w:pPr>
              <w:pStyle w:val="14"/>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项目不涉及锅炉。</w:t>
            </w:r>
            <w:r>
              <w:rPr>
                <w:rFonts w:hint="default" w:ascii="Times New Roman" w:hAnsi="Times New Roman" w:cs="Times New Roman"/>
                <w:color w:val="auto"/>
                <w:sz w:val="24"/>
                <w:szCs w:val="24"/>
                <w:highlight w:val="none"/>
                <w:lang w:val="en-US" w:eastAsia="zh-CN"/>
              </w:rPr>
              <w:t>成型</w:t>
            </w:r>
            <w:r>
              <w:rPr>
                <w:rFonts w:hint="default" w:ascii="Times New Roman" w:hAnsi="Times New Roman" w:cs="Times New Roman"/>
                <w:color w:val="auto"/>
                <w:sz w:val="24"/>
                <w:szCs w:val="24"/>
                <w:highlight w:val="none"/>
              </w:rPr>
              <w:t>烘干</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上色固化</w:t>
            </w:r>
            <w:r>
              <w:rPr>
                <w:rFonts w:hint="default" w:ascii="Times New Roman" w:hAnsi="Times New Roman" w:cs="Times New Roman"/>
                <w:color w:val="auto"/>
                <w:sz w:val="24"/>
                <w:szCs w:val="24"/>
                <w:highlight w:val="none"/>
              </w:rPr>
              <w:t>采用天然气加热，产生的污染物主要有颗粒物、二氧化硫、氮氧化物。燃烧废气收集后经排气筒DA001高空排放。故本项目与乐昌市人民政府办公室《关于印发&lt;乐昌市生态环境保护“十四五”规划的通知》（乐府办〔2022〕16号）相符。</w:t>
            </w:r>
          </w:p>
          <w:p w14:paraId="51B77D3B">
            <w:pPr>
              <w:pStyle w:val="5"/>
              <w:pageBreakBefore w:val="0"/>
              <w:numPr>
                <w:ilvl w:val="3"/>
                <w:numId w:val="0"/>
              </w:numPr>
              <w:suppressLineNumbers w:val="0"/>
              <w:kinsoku/>
              <w:wordWrap w:val="0"/>
              <w:overflowPunct/>
              <w:topLinePunct w:val="0"/>
              <w:bidi w:val="0"/>
              <w:snapToGrid/>
              <w:spacing w:before="0" w:beforeAutospacing="0" w:after="0" w:afterAutospacing="0"/>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七、环境保护部《关于印发&lt;重点行业挥发性有机物综合治理方案&gt;的通知》（环大气〔2019〕53号）</w:t>
            </w:r>
          </w:p>
          <w:p w14:paraId="6C0BDB73">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4B08DCC5">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480"/>
              <w:rPr>
                <w:rFonts w:hint="default" w:ascii="Times New Roman" w:hAnsi="Times New Roman" w:cs="Times New Roman"/>
                <w:b/>
                <w:bCs/>
                <w:color w:val="auto"/>
                <w:highlight w:val="none"/>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上色喷涂</w:t>
            </w:r>
            <w:r>
              <w:rPr>
                <w:rFonts w:hint="default" w:ascii="Times New Roman" w:hAnsi="Times New Roman" w:cs="Times New Roman"/>
                <w:color w:val="auto"/>
                <w:sz w:val="24"/>
                <w:szCs w:val="24"/>
                <w:highlight w:val="none"/>
              </w:rPr>
              <w:t>原料</w:t>
            </w:r>
            <w:r>
              <w:rPr>
                <w:rFonts w:hint="default" w:ascii="Times New Roman" w:hAnsi="Times New Roman" w:cs="Times New Roman"/>
                <w:color w:val="auto"/>
                <w:sz w:val="24"/>
                <w:szCs w:val="24"/>
                <w:highlight w:val="none"/>
                <w:lang w:val="en-US" w:eastAsia="zh-CN"/>
              </w:rPr>
              <w:t>使用水性漆</w:t>
            </w:r>
            <w:r>
              <w:rPr>
                <w:rFonts w:hint="default" w:ascii="Times New Roman" w:hAnsi="Times New Roman" w:cs="Times New Roman"/>
                <w:color w:val="auto"/>
                <w:sz w:val="24"/>
                <w:szCs w:val="24"/>
                <w:highlight w:val="none"/>
              </w:rPr>
              <w:t>，可从源头有效控制VOCs排放，</w:t>
            </w:r>
            <w:r>
              <w:rPr>
                <w:rFonts w:hint="default" w:ascii="Times New Roman" w:hAnsi="Times New Roman" w:cs="Times New Roman"/>
                <w:color w:val="auto"/>
                <w:sz w:val="24"/>
                <w:highlight w:val="none"/>
                <w:lang w:val="en-US" w:eastAsia="zh-CN"/>
              </w:rPr>
              <w:t>成型烘干、上色固化</w:t>
            </w:r>
            <w:r>
              <w:rPr>
                <w:rFonts w:hint="default" w:ascii="Times New Roman" w:hAnsi="Times New Roman" w:cs="Times New Roman"/>
                <w:color w:val="auto"/>
                <w:sz w:val="24"/>
                <w:highlight w:val="none"/>
              </w:rPr>
              <w:t>工序</w:t>
            </w:r>
            <w:r>
              <w:rPr>
                <w:rFonts w:hint="default" w:ascii="Times New Roman" w:hAnsi="Times New Roman" w:cs="Times New Roman"/>
                <w:color w:val="auto"/>
                <w:sz w:val="24"/>
                <w:szCs w:val="24"/>
                <w:highlight w:val="none"/>
              </w:rPr>
              <w:t>采用天然气加热，产生的污染物主要有</w:t>
            </w:r>
            <w:r>
              <w:rPr>
                <w:rFonts w:hint="default" w:ascii="Times New Roman" w:hAnsi="Times New Roman" w:cs="Times New Roman"/>
                <w:color w:val="auto"/>
                <w:sz w:val="24"/>
                <w:szCs w:val="24"/>
                <w:highlight w:val="none"/>
                <w:lang w:val="en-US" w:eastAsia="zh-CN"/>
              </w:rPr>
              <w:t>VOCs、</w:t>
            </w:r>
            <w:r>
              <w:rPr>
                <w:rFonts w:hint="default" w:ascii="Times New Roman" w:hAnsi="Times New Roman" w:cs="Times New Roman"/>
                <w:color w:val="auto"/>
                <w:sz w:val="24"/>
                <w:szCs w:val="24"/>
                <w:highlight w:val="none"/>
              </w:rPr>
              <w:t>颗粒物、二氧化硫、氮氧化物，收集后经排气筒DA001高空排放。综上，本项目与环境保护部《关于印发&lt;重点行业挥发性有机物综合治理方案&gt;的通知》（环大气〔2019〕53号）相符。</w:t>
            </w:r>
          </w:p>
          <w:p w14:paraId="05FD7657">
            <w:pPr>
              <w:pStyle w:val="103"/>
              <w:keepNext w:val="0"/>
              <w:keepLines w:val="0"/>
              <w:pageBreakBefore w:val="0"/>
              <w:numPr>
                <w:ilvl w:val="0"/>
                <w:numId w:val="0"/>
              </w:numPr>
              <w:suppressLineNumbers w:val="0"/>
              <w:wordWrap w:val="0"/>
              <w:topLinePunct w:val="0"/>
              <w:autoSpaceDE/>
              <w:autoSpaceDN/>
              <w:bidi w:val="0"/>
              <w:spacing w:before="0" w:beforeAutospacing="0" w:after="0" w:afterAutospacing="0"/>
              <w:ind w:left="0" w:right="0" w:rightChars="0" w:firstLine="48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八、与《广东省2023年土壤与地下水污染防治工作方案》（粤环〔2023〕3号）的相符性</w:t>
            </w:r>
          </w:p>
          <w:p w14:paraId="7AA3769F">
            <w:pPr>
              <w:pStyle w:val="104"/>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“方案要求：</w:t>
            </w:r>
          </w:p>
          <w:p w14:paraId="3C7098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三、系统推进土壤污染源头防控</w:t>
            </w:r>
          </w:p>
          <w:p w14:paraId="23A634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加强涉重金属行业污染防控。深化涉镉等重点行业企业污染源排查整治，动态更新污染源排查整治清单。韶关、阳江、清远市要督促有关涉重金属污染物排放企业严格执行特别排放限值相关规定。2023年底前，各地要督促纳入大气环境重点排污单位名录的涉镉等重金属排放企业实现大气污染物中的颗粒物自动监测、监控设备联网。（省生态环境厅牵头，省自然资源厅等按职责分工负责）</w:t>
            </w:r>
          </w:p>
          <w:p w14:paraId="2DCE250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二）严格监管土壤污染重点监管单位。更新并公布土壤污染重点监管单位名录，督促重点监管单位落实法定义务，原则上新纳入的重点监管单位应在当年完成隐患排查，所有重点监管单位完成一轮土壤和地下水自行监测。各地级以上市要组织对重点监管单位开展周边监测，完成比例不低于40%；督促50%已开展隐患排查的重点监管单位开展隐患排查“回头看”。省市两级对“回头看”工作开展质量控制抽查，省级抽查比例不低于10%，市级抽查比例不低于20%（省生态环境厅负责）</w:t>
            </w:r>
            <w:r>
              <w:rPr>
                <w:rFonts w:hint="default" w:ascii="Times New Roman" w:hAnsi="Times New Roman" w:cs="Times New Roman"/>
                <w:color w:val="auto"/>
                <w:sz w:val="24"/>
                <w:szCs w:val="24"/>
                <w:highlight w:val="none"/>
                <w:lang w:val="en-US" w:eastAsia="zh-CN"/>
              </w:rPr>
              <w:t>。</w:t>
            </w:r>
          </w:p>
          <w:p w14:paraId="1DEC41B5">
            <w:pPr>
              <w:pStyle w:val="104"/>
              <w:keepNext w:val="0"/>
              <w:keepLines w:val="0"/>
              <w:pageBreakBefore w:val="0"/>
              <w:suppressLineNumbers w:val="0"/>
              <w:wordWrap w:val="0"/>
              <w:topLinePunct w:val="0"/>
              <w:autoSpaceDE/>
              <w:autoSpaceDN/>
              <w:bidi w:val="0"/>
              <w:spacing w:before="0" w:beforeAutospacing="0" w:after="0" w:afterAutospacing="0"/>
              <w:ind w:left="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六、有序推进地下水污染防治</w:t>
            </w:r>
          </w:p>
          <w:p w14:paraId="16E49F5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一）加强地下水环境质量目标管理和分区管理。各地级以上市加快印发并实施“十四五”国家地下水环境质量考核点位水质达标保持方案，省生态环境厅定期组织对各地级以上市达标保持方案重点工作实施情况开展评估。湛江等市开展地下水国考点位、地下水型农村“千吨万人”饮用水源环境背景值调查研究。实施地下水环境分区管理、分级防治，完成珠三角整体区域及佛山、韶关、河源、东莞、湛江、云浮等市地下水污染防治重点区划定工作。（省生态环境厅牵头，省发展改革委、自然资源厅、水利厅、地质局等按职责分工负责）</w:t>
            </w:r>
          </w:p>
          <w:p w14:paraId="5AC0CB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（三）加强地下水污染防治重点排污单位管理。各地级以上市建立并公布地下水污染防治重点排污单位名录，参照生态环境 </w:t>
            </w:r>
          </w:p>
          <w:p w14:paraId="4B2626E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部制定的重点监管单位土壤污染隐患排查技术指南、地下水污染源防渗技术指南等，指导重点排污单位开展地下水污染渗漏排查，存在问题的单位应开展防渗改造。（省生态环境厅牵头，省住房城乡建设厅等按职责分工负责）”</w:t>
            </w:r>
          </w:p>
          <w:p w14:paraId="7DB9DFDD">
            <w:pPr>
              <w:keepNext w:val="0"/>
              <w:keepLines w:val="0"/>
              <w:pageBreakBefore w:val="0"/>
              <w:widowControl w:val="0"/>
              <w:suppressLineNumbers w:val="0"/>
              <w:kinsoku/>
              <w:wordWrap w:val="0"/>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u w:val="none"/>
                <w:lang w:val="en-US" w:eastAsia="zh-CN"/>
              </w:rPr>
              <w:t>相符性分析：</w:t>
            </w:r>
            <w:r>
              <w:rPr>
                <w:rFonts w:hint="default" w:ascii="Times New Roman" w:hAnsi="Times New Roman" w:cs="Times New Roman"/>
                <w:color w:val="auto"/>
                <w:highlight w:val="none"/>
                <w:u w:val="none"/>
                <w:lang w:val="en-US" w:eastAsia="zh-CN"/>
              </w:rPr>
              <w:t>本项目生产运营过程不涉及重金属排放，生活污水经三级化粪池处理后排入园区污水处理厂。项目对危废仓进行防渗漏、防扬散、防流失等措施，防止危险废物暂存过程对土壤环境造成影响。因此，项目的建设符合《广东省2023年土壤与地下水污染防治工作方案》的相关要求。</w:t>
            </w:r>
          </w:p>
          <w:p w14:paraId="462A5ACE">
            <w:pPr>
              <w:keepNext w:val="0"/>
              <w:keepLines w:val="0"/>
              <w:pageBreakBefore w:val="0"/>
              <w:widowControl w:val="0"/>
              <w:suppressLineNumbers w:val="0"/>
              <w:kinsoku/>
              <w:wordWrap w:val="0"/>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bCs/>
                <w:color w:val="auto"/>
                <w:highlight w:val="none"/>
              </w:rPr>
            </w:pPr>
            <w:r>
              <w:rPr>
                <w:rFonts w:hint="default" w:ascii="Times New Roman" w:hAnsi="Times New Roman" w:cs="Times New Roman"/>
                <w:b/>
                <w:color w:val="auto"/>
                <w:highlight w:val="none"/>
                <w:lang w:val="en-US" w:eastAsia="zh-CN"/>
              </w:rPr>
              <w:t>九</w:t>
            </w:r>
            <w:r>
              <w:rPr>
                <w:rFonts w:hint="default" w:ascii="Times New Roman" w:hAnsi="Times New Roman" w:cs="Times New Roman"/>
                <w:b/>
                <w:color w:val="auto"/>
                <w:highlight w:val="none"/>
              </w:rPr>
              <w:t>、与《广东省生态环境厅关于2021年工业炉窑、锅炉综合整治重点工作的通知》（粤环函〔2021〕461号）的相符性分析</w:t>
            </w:r>
          </w:p>
          <w:p w14:paraId="52887A7B">
            <w:pPr>
              <w:keepNext w:val="0"/>
              <w:keepLines w:val="0"/>
              <w:pageBreakBefore w:val="0"/>
              <w:suppressLineNumbers w:val="0"/>
              <w:kinsoku/>
              <w:wordWrap w:val="0"/>
              <w:overflowPunct/>
              <w:topLinePunct w:val="0"/>
              <w:bidi w:val="0"/>
              <w:adjustRightInd w:val="0"/>
              <w:snapToGrid/>
              <w:spacing w:before="0" w:beforeAutospacing="0" w:after="0" w:afterAutospacing="0"/>
              <w:ind w:left="0" w:right="0"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根据通知：珠三角各地应按照《广东省人民政府关于印发广东省“三线一单”生态环境分区管控方案的通知》：“一、推进钢铁行业超低排放改造</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二、鼓励水泥行业超低排放改造；三、推进钢压延、铝型材行业清洁能源改造；四、收严燃气锅炉大气污染物排放标准；五、珠三角地区逐步淘汰生物质锅炉；六、动态更新工业炉窑综合整治清单；七、完成70%以上涉工业炉窑企业综合整治工作；八、公开综合整治相关信息；九、加强监督执法；十、做好企业整治提升资金保障。”</w:t>
            </w:r>
          </w:p>
          <w:p w14:paraId="3F713C5F">
            <w:pPr>
              <w:keepNext w:val="0"/>
              <w:keepLines w:val="0"/>
              <w:pageBreakBefore w:val="0"/>
              <w:suppressLineNumbers w:val="0"/>
              <w:kinsoku/>
              <w:wordWrap w:val="0"/>
              <w:overflowPunct/>
              <w:topLinePunct w:val="0"/>
              <w:bidi w:val="0"/>
              <w:adjustRightInd w:val="0"/>
              <w:snapToGrid/>
              <w:spacing w:before="0" w:beforeAutospacing="0" w:after="0" w:afterAutospacing="0"/>
              <w:ind w:left="0" w:right="0"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项目使用天然气作为</w:t>
            </w:r>
            <w:r>
              <w:rPr>
                <w:rFonts w:hint="default" w:ascii="Times New Roman" w:hAnsi="Times New Roman" w:cs="Times New Roman"/>
                <w:bCs/>
                <w:color w:val="auto"/>
                <w:highlight w:val="none"/>
                <w:lang w:val="en-US" w:eastAsia="zh-CN"/>
              </w:rPr>
              <w:t>烘干工序</w:t>
            </w:r>
            <w:r>
              <w:rPr>
                <w:rFonts w:hint="default" w:ascii="Times New Roman" w:hAnsi="Times New Roman" w:cs="Times New Roman"/>
                <w:bCs/>
                <w:color w:val="auto"/>
                <w:highlight w:val="none"/>
              </w:rPr>
              <w:t>的燃料。天然气燃烧排放的污染物为颗粒物、SO</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rPr>
              <w:t>、NOx</w:t>
            </w:r>
            <w:r>
              <w:rPr>
                <w:rFonts w:hint="default" w:ascii="Times New Roman" w:hAnsi="Times New Roman" w:cs="Times New Roman"/>
                <w:bCs/>
                <w:color w:val="auto"/>
                <w:highlight w:val="none"/>
                <w:lang w:eastAsia="zh-CN"/>
              </w:rPr>
              <w:t>。天然气燃烧废气排放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default" w:ascii="Times New Roman" w:hAnsi="Times New Roman" w:cs="Times New Roman"/>
                <w:bCs/>
                <w:color w:val="auto"/>
                <w:highlight w:val="none"/>
              </w:rPr>
              <w:t>要求。因此项目符合《广东省生态环境厅关于2021年工业炉窑、锅炉综合整治重点工作的通知》（粤环函〔2021〕461号）的相关要求。</w:t>
            </w:r>
          </w:p>
          <w:p w14:paraId="700EE571">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21465E5C">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7B2C6B00">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33AF5FD9">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7F17D5AA">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089117B5">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2F78CC74">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4480381E">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585D375E">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548A2A12">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3441D5A8">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46DBBF67">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70ABEDB4">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72E5AF90">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7F29E79D">
            <w:pPr>
              <w:keepNext w:val="0"/>
              <w:keepLines w:val="0"/>
              <w:pageBreakBefore w:val="0"/>
              <w:suppressLineNumbers w:val="0"/>
              <w:kinsoku/>
              <w:wordWrap w:val="0"/>
              <w:overflowPunct/>
              <w:topLinePunct w:val="0"/>
              <w:bidi w:val="0"/>
              <w:snapToGrid/>
              <w:spacing w:before="0" w:beforeAutospacing="0" w:after="0" w:afterAutospacing="0"/>
              <w:ind w:left="0" w:right="0"/>
              <w:rPr>
                <w:rFonts w:hint="default" w:ascii="Times New Roman" w:hAnsi="Times New Roman" w:eastAsia="宋体" w:cs="Times New Roman"/>
                <w:color w:val="auto"/>
                <w:highlight w:val="none"/>
                <w:lang w:val="en-US" w:eastAsia="zh-CN"/>
              </w:rPr>
            </w:pPr>
          </w:p>
        </w:tc>
      </w:tr>
    </w:tbl>
    <w:p w14:paraId="49066F6B">
      <w:pPr>
        <w:pStyle w:val="2"/>
        <w:pageBreakBefore w:val="0"/>
        <w:numPr>
          <w:ilvl w:val="0"/>
          <w:numId w:val="0"/>
        </w:numPr>
        <w:wordWrap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bookmarkStart w:id="12" w:name="_Toc25936"/>
      <w:bookmarkStart w:id="13" w:name="_Toc17804"/>
      <w:bookmarkStart w:id="14" w:name="_Toc7568"/>
      <w:r>
        <w:rPr>
          <w:rFonts w:hint="default" w:ascii="Times New Roman" w:hAnsi="Times New Roman" w:cs="Times New Roman"/>
          <w:b/>
          <w:bCs/>
          <w:color w:val="auto"/>
          <w:highlight w:val="none"/>
        </w:rPr>
        <w:t>二、建设项目工程分析</w:t>
      </w:r>
      <w:bookmarkEnd w:id="12"/>
      <w:bookmarkEnd w:id="13"/>
      <w:bookmarkEnd w:id="14"/>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506"/>
      </w:tblGrid>
      <w:tr w14:paraId="34D58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1" w:type="pct"/>
            <w:vAlign w:val="center"/>
          </w:tcPr>
          <w:p w14:paraId="0F70D056">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line="276" w:lineRule="auto"/>
              <w:ind w:left="0" w:right="0"/>
              <w:textAlignment w:val="auto"/>
              <w:outlineLvl w:val="9"/>
              <w:rPr>
                <w:rFonts w:hint="default" w:ascii="Times New Roman" w:hAnsi="Times New Roman" w:cs="Times New Roman"/>
                <w:color w:val="auto"/>
                <w:highlight w:val="none"/>
              </w:rPr>
            </w:pPr>
            <w:bookmarkStart w:id="15" w:name="_Toc28930"/>
            <w:bookmarkStart w:id="16" w:name="_Toc12660"/>
            <w:bookmarkStart w:id="17" w:name="_Toc1786"/>
            <w:bookmarkStart w:id="18" w:name="_Toc28166"/>
            <w:bookmarkStart w:id="19" w:name="_Toc23802"/>
            <w:r>
              <w:rPr>
                <w:rFonts w:hint="default" w:ascii="Times New Roman" w:hAnsi="Times New Roman" w:cs="Times New Roman"/>
                <w:b/>
                <w:bCs/>
                <w:color w:val="auto"/>
                <w:highlight w:val="none"/>
              </w:rPr>
              <w:t>建设内容</w:t>
            </w:r>
            <w:bookmarkEnd w:id="15"/>
            <w:bookmarkEnd w:id="16"/>
            <w:bookmarkEnd w:id="17"/>
            <w:bookmarkEnd w:id="18"/>
            <w:bookmarkEnd w:id="19"/>
          </w:p>
        </w:tc>
        <w:tc>
          <w:tcPr>
            <w:tcW w:w="4758" w:type="pct"/>
          </w:tcPr>
          <w:p w14:paraId="044520B2">
            <w:pPr>
              <w:keepNext/>
              <w:keepLines/>
              <w:pageBreakBefore w:val="0"/>
              <w:suppressLineNumbers w:val="0"/>
              <w:tabs>
                <w:tab w:val="left" w:pos="0"/>
              </w:tabs>
              <w:wordWrap w:val="0"/>
              <w:bidi w:val="0"/>
              <w:spacing w:before="0" w:beforeAutospacing="0" w:after="0" w:afterAutospacing="0"/>
              <w:ind w:left="-2" w:right="0"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6A879B8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i w:val="0"/>
                <w:iCs w:val="0"/>
                <w:caps w:val="0"/>
                <w:color w:val="auto"/>
                <w:spacing w:val="0"/>
                <w:sz w:val="24"/>
                <w:szCs w:val="24"/>
                <w:highlight w:val="none"/>
                <w:shd w:val="clear" w:fill="FFFFFF"/>
                <w:lang w:eastAsia="zh-CN"/>
              </w:rPr>
            </w:pPr>
            <w:r>
              <w:rPr>
                <w:rFonts w:hint="default" w:ascii="Times New Roman" w:hAnsi="Times New Roman" w:cs="Times New Roman"/>
                <w:i w:val="0"/>
                <w:iCs w:val="0"/>
                <w:caps w:val="0"/>
                <w:color w:val="auto"/>
                <w:spacing w:val="0"/>
                <w:sz w:val="24"/>
                <w:szCs w:val="24"/>
                <w:highlight w:val="none"/>
                <w:shd w:val="clear" w:fill="FFFFFF"/>
                <w:lang w:eastAsia="zh-CN"/>
              </w:rPr>
              <w:t>广东鑫景源新材料有限公司</w:t>
            </w:r>
            <w:r>
              <w:rPr>
                <w:rFonts w:hint="default" w:ascii="Times New Roman" w:hAnsi="Times New Roman" w:eastAsia="宋体" w:cs="Times New Roman"/>
                <w:i w:val="0"/>
                <w:iCs w:val="0"/>
                <w:caps w:val="0"/>
                <w:color w:val="auto"/>
                <w:spacing w:val="0"/>
                <w:sz w:val="24"/>
                <w:szCs w:val="24"/>
                <w:highlight w:val="none"/>
                <w:shd w:val="clear" w:fill="FFFFFF"/>
              </w:rPr>
              <w:t>（以下简称</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建设单位</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）拟在</w:t>
            </w:r>
            <w:r>
              <w:rPr>
                <w:rFonts w:hint="default" w:ascii="Times New Roman" w:hAnsi="Times New Roman" w:cs="Times New Roman"/>
                <w:i w:val="0"/>
                <w:iCs w:val="0"/>
                <w:caps w:val="0"/>
                <w:color w:val="auto"/>
                <w:spacing w:val="0"/>
                <w:sz w:val="24"/>
                <w:szCs w:val="24"/>
                <w:highlight w:val="none"/>
                <w:shd w:val="clear" w:fill="FFFFFF"/>
                <w:lang w:eastAsia="zh-CN"/>
              </w:rPr>
              <w:t>韶关市乐昌市乐昌产业转移工业园</w:t>
            </w:r>
            <w:r>
              <w:rPr>
                <w:rFonts w:hint="default" w:ascii="Times New Roman" w:hAnsi="Times New Roman" w:cs="Times New Roman"/>
                <w:i w:val="0"/>
                <w:iCs w:val="0"/>
                <w:caps w:val="0"/>
                <w:color w:val="auto"/>
                <w:spacing w:val="0"/>
                <w:sz w:val="24"/>
                <w:szCs w:val="24"/>
                <w:highlight w:val="none"/>
                <w:shd w:val="clear" w:fill="FFFFFF"/>
                <w:lang w:val="en-US" w:eastAsia="zh-CN"/>
              </w:rPr>
              <w:t>金岭五路6号厂房</w:t>
            </w:r>
            <w:r>
              <w:rPr>
                <w:rFonts w:hint="default" w:ascii="Times New Roman" w:hAnsi="Times New Roman" w:eastAsia="宋体" w:cs="Times New Roman"/>
                <w:i w:val="0"/>
                <w:iCs w:val="0"/>
                <w:caps w:val="0"/>
                <w:color w:val="auto"/>
                <w:spacing w:val="0"/>
                <w:sz w:val="24"/>
                <w:szCs w:val="24"/>
                <w:highlight w:val="none"/>
                <w:shd w:val="clear" w:fill="FFFFFF"/>
              </w:rPr>
              <w:t>投资建设</w:t>
            </w:r>
            <w:r>
              <w:rPr>
                <w:rFonts w:hint="default" w:ascii="Times New Roman" w:hAnsi="Times New Roman" w:cs="Times New Roman"/>
                <w:i w:val="0"/>
                <w:iCs w:val="0"/>
                <w:caps w:val="0"/>
                <w:color w:val="auto"/>
                <w:spacing w:val="0"/>
                <w:sz w:val="24"/>
                <w:szCs w:val="24"/>
                <w:highlight w:val="none"/>
                <w:shd w:val="clear" w:fill="FFFFFF"/>
                <w:lang w:eastAsia="zh-CN"/>
              </w:rPr>
              <w:t>“</w:t>
            </w:r>
            <w:r>
              <w:rPr>
                <w:rFonts w:hint="default" w:ascii="Times New Roman" w:hAnsi="Times New Roman" w:cs="Times New Roman"/>
                <w:i w:val="0"/>
                <w:iCs w:val="0"/>
                <w:caps w:val="0"/>
                <w:color w:val="auto"/>
                <w:spacing w:val="0"/>
                <w:sz w:val="24"/>
                <w:szCs w:val="24"/>
                <w:highlight w:val="none"/>
                <w:shd w:val="clear" w:fill="FFFFFF"/>
                <w:lang w:val="en-US" w:eastAsia="zh-CN"/>
              </w:rPr>
              <w:t>乐昌鑫景源新材料项目</w:t>
            </w:r>
            <w:r>
              <w:rPr>
                <w:rFonts w:hint="default" w:ascii="Times New Roman" w:hAnsi="Times New Roman" w:cs="Times New Roman"/>
                <w:i w:val="0"/>
                <w:iCs w:val="0"/>
                <w:caps w:val="0"/>
                <w:color w:val="auto"/>
                <w:spacing w:val="0"/>
                <w:sz w:val="24"/>
                <w:szCs w:val="24"/>
                <w:highlight w:val="none"/>
                <w:shd w:val="clear" w:fill="FFFFFF"/>
                <w:lang w:eastAsia="zh-CN"/>
              </w:rPr>
              <w:t>”（</w:t>
            </w:r>
            <w:r>
              <w:rPr>
                <w:rFonts w:hint="default" w:ascii="Times New Roman" w:hAnsi="Times New Roman" w:cs="Times New Roman"/>
                <w:i w:val="0"/>
                <w:iCs w:val="0"/>
                <w:caps w:val="0"/>
                <w:color w:val="auto"/>
                <w:spacing w:val="0"/>
                <w:sz w:val="24"/>
                <w:szCs w:val="24"/>
                <w:highlight w:val="none"/>
                <w:shd w:val="clear" w:fill="FFFFFF"/>
                <w:lang w:val="en-US" w:eastAsia="zh-CN"/>
              </w:rPr>
              <w:t>以下简称“本项目”</w:t>
            </w:r>
            <w:r>
              <w:rPr>
                <w:rFonts w:hint="default" w:ascii="Times New Roman" w:hAnsi="Times New Roman"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cs="Times New Roman"/>
                <w:i w:val="0"/>
                <w:iCs w:val="0"/>
                <w:caps w:val="0"/>
                <w:color w:val="auto"/>
                <w:spacing w:val="0"/>
                <w:sz w:val="24"/>
                <w:szCs w:val="24"/>
                <w:highlight w:val="none"/>
                <w:shd w:val="clear" w:fill="FFFFFF"/>
                <w:lang w:val="en-US" w:eastAsia="zh-CN"/>
              </w:rPr>
              <w:t>本</w:t>
            </w:r>
            <w:r>
              <w:rPr>
                <w:rFonts w:hint="default" w:ascii="Times New Roman" w:hAnsi="Times New Roman" w:eastAsia="宋体" w:cs="Times New Roman"/>
                <w:i w:val="0"/>
                <w:iCs w:val="0"/>
                <w:caps w:val="0"/>
                <w:color w:val="auto"/>
                <w:spacing w:val="0"/>
                <w:sz w:val="24"/>
                <w:szCs w:val="24"/>
                <w:highlight w:val="none"/>
                <w:shd w:val="clear" w:fill="FFFFFF"/>
              </w:rPr>
              <w:t>项目主要从</w:t>
            </w:r>
            <w:r>
              <w:rPr>
                <w:rFonts w:hint="default" w:ascii="Times New Roman" w:hAnsi="Times New Roman" w:cs="Times New Roman"/>
                <w:i w:val="0"/>
                <w:iCs w:val="0"/>
                <w:caps w:val="0"/>
                <w:color w:val="auto"/>
                <w:spacing w:val="0"/>
                <w:sz w:val="24"/>
                <w:szCs w:val="24"/>
                <w:highlight w:val="none"/>
                <w:shd w:val="clear" w:fill="FFFFFF"/>
                <w:lang w:val="en-US" w:eastAsia="zh-CN"/>
              </w:rPr>
              <w:t>建筑软瓷材料</w:t>
            </w:r>
            <w:r>
              <w:rPr>
                <w:rFonts w:hint="default" w:ascii="Times New Roman" w:hAnsi="Times New Roman" w:eastAsia="宋体" w:cs="Times New Roman"/>
                <w:i w:val="0"/>
                <w:iCs w:val="0"/>
                <w:caps w:val="0"/>
                <w:color w:val="auto"/>
                <w:spacing w:val="0"/>
                <w:sz w:val="24"/>
                <w:szCs w:val="24"/>
                <w:highlight w:val="none"/>
                <w:shd w:val="clear" w:fill="FFFFFF"/>
              </w:rPr>
              <w:t>的生产制造，计划</w:t>
            </w:r>
            <w:r>
              <w:rPr>
                <w:rFonts w:hint="default" w:ascii="Times New Roman" w:hAnsi="Times New Roman" w:cs="Times New Roman"/>
                <w:i w:val="0"/>
                <w:iCs w:val="0"/>
                <w:caps w:val="0"/>
                <w:color w:val="auto"/>
                <w:spacing w:val="0"/>
                <w:sz w:val="24"/>
                <w:szCs w:val="24"/>
                <w:highlight w:val="none"/>
                <w:shd w:val="clear" w:fill="FFFFFF"/>
                <w:lang w:val="en-US" w:eastAsia="zh-CN"/>
              </w:rPr>
              <w:t>年产5万m</w:t>
            </w:r>
            <w:r>
              <w:rPr>
                <w:rFonts w:hint="default" w:ascii="Times New Roman" w:hAnsi="Times New Roman" w:cs="Times New Roman"/>
                <w:i w:val="0"/>
                <w:iCs w:val="0"/>
                <w:caps w:val="0"/>
                <w:color w:val="auto"/>
                <w:spacing w:val="0"/>
                <w:sz w:val="24"/>
                <w:szCs w:val="24"/>
                <w:highlight w:val="none"/>
                <w:shd w:val="clear" w:fill="FFFFFF"/>
                <w:vertAlign w:val="superscript"/>
                <w:lang w:val="en-US" w:eastAsia="zh-CN"/>
              </w:rPr>
              <w:t>2</w:t>
            </w:r>
            <w:r>
              <w:rPr>
                <w:rFonts w:hint="default" w:ascii="Times New Roman" w:hAnsi="Times New Roman" w:cs="Times New Roman"/>
                <w:i w:val="0"/>
                <w:iCs w:val="0"/>
                <w:caps w:val="0"/>
                <w:color w:val="auto"/>
                <w:spacing w:val="0"/>
                <w:sz w:val="24"/>
                <w:szCs w:val="24"/>
                <w:highlight w:val="none"/>
                <w:shd w:val="clear" w:fill="FFFFFF"/>
                <w:lang w:val="en-US" w:eastAsia="zh-CN"/>
              </w:rPr>
              <w:t>新形建筑软瓷材料</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p>
          <w:p w14:paraId="4F5A9815">
            <w:pPr>
              <w:keepNext w:val="0"/>
              <w:keepLines w:val="0"/>
              <w:pageBreakBefore w:val="0"/>
              <w:widowControl/>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本项目总占地面积约</w:t>
            </w:r>
            <w:r>
              <w:rPr>
                <w:rFonts w:hint="default" w:ascii="Times New Roman" w:hAnsi="Times New Roman" w:cs="Times New Roman"/>
                <w:color w:val="auto"/>
                <w:sz w:val="24"/>
                <w:szCs w:val="24"/>
                <w:highlight w:val="none"/>
                <w:lang w:val="en-US" w:eastAsia="zh-CN"/>
              </w:rPr>
              <w:t>4165.14</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default" w:ascii="Times New Roman" w:hAnsi="Times New Roman" w:cs="Times New Roman"/>
                <w:color w:val="auto"/>
                <w:highlight w:val="none"/>
                <w:lang w:val="en-US" w:eastAsia="zh-CN"/>
              </w:rPr>
              <w:t>约5275.80</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。项目总投资</w:t>
            </w:r>
            <w:r>
              <w:rPr>
                <w:rFonts w:hint="default" w:ascii="Times New Roman" w:hAnsi="Times New Roman" w:cs="Times New Roman"/>
                <w:color w:val="auto"/>
                <w:highlight w:val="none"/>
                <w:lang w:val="en-US" w:eastAsia="zh-CN"/>
              </w:rPr>
              <w:t>1000</w:t>
            </w:r>
            <w:r>
              <w:rPr>
                <w:rFonts w:hint="default" w:ascii="Times New Roman" w:hAnsi="Times New Roman" w:cs="Times New Roman"/>
                <w:color w:val="auto"/>
                <w:highlight w:val="none"/>
              </w:rPr>
              <w:t>万元，其中环保投资</w:t>
            </w:r>
            <w:r>
              <w:rPr>
                <w:rFonts w:hint="eastAsia" w:cs="Times New Roman"/>
                <w:color w:val="auto"/>
                <w:highlight w:val="none"/>
                <w:lang w:val="en-US" w:eastAsia="zh-CN"/>
              </w:rPr>
              <w:t>5</w:t>
            </w:r>
            <w:r>
              <w:rPr>
                <w:rFonts w:hint="default" w:ascii="Times New Roman" w:hAnsi="Times New Roman" w:cs="Times New Roman"/>
                <w:color w:val="auto"/>
                <w:highlight w:val="none"/>
              </w:rPr>
              <w:t>0万元。</w:t>
            </w:r>
            <w:r>
              <w:rPr>
                <w:rFonts w:hint="default" w:ascii="Times New Roman" w:hAnsi="Times New Roman" w:cs="Times New Roman"/>
                <w:color w:val="auto"/>
                <w:highlight w:val="none"/>
                <w:lang w:val="en-US" w:eastAsia="zh-CN"/>
              </w:rPr>
              <w:t>生产车间内设置物料仓库、6</w:t>
            </w:r>
            <w:r>
              <w:rPr>
                <w:rFonts w:hint="default" w:ascii="Times New Roman" w:hAnsi="Times New Roman" w:cs="Times New Roman"/>
                <w:color w:val="auto"/>
                <w:highlight w:val="none"/>
              </w:rPr>
              <w:t>条</w:t>
            </w:r>
            <w:r>
              <w:rPr>
                <w:rFonts w:hint="default" w:ascii="Times New Roman" w:hAnsi="Times New Roman" w:cs="Times New Roman"/>
                <w:color w:val="auto"/>
                <w:highlight w:val="none"/>
                <w:lang w:val="en-US" w:eastAsia="zh-CN"/>
              </w:rPr>
              <w:t>软瓷</w:t>
            </w:r>
            <w:r>
              <w:rPr>
                <w:rFonts w:hint="default" w:ascii="Times New Roman" w:hAnsi="Times New Roman" w:cs="Times New Roman"/>
                <w:color w:val="auto"/>
                <w:highlight w:val="none"/>
              </w:rPr>
              <w:t>生产线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其中生产线配套有烤房、搅拌机、切割机、自动喷漆机等生产设施</w:t>
            </w:r>
            <w:r>
              <w:rPr>
                <w:rFonts w:hint="default" w:ascii="Times New Roman" w:hAnsi="Times New Roman" w:cs="Times New Roman"/>
                <w:color w:val="auto"/>
                <w:highlight w:val="none"/>
                <w:lang w:eastAsia="zh-CN"/>
              </w:rPr>
              <w:t>。</w:t>
            </w:r>
          </w:p>
          <w:p w14:paraId="4E4389D7">
            <w:pPr>
              <w:pStyle w:val="15"/>
              <w:keepNext w:val="0"/>
              <w:keepLines w:val="0"/>
              <w:pageBreakBefore w:val="0"/>
              <w:suppressLineNumbers w:val="0"/>
              <w:wordWrap w:val="0"/>
              <w:bidi w:val="0"/>
              <w:spacing w:before="0" w:beforeAutospacing="0" w:after="0" w:afterAutospacing="0"/>
              <w:ind w:left="0" w:right="0"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w:t>
            </w:r>
            <w:r>
              <w:rPr>
                <w:rFonts w:hint="default" w:ascii="Times New Roman" w:hAnsi="Times New Roman" w:cs="Times New Roman"/>
                <w:color w:val="auto"/>
                <w:highlight w:val="none"/>
                <w:lang w:val="en-US" w:eastAsia="zh-CN"/>
              </w:rPr>
              <w:t>《广东省环境保护条例》（2022年11月30日修正）</w:t>
            </w:r>
            <w:r>
              <w:rPr>
                <w:rFonts w:hint="default" w:ascii="Times New Roman" w:hAnsi="Times New Roman" w:cs="Times New Roman"/>
                <w:color w:val="auto"/>
                <w:szCs w:val="24"/>
                <w:highlight w:val="none"/>
              </w:rPr>
              <w:t>等有关规定，建设过程中或者建成投产后可能对环境产生影响的新建、扩建、改建、迁建、技术改造项目及区域开发建设项目，必须执行环境影响评价制度。对照</w:t>
            </w:r>
            <w:r>
              <w:rPr>
                <w:rFonts w:hint="default" w:ascii="Times New Roman" w:hAnsi="Times New Roman" w:cs="Times New Roman"/>
                <w:color w:val="auto"/>
                <w:highlight w:val="none"/>
              </w:rPr>
              <w:t>《国民经济行业分类》（GB/T 4754-2017，按第1号修改单修订）</w:t>
            </w:r>
            <w:r>
              <w:rPr>
                <w:rFonts w:hint="default" w:ascii="Times New Roman" w:hAnsi="Times New Roman" w:cs="Times New Roman"/>
                <w:color w:val="auto"/>
                <w:szCs w:val="24"/>
                <w:highlight w:val="none"/>
              </w:rPr>
              <w:t>，本项目属于</w:t>
            </w:r>
            <w:r>
              <w:rPr>
                <w:rFonts w:hint="default" w:ascii="Times New Roman" w:hAnsi="Times New Roman" w:cs="Times New Roman"/>
                <w:color w:val="auto"/>
                <w:kern w:val="2"/>
                <w:sz w:val="24"/>
                <w:szCs w:val="24"/>
                <w:highlight w:val="none"/>
              </w:rPr>
              <w:t>C3</w:t>
            </w:r>
            <w:r>
              <w:rPr>
                <w:rFonts w:hint="default" w:ascii="Times New Roman" w:hAnsi="Times New Roman" w:cs="Times New Roman"/>
                <w:color w:val="auto"/>
                <w:kern w:val="2"/>
                <w:sz w:val="24"/>
                <w:szCs w:val="24"/>
                <w:highlight w:val="none"/>
                <w:lang w:val="en-US" w:eastAsia="zh-CN"/>
              </w:rPr>
              <w:t>039其他建筑材料制造</w:t>
            </w:r>
            <w:r>
              <w:rPr>
                <w:rFonts w:hint="default" w:ascii="Times New Roman" w:hAnsi="Times New Roman" w:cs="Times New Roman"/>
                <w:color w:val="auto"/>
                <w:szCs w:val="24"/>
                <w:highlight w:val="none"/>
              </w:rPr>
              <w:t>；对照国家环保部《建设项目环境影响评价分类管理名录》（2021年版），该项目属于“</w:t>
            </w:r>
            <w:r>
              <w:rPr>
                <w:rFonts w:hint="default" w:ascii="Times New Roman" w:hAnsi="Times New Roman" w:cs="Times New Roman"/>
                <w:color w:val="auto"/>
                <w:kern w:val="2"/>
                <w:sz w:val="24"/>
                <w:szCs w:val="24"/>
                <w:highlight w:val="none"/>
                <w:lang w:val="en-US" w:eastAsia="zh-CN"/>
              </w:rPr>
              <w:t>二十七</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非</w:t>
            </w:r>
            <w:r>
              <w:rPr>
                <w:rFonts w:hint="default" w:ascii="Times New Roman" w:hAnsi="Times New Roman" w:cs="Times New Roman"/>
                <w:color w:val="auto"/>
                <w:kern w:val="2"/>
                <w:sz w:val="24"/>
                <w:szCs w:val="24"/>
                <w:highlight w:val="none"/>
              </w:rPr>
              <w:t>金属</w:t>
            </w:r>
            <w:r>
              <w:rPr>
                <w:rFonts w:hint="default" w:ascii="Times New Roman" w:hAnsi="Times New Roman" w:cs="Times New Roman"/>
                <w:color w:val="auto"/>
                <w:kern w:val="2"/>
                <w:sz w:val="24"/>
                <w:szCs w:val="24"/>
                <w:highlight w:val="none"/>
                <w:lang w:val="en-US" w:eastAsia="zh-CN"/>
              </w:rPr>
              <w:t>矿物</w:t>
            </w:r>
            <w:r>
              <w:rPr>
                <w:rFonts w:hint="default" w:ascii="Times New Roman" w:hAnsi="Times New Roman" w:cs="Times New Roman"/>
                <w:color w:val="auto"/>
                <w:kern w:val="2"/>
                <w:sz w:val="24"/>
                <w:szCs w:val="24"/>
                <w:highlight w:val="none"/>
              </w:rPr>
              <w:t xml:space="preserve">制品业 </w:t>
            </w:r>
            <w:r>
              <w:rPr>
                <w:rFonts w:hint="default" w:ascii="Times New Roman" w:hAnsi="Times New Roman" w:cs="Times New Roman"/>
                <w:color w:val="auto"/>
                <w:kern w:val="2"/>
                <w:sz w:val="24"/>
                <w:szCs w:val="24"/>
                <w:highlight w:val="none"/>
                <w:lang w:val="en-US" w:eastAsia="zh-CN"/>
              </w:rPr>
              <w:t>30</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砖瓦</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石材等建筑材料制造303</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其他建筑材料制造</w:t>
            </w:r>
            <w:r>
              <w:rPr>
                <w:rFonts w:hint="default" w:ascii="Times New Roman" w:hAnsi="Times New Roman" w:cs="Times New Roman"/>
                <w:color w:val="auto"/>
                <w:szCs w:val="24"/>
                <w:highlight w:val="none"/>
              </w:rPr>
              <w:t>”，按要求需要编制环境影响报告表。</w:t>
            </w:r>
          </w:p>
          <w:p w14:paraId="433E926F">
            <w:pPr>
              <w:pStyle w:val="15"/>
              <w:keepNext w:val="0"/>
              <w:keepLines w:val="0"/>
              <w:pageBreakBefore w:val="0"/>
              <w:suppressLineNumbers w:val="0"/>
              <w:wordWrap w:val="0"/>
              <w:bidi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因此，受</w:t>
            </w:r>
            <w:r>
              <w:rPr>
                <w:rFonts w:hint="default" w:ascii="Times New Roman" w:hAnsi="Times New Roman" w:cs="Times New Roman"/>
                <w:i w:val="0"/>
                <w:iCs w:val="0"/>
                <w:caps w:val="0"/>
                <w:color w:val="auto"/>
                <w:spacing w:val="0"/>
                <w:sz w:val="24"/>
                <w:szCs w:val="24"/>
                <w:highlight w:val="none"/>
                <w:shd w:val="clear" w:fill="FFFFFF"/>
                <w:lang w:eastAsia="zh-CN"/>
              </w:rPr>
              <w:t>广东鑫景源新材料有限公司</w:t>
            </w:r>
            <w:r>
              <w:rPr>
                <w:rFonts w:hint="default" w:ascii="Times New Roman" w:hAnsi="Times New Roman" w:cs="Times New Roman"/>
                <w:color w:val="auto"/>
                <w:szCs w:val="24"/>
                <w:highlight w:val="none"/>
              </w:rPr>
              <w:t>委托</w:t>
            </w:r>
            <w:r>
              <w:rPr>
                <w:rFonts w:hint="default" w:ascii="Times New Roman" w:hAnsi="Times New Roman" w:cs="Times New Roman"/>
                <w:color w:val="auto"/>
                <w:highlight w:val="none"/>
                <w:lang w:val="en-US" w:eastAsia="zh-CN"/>
              </w:rPr>
              <w:t>，我公司承担了该项目的环境影响评价工作。接受委托后，在现场踏勘和资料收集等的基础上，根据环境影响评价技术导则及其它有关文件，编制了《</w:t>
            </w:r>
            <w:r>
              <w:rPr>
                <w:rFonts w:hint="default" w:ascii="Times New Roman" w:hAnsi="Times New Roman" w:cs="Times New Roman"/>
                <w:color w:val="auto"/>
                <w:highlight w:val="none"/>
                <w:lang w:eastAsia="zh-CN"/>
              </w:rPr>
              <w:t>乐昌鑫景源新材料项目</w:t>
            </w:r>
            <w:r>
              <w:rPr>
                <w:rFonts w:hint="default" w:ascii="Times New Roman" w:hAnsi="Times New Roman" w:cs="Times New Roman"/>
                <w:color w:val="auto"/>
                <w:highlight w:val="none"/>
                <w:lang w:val="en-US" w:eastAsia="zh-CN"/>
              </w:rPr>
              <w:t>环境影响报告表》</w:t>
            </w:r>
            <w:r>
              <w:rPr>
                <w:rFonts w:hint="default" w:ascii="Times New Roman" w:hAnsi="Times New Roman" w:cs="Times New Roman"/>
                <w:color w:val="auto"/>
                <w:szCs w:val="24"/>
                <w:highlight w:val="none"/>
              </w:rPr>
              <w:t>。</w:t>
            </w:r>
          </w:p>
          <w:p w14:paraId="054C5E85">
            <w:pPr>
              <w:pStyle w:val="4"/>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7392DB27">
            <w:pPr>
              <w:pStyle w:val="5"/>
              <w:pageBreakBefore w:val="0"/>
              <w:numPr>
                <w:ilvl w:val="3"/>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7DE5CFB3">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建设单位</w:t>
            </w:r>
            <w:r>
              <w:rPr>
                <w:rFonts w:hint="default" w:ascii="Times New Roman" w:hAnsi="Times New Roman" w:cs="Times New Roman"/>
                <w:color w:val="auto"/>
                <w:highlight w:val="none"/>
                <w:lang w:val="en-US" w:eastAsia="zh-CN"/>
              </w:rPr>
              <w:t>拟</w:t>
            </w:r>
            <w:r>
              <w:rPr>
                <w:rFonts w:hint="default" w:ascii="Times New Roman" w:hAnsi="Times New Roman" w:cs="Times New Roman"/>
                <w:color w:val="auto"/>
                <w:highlight w:val="none"/>
              </w:rPr>
              <w:t>于</w:t>
            </w:r>
            <w:r>
              <w:rPr>
                <w:rFonts w:hint="default" w:ascii="Times New Roman" w:hAnsi="Times New Roman" w:cs="Times New Roman"/>
                <w:color w:val="auto"/>
                <w:highlight w:val="none"/>
                <w:lang w:eastAsia="zh-CN"/>
              </w:rPr>
              <w:t>韶关市乐昌市乐昌产业转移工业园</w:t>
            </w:r>
            <w:r>
              <w:rPr>
                <w:rFonts w:hint="default" w:ascii="Times New Roman" w:hAnsi="Times New Roman" w:cs="Times New Roman"/>
                <w:color w:val="auto"/>
                <w:highlight w:val="none"/>
                <w:lang w:val="en-US" w:eastAsia="zh-CN"/>
              </w:rPr>
              <w:t>金岭五路6号</w:t>
            </w:r>
            <w:r>
              <w:rPr>
                <w:rFonts w:hint="default" w:ascii="Times New Roman" w:hAnsi="Times New Roman" w:cs="Times New Roman"/>
                <w:color w:val="auto"/>
                <w:highlight w:val="none"/>
              </w:rPr>
              <w:t>，本项目总占地面积约</w:t>
            </w:r>
            <w:r>
              <w:rPr>
                <w:rFonts w:hint="default" w:ascii="Times New Roman" w:hAnsi="Times New Roman" w:cs="Times New Roman"/>
                <w:color w:val="auto"/>
                <w:sz w:val="24"/>
                <w:szCs w:val="24"/>
                <w:highlight w:val="none"/>
                <w:lang w:val="en-US" w:eastAsia="zh-CN"/>
              </w:rPr>
              <w:t>4165.14</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default" w:ascii="Times New Roman" w:hAnsi="Times New Roman" w:cs="Times New Roman"/>
                <w:color w:val="auto"/>
                <w:highlight w:val="none"/>
                <w:lang w:val="en-US" w:eastAsia="zh-CN"/>
              </w:rPr>
              <w:t>约5275.80</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w:t>
            </w:r>
            <w:r>
              <w:rPr>
                <w:rFonts w:hint="default" w:ascii="Times New Roman" w:hAnsi="Times New Roman" w:cs="Times New Roman"/>
                <w:color w:val="auto"/>
                <w:kern w:val="24"/>
                <w:highlight w:val="none"/>
                <w:lang w:eastAsia="zh-CN"/>
              </w:rPr>
              <w:t>本项目</w:t>
            </w:r>
            <w:r>
              <w:rPr>
                <w:rFonts w:hint="default" w:ascii="Times New Roman" w:hAnsi="Times New Roman" w:cs="Times New Roman"/>
                <w:color w:val="auto"/>
                <w:highlight w:val="none"/>
              </w:rPr>
              <w:t>主要建设内容包括</w:t>
            </w:r>
            <w:r>
              <w:rPr>
                <w:rFonts w:hint="default" w:ascii="Times New Roman" w:hAnsi="Times New Roman" w:cs="Times New Roman"/>
                <w:color w:val="auto"/>
                <w:highlight w:val="none"/>
                <w:lang w:val="en-US" w:eastAsia="zh-CN"/>
              </w:rPr>
              <w:t>物料仓库、6</w:t>
            </w:r>
            <w:r>
              <w:rPr>
                <w:rFonts w:hint="default" w:ascii="Times New Roman" w:hAnsi="Times New Roman" w:cs="Times New Roman"/>
                <w:color w:val="auto"/>
                <w:highlight w:val="none"/>
              </w:rPr>
              <w:t>条</w:t>
            </w:r>
            <w:r>
              <w:rPr>
                <w:rFonts w:hint="default" w:ascii="Times New Roman" w:hAnsi="Times New Roman" w:cs="Times New Roman"/>
                <w:color w:val="auto"/>
                <w:highlight w:val="none"/>
                <w:lang w:val="en-US" w:eastAsia="zh-CN"/>
              </w:rPr>
              <w:t>软瓷</w:t>
            </w:r>
            <w:r>
              <w:rPr>
                <w:rFonts w:hint="default" w:ascii="Times New Roman" w:hAnsi="Times New Roman" w:cs="Times New Roman"/>
                <w:color w:val="auto"/>
                <w:highlight w:val="none"/>
              </w:rPr>
              <w:t>生产线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其中生产线配套烤房、搅拌机、切割机、喷漆机等生产设施</w:t>
            </w:r>
            <w:r>
              <w:rPr>
                <w:rFonts w:hint="default" w:ascii="Times New Roman" w:hAnsi="Times New Roman" w:cs="Times New Roman"/>
                <w:color w:val="auto"/>
                <w:highlight w:val="none"/>
              </w:rPr>
              <w:t>。</w:t>
            </w:r>
            <w:r>
              <w:rPr>
                <w:rFonts w:hint="default" w:ascii="Times New Roman" w:hAnsi="Times New Roman" w:cs="Times New Roman"/>
                <w:bCs/>
                <w:color w:val="auto"/>
                <w:kern w:val="0"/>
                <w:szCs w:val="28"/>
                <w:highlight w:val="none"/>
              </w:rPr>
              <w:t>建筑物情况和</w:t>
            </w:r>
            <w:r>
              <w:rPr>
                <w:rFonts w:hint="default" w:ascii="Times New Roman" w:hAnsi="Times New Roman" w:cs="Times New Roman"/>
                <w:color w:val="auto"/>
                <w:highlight w:val="none"/>
              </w:rPr>
              <w:t>工程组成内容见表2-1，平面布置图见附图3，</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2-2</w:t>
            </w:r>
            <w:r>
              <w:rPr>
                <w:rFonts w:hint="default" w:ascii="Times New Roman" w:hAnsi="Times New Roman" w:cs="Times New Roman"/>
                <w:color w:val="auto"/>
                <w:highlight w:val="none"/>
                <w:lang w:val="zh-CN"/>
              </w:rPr>
              <w:t>。</w:t>
            </w:r>
          </w:p>
          <w:p w14:paraId="0DC2C948">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主要建筑物</w:t>
            </w:r>
            <w:r>
              <w:rPr>
                <w:rFonts w:hint="default" w:ascii="Times New Roman" w:hAnsi="Times New Roman" w:cs="Times New Roman"/>
                <w:b/>
                <w:bCs/>
                <w:color w:val="auto"/>
                <w:sz w:val="21"/>
                <w:szCs w:val="21"/>
                <w:highlight w:val="none"/>
                <w:lang w:val="en-US" w:eastAsia="zh-CN"/>
              </w:rPr>
              <w:t>面积</w:t>
            </w:r>
            <w:r>
              <w:rPr>
                <w:rFonts w:hint="default" w:ascii="Times New Roman" w:hAnsi="Times New Roman" w:cs="Times New Roman"/>
                <w:b/>
                <w:bCs/>
                <w:color w:val="auto"/>
                <w:sz w:val="21"/>
                <w:szCs w:val="21"/>
                <w:highlight w:val="none"/>
              </w:rPr>
              <w:t>一览表</w:t>
            </w:r>
          </w:p>
          <w:tbl>
            <w:tblPr>
              <w:tblStyle w:val="36"/>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44"/>
              <w:gridCol w:w="2522"/>
              <w:gridCol w:w="2491"/>
              <w:gridCol w:w="2026"/>
            </w:tblGrid>
            <w:tr w14:paraId="3ED79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256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20040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w:t>
                  </w:r>
                </w:p>
              </w:tc>
              <w:tc>
                <w:tcPr>
                  <w:tcW w:w="13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CBC6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计算单位</w:t>
                  </w:r>
                </w:p>
              </w:tc>
              <w:tc>
                <w:tcPr>
                  <w:tcW w:w="10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7ABA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数值</w:t>
                  </w:r>
                </w:p>
              </w:tc>
            </w:tr>
            <w:tr w14:paraId="41CA0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256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D7B2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规划建设用地面积</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BEC9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7B27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4165.14</w:t>
                  </w:r>
                </w:p>
              </w:tc>
            </w:tr>
            <w:tr w14:paraId="245913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256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6830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总建筑面积</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B42B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AE77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5275.80</w:t>
                  </w:r>
                </w:p>
              </w:tc>
            </w:tr>
            <w:tr w14:paraId="26D6B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8245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其中</w:t>
                  </w: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098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生产车间</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455B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98C3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5275.80</w:t>
                  </w:r>
                </w:p>
              </w:tc>
            </w:tr>
          </w:tbl>
          <w:p w14:paraId="6A86C1E1">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工程组成一览表</w:t>
            </w:r>
          </w:p>
          <w:tbl>
            <w:tblPr>
              <w:tblStyle w:val="36"/>
              <w:tblW w:w="927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94"/>
              <w:gridCol w:w="645"/>
              <w:gridCol w:w="1697"/>
              <w:gridCol w:w="6241"/>
            </w:tblGrid>
            <w:tr w14:paraId="03D2E3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jc w:val="center"/>
              </w:trPr>
              <w:tc>
                <w:tcPr>
                  <w:tcW w:w="694" w:type="dxa"/>
                  <w:tcBorders>
                    <w:tl2br w:val="nil"/>
                    <w:tr2bl w:val="nil"/>
                  </w:tcBorders>
                  <w:shd w:val="clear" w:color="auto" w:fill="auto"/>
                  <w:vAlign w:val="center"/>
                </w:tcPr>
                <w:p w14:paraId="2D8AAFC9">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645" w:type="dxa"/>
                  <w:tcBorders>
                    <w:tl2br w:val="nil"/>
                    <w:tr2bl w:val="nil"/>
                  </w:tcBorders>
                  <w:shd w:val="clear" w:color="auto" w:fill="auto"/>
                  <w:vAlign w:val="center"/>
                </w:tcPr>
                <w:p w14:paraId="77BC4BD6">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项目类别</w:t>
                  </w:r>
                </w:p>
              </w:tc>
              <w:tc>
                <w:tcPr>
                  <w:tcW w:w="1697" w:type="dxa"/>
                  <w:tcBorders>
                    <w:tl2br w:val="nil"/>
                    <w:tr2bl w:val="nil"/>
                  </w:tcBorders>
                  <w:shd w:val="clear" w:color="auto" w:fill="auto"/>
                  <w:vAlign w:val="center"/>
                </w:tcPr>
                <w:p w14:paraId="5E8F7FE2">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建设内容</w:t>
                  </w:r>
                </w:p>
              </w:tc>
              <w:tc>
                <w:tcPr>
                  <w:tcW w:w="6241" w:type="dxa"/>
                  <w:tcBorders>
                    <w:tl2br w:val="nil"/>
                    <w:tr2bl w:val="nil"/>
                  </w:tcBorders>
                  <w:shd w:val="clear" w:color="auto" w:fill="auto"/>
                  <w:vAlign w:val="center"/>
                </w:tcPr>
                <w:p w14:paraId="4A81E797">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位置、用途、占地面积</w:t>
                  </w:r>
                </w:p>
              </w:tc>
            </w:tr>
            <w:tr w14:paraId="62DBB3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4" w:type="dxa"/>
                  <w:tcBorders>
                    <w:tl2br w:val="nil"/>
                    <w:tr2bl w:val="nil"/>
                  </w:tcBorders>
                  <w:shd w:val="clear" w:color="auto" w:fill="auto"/>
                  <w:vAlign w:val="center"/>
                </w:tcPr>
                <w:p w14:paraId="6BF2FED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45" w:type="dxa"/>
                  <w:tcBorders>
                    <w:tl2br w:val="nil"/>
                    <w:tr2bl w:val="nil"/>
                  </w:tcBorders>
                  <w:shd w:val="clear" w:color="auto" w:fill="auto"/>
                  <w:vAlign w:val="center"/>
                </w:tcPr>
                <w:p w14:paraId="5857F9AD">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主体工程</w:t>
                  </w:r>
                </w:p>
              </w:tc>
              <w:tc>
                <w:tcPr>
                  <w:tcW w:w="1697" w:type="dxa"/>
                  <w:tcBorders>
                    <w:tl2br w:val="nil"/>
                    <w:tr2bl w:val="nil"/>
                  </w:tcBorders>
                  <w:shd w:val="clear" w:color="auto" w:fill="auto"/>
                  <w:vAlign w:val="center"/>
                </w:tcPr>
                <w:p w14:paraId="1250214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生产</w:t>
                  </w:r>
                  <w:r>
                    <w:rPr>
                      <w:rFonts w:hint="default" w:ascii="Times New Roman" w:hAnsi="Times New Roman" w:eastAsia="宋体" w:cs="Times New Roman"/>
                      <w:i w:val="0"/>
                      <w:iCs w:val="0"/>
                      <w:color w:val="auto"/>
                      <w:kern w:val="0"/>
                      <w:sz w:val="21"/>
                      <w:szCs w:val="21"/>
                      <w:highlight w:val="none"/>
                      <w:u w:val="none"/>
                      <w:lang w:val="en-US" w:eastAsia="zh-CN" w:bidi="ar"/>
                    </w:rPr>
                    <w:t>车间</w:t>
                  </w:r>
                </w:p>
              </w:tc>
              <w:tc>
                <w:tcPr>
                  <w:tcW w:w="6241" w:type="dxa"/>
                  <w:tcBorders>
                    <w:tl2br w:val="nil"/>
                    <w:tr2bl w:val="nil"/>
                  </w:tcBorders>
                  <w:shd w:val="clear" w:color="auto" w:fill="auto"/>
                  <w:vAlign w:val="center"/>
                </w:tcPr>
                <w:p w14:paraId="6F21D43C">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厂房为</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层建筑</w:t>
                  </w:r>
                  <w:r>
                    <w:rPr>
                      <w:rFonts w:hint="default" w:ascii="Times New Roman" w:hAnsi="Times New Roman" w:cs="Times New Roman"/>
                      <w:i w:val="0"/>
                      <w:iCs w:val="0"/>
                      <w:color w:val="auto"/>
                      <w:kern w:val="0"/>
                      <w:sz w:val="21"/>
                      <w:szCs w:val="21"/>
                      <w:highlight w:val="none"/>
                      <w:u w:val="none"/>
                      <w:lang w:val="en-US" w:eastAsia="zh-CN" w:bidi="ar"/>
                    </w:rPr>
                    <w:t>（含夹层），总高度为10米</w:t>
                  </w:r>
                  <w:r>
                    <w:rPr>
                      <w:rFonts w:hint="default" w:ascii="Times New Roman" w:hAnsi="Times New Roman" w:eastAsia="宋体" w:cs="Times New Roman"/>
                      <w:i w:val="0"/>
                      <w:iCs w:val="0"/>
                      <w:color w:val="auto"/>
                      <w:kern w:val="0"/>
                      <w:sz w:val="21"/>
                      <w:szCs w:val="21"/>
                      <w:highlight w:val="none"/>
                      <w:u w:val="none"/>
                      <w:lang w:val="en-US" w:eastAsia="zh-CN" w:bidi="ar"/>
                    </w:rPr>
                    <w:t>，占地面积为4165.4平方米，建筑面积</w:t>
                  </w:r>
                  <w:r>
                    <w:rPr>
                      <w:rFonts w:hint="default" w:ascii="Times New Roman" w:hAnsi="Times New Roman" w:cs="Times New Roman"/>
                      <w:color w:val="auto"/>
                      <w:sz w:val="21"/>
                      <w:szCs w:val="21"/>
                      <w:highlight w:val="none"/>
                      <w:lang w:val="en-US" w:eastAsia="zh-CN"/>
                    </w:rPr>
                    <w:t>5275.80</w:t>
                  </w:r>
                  <w:r>
                    <w:rPr>
                      <w:rFonts w:hint="default" w:ascii="Times New Roman" w:hAnsi="Times New Roman" w:eastAsia="宋体" w:cs="Times New Roman"/>
                      <w:i w:val="0"/>
                      <w:iCs w:val="0"/>
                      <w:color w:val="auto"/>
                      <w:kern w:val="0"/>
                      <w:sz w:val="21"/>
                      <w:szCs w:val="21"/>
                      <w:highlight w:val="none"/>
                      <w:u w:val="none"/>
                      <w:lang w:val="en-US" w:eastAsia="zh-CN" w:bidi="ar"/>
                    </w:rPr>
                    <w:t>平方米，厂房内设置仓库、6条软瓷生产线，其中生产线配套有烤房、搅拌机、切割机、喷漆机等生产设施。</w:t>
                  </w:r>
                </w:p>
              </w:tc>
            </w:tr>
            <w:tr w14:paraId="633956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4" w:type="dxa"/>
                  <w:tcBorders>
                    <w:tl2br w:val="nil"/>
                    <w:tr2bl w:val="nil"/>
                  </w:tcBorders>
                  <w:shd w:val="clear" w:color="auto" w:fill="auto"/>
                  <w:vAlign w:val="center"/>
                </w:tcPr>
                <w:p w14:paraId="63EDF0FD">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645" w:type="dxa"/>
                  <w:tcBorders>
                    <w:tl2br w:val="nil"/>
                    <w:tr2bl w:val="nil"/>
                  </w:tcBorders>
                  <w:shd w:val="clear" w:color="auto" w:fill="auto"/>
                  <w:vAlign w:val="center"/>
                </w:tcPr>
                <w:p w14:paraId="5CA73061">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储运工程</w:t>
                  </w:r>
                </w:p>
              </w:tc>
              <w:tc>
                <w:tcPr>
                  <w:tcW w:w="1697" w:type="dxa"/>
                  <w:tcBorders>
                    <w:tl2br w:val="nil"/>
                    <w:tr2bl w:val="nil"/>
                  </w:tcBorders>
                  <w:shd w:val="clear" w:color="auto" w:fill="auto"/>
                  <w:vAlign w:val="center"/>
                </w:tcPr>
                <w:p w14:paraId="332DE335">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物料仓库</w:t>
                  </w:r>
                </w:p>
              </w:tc>
              <w:tc>
                <w:tcPr>
                  <w:tcW w:w="6241" w:type="dxa"/>
                  <w:tcBorders>
                    <w:tl2br w:val="nil"/>
                    <w:tr2bl w:val="nil"/>
                  </w:tcBorders>
                  <w:shd w:val="clear" w:color="auto" w:fill="auto"/>
                  <w:vAlign w:val="center"/>
                </w:tcPr>
                <w:p w14:paraId="494148DC">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位于厂房</w:t>
                  </w:r>
                  <w:r>
                    <w:rPr>
                      <w:rFonts w:hint="default" w:ascii="Times New Roman" w:hAnsi="Times New Roman" w:cs="Times New Roman"/>
                      <w:i w:val="0"/>
                      <w:iCs w:val="0"/>
                      <w:color w:val="auto"/>
                      <w:kern w:val="0"/>
                      <w:sz w:val="21"/>
                      <w:szCs w:val="21"/>
                      <w:highlight w:val="none"/>
                      <w:u w:val="none"/>
                      <w:lang w:val="en-US" w:eastAsia="zh-CN" w:bidi="ar"/>
                    </w:rPr>
                    <w:t>首层及夹层</w:t>
                  </w:r>
                  <w:r>
                    <w:rPr>
                      <w:rFonts w:hint="default" w:ascii="Times New Roman" w:hAnsi="Times New Roman" w:eastAsia="宋体" w:cs="Times New Roman"/>
                      <w:i w:val="0"/>
                      <w:iCs w:val="0"/>
                      <w:color w:val="auto"/>
                      <w:kern w:val="0"/>
                      <w:sz w:val="21"/>
                      <w:szCs w:val="21"/>
                      <w:highlight w:val="none"/>
                      <w:u w:val="none"/>
                      <w:lang w:val="en-US" w:eastAsia="zh-CN" w:bidi="ar"/>
                    </w:rPr>
                    <w:t>，占地面积</w:t>
                  </w:r>
                  <w:r>
                    <w:rPr>
                      <w:rFonts w:hint="default" w:ascii="Times New Roman" w:hAnsi="Times New Roman" w:cs="Times New Roman"/>
                      <w:i w:val="0"/>
                      <w:iCs w:val="0"/>
                      <w:color w:val="auto"/>
                      <w:kern w:val="0"/>
                      <w:sz w:val="21"/>
                      <w:szCs w:val="21"/>
                      <w:highlight w:val="none"/>
                      <w:u w:val="none"/>
                      <w:lang w:val="en-US" w:eastAsia="zh-CN" w:bidi="ar"/>
                    </w:rPr>
                    <w:t>约555.2</w:t>
                  </w:r>
                  <w:r>
                    <w:rPr>
                      <w:rFonts w:hint="default" w:ascii="Times New Roman" w:hAnsi="Times New Roman" w:eastAsia="宋体" w:cs="Times New Roman"/>
                      <w:i w:val="0"/>
                      <w:iCs w:val="0"/>
                      <w:color w:val="auto"/>
                      <w:kern w:val="0"/>
                      <w:sz w:val="21"/>
                      <w:szCs w:val="21"/>
                      <w:highlight w:val="none"/>
                      <w:u w:val="none"/>
                      <w:lang w:val="en-US" w:eastAsia="zh-CN" w:bidi="ar"/>
                    </w:rPr>
                    <w:t>平方米，建筑面积</w:t>
                  </w:r>
                  <w:r>
                    <w:rPr>
                      <w:rFonts w:hint="default" w:ascii="Times New Roman" w:hAnsi="Times New Roman" w:cs="Times New Roman"/>
                      <w:i w:val="0"/>
                      <w:iCs w:val="0"/>
                      <w:color w:val="auto"/>
                      <w:kern w:val="0"/>
                      <w:sz w:val="21"/>
                      <w:szCs w:val="21"/>
                      <w:highlight w:val="none"/>
                      <w:u w:val="none"/>
                      <w:lang w:val="en-US" w:eastAsia="zh-CN" w:bidi="ar"/>
                    </w:rPr>
                    <w:t>1110.4</w:t>
                  </w:r>
                  <w:r>
                    <w:rPr>
                      <w:rFonts w:hint="default" w:ascii="Times New Roman" w:hAnsi="Times New Roman" w:eastAsia="宋体" w:cs="Times New Roman"/>
                      <w:i w:val="0"/>
                      <w:iCs w:val="0"/>
                      <w:color w:val="auto"/>
                      <w:kern w:val="0"/>
                      <w:sz w:val="21"/>
                      <w:szCs w:val="21"/>
                      <w:highlight w:val="none"/>
                      <w:u w:val="none"/>
                      <w:lang w:val="en-US" w:eastAsia="zh-CN" w:bidi="ar"/>
                    </w:rPr>
                    <w:t>平方米。用于储存加工物料、产品</w:t>
                  </w:r>
                  <w:r>
                    <w:rPr>
                      <w:rFonts w:hint="default" w:ascii="Times New Roman" w:hAnsi="Times New Roman" w:cs="Times New Roman"/>
                      <w:i w:val="0"/>
                      <w:iCs w:val="0"/>
                      <w:color w:val="auto"/>
                      <w:kern w:val="0"/>
                      <w:sz w:val="21"/>
                      <w:szCs w:val="21"/>
                      <w:highlight w:val="none"/>
                      <w:u w:val="none"/>
                      <w:lang w:val="en-US" w:eastAsia="zh-CN" w:bidi="ar"/>
                    </w:rPr>
                    <w:t>。</w:t>
                  </w:r>
                </w:p>
              </w:tc>
            </w:tr>
            <w:tr w14:paraId="7B243E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tcBorders>
                    <w:tl2br w:val="nil"/>
                    <w:tr2bl w:val="nil"/>
                  </w:tcBorders>
                  <w:shd w:val="clear" w:color="auto" w:fill="auto"/>
                  <w:vAlign w:val="center"/>
                </w:tcPr>
                <w:p w14:paraId="497AD2A7">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645" w:type="dxa"/>
                  <w:tcBorders>
                    <w:tl2br w:val="nil"/>
                    <w:tr2bl w:val="nil"/>
                  </w:tcBorders>
                  <w:shd w:val="clear" w:color="auto" w:fill="auto"/>
                  <w:vAlign w:val="center"/>
                </w:tcPr>
                <w:p w14:paraId="284113B6">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辅助工程</w:t>
                  </w:r>
                </w:p>
              </w:tc>
              <w:tc>
                <w:tcPr>
                  <w:tcW w:w="1697" w:type="dxa"/>
                  <w:tcBorders>
                    <w:tl2br w:val="nil"/>
                    <w:tr2bl w:val="nil"/>
                  </w:tcBorders>
                  <w:shd w:val="clear" w:color="auto" w:fill="auto"/>
                  <w:vAlign w:val="center"/>
                </w:tcPr>
                <w:p w14:paraId="6F3AC10C">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办公室</w:t>
                  </w:r>
                </w:p>
              </w:tc>
              <w:tc>
                <w:tcPr>
                  <w:tcW w:w="6241" w:type="dxa"/>
                  <w:tcBorders>
                    <w:tl2br w:val="nil"/>
                    <w:tr2bl w:val="nil"/>
                  </w:tcBorders>
                  <w:shd w:val="clear" w:color="auto" w:fill="auto"/>
                  <w:vAlign w:val="center"/>
                </w:tcPr>
                <w:p w14:paraId="12159BD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位于首层，面积约380平方米，注意用于办公。</w:t>
                  </w:r>
                </w:p>
              </w:tc>
            </w:tr>
            <w:tr w14:paraId="7911F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4" w:type="dxa"/>
                  <w:vMerge w:val="restart"/>
                  <w:tcBorders>
                    <w:tl2br w:val="nil"/>
                    <w:tr2bl w:val="nil"/>
                  </w:tcBorders>
                  <w:shd w:val="clear" w:color="auto" w:fill="auto"/>
                  <w:vAlign w:val="center"/>
                </w:tcPr>
                <w:p w14:paraId="139522B9">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645" w:type="dxa"/>
                  <w:vMerge w:val="restart"/>
                  <w:tcBorders>
                    <w:tl2br w:val="nil"/>
                    <w:tr2bl w:val="nil"/>
                  </w:tcBorders>
                  <w:shd w:val="clear" w:color="auto" w:fill="auto"/>
                  <w:vAlign w:val="center"/>
                </w:tcPr>
                <w:p w14:paraId="4A644202">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公用工程</w:t>
                  </w:r>
                </w:p>
              </w:tc>
              <w:tc>
                <w:tcPr>
                  <w:tcW w:w="1697" w:type="dxa"/>
                  <w:tcBorders>
                    <w:tl2br w:val="nil"/>
                    <w:tr2bl w:val="nil"/>
                  </w:tcBorders>
                  <w:shd w:val="clear" w:color="auto" w:fill="auto"/>
                  <w:vAlign w:val="center"/>
                </w:tcPr>
                <w:p w14:paraId="01FF27F2">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供电</w:t>
                  </w:r>
                </w:p>
              </w:tc>
              <w:tc>
                <w:tcPr>
                  <w:tcW w:w="6241" w:type="dxa"/>
                  <w:tcBorders>
                    <w:tl2br w:val="nil"/>
                    <w:tr2bl w:val="nil"/>
                  </w:tcBorders>
                  <w:shd w:val="clear" w:color="auto" w:fill="auto"/>
                  <w:vAlign w:val="center"/>
                </w:tcPr>
                <w:p w14:paraId="4721824F">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由市政电网供给，不设备用发电机</w:t>
                  </w:r>
                </w:p>
              </w:tc>
            </w:tr>
            <w:tr w14:paraId="52269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795A3769">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2326A51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l2br w:val="nil"/>
                    <w:tr2bl w:val="nil"/>
                  </w:tcBorders>
                  <w:shd w:val="clear" w:color="auto" w:fill="auto"/>
                  <w:vAlign w:val="center"/>
                </w:tcPr>
                <w:p w14:paraId="540A685B">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供水</w:t>
                  </w:r>
                </w:p>
              </w:tc>
              <w:tc>
                <w:tcPr>
                  <w:tcW w:w="6241" w:type="dxa"/>
                  <w:tcBorders>
                    <w:tl2br w:val="nil"/>
                    <w:tr2bl w:val="nil"/>
                  </w:tcBorders>
                  <w:shd w:val="clear" w:color="auto" w:fill="auto"/>
                  <w:vAlign w:val="center"/>
                </w:tcPr>
                <w:p w14:paraId="5CCB6E99">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由当地自来水管网供给</w:t>
                  </w:r>
                </w:p>
              </w:tc>
            </w:tr>
            <w:tr w14:paraId="0EC49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702E3C51">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382745B1">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l2br w:val="nil"/>
                    <w:tr2bl w:val="nil"/>
                  </w:tcBorders>
                  <w:shd w:val="clear" w:color="auto" w:fill="auto"/>
                  <w:vAlign w:val="center"/>
                </w:tcPr>
                <w:p w14:paraId="131B18E6">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供气</w:t>
                  </w:r>
                </w:p>
              </w:tc>
              <w:tc>
                <w:tcPr>
                  <w:tcW w:w="6241" w:type="dxa"/>
                  <w:tcBorders>
                    <w:tl2br w:val="nil"/>
                    <w:tr2bl w:val="nil"/>
                  </w:tcBorders>
                  <w:shd w:val="clear" w:color="auto" w:fill="auto"/>
                  <w:vAlign w:val="center"/>
                </w:tcPr>
                <w:p w14:paraId="412BB413">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天然气为当地管道天然气供给</w:t>
                  </w:r>
                </w:p>
              </w:tc>
            </w:tr>
            <w:tr w14:paraId="3E88D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4" w:type="dxa"/>
                  <w:vMerge w:val="restart"/>
                  <w:tcBorders>
                    <w:tl2br w:val="nil"/>
                    <w:tr2bl w:val="nil"/>
                  </w:tcBorders>
                  <w:shd w:val="clear" w:color="auto" w:fill="auto"/>
                  <w:vAlign w:val="center"/>
                </w:tcPr>
                <w:p w14:paraId="6BD20E73">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645" w:type="dxa"/>
                  <w:vMerge w:val="restart"/>
                  <w:tcBorders>
                    <w:tl2br w:val="nil"/>
                    <w:tr2bl w:val="nil"/>
                  </w:tcBorders>
                  <w:shd w:val="clear" w:color="auto" w:fill="auto"/>
                  <w:vAlign w:val="center"/>
                </w:tcPr>
                <w:p w14:paraId="157544F2">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环保工程</w:t>
                  </w:r>
                </w:p>
              </w:tc>
              <w:tc>
                <w:tcPr>
                  <w:tcW w:w="1697" w:type="dxa"/>
                  <w:vMerge w:val="restart"/>
                  <w:tcBorders>
                    <w:tl2br w:val="nil"/>
                    <w:tr2bl w:val="nil"/>
                  </w:tcBorders>
                  <w:shd w:val="clear" w:color="auto" w:fill="auto"/>
                  <w:vAlign w:val="center"/>
                </w:tcPr>
                <w:p w14:paraId="1489DEEF">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6241" w:type="dxa"/>
                  <w:tcBorders>
                    <w:tl2br w:val="nil"/>
                    <w:tr2bl w:val="nil"/>
                  </w:tcBorders>
                  <w:shd w:val="clear" w:color="auto" w:fill="auto"/>
                  <w:vAlign w:val="center"/>
                </w:tcPr>
                <w:p w14:paraId="1854C70F">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①</w:t>
                  </w:r>
                  <w:r>
                    <w:rPr>
                      <w:rFonts w:hint="default" w:ascii="Times New Roman" w:hAnsi="Times New Roman" w:cs="Times New Roman"/>
                      <w:i w:val="0"/>
                      <w:iCs w:val="0"/>
                      <w:color w:val="auto"/>
                      <w:kern w:val="0"/>
                      <w:sz w:val="21"/>
                      <w:szCs w:val="21"/>
                      <w:highlight w:val="none"/>
                      <w:u w:val="none"/>
                      <w:lang w:val="en-US" w:eastAsia="zh-CN" w:bidi="ar"/>
                    </w:rPr>
                    <w:t>软瓷</w:t>
                  </w:r>
                  <w:r>
                    <w:rPr>
                      <w:rFonts w:hint="default" w:ascii="Times New Roman" w:hAnsi="Times New Roman" w:eastAsia="宋体" w:cs="Times New Roman"/>
                      <w:i w:val="0"/>
                      <w:iCs w:val="0"/>
                      <w:color w:val="auto"/>
                      <w:kern w:val="0"/>
                      <w:sz w:val="21"/>
                      <w:szCs w:val="21"/>
                      <w:highlight w:val="none"/>
                      <w:u w:val="none"/>
                      <w:lang w:val="en-US" w:eastAsia="zh-CN" w:bidi="ar"/>
                    </w:rPr>
                    <w:t>生产线各自配备有烘</w:t>
                  </w:r>
                  <w:r>
                    <w:rPr>
                      <w:rFonts w:hint="default" w:ascii="Times New Roman" w:hAnsi="Times New Roman" w:cs="Times New Roman"/>
                      <w:i w:val="0"/>
                      <w:iCs w:val="0"/>
                      <w:color w:val="auto"/>
                      <w:kern w:val="0"/>
                      <w:sz w:val="21"/>
                      <w:szCs w:val="21"/>
                      <w:highlight w:val="none"/>
                      <w:u w:val="none"/>
                      <w:lang w:val="en-US" w:eastAsia="zh-CN" w:bidi="ar"/>
                    </w:rPr>
                    <w:t>干通道</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另设有烤房。成型烘干、上色固化过程</w:t>
                  </w:r>
                  <w:r>
                    <w:rPr>
                      <w:rFonts w:hint="default" w:ascii="Times New Roman" w:hAnsi="Times New Roman" w:eastAsia="宋体" w:cs="Times New Roman"/>
                      <w:i w:val="0"/>
                      <w:iCs w:val="0"/>
                      <w:color w:val="auto"/>
                      <w:kern w:val="0"/>
                      <w:sz w:val="21"/>
                      <w:szCs w:val="21"/>
                      <w:highlight w:val="none"/>
                      <w:u w:val="none"/>
                      <w:lang w:val="en-US" w:eastAsia="zh-CN" w:bidi="ar"/>
                    </w:rPr>
                    <w:t>采用天然气加热，产生的污染物主要有</w:t>
                  </w:r>
                  <w:r>
                    <w:rPr>
                      <w:rFonts w:hint="default" w:ascii="Times New Roman" w:hAnsi="Times New Roman" w:cs="Times New Roman"/>
                      <w:i w:val="0"/>
                      <w:iCs w:val="0"/>
                      <w:color w:val="auto"/>
                      <w:kern w:val="0"/>
                      <w:sz w:val="21"/>
                      <w:szCs w:val="21"/>
                      <w:highlight w:val="none"/>
                      <w:u w:val="none"/>
                      <w:lang w:val="en-US" w:eastAsia="zh-CN" w:bidi="ar"/>
                    </w:rPr>
                    <w:t>VOCs、</w:t>
                  </w:r>
                  <w:r>
                    <w:rPr>
                      <w:rFonts w:hint="default" w:ascii="Times New Roman" w:hAnsi="Times New Roman" w:eastAsia="宋体" w:cs="Times New Roman"/>
                      <w:i w:val="0"/>
                      <w:iCs w:val="0"/>
                      <w:color w:val="auto"/>
                      <w:kern w:val="0"/>
                      <w:sz w:val="21"/>
                      <w:szCs w:val="21"/>
                      <w:highlight w:val="none"/>
                      <w:u w:val="none"/>
                      <w:lang w:val="en-US" w:eastAsia="zh-CN" w:bidi="ar"/>
                    </w:rPr>
                    <w:t>颗粒物、二氧化硫、氮氧化物，</w:t>
                  </w:r>
                  <w:r>
                    <w:rPr>
                      <w:rFonts w:hint="default" w:ascii="Times New Roman" w:hAnsi="Times New Roman" w:cs="Times New Roman"/>
                      <w:i w:val="0"/>
                      <w:iCs w:val="0"/>
                      <w:color w:val="auto"/>
                      <w:kern w:val="0"/>
                      <w:sz w:val="21"/>
                      <w:szCs w:val="21"/>
                      <w:highlight w:val="none"/>
                      <w:u w:val="none"/>
                      <w:lang w:val="en-US" w:eastAsia="zh-CN" w:bidi="ar"/>
                    </w:rPr>
                    <w:t>其中上色过程产生的漆雾（以颗粒物表征）经1套“水帘柜喷淋装置”处理后于车间内无组织排放；有机废气</w:t>
                  </w:r>
                  <w:r>
                    <w:rPr>
                      <w:rFonts w:hint="default" w:ascii="Times New Roman" w:hAnsi="Times New Roman" w:eastAsia="宋体" w:cs="Times New Roman"/>
                      <w:i w:val="0"/>
                      <w:iCs w:val="0"/>
                      <w:color w:val="auto"/>
                      <w:kern w:val="0"/>
                      <w:sz w:val="21"/>
                      <w:szCs w:val="21"/>
                      <w:highlight w:val="none"/>
                      <w:u w:val="none"/>
                      <w:lang w:val="en-US" w:eastAsia="zh-CN" w:bidi="ar"/>
                    </w:rPr>
                    <w:t>经</w:t>
                  </w:r>
                  <w:r>
                    <w:rPr>
                      <w:rFonts w:hint="default" w:ascii="Times New Roman" w:hAnsi="Times New Roman" w:cs="Times New Roman"/>
                      <w:i w:val="0"/>
                      <w:iCs w:val="0"/>
                      <w:color w:val="auto"/>
                      <w:kern w:val="0"/>
                      <w:sz w:val="21"/>
                      <w:szCs w:val="21"/>
                      <w:highlight w:val="none"/>
                      <w:u w:val="none"/>
                      <w:lang w:val="en-US" w:eastAsia="zh-CN" w:bidi="ar"/>
                    </w:rPr>
                    <w:t>1套“二级活性炭吸附装置”处理后，由</w:t>
                  </w:r>
                  <w:r>
                    <w:rPr>
                      <w:rFonts w:hint="default" w:ascii="Times New Roman" w:hAnsi="Times New Roman" w:eastAsia="宋体" w:cs="Times New Roman"/>
                      <w:i w:val="0"/>
                      <w:iCs w:val="0"/>
                      <w:color w:val="auto"/>
                      <w:kern w:val="0"/>
                      <w:sz w:val="21"/>
                      <w:szCs w:val="21"/>
                      <w:highlight w:val="none"/>
                      <w:u w:val="none"/>
                      <w:lang w:val="en-US" w:eastAsia="zh-CN" w:bidi="ar"/>
                    </w:rPr>
                    <w:t>引风机引至排气筒DA001高空排放，排放高度为15m</w:t>
                  </w:r>
                  <w:r>
                    <w:rPr>
                      <w:rFonts w:hint="default" w:ascii="Times New Roman" w:hAnsi="Times New Roman" w:cs="Times New Roman"/>
                      <w:i w:val="0"/>
                      <w:iCs w:val="0"/>
                      <w:color w:val="auto"/>
                      <w:kern w:val="0"/>
                      <w:sz w:val="21"/>
                      <w:szCs w:val="21"/>
                      <w:highlight w:val="none"/>
                      <w:u w:val="none"/>
                      <w:lang w:val="en-US" w:eastAsia="zh-CN" w:bidi="ar"/>
                    </w:rPr>
                    <w:t>。</w:t>
                  </w:r>
                </w:p>
              </w:tc>
            </w:tr>
            <w:tr w14:paraId="21D358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4D61E24C">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06C01164">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tl2br w:val="nil"/>
                    <w:tr2bl w:val="nil"/>
                  </w:tcBorders>
                  <w:shd w:val="clear" w:color="auto" w:fill="auto"/>
                  <w:vAlign w:val="center"/>
                </w:tcPr>
                <w:p w14:paraId="3F074842">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l2br w:val="nil"/>
                    <w:tr2bl w:val="nil"/>
                  </w:tcBorders>
                  <w:shd w:val="clear" w:color="auto" w:fill="auto"/>
                  <w:vAlign w:val="center"/>
                </w:tcPr>
                <w:p w14:paraId="7883FBE5">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②切割机配备移动式布袋除尘器，切割粉尘（以颗粒物表征）经收集处理后无组织排放</w:t>
                  </w:r>
                </w:p>
              </w:tc>
            </w:tr>
            <w:tr w14:paraId="6E98A1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7F09C954">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291845A4">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tl2br w:val="nil"/>
                    <w:tr2bl w:val="nil"/>
                  </w:tcBorders>
                  <w:shd w:val="clear" w:color="auto" w:fill="auto"/>
                  <w:vAlign w:val="center"/>
                </w:tcPr>
                <w:p w14:paraId="0458E073">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l2br w:val="nil"/>
                    <w:tr2bl w:val="nil"/>
                  </w:tcBorders>
                  <w:shd w:val="clear" w:color="auto" w:fill="auto"/>
                  <w:vAlign w:val="center"/>
                </w:tcPr>
                <w:p w14:paraId="5489EA8D">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kern w:val="2"/>
                      <w:sz w:val="21"/>
                      <w:szCs w:val="21"/>
                      <w:highlight w:val="none"/>
                      <w:lang w:val="en-US" w:eastAsia="zh-CN"/>
                    </w:rPr>
                    <w:t>③少量投料粉尘、生产异味（以臭气浓度表征）无组织排放</w:t>
                  </w:r>
                </w:p>
              </w:tc>
            </w:tr>
            <w:tr w14:paraId="27D142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0FA2F2DB">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37B0FFA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l2br w:val="nil"/>
                    <w:tr2bl w:val="nil"/>
                  </w:tcBorders>
                  <w:shd w:val="clear" w:color="auto" w:fill="auto"/>
                  <w:vAlign w:val="center"/>
                </w:tcPr>
                <w:p w14:paraId="0D4DC12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w:t>
                  </w:r>
                </w:p>
              </w:tc>
              <w:tc>
                <w:tcPr>
                  <w:tcW w:w="6241" w:type="dxa"/>
                  <w:tcBorders>
                    <w:tl2br w:val="nil"/>
                    <w:tr2bl w:val="nil"/>
                  </w:tcBorders>
                  <w:shd w:val="clear" w:color="auto" w:fill="auto"/>
                  <w:vAlign w:val="center"/>
                </w:tcPr>
                <w:p w14:paraId="76D85EF0">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生活污水采取“三级化粪池”预处理后，</w:t>
                  </w:r>
                  <w:r>
                    <w:rPr>
                      <w:rFonts w:hint="default" w:ascii="Times New Roman" w:hAnsi="Times New Roman" w:cs="Times New Roman"/>
                      <w:i w:val="0"/>
                      <w:iCs w:val="0"/>
                      <w:color w:val="auto"/>
                      <w:kern w:val="0"/>
                      <w:sz w:val="21"/>
                      <w:szCs w:val="21"/>
                      <w:highlight w:val="none"/>
                      <w:u w:val="none"/>
                      <w:lang w:val="en-US" w:eastAsia="zh-CN" w:bidi="ar"/>
                    </w:rPr>
                    <w:t>经DW001排放口</w:t>
                  </w:r>
                  <w:r>
                    <w:rPr>
                      <w:rFonts w:hint="default" w:ascii="Times New Roman" w:hAnsi="Times New Roman" w:eastAsia="宋体" w:cs="Times New Roman"/>
                      <w:i w:val="0"/>
                      <w:iCs w:val="0"/>
                      <w:color w:val="auto"/>
                      <w:kern w:val="0"/>
                      <w:sz w:val="21"/>
                      <w:szCs w:val="21"/>
                      <w:highlight w:val="none"/>
                      <w:u w:val="none"/>
                      <w:lang w:val="en-US" w:eastAsia="zh-CN" w:bidi="ar"/>
                    </w:rPr>
                    <w:t>排入园区污水处理厂进一步处理，处理达标后通过出水管道输送尾水，经废水排放口（WS-LC005001）排放至榴村霜降坑河，最终流入武江</w:t>
                  </w:r>
                  <w:r>
                    <w:rPr>
                      <w:rFonts w:hint="default" w:ascii="Times New Roman" w:hAnsi="Times New Roman" w:cs="Times New Roman"/>
                      <w:i w:val="0"/>
                      <w:iCs w:val="0"/>
                      <w:color w:val="auto"/>
                      <w:kern w:val="0"/>
                      <w:sz w:val="21"/>
                      <w:szCs w:val="21"/>
                      <w:highlight w:val="none"/>
                      <w:u w:val="none"/>
                      <w:lang w:val="en-US" w:eastAsia="zh-CN" w:bidi="ar"/>
                    </w:rPr>
                    <w:t>；无生产废水排放</w:t>
                  </w:r>
                </w:p>
              </w:tc>
            </w:tr>
            <w:tr w14:paraId="4F4840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6F7054F0">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6BAC737E">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restart"/>
                  <w:tcBorders>
                    <w:tl2br w:val="nil"/>
                    <w:tr2bl w:val="nil"/>
                  </w:tcBorders>
                  <w:shd w:val="clear" w:color="auto" w:fill="auto"/>
                  <w:vAlign w:val="center"/>
                </w:tcPr>
                <w:p w14:paraId="038E22D8">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固废</w:t>
                  </w:r>
                </w:p>
              </w:tc>
              <w:tc>
                <w:tcPr>
                  <w:tcW w:w="6241" w:type="dxa"/>
                  <w:tcBorders>
                    <w:tl2br w:val="nil"/>
                    <w:tr2bl w:val="nil"/>
                  </w:tcBorders>
                  <w:shd w:val="clear" w:color="auto" w:fill="auto"/>
                  <w:vAlign w:val="center"/>
                </w:tcPr>
                <w:p w14:paraId="3550FF1F">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危险废物暂存间建筑面积</w:t>
                  </w:r>
                  <w:r>
                    <w:rPr>
                      <w:rFonts w:hint="default" w:ascii="Times New Roman" w:hAnsi="Times New Roman" w:cs="Times New Roman"/>
                      <w:i w:val="0"/>
                      <w:iCs w:val="0"/>
                      <w:color w:val="auto"/>
                      <w:kern w:val="0"/>
                      <w:sz w:val="21"/>
                      <w:szCs w:val="21"/>
                      <w:highlight w:val="none"/>
                      <w:u w:val="none"/>
                      <w:lang w:val="en-US" w:eastAsia="zh-CN" w:bidi="ar"/>
                    </w:rPr>
                    <w:t>10平方米</w:t>
                  </w:r>
                  <w:r>
                    <w:rPr>
                      <w:rFonts w:hint="default" w:ascii="Times New Roman" w:hAnsi="Times New Roman" w:eastAsia="宋体" w:cs="Times New Roman"/>
                      <w:i w:val="0"/>
                      <w:iCs w:val="0"/>
                      <w:color w:val="auto"/>
                      <w:kern w:val="0"/>
                      <w:sz w:val="21"/>
                      <w:szCs w:val="21"/>
                      <w:highlight w:val="none"/>
                      <w:u w:val="none"/>
                      <w:lang w:val="en-US" w:eastAsia="zh-CN" w:bidi="ar"/>
                    </w:rPr>
                    <w:t>，用于危险废物存放</w:t>
                  </w:r>
                  <w:r>
                    <w:rPr>
                      <w:rFonts w:hint="default" w:ascii="Times New Roman" w:hAnsi="Times New Roman" w:cs="Times New Roman"/>
                      <w:i w:val="0"/>
                      <w:iCs w:val="0"/>
                      <w:color w:val="auto"/>
                      <w:kern w:val="0"/>
                      <w:sz w:val="21"/>
                      <w:szCs w:val="21"/>
                      <w:highlight w:val="none"/>
                      <w:u w:val="none"/>
                      <w:lang w:val="en-US" w:eastAsia="zh-CN" w:bidi="ar"/>
                    </w:rPr>
                    <w:t>。</w:t>
                  </w:r>
                </w:p>
              </w:tc>
            </w:tr>
            <w:tr w14:paraId="21049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94" w:type="dxa"/>
                  <w:vMerge w:val="continue"/>
                  <w:tcBorders>
                    <w:tl2br w:val="nil"/>
                    <w:tr2bl w:val="nil"/>
                  </w:tcBorders>
                  <w:shd w:val="clear" w:color="auto" w:fill="auto"/>
                  <w:vAlign w:val="center"/>
                </w:tcPr>
                <w:p w14:paraId="62DD6BB9">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l2br w:val="nil"/>
                    <w:tr2bl w:val="nil"/>
                  </w:tcBorders>
                  <w:shd w:val="clear" w:color="auto" w:fill="auto"/>
                  <w:vAlign w:val="center"/>
                </w:tcPr>
                <w:p w14:paraId="207F2ECD">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tl2br w:val="nil"/>
                    <w:tr2bl w:val="nil"/>
                  </w:tcBorders>
                  <w:shd w:val="clear" w:color="auto" w:fill="auto"/>
                  <w:vAlign w:val="center"/>
                </w:tcPr>
                <w:p w14:paraId="340A0A9F">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l2br w:val="nil"/>
                    <w:tr2bl w:val="nil"/>
                  </w:tcBorders>
                  <w:shd w:val="clear" w:color="auto" w:fill="auto"/>
                  <w:vAlign w:val="center"/>
                </w:tcPr>
                <w:p w14:paraId="0B67B8BE">
                  <w:pPr>
                    <w:keepNext w:val="0"/>
                    <w:keepLines w:val="0"/>
                    <w:pageBreakBefore w:val="0"/>
                    <w:widowControl/>
                    <w:suppressLineNumbers w:val="0"/>
                    <w:kinsoku/>
                    <w:wordWrap w:val="0"/>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一般固体废物暂存间占地面积</w:t>
                  </w:r>
                  <w:r>
                    <w:rPr>
                      <w:rFonts w:hint="default" w:ascii="Times New Roman" w:hAnsi="Times New Roman" w:cs="Times New Roman"/>
                      <w:i w:val="0"/>
                      <w:iCs w:val="0"/>
                      <w:color w:val="auto"/>
                      <w:kern w:val="0"/>
                      <w:sz w:val="21"/>
                      <w:szCs w:val="21"/>
                      <w:highlight w:val="none"/>
                      <w:u w:val="none"/>
                      <w:lang w:val="en-US" w:eastAsia="zh-CN" w:bidi="ar"/>
                    </w:rPr>
                    <w:t>10平方米</w:t>
                  </w:r>
                  <w:r>
                    <w:rPr>
                      <w:rFonts w:hint="default" w:ascii="Times New Roman" w:hAnsi="Times New Roman" w:eastAsia="宋体" w:cs="Times New Roman"/>
                      <w:i w:val="0"/>
                      <w:iCs w:val="0"/>
                      <w:color w:val="auto"/>
                      <w:kern w:val="0"/>
                      <w:sz w:val="21"/>
                      <w:szCs w:val="21"/>
                      <w:highlight w:val="none"/>
                      <w:u w:val="none"/>
                      <w:lang w:val="en-US" w:eastAsia="zh-CN" w:bidi="ar"/>
                    </w:rPr>
                    <w:t>，用于一般固废暂存。</w:t>
                  </w:r>
                </w:p>
              </w:tc>
            </w:tr>
          </w:tbl>
          <w:p w14:paraId="1F764502">
            <w:pPr>
              <w:pStyle w:val="5"/>
              <w:pageBreakBefore w:val="0"/>
              <w:numPr>
                <w:ilvl w:val="3"/>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0D8AFC26">
            <w:pPr>
              <w:keepNext w:val="0"/>
              <w:keepLines w:val="0"/>
              <w:pageBreakBefore w:val="0"/>
              <w:suppressLineNumbers w:val="0"/>
              <w:tabs>
                <w:tab w:val="left" w:pos="6960"/>
              </w:tabs>
              <w:wordWrap w:val="0"/>
              <w:bidi w:val="0"/>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产品方案</w:t>
            </w:r>
          </w:p>
          <w:p w14:paraId="4AED04DE">
            <w:pPr>
              <w:keepNext w:val="0"/>
              <w:keepLines w:val="0"/>
              <w:pageBreakBefore w:val="0"/>
              <w:suppressLineNumbers w:val="0"/>
              <w:tabs>
                <w:tab w:val="left" w:pos="6960"/>
              </w:tabs>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7F29819A">
            <w:pPr>
              <w:pStyle w:val="106"/>
              <w:keepNext w:val="0"/>
              <w:keepLines w:val="0"/>
              <w:pageBreakBefore w:val="0"/>
              <w:suppressLineNumbers w:val="0"/>
              <w:wordWrap w:val="0"/>
              <w:bidi w:val="0"/>
              <w:spacing w:before="0" w:beforeAutospacing="0" w:after="0" w:afterAutospacing="0" w:line="240" w:lineRule="auto"/>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产品产量一览表</w:t>
            </w:r>
          </w:p>
          <w:tbl>
            <w:tblPr>
              <w:tblStyle w:val="36"/>
              <w:tblW w:w="49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38"/>
              <w:gridCol w:w="1217"/>
              <w:gridCol w:w="2804"/>
              <w:gridCol w:w="4574"/>
            </w:tblGrid>
            <w:tr w14:paraId="6971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47" w:hRule="atLeast"/>
                <w:jc w:val="center"/>
              </w:trPr>
              <w:tc>
                <w:tcPr>
                  <w:tcW w:w="295" w:type="pct"/>
                  <w:vAlign w:val="center"/>
                </w:tcPr>
                <w:p w14:paraId="7FE9DF9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666" w:type="pct"/>
                  <w:vAlign w:val="center"/>
                </w:tcPr>
                <w:p w14:paraId="50EA64D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1535" w:type="pct"/>
                  <w:vAlign w:val="center"/>
                </w:tcPr>
                <w:p w14:paraId="50A08DB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数量</w:t>
                  </w:r>
                </w:p>
              </w:tc>
              <w:tc>
                <w:tcPr>
                  <w:tcW w:w="2503" w:type="pct"/>
                  <w:vAlign w:val="center"/>
                </w:tcPr>
                <w:p w14:paraId="5F07ADD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备注说明</w:t>
                  </w:r>
                </w:p>
              </w:tc>
            </w:tr>
            <w:tr w14:paraId="4CC42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178" w:hRule="atLeast"/>
                <w:jc w:val="center"/>
              </w:trPr>
              <w:tc>
                <w:tcPr>
                  <w:tcW w:w="295" w:type="pct"/>
                  <w:vAlign w:val="center"/>
                </w:tcPr>
                <w:p w14:paraId="519D33B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66" w:type="pct"/>
                  <w:vAlign w:val="center"/>
                </w:tcPr>
                <w:p w14:paraId="2022E4C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新形建筑软瓷</w:t>
                  </w:r>
                </w:p>
              </w:tc>
              <w:tc>
                <w:tcPr>
                  <w:tcW w:w="1535" w:type="pct"/>
                  <w:vAlign w:val="center"/>
                </w:tcPr>
                <w:p w14:paraId="0062AC50">
                  <w:pPr>
                    <w:keepNext w:val="0"/>
                    <w:keepLines w:val="0"/>
                    <w:pageBreakBefore w:val="0"/>
                    <w:widowControl w:val="0"/>
                    <w:suppressLineNumbers w:val="0"/>
                    <w:tabs>
                      <w:tab w:val="left" w:pos="1305"/>
                    </w:tabs>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rPr>
                    <w:t>5</w:t>
                  </w:r>
                  <w:r>
                    <w:rPr>
                      <w:rFonts w:hint="default" w:ascii="Times New Roman" w:hAnsi="Times New Roman" w:cs="Times New Roman"/>
                      <w:b w:val="0"/>
                      <w:bCs w:val="0"/>
                      <w:color w:val="auto"/>
                      <w:sz w:val="21"/>
                      <w:szCs w:val="21"/>
                      <w:highlight w:val="none"/>
                      <w:lang w:val="en-US" w:eastAsia="zh-CN"/>
                    </w:rPr>
                    <w:t>万m</w:t>
                  </w:r>
                  <w:r>
                    <w:rPr>
                      <w:rFonts w:hint="default" w:ascii="Times New Roman" w:hAnsi="Times New Roman" w:cs="Times New Roman"/>
                      <w:b w:val="0"/>
                      <w:bCs w:val="0"/>
                      <w:color w:val="auto"/>
                      <w:sz w:val="21"/>
                      <w:szCs w:val="21"/>
                      <w:highlight w:val="none"/>
                      <w:vertAlign w:val="superscript"/>
                      <w:lang w:val="en-US" w:eastAsia="zh-CN"/>
                    </w:rPr>
                    <w:t>2</w:t>
                  </w:r>
                </w:p>
              </w:tc>
              <w:tc>
                <w:tcPr>
                  <w:tcW w:w="2503" w:type="pct"/>
                  <w:vAlign w:val="center"/>
                </w:tcPr>
                <w:p w14:paraId="60EB1BF4">
                  <w:pPr>
                    <w:keepNext w:val="0"/>
                    <w:keepLines w:val="0"/>
                    <w:pageBreakBefore w:val="0"/>
                    <w:widowControl w:val="0"/>
                    <w:suppressLineNumbers w:val="0"/>
                    <w:tabs>
                      <w:tab w:val="left" w:pos="1305"/>
                    </w:tabs>
                    <w:kinsoku/>
                    <w:wordWrap w:val="0"/>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软瓷规格有30*10*2.5mm、40*30*2.5mm、50*30*3mm等</w:t>
                  </w:r>
                </w:p>
              </w:tc>
            </w:tr>
            <w:tr w14:paraId="04306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29" w:hRule="atLeast"/>
                <w:jc w:val="center"/>
              </w:trPr>
              <w:tc>
                <w:tcPr>
                  <w:tcW w:w="5000" w:type="pct"/>
                  <w:gridSpan w:val="4"/>
                  <w:vAlign w:val="center"/>
                </w:tcPr>
                <w:p w14:paraId="4D818A34">
                  <w:pPr>
                    <w:keepNext w:val="0"/>
                    <w:keepLines w:val="0"/>
                    <w:pageBreakBefore w:val="0"/>
                    <w:widowControl w:val="0"/>
                    <w:suppressLineNumbers w:val="0"/>
                    <w:tabs>
                      <w:tab w:val="left" w:pos="1305"/>
                    </w:tabs>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b/>
                      <w:bCs/>
                      <w:color w:val="auto"/>
                      <w:kern w:val="0"/>
                      <w:sz w:val="21"/>
                      <w:szCs w:val="21"/>
                      <w:highlight w:val="none"/>
                    </w:rPr>
                    <w:t>产品示意图</w:t>
                  </w:r>
                </w:p>
              </w:tc>
            </w:tr>
            <w:tr w14:paraId="434D3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82" w:hRule="atLeast"/>
                <w:jc w:val="center"/>
              </w:trPr>
              <w:tc>
                <w:tcPr>
                  <w:tcW w:w="2496" w:type="pct"/>
                  <w:gridSpan w:val="3"/>
                  <w:vAlign w:val="center"/>
                </w:tcPr>
                <w:p w14:paraId="2D5B52D8">
                  <w:pPr>
                    <w:keepNext w:val="0"/>
                    <w:keepLines w:val="0"/>
                    <w:pageBreakBefore w:val="0"/>
                    <w:widowControl w:val="0"/>
                    <w:suppressLineNumbers w:val="0"/>
                    <w:tabs>
                      <w:tab w:val="left" w:pos="1305"/>
                    </w:tabs>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sz w:val="24"/>
                      <w:szCs w:val="24"/>
                      <w:highlight w:val="none"/>
                    </w:rPr>
                    <w:drawing>
                      <wp:inline distT="0" distB="0" distL="114300" distR="114300">
                        <wp:extent cx="2592070" cy="1969135"/>
                        <wp:effectExtent l="0" t="0" r="11430" b="12065"/>
                        <wp:docPr id="3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IMG_256"/>
                                <pic:cNvPicPr>
                                  <a:picLocks noChangeAspect="1"/>
                                </pic:cNvPicPr>
                              </pic:nvPicPr>
                              <pic:blipFill>
                                <a:blip r:embed="rId10"/>
                                <a:stretch>
                                  <a:fillRect/>
                                </a:stretch>
                              </pic:blipFill>
                              <pic:spPr>
                                <a:xfrm>
                                  <a:off x="0" y="0"/>
                                  <a:ext cx="2592070" cy="1969135"/>
                                </a:xfrm>
                                <a:prstGeom prst="rect">
                                  <a:avLst/>
                                </a:prstGeom>
                                <a:noFill/>
                                <a:ln w="9525">
                                  <a:noFill/>
                                </a:ln>
                              </pic:spPr>
                            </pic:pic>
                          </a:graphicData>
                        </a:graphic>
                      </wp:inline>
                    </w:drawing>
                  </w:r>
                </w:p>
              </w:tc>
              <w:tc>
                <w:tcPr>
                  <w:tcW w:w="2503" w:type="pct"/>
                  <w:vAlign w:val="center"/>
                </w:tcPr>
                <w:p w14:paraId="61CFB492">
                  <w:pPr>
                    <w:keepNext w:val="0"/>
                    <w:keepLines w:val="0"/>
                    <w:pageBreakBefore w:val="0"/>
                    <w:widowControl w:val="0"/>
                    <w:suppressLineNumbers w:val="0"/>
                    <w:tabs>
                      <w:tab w:val="left" w:pos="1305"/>
                    </w:tabs>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sz w:val="24"/>
                      <w:szCs w:val="24"/>
                      <w:highlight w:val="none"/>
                    </w:rPr>
                    <w:drawing>
                      <wp:inline distT="0" distB="0" distL="114300" distR="114300">
                        <wp:extent cx="2595880" cy="1988185"/>
                        <wp:effectExtent l="0" t="0" r="7620" b="5715"/>
                        <wp:docPr id="3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IMG_256"/>
                                <pic:cNvPicPr>
                                  <a:picLocks noChangeAspect="1"/>
                                </pic:cNvPicPr>
                              </pic:nvPicPr>
                              <pic:blipFill>
                                <a:blip r:embed="rId11"/>
                                <a:stretch>
                                  <a:fillRect/>
                                </a:stretch>
                              </pic:blipFill>
                              <pic:spPr>
                                <a:xfrm>
                                  <a:off x="0" y="0"/>
                                  <a:ext cx="2595880" cy="1988185"/>
                                </a:xfrm>
                                <a:prstGeom prst="rect">
                                  <a:avLst/>
                                </a:prstGeom>
                                <a:noFill/>
                                <a:ln w="9525">
                                  <a:noFill/>
                                </a:ln>
                              </pic:spPr>
                            </pic:pic>
                          </a:graphicData>
                        </a:graphic>
                      </wp:inline>
                    </w:drawing>
                  </w:r>
                </w:p>
              </w:tc>
            </w:tr>
          </w:tbl>
          <w:p w14:paraId="1374DAC4">
            <w:pPr>
              <w:pStyle w:val="5"/>
              <w:pageBreakBefore w:val="0"/>
              <w:numPr>
                <w:ilvl w:val="3"/>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78FF80A7">
            <w:pPr>
              <w:pStyle w:val="6"/>
              <w:pageBreakBefore w:val="0"/>
              <w:widowControl/>
              <w:numPr>
                <w:ilvl w:val="4"/>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（1）原辅材料用量</w:t>
            </w:r>
          </w:p>
          <w:p w14:paraId="73C5988C">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本项目原辅材料种类及年用量见下表。</w:t>
            </w:r>
          </w:p>
          <w:p w14:paraId="062907F0">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原辅材料一览表</w:t>
            </w:r>
          </w:p>
          <w:tbl>
            <w:tblPr>
              <w:tblStyle w:val="36"/>
              <w:tblW w:w="497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1"/>
              <w:gridCol w:w="1292"/>
              <w:gridCol w:w="1281"/>
              <w:gridCol w:w="896"/>
              <w:gridCol w:w="710"/>
              <w:gridCol w:w="633"/>
              <w:gridCol w:w="1525"/>
              <w:gridCol w:w="1074"/>
              <w:gridCol w:w="1355"/>
            </w:tblGrid>
            <w:tr w14:paraId="5CBA3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881A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B1B5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03B5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年用量</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8AE5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最大贮存量</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A63B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单位</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3638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形态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8F8B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型号/规格</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B224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使用环节</w:t>
                  </w: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15FC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贮存位置</w:t>
                  </w:r>
                </w:p>
              </w:tc>
            </w:tr>
            <w:tr w14:paraId="28A26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6E4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314E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玻璃纤维网格布</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4EC1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277E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0.5</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0AA9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万m</w:t>
                  </w:r>
                  <w:r>
                    <w:rPr>
                      <w:rFonts w:hint="default" w:ascii="Times New Roman" w:hAnsi="Times New Roman" w:cs="Times New Roman"/>
                      <w:i w:val="0"/>
                      <w:iCs w:val="0"/>
                      <w:color w:val="auto"/>
                      <w:kern w:val="0"/>
                      <w:sz w:val="21"/>
                      <w:szCs w:val="21"/>
                      <w:highlight w:val="none"/>
                      <w:u w:val="none"/>
                      <w:vertAlign w:val="superscript"/>
                      <w:lang w:val="en-US" w:eastAsia="zh-CN" w:bidi="ar"/>
                    </w:rPr>
                    <w:t>2</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942B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6106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外购，15kg/袋</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1D7D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生产全过程</w:t>
                  </w:r>
                </w:p>
              </w:tc>
              <w:tc>
                <w:tcPr>
                  <w:tcW w:w="727" w:type="pct"/>
                  <w:vMerge w:val="restart"/>
                  <w:tcBorders>
                    <w:top w:val="single" w:color="000000" w:sz="4" w:space="0"/>
                    <w:left w:val="single" w:color="000000" w:sz="4" w:space="0"/>
                    <w:right w:val="single" w:color="000000" w:sz="4" w:space="0"/>
                  </w:tcBorders>
                  <w:shd w:val="clear" w:color="auto" w:fill="auto"/>
                  <w:vAlign w:val="center"/>
                </w:tcPr>
                <w:p w14:paraId="48E7E35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物料仓库（厂房</w:t>
                  </w:r>
                  <w:r>
                    <w:rPr>
                      <w:rFonts w:hint="default" w:ascii="Times New Roman" w:hAnsi="Times New Roman" w:cs="Times New Roman"/>
                      <w:i w:val="0"/>
                      <w:iCs w:val="0"/>
                      <w:color w:val="auto"/>
                      <w:kern w:val="0"/>
                      <w:sz w:val="21"/>
                      <w:szCs w:val="21"/>
                      <w:highlight w:val="none"/>
                      <w:u w:val="none"/>
                      <w:lang w:val="en-US" w:eastAsia="zh-CN" w:bidi="ar"/>
                    </w:rPr>
                    <w:t>内</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067A7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2888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6A9C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石粉</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6DB8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500</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8D04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30</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DA43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B380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固</w:t>
                  </w:r>
                  <w:r>
                    <w:rPr>
                      <w:rFonts w:hint="default" w:ascii="Times New Roman" w:hAnsi="Times New Roman" w:eastAsia="宋体" w:cs="Times New Roman"/>
                      <w:i w:val="0"/>
                      <w:iCs w:val="0"/>
                      <w:color w:val="auto"/>
                      <w:kern w:val="0"/>
                      <w:sz w:val="21"/>
                      <w:szCs w:val="21"/>
                      <w:highlight w:val="none"/>
                      <w:u w:val="none"/>
                      <w:lang w:val="en-US" w:eastAsia="zh-CN" w:bidi="ar"/>
                    </w:rPr>
                    <w:t>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ED4A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1t</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包</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8AF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成型工序</w:t>
                  </w:r>
                </w:p>
              </w:tc>
              <w:tc>
                <w:tcPr>
                  <w:tcW w:w="727" w:type="pct"/>
                  <w:vMerge w:val="continue"/>
                  <w:tcBorders>
                    <w:left w:val="single" w:color="000000" w:sz="4" w:space="0"/>
                    <w:right w:val="single" w:color="000000" w:sz="4" w:space="0"/>
                  </w:tcBorders>
                  <w:shd w:val="clear" w:color="auto" w:fill="auto"/>
                  <w:vAlign w:val="center"/>
                </w:tcPr>
                <w:p w14:paraId="0F828CC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23C788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957A3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1FFB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矿粉</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FDEE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500</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8AEE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30</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2ABA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2B59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DF59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储罐</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A782F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成型工序</w:t>
                  </w:r>
                </w:p>
              </w:tc>
              <w:tc>
                <w:tcPr>
                  <w:tcW w:w="727" w:type="pct"/>
                  <w:vMerge w:val="continue"/>
                  <w:tcBorders>
                    <w:left w:val="single" w:color="000000" w:sz="4" w:space="0"/>
                    <w:right w:val="single" w:color="000000" w:sz="4" w:space="0"/>
                  </w:tcBorders>
                  <w:shd w:val="clear" w:color="auto" w:fill="auto"/>
                  <w:vAlign w:val="center"/>
                </w:tcPr>
                <w:p w14:paraId="6ABAA50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2AE94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14EE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ABB6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丙烯酸乳液（RS-300S）</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D81A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50</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ADD0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4C37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35D3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8289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1t</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桶</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609F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成型工序</w:t>
                  </w:r>
                </w:p>
              </w:tc>
              <w:tc>
                <w:tcPr>
                  <w:tcW w:w="727" w:type="pct"/>
                  <w:vMerge w:val="continue"/>
                  <w:tcBorders>
                    <w:left w:val="single" w:color="000000" w:sz="4" w:space="0"/>
                    <w:right w:val="single" w:color="000000" w:sz="4" w:space="0"/>
                  </w:tcBorders>
                  <w:shd w:val="clear" w:color="auto" w:fill="auto"/>
                  <w:vAlign w:val="center"/>
                </w:tcPr>
                <w:p w14:paraId="79ECD9D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A304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7263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6DEE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水性漆</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25A3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E997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0.5</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DF76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808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E0FE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25kg</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桶</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74232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上色固化工序</w:t>
                  </w:r>
                </w:p>
              </w:tc>
              <w:tc>
                <w:tcPr>
                  <w:tcW w:w="727" w:type="pct"/>
                  <w:vMerge w:val="continue"/>
                  <w:tcBorders>
                    <w:left w:val="single" w:color="000000" w:sz="4" w:space="0"/>
                    <w:right w:val="single" w:color="000000" w:sz="4" w:space="0"/>
                  </w:tcBorders>
                  <w:shd w:val="clear" w:color="auto" w:fill="auto"/>
                  <w:vAlign w:val="center"/>
                </w:tcPr>
                <w:p w14:paraId="3494BBF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14C2A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FD18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11F8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机油</w:t>
                  </w:r>
                </w:p>
                <w:p w14:paraId="7A01659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（润滑油）</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B964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0.2</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F3F8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0.2</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2FE9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4500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8287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r>
                    <w:rPr>
                      <w:rFonts w:hint="default" w:ascii="Times New Roman" w:hAnsi="Times New Roman" w:cs="Times New Roman"/>
                      <w:i w:val="0"/>
                      <w:iCs w:val="0"/>
                      <w:color w:val="auto"/>
                      <w:kern w:val="0"/>
                      <w:sz w:val="21"/>
                      <w:szCs w:val="21"/>
                      <w:highlight w:val="none"/>
                      <w:u w:val="none"/>
                      <w:lang w:val="en-US" w:eastAsia="zh-CN" w:bidi="ar"/>
                    </w:rPr>
                    <w:t>kg</w:t>
                  </w:r>
                  <w:r>
                    <w:rPr>
                      <w:rFonts w:hint="default" w:ascii="Times New Roman" w:hAnsi="Times New Roman" w:eastAsia="宋体" w:cs="Times New Roman"/>
                      <w:i w:val="0"/>
                      <w:iCs w:val="0"/>
                      <w:color w:val="auto"/>
                      <w:kern w:val="0"/>
                      <w:sz w:val="21"/>
                      <w:szCs w:val="21"/>
                      <w:highlight w:val="none"/>
                      <w:u w:val="none"/>
                      <w:lang w:val="en-US" w:eastAsia="zh-CN" w:bidi="ar"/>
                    </w:rPr>
                    <w:t>/桶</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E56C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设备运行维护</w:t>
                  </w:r>
                </w:p>
              </w:tc>
              <w:tc>
                <w:tcPr>
                  <w:tcW w:w="727" w:type="pct"/>
                  <w:vMerge w:val="continue"/>
                  <w:tcBorders>
                    <w:left w:val="single" w:color="000000" w:sz="4" w:space="0"/>
                    <w:bottom w:val="single" w:color="000000" w:sz="4" w:space="0"/>
                    <w:right w:val="single" w:color="000000" w:sz="4" w:space="0"/>
                  </w:tcBorders>
                  <w:shd w:val="clear" w:color="auto" w:fill="auto"/>
                  <w:vAlign w:val="center"/>
                </w:tcPr>
                <w:p w14:paraId="4BC6B9A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p>
              </w:tc>
            </w:tr>
            <w:tr w14:paraId="04352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2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BF5E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0A87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天然气</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CD12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256</w:t>
                  </w:r>
                </w:p>
                <w:p w14:paraId="178DEF7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（365565</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cs="Times New Roman"/>
                      <w:i w:val="0"/>
                      <w:iCs w:val="0"/>
                      <w:color w:val="auto"/>
                      <w:kern w:val="0"/>
                      <w:sz w:val="21"/>
                      <w:szCs w:val="21"/>
                      <w:highlight w:val="none"/>
                      <w:u w:val="none"/>
                      <w:lang w:val="en-US" w:eastAsia="zh-CN" w:bidi="ar"/>
                    </w:rPr>
                    <w:t>）</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4019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0.0003</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366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C13E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气态</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C376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7945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供热</w:t>
                  </w: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EEED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管道内</w:t>
                  </w:r>
                </w:p>
              </w:tc>
            </w:tr>
            <w:tr w14:paraId="426A4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000" w:type="pct"/>
                  <w:gridSpan w:val="9"/>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2886C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w:t>
                  </w:r>
                  <w:r>
                    <w:rPr>
                      <w:rFonts w:hint="default" w:ascii="Times New Roman" w:hAnsi="Times New Roman" w:cs="Times New Roman"/>
                      <w:i w:val="0"/>
                      <w:iCs w:val="0"/>
                      <w:color w:val="auto"/>
                      <w:kern w:val="0"/>
                      <w:sz w:val="21"/>
                      <w:szCs w:val="21"/>
                      <w:highlight w:val="none"/>
                      <w:u w:val="none"/>
                      <w:lang w:val="en-US" w:eastAsia="zh-CN" w:bidi="ar"/>
                    </w:rPr>
                    <w:t>①</w:t>
                  </w:r>
                  <w:r>
                    <w:rPr>
                      <w:rFonts w:hint="default" w:ascii="Times New Roman" w:hAnsi="Times New Roman" w:cs="Times New Roman"/>
                      <w:color w:val="auto"/>
                      <w:sz w:val="21"/>
                      <w:szCs w:val="21"/>
                      <w:highlight w:val="none"/>
                      <w:shd w:val="clear" w:color="auto" w:fill="auto"/>
                      <w:lang w:val="en-US" w:eastAsia="zh-CN"/>
                    </w:rPr>
                    <w:t>软瓷生产线</w:t>
                  </w:r>
                  <w:r>
                    <w:rPr>
                      <w:rFonts w:hint="default" w:ascii="Times New Roman" w:hAnsi="Times New Roman" w:cs="Times New Roman"/>
                      <w:color w:val="auto"/>
                      <w:sz w:val="21"/>
                      <w:szCs w:val="21"/>
                      <w:highlight w:val="none"/>
                      <w:shd w:val="clear" w:color="auto" w:fill="auto"/>
                    </w:rPr>
                    <w:t>：</w:t>
                  </w:r>
                  <w:r>
                    <w:rPr>
                      <w:rFonts w:hint="default" w:ascii="Times New Roman" w:hAnsi="Times New Roman" w:cs="Times New Roman"/>
                      <w:color w:val="auto"/>
                      <w:sz w:val="21"/>
                      <w:szCs w:val="21"/>
                      <w:highlight w:val="none"/>
                      <w:shd w:val="clear" w:color="auto" w:fill="auto"/>
                      <w:lang w:val="en-US" w:eastAsia="zh-CN"/>
                    </w:rPr>
                    <w:t>2个配套烤房各</w:t>
                  </w:r>
                  <w:r>
                    <w:rPr>
                      <w:rFonts w:hint="default" w:ascii="Times New Roman" w:hAnsi="Times New Roman" w:cs="Times New Roman"/>
                      <w:color w:val="auto"/>
                      <w:sz w:val="21"/>
                      <w:szCs w:val="21"/>
                      <w:highlight w:val="none"/>
                      <w:shd w:val="clear" w:color="auto" w:fill="auto"/>
                    </w:rPr>
                    <w:t>设有</w:t>
                  </w:r>
                  <w:r>
                    <w:rPr>
                      <w:rFonts w:hint="default" w:ascii="Times New Roman" w:hAnsi="Times New Roman" w:cs="Times New Roman"/>
                      <w:color w:val="auto"/>
                      <w:sz w:val="21"/>
                      <w:szCs w:val="21"/>
                      <w:highlight w:val="none"/>
                      <w:shd w:val="clear" w:color="auto" w:fill="auto"/>
                      <w:lang w:val="en-US" w:eastAsia="zh-CN"/>
                    </w:rPr>
                    <w:t>1</w:t>
                  </w:r>
                  <w:r>
                    <w:rPr>
                      <w:rFonts w:hint="default" w:ascii="Times New Roman" w:hAnsi="Times New Roman" w:cs="Times New Roman"/>
                      <w:color w:val="auto"/>
                      <w:sz w:val="21"/>
                      <w:szCs w:val="21"/>
                      <w:highlight w:val="none"/>
                      <w:shd w:val="clear" w:color="auto" w:fill="auto"/>
                    </w:rPr>
                    <w:t>台</w:t>
                  </w:r>
                  <w:r>
                    <w:rPr>
                      <w:rFonts w:hint="default" w:ascii="Times New Roman" w:hAnsi="Times New Roman" w:cs="Times New Roman"/>
                      <w:color w:val="auto"/>
                      <w:sz w:val="21"/>
                      <w:szCs w:val="21"/>
                      <w:highlight w:val="none"/>
                      <w:shd w:val="clear" w:color="auto" w:fill="auto"/>
                      <w:lang w:val="en-US" w:eastAsia="zh-CN"/>
                    </w:rPr>
                    <w:t>3</w:t>
                  </w:r>
                  <w:r>
                    <w:rPr>
                      <w:rFonts w:hint="default" w:ascii="Times New Roman" w:hAnsi="Times New Roman" w:cs="Times New Roman"/>
                      <w:color w:val="auto"/>
                      <w:sz w:val="21"/>
                      <w:szCs w:val="21"/>
                      <w:highlight w:val="none"/>
                      <w:shd w:val="clear" w:color="auto" w:fill="auto"/>
                    </w:rPr>
                    <w:t>0万大卡/小时</w:t>
                  </w:r>
                  <w:r>
                    <w:rPr>
                      <w:rFonts w:hint="default" w:ascii="Times New Roman" w:hAnsi="Times New Roman" w:cs="Times New Roman"/>
                      <w:color w:val="auto"/>
                      <w:sz w:val="21"/>
                      <w:szCs w:val="21"/>
                      <w:highlight w:val="none"/>
                      <w:shd w:val="clear" w:color="auto" w:fill="auto"/>
                      <w:lang w:val="en-US" w:eastAsia="zh-CN"/>
                    </w:rPr>
                    <w:t>燃气热风循环式烤炉</w:t>
                  </w:r>
                  <w:r>
                    <w:rPr>
                      <w:rFonts w:hint="default" w:ascii="Times New Roman" w:hAnsi="Times New Roman" w:cs="Times New Roman"/>
                      <w:color w:val="auto"/>
                      <w:sz w:val="21"/>
                      <w:szCs w:val="21"/>
                      <w:highlight w:val="none"/>
                      <w:shd w:val="clear" w:color="auto" w:fill="auto"/>
                    </w:rPr>
                    <w:t>，耗气量计算公式如下：耗气量=热功率÷热效率÷天然气热值，</w:t>
                  </w:r>
                  <w:r>
                    <w:rPr>
                      <w:rFonts w:hint="default" w:ascii="Times New Roman" w:hAnsi="Times New Roman" w:cs="Times New Roman"/>
                      <w:color w:val="auto"/>
                      <w:sz w:val="21"/>
                      <w:szCs w:val="21"/>
                      <w:highlight w:val="none"/>
                      <w:shd w:val="clear" w:color="auto" w:fill="auto"/>
                      <w:lang w:val="en-US" w:eastAsia="zh-CN"/>
                    </w:rPr>
                    <w:t>已知</w:t>
                  </w:r>
                  <w:r>
                    <w:rPr>
                      <w:rFonts w:hint="default" w:ascii="Times New Roman" w:hAnsi="Times New Roman" w:cs="Times New Roman"/>
                      <w:color w:val="auto"/>
                      <w:sz w:val="21"/>
                      <w:szCs w:val="21"/>
                      <w:highlight w:val="none"/>
                      <w:shd w:val="clear" w:color="auto" w:fill="auto"/>
                    </w:rPr>
                    <w:t>热功率为</w:t>
                  </w:r>
                  <w:r>
                    <w:rPr>
                      <w:rFonts w:hint="default" w:ascii="Times New Roman" w:hAnsi="Times New Roman" w:cs="Times New Roman"/>
                      <w:color w:val="auto"/>
                      <w:sz w:val="21"/>
                      <w:szCs w:val="21"/>
                      <w:highlight w:val="none"/>
                      <w:shd w:val="clear" w:color="auto" w:fill="auto"/>
                      <w:lang w:val="en-US" w:eastAsia="zh-CN"/>
                    </w:rPr>
                    <w:t>3</w:t>
                  </w:r>
                  <w:r>
                    <w:rPr>
                      <w:rFonts w:hint="default" w:ascii="Times New Roman" w:hAnsi="Times New Roman" w:cs="Times New Roman"/>
                      <w:color w:val="auto"/>
                      <w:sz w:val="21"/>
                      <w:szCs w:val="21"/>
                      <w:highlight w:val="none"/>
                      <w:shd w:val="clear" w:color="auto" w:fill="auto"/>
                    </w:rPr>
                    <w:t>0万大卡</w:t>
                  </w:r>
                  <w:r>
                    <w:rPr>
                      <w:rFonts w:hint="default" w:ascii="Times New Roman" w:hAnsi="Times New Roman" w:cs="Times New Roman"/>
                      <w:color w:val="auto"/>
                      <w:sz w:val="21"/>
                      <w:szCs w:val="21"/>
                      <w:highlight w:val="none"/>
                      <w:shd w:val="clear" w:color="auto" w:fill="auto"/>
                      <w:lang w:eastAsia="zh-CN"/>
                    </w:rPr>
                    <w:t>，</w:t>
                  </w:r>
                  <w:r>
                    <w:rPr>
                      <w:rFonts w:hint="default" w:ascii="Times New Roman" w:hAnsi="Times New Roman" w:cs="Times New Roman"/>
                      <w:color w:val="auto"/>
                      <w:sz w:val="21"/>
                      <w:szCs w:val="21"/>
                      <w:highlight w:val="none"/>
                      <w:shd w:val="clear" w:color="auto" w:fill="auto"/>
                      <w:lang w:val="en-US" w:eastAsia="zh-CN"/>
                    </w:rPr>
                    <w:t>热效率均取95%，</w:t>
                  </w:r>
                  <w:r>
                    <w:rPr>
                      <w:rFonts w:hint="default" w:ascii="Times New Roman" w:hAnsi="Times New Roman" w:cs="Times New Roman"/>
                      <w:color w:val="auto"/>
                      <w:sz w:val="21"/>
                      <w:szCs w:val="21"/>
                      <w:highlight w:val="none"/>
                      <w:shd w:val="clear" w:color="auto" w:fill="auto"/>
                    </w:rPr>
                    <w:t>天然气热值为8500kcal/m</w:t>
                  </w:r>
                  <w:r>
                    <w:rPr>
                      <w:rFonts w:hint="default" w:ascii="Times New Roman" w:hAnsi="Times New Roman" w:cs="Times New Roman"/>
                      <w:color w:val="auto"/>
                      <w:sz w:val="21"/>
                      <w:szCs w:val="21"/>
                      <w:highlight w:val="none"/>
                      <w:shd w:val="clear" w:color="auto" w:fill="auto"/>
                      <w:vertAlign w:val="superscript"/>
                    </w:rPr>
                    <w:t>3</w:t>
                  </w:r>
                  <w:r>
                    <w:rPr>
                      <w:rFonts w:hint="default" w:ascii="Times New Roman" w:hAnsi="Times New Roman" w:cs="Times New Roman"/>
                      <w:color w:val="auto"/>
                      <w:sz w:val="21"/>
                      <w:szCs w:val="21"/>
                      <w:highlight w:val="none"/>
                      <w:shd w:val="clear" w:color="auto" w:fill="auto"/>
                    </w:rPr>
                    <w:t>，则本项目1台</w:t>
                  </w:r>
                  <w:r>
                    <w:rPr>
                      <w:rFonts w:hint="default" w:ascii="Times New Roman" w:hAnsi="Times New Roman" w:cs="Times New Roman"/>
                      <w:color w:val="auto"/>
                      <w:sz w:val="21"/>
                      <w:szCs w:val="21"/>
                      <w:highlight w:val="none"/>
                      <w:shd w:val="clear" w:color="auto" w:fill="auto"/>
                      <w:lang w:val="en-US" w:eastAsia="zh-CN"/>
                    </w:rPr>
                    <w:t>3</w:t>
                  </w:r>
                  <w:r>
                    <w:rPr>
                      <w:rFonts w:hint="default" w:ascii="Times New Roman" w:hAnsi="Times New Roman" w:cs="Times New Roman"/>
                      <w:color w:val="auto"/>
                      <w:sz w:val="21"/>
                      <w:szCs w:val="21"/>
                      <w:highlight w:val="none"/>
                      <w:shd w:val="clear" w:color="auto" w:fill="auto"/>
                    </w:rPr>
                    <w:t>0万大卡</w:t>
                  </w:r>
                  <w:r>
                    <w:rPr>
                      <w:rFonts w:hint="default" w:ascii="Times New Roman" w:hAnsi="Times New Roman" w:cs="Times New Roman"/>
                      <w:color w:val="auto"/>
                      <w:sz w:val="21"/>
                      <w:szCs w:val="21"/>
                      <w:highlight w:val="none"/>
                      <w:shd w:val="clear" w:color="auto" w:fill="auto"/>
                      <w:lang w:val="en-US" w:eastAsia="zh-CN"/>
                    </w:rPr>
                    <w:t>燃气热风循环式烤炉</w:t>
                  </w:r>
                  <w:r>
                    <w:rPr>
                      <w:rFonts w:hint="default" w:ascii="Times New Roman" w:hAnsi="Times New Roman" w:cs="Times New Roman"/>
                      <w:color w:val="auto"/>
                      <w:sz w:val="21"/>
                      <w:szCs w:val="21"/>
                      <w:highlight w:val="none"/>
                      <w:shd w:val="clear" w:color="auto" w:fill="auto"/>
                    </w:rPr>
                    <w:t>耗气量为</w:t>
                  </w:r>
                  <w:r>
                    <w:rPr>
                      <w:rFonts w:hint="default" w:ascii="Times New Roman" w:hAnsi="Times New Roman" w:cs="Times New Roman"/>
                      <w:color w:val="auto"/>
                      <w:sz w:val="21"/>
                      <w:szCs w:val="21"/>
                      <w:highlight w:val="none"/>
                      <w:shd w:val="clear" w:color="auto" w:fill="auto"/>
                      <w:lang w:val="en-US" w:eastAsia="zh-CN"/>
                    </w:rPr>
                    <w:t>37.1517</w:t>
                  </w:r>
                  <w:r>
                    <w:rPr>
                      <w:rFonts w:hint="default" w:ascii="Times New Roman" w:hAnsi="Times New Roman" w:cs="Times New Roman"/>
                      <w:color w:val="auto"/>
                      <w:sz w:val="21"/>
                      <w:szCs w:val="21"/>
                      <w:highlight w:val="none"/>
                      <w:shd w:val="clear" w:color="auto" w:fill="auto"/>
                    </w:rPr>
                    <w:t>m</w:t>
                  </w:r>
                  <w:r>
                    <w:rPr>
                      <w:rFonts w:hint="default" w:ascii="Times New Roman" w:hAnsi="Times New Roman" w:cs="Times New Roman"/>
                      <w:color w:val="auto"/>
                      <w:sz w:val="21"/>
                      <w:szCs w:val="21"/>
                      <w:highlight w:val="none"/>
                      <w:shd w:val="clear" w:color="auto" w:fill="auto"/>
                      <w:vertAlign w:val="superscript"/>
                    </w:rPr>
                    <w:t>3</w:t>
                  </w:r>
                  <w:r>
                    <w:rPr>
                      <w:rFonts w:hint="default" w:ascii="Times New Roman" w:hAnsi="Times New Roman" w:cs="Times New Roman"/>
                      <w:color w:val="auto"/>
                      <w:sz w:val="21"/>
                      <w:szCs w:val="21"/>
                      <w:highlight w:val="none"/>
                      <w:shd w:val="clear" w:color="auto" w:fill="auto"/>
                    </w:rPr>
                    <w:t>/h，工作时间按300天</w:t>
                  </w:r>
                  <w:r>
                    <w:rPr>
                      <w:rFonts w:hint="default" w:ascii="Times New Roman" w:hAnsi="Times New Roman" w:cs="Times New Roman"/>
                      <w:color w:val="auto"/>
                      <w:sz w:val="21"/>
                      <w:szCs w:val="21"/>
                      <w:highlight w:val="none"/>
                      <w:shd w:val="clear" w:color="auto" w:fill="auto"/>
                      <w:lang w:val="en-US" w:eastAsia="zh-CN"/>
                    </w:rPr>
                    <w:t>计</w:t>
                  </w:r>
                  <w:r>
                    <w:rPr>
                      <w:rFonts w:hint="default" w:ascii="Times New Roman" w:hAnsi="Times New Roman" w:cs="Times New Roman"/>
                      <w:color w:val="auto"/>
                      <w:sz w:val="21"/>
                      <w:szCs w:val="21"/>
                      <w:highlight w:val="none"/>
                      <w:shd w:val="clear" w:color="auto" w:fill="auto"/>
                    </w:rPr>
                    <w:t>，每天生产时间为</w:t>
                  </w:r>
                  <w:r>
                    <w:rPr>
                      <w:rFonts w:hint="default" w:ascii="Times New Roman" w:hAnsi="Times New Roman" w:cs="Times New Roman"/>
                      <w:color w:val="auto"/>
                      <w:sz w:val="21"/>
                      <w:szCs w:val="21"/>
                      <w:highlight w:val="none"/>
                      <w:shd w:val="clear" w:color="auto" w:fill="auto"/>
                      <w:lang w:val="en-US" w:eastAsia="zh-CN"/>
                    </w:rPr>
                    <w:t>16</w:t>
                  </w:r>
                  <w:r>
                    <w:rPr>
                      <w:rFonts w:hint="default" w:ascii="Times New Roman" w:hAnsi="Times New Roman" w:cs="Times New Roman"/>
                      <w:color w:val="auto"/>
                      <w:sz w:val="21"/>
                      <w:szCs w:val="21"/>
                      <w:highlight w:val="none"/>
                      <w:shd w:val="clear" w:color="auto" w:fill="auto"/>
                    </w:rPr>
                    <w:t>h，</w:t>
                  </w:r>
                  <w:r>
                    <w:rPr>
                      <w:rFonts w:hint="default" w:ascii="Times New Roman" w:hAnsi="Times New Roman" w:cs="Times New Roman"/>
                      <w:color w:val="auto"/>
                      <w:sz w:val="21"/>
                      <w:szCs w:val="21"/>
                      <w:highlight w:val="none"/>
                      <w:shd w:val="clear" w:color="auto" w:fill="auto"/>
                      <w:lang w:val="en-US" w:eastAsia="zh-CN"/>
                    </w:rPr>
                    <w:t>则2台燃气热风循环式烤炉</w:t>
                  </w:r>
                  <w:r>
                    <w:rPr>
                      <w:rFonts w:hint="default" w:ascii="Times New Roman" w:hAnsi="Times New Roman" w:cs="Times New Roman"/>
                      <w:color w:val="auto"/>
                      <w:sz w:val="21"/>
                      <w:szCs w:val="21"/>
                      <w:highlight w:val="none"/>
                      <w:shd w:val="clear" w:color="auto" w:fill="auto"/>
                    </w:rPr>
                    <w:t>年使用天然气量为：</w:t>
                  </w:r>
                  <w:r>
                    <w:rPr>
                      <w:rFonts w:hint="default" w:ascii="Times New Roman" w:hAnsi="Times New Roman" w:cs="Times New Roman"/>
                      <w:color w:val="auto"/>
                      <w:sz w:val="21"/>
                      <w:szCs w:val="21"/>
                      <w:highlight w:val="none"/>
                      <w:shd w:val="clear" w:color="auto" w:fill="auto"/>
                      <w:lang w:val="en-US" w:eastAsia="zh-CN"/>
                    </w:rPr>
                    <w:t>2台</w:t>
                  </w:r>
                  <w:r>
                    <w:rPr>
                      <w:rFonts w:hint="default" w:ascii="Times New Roman" w:hAnsi="Times New Roman" w:cs="Times New Roman"/>
                      <w:color w:val="auto"/>
                      <w:sz w:val="21"/>
                      <w:szCs w:val="21"/>
                      <w:highlight w:val="none"/>
                      <w:shd w:val="clear" w:color="auto" w:fill="auto"/>
                    </w:rPr>
                    <w:t>×</w:t>
                  </w:r>
                  <w:r>
                    <w:rPr>
                      <w:rFonts w:hint="default" w:ascii="Times New Roman" w:hAnsi="Times New Roman" w:cs="Times New Roman"/>
                      <w:color w:val="auto"/>
                      <w:sz w:val="21"/>
                      <w:szCs w:val="21"/>
                      <w:highlight w:val="none"/>
                      <w:shd w:val="clear" w:color="auto" w:fill="auto"/>
                      <w:lang w:val="en-US" w:eastAsia="zh-CN"/>
                    </w:rPr>
                    <w:t>37.1517</w:t>
                  </w:r>
                  <w:r>
                    <w:rPr>
                      <w:rFonts w:hint="default" w:ascii="Times New Roman" w:hAnsi="Times New Roman" w:cs="Times New Roman"/>
                      <w:color w:val="auto"/>
                      <w:sz w:val="21"/>
                      <w:szCs w:val="21"/>
                      <w:highlight w:val="none"/>
                      <w:shd w:val="clear" w:color="auto" w:fill="auto"/>
                    </w:rPr>
                    <w:t>m</w:t>
                  </w:r>
                  <w:r>
                    <w:rPr>
                      <w:rFonts w:hint="default" w:ascii="Times New Roman" w:hAnsi="Times New Roman" w:cs="Times New Roman"/>
                      <w:color w:val="auto"/>
                      <w:sz w:val="21"/>
                      <w:szCs w:val="21"/>
                      <w:highlight w:val="none"/>
                      <w:shd w:val="clear" w:color="auto" w:fill="auto"/>
                      <w:vertAlign w:val="superscript"/>
                    </w:rPr>
                    <w:t>3</w:t>
                  </w:r>
                  <w:r>
                    <w:rPr>
                      <w:rFonts w:hint="default" w:ascii="Times New Roman" w:hAnsi="Times New Roman" w:cs="Times New Roman"/>
                      <w:color w:val="auto"/>
                      <w:sz w:val="21"/>
                      <w:szCs w:val="21"/>
                      <w:highlight w:val="none"/>
                      <w:shd w:val="clear" w:color="auto" w:fill="auto"/>
                    </w:rPr>
                    <w:t>/h×</w:t>
                  </w:r>
                  <w:r>
                    <w:rPr>
                      <w:rFonts w:hint="default" w:ascii="Times New Roman" w:hAnsi="Times New Roman" w:cs="Times New Roman"/>
                      <w:color w:val="auto"/>
                      <w:sz w:val="21"/>
                      <w:szCs w:val="21"/>
                      <w:highlight w:val="none"/>
                      <w:shd w:val="clear" w:color="auto" w:fill="auto"/>
                      <w:lang w:val="en-US" w:eastAsia="zh-CN"/>
                    </w:rPr>
                    <w:t>16</w:t>
                  </w:r>
                  <w:r>
                    <w:rPr>
                      <w:rFonts w:hint="default" w:ascii="Times New Roman" w:hAnsi="Times New Roman" w:cs="Times New Roman"/>
                      <w:color w:val="auto"/>
                      <w:sz w:val="21"/>
                      <w:szCs w:val="21"/>
                      <w:highlight w:val="none"/>
                      <w:shd w:val="clear" w:color="auto" w:fill="auto"/>
                    </w:rPr>
                    <w:t>h×300d=</w:t>
                  </w:r>
                  <w:r>
                    <w:rPr>
                      <w:rFonts w:hint="default" w:ascii="Times New Roman" w:hAnsi="Times New Roman" w:cs="Times New Roman"/>
                      <w:color w:val="auto"/>
                      <w:sz w:val="21"/>
                      <w:szCs w:val="21"/>
                      <w:highlight w:val="none"/>
                      <w:shd w:val="clear" w:color="auto" w:fill="auto"/>
                      <w:lang w:val="en-US" w:eastAsia="zh-CN"/>
                    </w:rPr>
                    <w:t>365565</w:t>
                  </w:r>
                  <w:r>
                    <w:rPr>
                      <w:rFonts w:hint="default" w:ascii="Times New Roman" w:hAnsi="Times New Roman" w:cs="Times New Roman"/>
                      <w:color w:val="auto"/>
                      <w:sz w:val="21"/>
                      <w:szCs w:val="21"/>
                      <w:highlight w:val="none"/>
                      <w:shd w:val="clear" w:color="auto" w:fill="auto"/>
                    </w:rPr>
                    <w:t>m</w:t>
                  </w:r>
                  <w:r>
                    <w:rPr>
                      <w:rFonts w:hint="default" w:ascii="Times New Roman" w:hAnsi="Times New Roman" w:cs="Times New Roman"/>
                      <w:color w:val="auto"/>
                      <w:sz w:val="21"/>
                      <w:szCs w:val="21"/>
                      <w:highlight w:val="none"/>
                      <w:shd w:val="clear" w:color="auto" w:fill="auto"/>
                      <w:vertAlign w:val="superscript"/>
                    </w:rPr>
                    <w:t>3</w:t>
                  </w:r>
                  <w:r>
                    <w:rPr>
                      <w:rFonts w:hint="default" w:ascii="Times New Roman" w:hAnsi="Times New Roman" w:cs="Times New Roman"/>
                      <w:color w:val="auto"/>
                      <w:sz w:val="21"/>
                      <w:szCs w:val="21"/>
                      <w:highlight w:val="none"/>
                      <w:shd w:val="clear" w:color="auto" w:fill="auto"/>
                    </w:rPr>
                    <w:t>/a，根据天然气密度0.7174kg/m</w:t>
                  </w:r>
                  <w:r>
                    <w:rPr>
                      <w:rFonts w:hint="default" w:ascii="Times New Roman" w:hAnsi="Times New Roman" w:cs="Times New Roman"/>
                      <w:color w:val="auto"/>
                      <w:sz w:val="21"/>
                      <w:szCs w:val="21"/>
                      <w:highlight w:val="none"/>
                      <w:shd w:val="clear" w:color="auto" w:fill="auto"/>
                      <w:vertAlign w:val="superscript"/>
                    </w:rPr>
                    <w:t>3</w:t>
                  </w:r>
                  <w:r>
                    <w:rPr>
                      <w:rFonts w:hint="default" w:ascii="Times New Roman" w:hAnsi="Times New Roman" w:cs="Times New Roman"/>
                      <w:color w:val="auto"/>
                      <w:sz w:val="21"/>
                      <w:szCs w:val="21"/>
                      <w:highlight w:val="none"/>
                      <w:shd w:val="clear" w:color="auto" w:fill="auto"/>
                    </w:rPr>
                    <w:t>可换算</w:t>
                  </w:r>
                  <w:r>
                    <w:rPr>
                      <w:rFonts w:hint="default" w:ascii="Times New Roman" w:hAnsi="Times New Roman" w:cs="Times New Roman"/>
                      <w:color w:val="auto"/>
                      <w:sz w:val="21"/>
                      <w:szCs w:val="21"/>
                      <w:highlight w:val="none"/>
                      <w:shd w:val="clear" w:color="auto" w:fill="auto"/>
                      <w:lang w:val="en-US" w:eastAsia="zh-CN"/>
                    </w:rPr>
                    <w:t>约</w:t>
                  </w:r>
                  <w:r>
                    <w:rPr>
                      <w:rFonts w:hint="default" w:ascii="Times New Roman" w:hAnsi="Times New Roman" w:cs="Times New Roman"/>
                      <w:color w:val="auto"/>
                      <w:sz w:val="21"/>
                      <w:szCs w:val="21"/>
                      <w:highlight w:val="none"/>
                      <w:shd w:val="clear" w:color="auto" w:fill="auto"/>
                    </w:rPr>
                    <w:t>为</w:t>
                  </w:r>
                  <w:r>
                    <w:rPr>
                      <w:rFonts w:hint="default" w:ascii="Times New Roman" w:hAnsi="Times New Roman" w:cs="Times New Roman"/>
                      <w:color w:val="auto"/>
                      <w:sz w:val="21"/>
                      <w:szCs w:val="21"/>
                      <w:highlight w:val="none"/>
                      <w:shd w:val="clear" w:color="auto" w:fill="auto"/>
                      <w:lang w:val="en-US" w:eastAsia="zh-CN"/>
                    </w:rPr>
                    <w:t>256</w:t>
                  </w:r>
                  <w:r>
                    <w:rPr>
                      <w:rFonts w:hint="default" w:ascii="Times New Roman" w:hAnsi="Times New Roman" w:cs="Times New Roman"/>
                      <w:color w:val="auto"/>
                      <w:sz w:val="21"/>
                      <w:szCs w:val="21"/>
                      <w:highlight w:val="none"/>
                      <w:shd w:val="clear" w:color="auto" w:fill="auto"/>
                    </w:rPr>
                    <w:t>t/a；</w:t>
                  </w:r>
                </w:p>
                <w:p w14:paraId="38FA501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②</w:t>
                  </w:r>
                  <w:r>
                    <w:rPr>
                      <w:rFonts w:hint="default" w:ascii="Times New Roman" w:hAnsi="Times New Roman" w:eastAsia="宋体" w:cs="Times New Roman"/>
                      <w:i w:val="0"/>
                      <w:iCs w:val="0"/>
                      <w:color w:val="auto"/>
                      <w:kern w:val="0"/>
                      <w:sz w:val="21"/>
                      <w:szCs w:val="21"/>
                      <w:highlight w:val="none"/>
                      <w:u w:val="none"/>
                      <w:lang w:val="en-US" w:eastAsia="zh-CN" w:bidi="ar"/>
                    </w:rPr>
                    <w:t>厂区内不设天然气储存装置，故本项目按管道中的天然气量计算最大储存量，厂区内天然气管道长度约</w:t>
                  </w:r>
                  <w:r>
                    <w:rPr>
                      <w:rFonts w:hint="default" w:ascii="Times New Roman" w:hAnsi="Times New Roman" w:cs="Times New Roman"/>
                      <w:i w:val="0"/>
                      <w:iCs w:val="0"/>
                      <w:color w:val="auto"/>
                      <w:kern w:val="0"/>
                      <w:sz w:val="21"/>
                      <w:szCs w:val="21"/>
                      <w:highlight w:val="none"/>
                      <w:u w:val="none"/>
                      <w:lang w:val="en-US" w:eastAsia="zh-CN" w:bidi="ar"/>
                    </w:rPr>
                    <w:t>15</w:t>
                  </w:r>
                  <w:r>
                    <w:rPr>
                      <w:rFonts w:hint="default" w:ascii="Times New Roman" w:hAnsi="Times New Roman" w:eastAsia="宋体" w:cs="Times New Roman"/>
                      <w:i w:val="0"/>
                      <w:iCs w:val="0"/>
                      <w:color w:val="auto"/>
                      <w:kern w:val="0"/>
                      <w:sz w:val="21"/>
                      <w:szCs w:val="21"/>
                      <w:highlight w:val="none"/>
                      <w:u w:val="none"/>
                      <w:lang w:val="en-US" w:eastAsia="zh-CN" w:bidi="ar"/>
                    </w:rPr>
                    <w:t>0m，管径40mm，密度0.7174kg/m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，每台</w:t>
                  </w:r>
                  <w:r>
                    <w:rPr>
                      <w:rFonts w:hint="default" w:ascii="Times New Roman" w:hAnsi="Times New Roman" w:cs="Times New Roman"/>
                      <w:i w:val="0"/>
                      <w:iCs w:val="0"/>
                      <w:color w:val="auto"/>
                      <w:kern w:val="0"/>
                      <w:sz w:val="21"/>
                      <w:szCs w:val="21"/>
                      <w:highlight w:val="none"/>
                      <w:u w:val="none"/>
                      <w:lang w:val="en-US" w:eastAsia="zh-CN" w:bidi="ar"/>
                    </w:rPr>
                    <w:t>燃烧机</w:t>
                  </w:r>
                  <w:r>
                    <w:rPr>
                      <w:rFonts w:hint="default" w:ascii="Times New Roman" w:hAnsi="Times New Roman" w:eastAsia="宋体" w:cs="Times New Roman"/>
                      <w:i w:val="0"/>
                      <w:iCs w:val="0"/>
                      <w:color w:val="auto"/>
                      <w:kern w:val="0"/>
                      <w:sz w:val="21"/>
                      <w:szCs w:val="21"/>
                      <w:highlight w:val="none"/>
                      <w:u w:val="none"/>
                      <w:lang w:val="en-US" w:eastAsia="zh-CN" w:bidi="ar"/>
                    </w:rPr>
                    <w:t>配备一根燃气管道。则本项目厂区内最大储存量=天然气管道截面积×厂区内长度×密度×管数，约为</w:t>
                  </w:r>
                  <w:r>
                    <w:rPr>
                      <w:rFonts w:hint="default" w:ascii="Times New Roman" w:hAnsi="Times New Roman" w:cs="Times New Roman"/>
                      <w:i w:val="0"/>
                      <w:iCs w:val="0"/>
                      <w:color w:val="auto"/>
                      <w:kern w:val="0"/>
                      <w:sz w:val="21"/>
                      <w:szCs w:val="21"/>
                      <w:highlight w:val="none"/>
                      <w:u w:val="none"/>
                      <w:lang w:val="en-US" w:eastAsia="zh-CN" w:bidi="ar"/>
                    </w:rPr>
                    <w:t>0.0003</w:t>
                  </w:r>
                  <w:r>
                    <w:rPr>
                      <w:rFonts w:hint="default" w:ascii="Times New Roman" w:hAnsi="Times New Roman" w:eastAsia="宋体" w:cs="Times New Roman"/>
                      <w:i w:val="0"/>
                      <w:iCs w:val="0"/>
                      <w:color w:val="auto"/>
                      <w:kern w:val="0"/>
                      <w:sz w:val="21"/>
                      <w:szCs w:val="21"/>
                      <w:highlight w:val="none"/>
                      <w:u w:val="none"/>
                      <w:lang w:val="en-US" w:eastAsia="zh-CN" w:bidi="ar"/>
                    </w:rPr>
                    <w:t>t</w:t>
                  </w:r>
                  <w:r>
                    <w:rPr>
                      <w:rFonts w:hint="default" w:ascii="Times New Roman" w:hAnsi="Times New Roman" w:cs="Times New Roman"/>
                      <w:color w:val="auto"/>
                      <w:sz w:val="21"/>
                      <w:szCs w:val="21"/>
                      <w:highlight w:val="none"/>
                      <w:lang w:eastAsia="zh-CN"/>
                    </w:rPr>
                    <w:t>；</w:t>
                  </w:r>
                </w:p>
              </w:tc>
            </w:tr>
            <w:tr w14:paraId="662A8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1AB7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r w14:paraId="0C30FA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48D7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r w14:paraId="4556C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31700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r w14:paraId="0A792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E4E15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bl>
          <w:p w14:paraId="1A20FED1">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18"/>
                <w:highlight w:val="none"/>
                <w:u w:val="none"/>
              </w:rPr>
            </w:pPr>
            <w:r>
              <w:rPr>
                <w:rFonts w:hint="default" w:ascii="Times New Roman" w:hAnsi="Times New Roman" w:cs="Times New Roman"/>
                <w:b/>
                <w:bCs/>
                <w:color w:val="auto"/>
                <w:sz w:val="21"/>
                <w:szCs w:val="18"/>
                <w:highlight w:val="none"/>
                <w:u w:val="none"/>
              </w:rPr>
              <w:t>本项目</w:t>
            </w:r>
            <w:r>
              <w:rPr>
                <w:rFonts w:hint="default" w:ascii="Times New Roman" w:hAnsi="Times New Roman" w:cs="Times New Roman"/>
                <w:b/>
                <w:bCs/>
                <w:color w:val="auto"/>
                <w:sz w:val="21"/>
                <w:szCs w:val="18"/>
                <w:highlight w:val="none"/>
                <w:u w:val="none"/>
                <w:lang w:val="en-US" w:eastAsia="zh-CN"/>
              </w:rPr>
              <w:t>涂料</w:t>
            </w:r>
            <w:r>
              <w:rPr>
                <w:rFonts w:hint="default" w:ascii="Times New Roman" w:hAnsi="Times New Roman" w:cs="Times New Roman"/>
                <w:b/>
                <w:bCs/>
                <w:color w:val="auto"/>
                <w:sz w:val="21"/>
                <w:szCs w:val="18"/>
                <w:highlight w:val="none"/>
                <w:u w:val="none"/>
              </w:rPr>
              <w:t>使用量情况一览表</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3"/>
              <w:gridCol w:w="608"/>
              <w:gridCol w:w="606"/>
              <w:gridCol w:w="783"/>
              <w:gridCol w:w="823"/>
              <w:gridCol w:w="757"/>
              <w:gridCol w:w="862"/>
              <w:gridCol w:w="733"/>
              <w:gridCol w:w="886"/>
              <w:gridCol w:w="1163"/>
              <w:gridCol w:w="731"/>
              <w:gridCol w:w="718"/>
            </w:tblGrid>
            <w:tr w14:paraId="355F8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25" w:type="pct"/>
                  <w:shd w:val="clear" w:color="auto" w:fill="BEBEBE" w:themeFill="background1" w:themeFillShade="BF"/>
                  <w:vAlign w:val="center"/>
                </w:tcPr>
                <w:p w14:paraId="3B8A3D15">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cs="Times New Roman"/>
                      <w:b/>
                      <w:bCs/>
                      <w:color w:val="auto"/>
                      <w:sz w:val="21"/>
                      <w:szCs w:val="21"/>
                      <w:highlight w:val="none"/>
                      <w:u w:val="none"/>
                      <w:lang w:val="en-US" w:eastAsia="zh-CN"/>
                    </w:rPr>
                    <w:t>产品</w:t>
                  </w:r>
                </w:p>
              </w:tc>
              <w:tc>
                <w:tcPr>
                  <w:tcW w:w="328" w:type="pct"/>
                  <w:shd w:val="clear" w:color="auto" w:fill="BEBEBE" w:themeFill="background1" w:themeFillShade="BF"/>
                  <w:vAlign w:val="center"/>
                </w:tcPr>
                <w:p w14:paraId="617F603C">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涂层原料</w:t>
                  </w:r>
                </w:p>
              </w:tc>
              <w:tc>
                <w:tcPr>
                  <w:tcW w:w="327" w:type="pct"/>
                  <w:shd w:val="clear" w:color="auto" w:fill="BEBEBE" w:themeFill="background1" w:themeFillShade="BF"/>
                  <w:vAlign w:val="center"/>
                </w:tcPr>
                <w:p w14:paraId="3A5FD6D4">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工序</w:t>
                  </w:r>
                </w:p>
              </w:tc>
              <w:tc>
                <w:tcPr>
                  <w:tcW w:w="422" w:type="pct"/>
                  <w:shd w:val="clear" w:color="auto" w:fill="BEBEBE" w:themeFill="background1" w:themeFillShade="BF"/>
                  <w:vAlign w:val="center"/>
                </w:tcPr>
                <w:p w14:paraId="665E3651">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单位喷涂</w:t>
                  </w:r>
                </w:p>
                <w:p w14:paraId="6855FE07">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面积</w:t>
                  </w:r>
                </w:p>
                <w:p w14:paraId="36B0B54F">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（m</w:t>
                  </w:r>
                  <w:r>
                    <w:rPr>
                      <w:rFonts w:hint="default" w:ascii="Times New Roman" w:hAnsi="Times New Roman" w:cs="Times New Roman"/>
                      <w:b/>
                      <w:bCs/>
                      <w:color w:val="auto"/>
                      <w:sz w:val="21"/>
                      <w:szCs w:val="21"/>
                      <w:highlight w:val="none"/>
                      <w:u w:val="none"/>
                      <w:vertAlign w:val="superscript"/>
                      <w:lang w:val="en-US" w:eastAsia="zh-CN"/>
                    </w:rPr>
                    <w:t>2</w:t>
                  </w:r>
                  <w:r>
                    <w:rPr>
                      <w:rFonts w:hint="default" w:ascii="Times New Roman" w:hAnsi="Times New Roman" w:cs="Times New Roman"/>
                      <w:b/>
                      <w:bCs/>
                      <w:color w:val="auto"/>
                      <w:sz w:val="21"/>
                      <w:szCs w:val="21"/>
                      <w:highlight w:val="none"/>
                      <w:u w:val="none"/>
                      <w:lang w:val="en-US" w:eastAsia="zh-CN"/>
                    </w:rPr>
                    <w:t>/个）</w:t>
                  </w:r>
                </w:p>
              </w:tc>
              <w:tc>
                <w:tcPr>
                  <w:tcW w:w="444" w:type="pct"/>
                  <w:shd w:val="clear" w:color="auto" w:fill="BEBEBE" w:themeFill="background1" w:themeFillShade="BF"/>
                  <w:vAlign w:val="center"/>
                </w:tcPr>
                <w:p w14:paraId="1704CAB9">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加工数量/个</w:t>
                  </w:r>
                </w:p>
              </w:tc>
              <w:tc>
                <w:tcPr>
                  <w:tcW w:w="408" w:type="pct"/>
                  <w:shd w:val="clear" w:color="auto" w:fill="BEBEBE" w:themeFill="background1" w:themeFillShade="BF"/>
                  <w:vAlign w:val="center"/>
                </w:tcPr>
                <w:p w14:paraId="4466AF71">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涂装总</w:t>
                  </w:r>
                </w:p>
                <w:p w14:paraId="64C50D5C">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面积</w:t>
                  </w:r>
                </w:p>
                <w:p w14:paraId="65874CF0">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（m</w:t>
                  </w:r>
                  <w:r>
                    <w:rPr>
                      <w:rFonts w:hint="default" w:ascii="Times New Roman" w:hAnsi="Times New Roman" w:cs="Times New Roman"/>
                      <w:b/>
                      <w:bCs/>
                      <w:color w:val="auto"/>
                      <w:sz w:val="21"/>
                      <w:szCs w:val="21"/>
                      <w:highlight w:val="none"/>
                      <w:u w:val="none"/>
                      <w:vertAlign w:val="superscript"/>
                      <w:lang w:val="en-US" w:eastAsia="zh-CN"/>
                    </w:rPr>
                    <w:t>2</w:t>
                  </w:r>
                  <w:r>
                    <w:rPr>
                      <w:rFonts w:hint="default" w:ascii="Times New Roman" w:hAnsi="Times New Roman" w:cs="Times New Roman"/>
                      <w:b/>
                      <w:bCs/>
                      <w:color w:val="auto"/>
                      <w:sz w:val="21"/>
                      <w:szCs w:val="21"/>
                      <w:highlight w:val="none"/>
                      <w:u w:val="none"/>
                      <w:lang w:val="en-US" w:eastAsia="zh-CN"/>
                    </w:rPr>
                    <w:t>）</w:t>
                  </w:r>
                </w:p>
              </w:tc>
              <w:tc>
                <w:tcPr>
                  <w:tcW w:w="465" w:type="pct"/>
                  <w:shd w:val="clear" w:color="auto" w:fill="BEBEBE" w:themeFill="background1" w:themeFillShade="BF"/>
                  <w:vAlign w:val="center"/>
                </w:tcPr>
                <w:p w14:paraId="1146EC5D">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涂层厚度</w:t>
                  </w:r>
                </w:p>
                <w:p w14:paraId="2BC2D43A">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（μm）</w:t>
                  </w:r>
                </w:p>
              </w:tc>
              <w:tc>
                <w:tcPr>
                  <w:tcW w:w="395" w:type="pct"/>
                  <w:shd w:val="clear" w:color="auto" w:fill="BEBEBE" w:themeFill="background1" w:themeFillShade="BF"/>
                  <w:vAlign w:val="center"/>
                </w:tcPr>
                <w:p w14:paraId="19BE0CAF">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涂层数量</w:t>
                  </w:r>
                </w:p>
                <w:p w14:paraId="4EC47EBB">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（层）</w:t>
                  </w:r>
                </w:p>
              </w:tc>
              <w:tc>
                <w:tcPr>
                  <w:tcW w:w="478" w:type="pct"/>
                  <w:shd w:val="clear" w:color="auto" w:fill="BEBEBE" w:themeFill="background1" w:themeFillShade="BF"/>
                  <w:vAlign w:val="center"/>
                </w:tcPr>
                <w:p w14:paraId="0C95C7B5">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涂装效率（%）</w:t>
                  </w:r>
                </w:p>
              </w:tc>
              <w:tc>
                <w:tcPr>
                  <w:tcW w:w="627" w:type="pct"/>
                  <w:shd w:val="clear" w:color="auto" w:fill="BEBEBE" w:themeFill="background1" w:themeFillShade="BF"/>
                  <w:vAlign w:val="center"/>
                </w:tcPr>
                <w:p w14:paraId="53801B81">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密度（g/cm</w:t>
                  </w:r>
                  <w:r>
                    <w:rPr>
                      <w:rFonts w:hint="default" w:ascii="Times New Roman" w:hAnsi="Times New Roman" w:cs="Times New Roman"/>
                      <w:b/>
                      <w:bCs/>
                      <w:color w:val="auto"/>
                      <w:sz w:val="21"/>
                      <w:szCs w:val="21"/>
                      <w:highlight w:val="none"/>
                      <w:u w:val="none"/>
                      <w:vertAlign w:val="superscript"/>
                      <w:lang w:val="en-US" w:eastAsia="zh-CN"/>
                    </w:rPr>
                    <w:t>3</w:t>
                  </w:r>
                  <w:r>
                    <w:rPr>
                      <w:rFonts w:hint="default" w:ascii="Times New Roman" w:hAnsi="Times New Roman" w:cs="Times New Roman"/>
                      <w:b/>
                      <w:bCs/>
                      <w:color w:val="auto"/>
                      <w:sz w:val="21"/>
                      <w:szCs w:val="21"/>
                      <w:highlight w:val="none"/>
                      <w:u w:val="none"/>
                      <w:lang w:val="en-US" w:eastAsia="zh-CN"/>
                    </w:rPr>
                    <w:t>）</w:t>
                  </w:r>
                </w:p>
              </w:tc>
              <w:tc>
                <w:tcPr>
                  <w:tcW w:w="394" w:type="pct"/>
                  <w:shd w:val="clear" w:color="auto" w:fill="BEBEBE" w:themeFill="background1" w:themeFillShade="BF"/>
                  <w:vAlign w:val="center"/>
                </w:tcPr>
                <w:p w14:paraId="229E070C">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cs="Times New Roman"/>
                      <w:b/>
                      <w:bCs/>
                      <w:color w:val="auto"/>
                      <w:sz w:val="21"/>
                      <w:szCs w:val="21"/>
                      <w:highlight w:val="none"/>
                      <w:u w:val="none"/>
                      <w:lang w:val="en-US" w:eastAsia="zh-CN"/>
                    </w:rPr>
                    <w:t>固体分</w:t>
                  </w:r>
                </w:p>
                <w:p w14:paraId="54FDF0A7">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w:t>
                  </w:r>
                  <w:r>
                    <w:rPr>
                      <w:rFonts w:hint="default" w:ascii="Times New Roman" w:hAnsi="Times New Roman" w:cs="Times New Roman"/>
                      <w:b/>
                      <w:bCs/>
                      <w:color w:val="auto"/>
                      <w:sz w:val="21"/>
                      <w:szCs w:val="21"/>
                      <w:highlight w:val="none"/>
                      <w:u w:val="none"/>
                      <w:lang w:val="en-US" w:eastAsia="zh-CN"/>
                    </w:rPr>
                    <w:t>%</w:t>
                  </w:r>
                  <w:r>
                    <w:rPr>
                      <w:rFonts w:hint="default" w:ascii="Times New Roman" w:hAnsi="Times New Roman" w:cs="Times New Roman"/>
                      <w:b/>
                      <w:bCs/>
                      <w:color w:val="auto"/>
                      <w:sz w:val="21"/>
                      <w:szCs w:val="21"/>
                      <w:highlight w:val="none"/>
                      <w:u w:val="none"/>
                    </w:rPr>
                    <w:t>）</w:t>
                  </w:r>
                </w:p>
              </w:tc>
              <w:tc>
                <w:tcPr>
                  <w:tcW w:w="383" w:type="pct"/>
                  <w:shd w:val="clear" w:color="auto" w:fill="BEBEBE" w:themeFill="background1" w:themeFillShade="BF"/>
                  <w:vAlign w:val="center"/>
                </w:tcPr>
                <w:p w14:paraId="3B722F7C">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lang w:val="en-US" w:eastAsia="zh-CN"/>
                    </w:rPr>
                    <w:t>涂料</w:t>
                  </w:r>
                  <w:r>
                    <w:rPr>
                      <w:rFonts w:hint="default" w:ascii="Times New Roman" w:hAnsi="Times New Roman" w:cs="Times New Roman"/>
                      <w:b/>
                      <w:bCs/>
                      <w:color w:val="auto"/>
                      <w:sz w:val="21"/>
                      <w:szCs w:val="21"/>
                      <w:highlight w:val="none"/>
                      <w:u w:val="none"/>
                    </w:rPr>
                    <w:t>用量</w:t>
                  </w:r>
                </w:p>
                <w:p w14:paraId="4448203C">
                  <w:pPr>
                    <w:keepNext w:val="0"/>
                    <w:keepLines w:val="0"/>
                    <w:pageBreakBefore w:val="0"/>
                    <w:suppressLineNumbers w:val="0"/>
                    <w:wordWrap w:val="0"/>
                    <w:overflowPunct/>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（t/a）</w:t>
                  </w:r>
                </w:p>
              </w:tc>
            </w:tr>
            <w:tr w14:paraId="21396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325" w:type="pct"/>
                  <w:vAlign w:val="center"/>
                </w:tcPr>
                <w:p w14:paraId="00FD4B73">
                  <w:pPr>
                    <w:keepNext w:val="0"/>
                    <w:keepLines w:val="0"/>
                    <w:pageBreakBefore w:val="0"/>
                    <w:suppressLineNumbers w:val="0"/>
                    <w:wordWrap w:val="0"/>
                    <w:overflowPunct/>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lang w:val="en-US" w:eastAsia="zh-CN"/>
                    </w:rPr>
                    <w:t>新形建筑软瓷</w:t>
                  </w:r>
                </w:p>
              </w:tc>
              <w:tc>
                <w:tcPr>
                  <w:tcW w:w="328" w:type="pct"/>
                  <w:vAlign w:val="center"/>
                </w:tcPr>
                <w:p w14:paraId="5379A3E7">
                  <w:pPr>
                    <w:keepNext w:val="0"/>
                    <w:keepLines w:val="0"/>
                    <w:pageBreakBefore w:val="0"/>
                    <w:suppressLineNumbers w:val="0"/>
                    <w:wordWrap w:val="0"/>
                    <w:overflowPunct/>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水性漆</w:t>
                  </w:r>
                </w:p>
              </w:tc>
              <w:tc>
                <w:tcPr>
                  <w:tcW w:w="327" w:type="pct"/>
                  <w:vAlign w:val="center"/>
                </w:tcPr>
                <w:p w14:paraId="2619F262">
                  <w:pPr>
                    <w:keepNext w:val="0"/>
                    <w:keepLines w:val="0"/>
                    <w:pageBreakBefore w:val="0"/>
                    <w:suppressLineNumbers w:val="0"/>
                    <w:wordWrap w:val="0"/>
                    <w:overflowPunct/>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上色固化工序</w:t>
                  </w:r>
                </w:p>
              </w:tc>
              <w:tc>
                <w:tcPr>
                  <w:tcW w:w="422" w:type="pct"/>
                  <w:vAlign w:val="center"/>
                </w:tcPr>
                <w:p w14:paraId="5D687D98">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w:t>
                  </w:r>
                </w:p>
              </w:tc>
              <w:tc>
                <w:tcPr>
                  <w:tcW w:w="444" w:type="pct"/>
                  <w:vAlign w:val="center"/>
                </w:tcPr>
                <w:p w14:paraId="12115AB2">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w:t>
                  </w:r>
                </w:p>
              </w:tc>
              <w:tc>
                <w:tcPr>
                  <w:tcW w:w="408" w:type="pct"/>
                  <w:vAlign w:val="center"/>
                </w:tcPr>
                <w:p w14:paraId="06E06590">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50000</w:t>
                  </w:r>
                </w:p>
              </w:tc>
              <w:tc>
                <w:tcPr>
                  <w:tcW w:w="465" w:type="pct"/>
                  <w:vAlign w:val="center"/>
                </w:tcPr>
                <w:p w14:paraId="33D5BE3E">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14</w:t>
                  </w:r>
                </w:p>
              </w:tc>
              <w:tc>
                <w:tcPr>
                  <w:tcW w:w="395" w:type="pct"/>
                  <w:vAlign w:val="center"/>
                </w:tcPr>
                <w:p w14:paraId="70A8BBA4">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78" w:type="pct"/>
                  <w:vAlign w:val="center"/>
                </w:tcPr>
                <w:p w14:paraId="77F7747C">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60</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27" w:type="pct"/>
                  <w:vAlign w:val="center"/>
                </w:tcPr>
                <w:p w14:paraId="16606D5E">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394" w:type="pct"/>
                  <w:vAlign w:val="center"/>
                </w:tcPr>
                <w:p w14:paraId="0C403BE5">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85</w:t>
                  </w:r>
                </w:p>
              </w:tc>
              <w:tc>
                <w:tcPr>
                  <w:tcW w:w="383" w:type="pct"/>
                  <w:vAlign w:val="center"/>
                </w:tcPr>
                <w:p w14:paraId="441C466F">
                  <w:pPr>
                    <w:keepNext w:val="0"/>
                    <w:keepLines w:val="0"/>
                    <w:pageBreakBefore w:val="0"/>
                    <w:widowControl/>
                    <w:suppressLineNumbers w:val="0"/>
                    <w:wordWrap w:val="0"/>
                    <w:overflowPunct/>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2</w:t>
                  </w:r>
                </w:p>
              </w:tc>
            </w:tr>
            <w:tr w14:paraId="54F55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8" w:hRule="atLeast"/>
              </w:trPr>
              <w:tc>
                <w:tcPr>
                  <w:tcW w:w="5000" w:type="pct"/>
                  <w:gridSpan w:val="12"/>
                  <w:vAlign w:val="center"/>
                </w:tcPr>
                <w:p w14:paraId="1BC5FC1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420" w:firstLineChars="200"/>
                    <w:jc w:val="left"/>
                    <w:textAlignment w:val="center"/>
                    <w:rPr>
                      <w:rFonts w:hint="default" w:ascii="Times New Roman" w:hAnsi="Times New Roman" w:cs="Times New Roman"/>
                      <w:bCs/>
                      <w:color w:val="auto"/>
                      <w:sz w:val="21"/>
                      <w:szCs w:val="21"/>
                      <w:highlight w:val="none"/>
                      <w:u w:val="none"/>
                      <w:vertAlign w:val="baseline"/>
                      <w:lang w:val="en-US" w:eastAsia="zh-CN"/>
                    </w:rPr>
                  </w:pPr>
                  <w:r>
                    <w:rPr>
                      <w:rFonts w:hint="default" w:ascii="Times New Roman" w:hAnsi="Times New Roman" w:cs="Times New Roman"/>
                      <w:bCs/>
                      <w:color w:val="auto"/>
                      <w:sz w:val="21"/>
                      <w:szCs w:val="21"/>
                      <w:highlight w:val="none"/>
                      <w:u w:val="none"/>
                      <w:lang w:val="en-US" w:eastAsia="zh-CN"/>
                    </w:rPr>
                    <w:t>注：①本年产新增新形建筑软瓷5万m</w:t>
                  </w:r>
                  <w:r>
                    <w:rPr>
                      <w:rFonts w:hint="default" w:ascii="Times New Roman" w:hAnsi="Times New Roman" w:cs="Times New Roman"/>
                      <w:bCs/>
                      <w:color w:val="auto"/>
                      <w:sz w:val="21"/>
                      <w:szCs w:val="21"/>
                      <w:highlight w:val="none"/>
                      <w:u w:val="none"/>
                      <w:vertAlign w:val="superscript"/>
                      <w:lang w:val="en-US" w:eastAsia="zh-CN"/>
                    </w:rPr>
                    <w:t>2</w:t>
                  </w:r>
                  <w:r>
                    <w:rPr>
                      <w:rFonts w:hint="default" w:ascii="Times New Roman" w:hAnsi="Times New Roman" w:cs="Times New Roman"/>
                      <w:bCs/>
                      <w:color w:val="auto"/>
                      <w:sz w:val="21"/>
                      <w:szCs w:val="21"/>
                      <w:highlight w:val="none"/>
                      <w:u w:val="none"/>
                      <w:lang w:val="en-US" w:eastAsia="zh-CN"/>
                    </w:rPr>
                    <w:t>，规格有30*10*2.5mm、40*30*2.5mm、50*30*3mm等，产品喷涂方案为单面单层、1次，即产品产量=涂装总面积，此处计算不再区分单位喷涂面积及加工数量；</w:t>
                  </w:r>
                </w:p>
                <w:p w14:paraId="66C47F2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420" w:firstLineChars="200"/>
                    <w:jc w:val="left"/>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②本项目水性漆无需使用稀释剂，直接装入喷漆机中使用。喷漆机涂装效率取保守值60%；已知水性漆中挥发性物质含量检测结果为69g/L，水性漆密度为1.4g/cm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，对应水性漆挥发分占比为69g/L/1.4g/cm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×100%≈5%</w:t>
                  </w:r>
                  <w:r>
                    <w:rPr>
                      <w:rFonts w:hint="default" w:ascii="Times New Roman" w:hAnsi="Times New Roman" w:cs="Times New Roman"/>
                      <w:color w:val="auto"/>
                      <w:sz w:val="21"/>
                      <w:szCs w:val="21"/>
                      <w:highlight w:val="none"/>
                      <w:lang w:val="en-US" w:eastAsia="zh-CN"/>
                    </w:rPr>
                    <w:t>；水性漆中水分占比取10%（5%~15%算术平均值），则水性漆固含量=100%-挥发分-水分=100%-5%-10%=85%</w:t>
                  </w:r>
                </w:p>
                <w:p w14:paraId="4AFB111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③涂料用量核算公式参考</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涂装工艺与设备手册》中单位工件涂料消耗量计算公式：</w:t>
                  </w:r>
                </w:p>
                <w:p w14:paraId="4CD38CF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m=ρδsη·10</w:t>
                  </w:r>
                  <w:r>
                    <w:rPr>
                      <w:rFonts w:hint="default" w:ascii="Times New Roman" w:hAnsi="Times New Roman" w:cs="Times New Roman"/>
                      <w:color w:val="auto"/>
                      <w:sz w:val="21"/>
                      <w:szCs w:val="21"/>
                      <w:highlight w:val="none"/>
                      <w:vertAlign w:val="superscript"/>
                      <w:lang w:bidi="ar"/>
                    </w:rPr>
                    <w:t>-6</w:t>
                  </w:r>
                  <w:r>
                    <w:rPr>
                      <w:rFonts w:hint="default" w:ascii="Times New Roman" w:hAnsi="Times New Roman" w:cs="Times New Roman"/>
                      <w:color w:val="auto"/>
                      <w:sz w:val="21"/>
                      <w:szCs w:val="21"/>
                      <w:highlight w:val="none"/>
                      <w:lang w:bidi="ar"/>
                    </w:rPr>
                    <w:t>/（NV·ε）</w:t>
                  </w:r>
                </w:p>
                <w:p w14:paraId="7D78271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m——漆料用量，t/a；</w:t>
                  </w:r>
                </w:p>
                <w:p w14:paraId="7F18687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lang w:bidi="ar"/>
                    </w:rPr>
                    <w:t>ρ——密度，</w:t>
                  </w:r>
                  <w:r>
                    <w:rPr>
                      <w:rFonts w:hint="default" w:ascii="Times New Roman" w:hAnsi="Times New Roman" w:cs="Times New Roman"/>
                      <w:color w:val="auto"/>
                      <w:sz w:val="21"/>
                      <w:szCs w:val="21"/>
                      <w:highlight w:val="none"/>
                      <w:lang w:val="en-US" w:eastAsia="zh-CN" w:bidi="ar"/>
                    </w:rPr>
                    <w:t>本次评价选取施工状态下的涂料密度</w:t>
                  </w:r>
                  <w:r>
                    <w:rPr>
                      <w:rFonts w:hint="default" w:ascii="Times New Roman" w:hAnsi="Times New Roman" w:cs="Times New Roman"/>
                      <w:color w:val="auto"/>
                      <w:sz w:val="21"/>
                      <w:szCs w:val="21"/>
                      <w:highlight w:val="none"/>
                      <w:lang w:bidi="ar"/>
                    </w:rPr>
                    <w:t>g/cm</w:t>
                  </w:r>
                  <w:r>
                    <w:rPr>
                      <w:rFonts w:hint="default" w:ascii="Times New Roman" w:hAnsi="Times New Roman" w:cs="Times New Roman"/>
                      <w:color w:val="auto"/>
                      <w:sz w:val="21"/>
                      <w:szCs w:val="21"/>
                      <w:highlight w:val="none"/>
                      <w:vertAlign w:val="superscript"/>
                      <w:lang w:bidi="ar"/>
                    </w:rPr>
                    <w:t>3</w:t>
                  </w:r>
                  <w:r>
                    <w:rPr>
                      <w:rFonts w:hint="default" w:ascii="Times New Roman" w:hAnsi="Times New Roman" w:cs="Times New Roman"/>
                      <w:color w:val="auto"/>
                      <w:sz w:val="21"/>
                      <w:szCs w:val="21"/>
                      <w:highlight w:val="none"/>
                      <w:vertAlign w:val="baseline"/>
                      <w:lang w:eastAsia="zh-CN" w:bidi="ar"/>
                    </w:rPr>
                    <w:t>；</w:t>
                  </w:r>
                </w:p>
                <w:p w14:paraId="030E288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δ——涂层厚度，</w:t>
                  </w:r>
                  <w:r>
                    <w:rPr>
                      <w:rFonts w:hint="default" w:ascii="Times New Roman" w:hAnsi="Times New Roman" w:cs="Times New Roman"/>
                      <w:color w:val="auto"/>
                      <w:sz w:val="21"/>
                      <w:szCs w:val="21"/>
                      <w:highlight w:val="none"/>
                      <w:lang w:val="en-US" w:eastAsia="zh-CN" w:bidi="ar"/>
                    </w:rPr>
                    <w:t>本次评价选取施工状态下的涂料厚度</w:t>
                  </w:r>
                  <w:r>
                    <w:rPr>
                      <w:rFonts w:hint="default" w:ascii="Times New Roman" w:hAnsi="Times New Roman" w:cs="Times New Roman"/>
                      <w:color w:val="auto"/>
                      <w:sz w:val="21"/>
                      <w:szCs w:val="21"/>
                      <w:highlight w:val="none"/>
                      <w:lang w:bidi="ar"/>
                    </w:rPr>
                    <w:t>μm；</w:t>
                  </w:r>
                </w:p>
                <w:p w14:paraId="6A55E28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outlineLvl w:val="9"/>
                    <w:rPr>
                      <w:rFonts w:hint="default" w:ascii="Times New Roman" w:hAnsi="Times New Roman" w:eastAsia="宋体" w:cs="Times New Roman"/>
                      <w:color w:val="auto"/>
                      <w:sz w:val="21"/>
                      <w:szCs w:val="21"/>
                      <w:highlight w:val="none"/>
                      <w:vertAlign w:val="baseline"/>
                      <w:lang w:eastAsia="zh-CN"/>
                    </w:rPr>
                  </w:pPr>
                  <w:bookmarkStart w:id="20" w:name="_Toc12830"/>
                  <w:r>
                    <w:rPr>
                      <w:rFonts w:hint="default" w:ascii="Times New Roman" w:hAnsi="Times New Roman" w:cs="Times New Roman"/>
                      <w:color w:val="auto"/>
                      <w:sz w:val="21"/>
                      <w:szCs w:val="21"/>
                      <w:highlight w:val="none"/>
                      <w:lang w:bidi="ar"/>
                    </w:rPr>
                    <w:t>s——涂装面积，m</w:t>
                  </w:r>
                  <w:r>
                    <w:rPr>
                      <w:rFonts w:hint="default" w:ascii="Times New Roman" w:hAnsi="Times New Roman" w:cs="Times New Roman"/>
                      <w:color w:val="auto"/>
                      <w:sz w:val="21"/>
                      <w:szCs w:val="21"/>
                      <w:highlight w:val="none"/>
                      <w:vertAlign w:val="superscript"/>
                      <w:lang w:bidi="ar"/>
                    </w:rPr>
                    <w:t>2</w:t>
                  </w:r>
                  <w:bookmarkEnd w:id="20"/>
                  <w:r>
                    <w:rPr>
                      <w:rFonts w:hint="default" w:ascii="Times New Roman" w:hAnsi="Times New Roman" w:cs="Times New Roman"/>
                      <w:color w:val="auto"/>
                      <w:sz w:val="21"/>
                      <w:szCs w:val="21"/>
                      <w:highlight w:val="none"/>
                      <w:vertAlign w:val="baseline"/>
                      <w:lang w:eastAsia="zh-CN" w:bidi="ar"/>
                    </w:rPr>
                    <w:t>；</w:t>
                  </w:r>
                </w:p>
                <w:p w14:paraId="34FF4B1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η——该</w:t>
                  </w:r>
                  <w:r>
                    <w:rPr>
                      <w:rFonts w:hint="default" w:ascii="Times New Roman" w:hAnsi="Times New Roman" w:cs="Times New Roman"/>
                      <w:color w:val="auto"/>
                      <w:sz w:val="21"/>
                      <w:szCs w:val="21"/>
                      <w:highlight w:val="none"/>
                      <w:lang w:val="en-US" w:eastAsia="zh-CN" w:bidi="ar"/>
                    </w:rPr>
                    <w:t>涂料</w:t>
                  </w:r>
                  <w:r>
                    <w:rPr>
                      <w:rFonts w:hint="default" w:ascii="Times New Roman" w:hAnsi="Times New Roman" w:cs="Times New Roman"/>
                      <w:color w:val="auto"/>
                      <w:sz w:val="21"/>
                      <w:szCs w:val="21"/>
                      <w:highlight w:val="none"/>
                      <w:lang w:bidi="ar"/>
                    </w:rPr>
                    <w:t>组分所占</w:t>
                  </w:r>
                  <w:r>
                    <w:rPr>
                      <w:rFonts w:hint="default" w:ascii="Times New Roman" w:hAnsi="Times New Roman" w:cs="Times New Roman"/>
                      <w:color w:val="auto"/>
                      <w:sz w:val="21"/>
                      <w:szCs w:val="21"/>
                      <w:highlight w:val="none"/>
                      <w:lang w:val="en-US" w:eastAsia="zh-CN" w:bidi="ar"/>
                    </w:rPr>
                    <w:t>涂料</w:t>
                  </w:r>
                  <w:r>
                    <w:rPr>
                      <w:rFonts w:hint="default" w:ascii="Times New Roman" w:hAnsi="Times New Roman" w:cs="Times New Roman"/>
                      <w:color w:val="auto"/>
                      <w:sz w:val="21"/>
                      <w:szCs w:val="21"/>
                      <w:highlight w:val="none"/>
                      <w:lang w:bidi="ar"/>
                    </w:rPr>
                    <w:t>比例，以100%计；</w:t>
                  </w:r>
                </w:p>
                <w:p w14:paraId="6D4197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NV——</w:t>
                  </w:r>
                  <w:r>
                    <w:rPr>
                      <w:rFonts w:hint="default" w:ascii="Times New Roman" w:hAnsi="Times New Roman" w:cs="Times New Roman"/>
                      <w:color w:val="auto"/>
                      <w:sz w:val="21"/>
                      <w:szCs w:val="21"/>
                      <w:highlight w:val="none"/>
                      <w:lang w:val="en-US" w:eastAsia="zh-CN" w:bidi="ar"/>
                    </w:rPr>
                    <w:t>涂料</w:t>
                  </w:r>
                  <w:r>
                    <w:rPr>
                      <w:rFonts w:hint="default" w:ascii="Times New Roman" w:hAnsi="Times New Roman" w:cs="Times New Roman"/>
                      <w:color w:val="auto"/>
                      <w:sz w:val="21"/>
                      <w:szCs w:val="21"/>
                      <w:highlight w:val="none"/>
                      <w:lang w:bidi="ar"/>
                    </w:rPr>
                    <w:t>中的固体分含量；</w:t>
                  </w:r>
                </w:p>
                <w:p w14:paraId="4473337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bidi="ar"/>
                    </w:rPr>
                    <w:t>ε——上漆率。</w:t>
                  </w:r>
                </w:p>
              </w:tc>
            </w:tr>
          </w:tbl>
          <w:p w14:paraId="07849E50">
            <w:pPr>
              <w:pStyle w:val="6"/>
              <w:pageBreakBefore w:val="0"/>
              <w:widowControl/>
              <w:numPr>
                <w:ilvl w:val="4"/>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（2）部分原辅材料理化性质</w:t>
            </w:r>
          </w:p>
          <w:p w14:paraId="206C4E83">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原辅材料性质一览表</w:t>
            </w:r>
          </w:p>
          <w:tbl>
            <w:tblPr>
              <w:tblStyle w:val="37"/>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91"/>
              <w:gridCol w:w="7783"/>
            </w:tblGrid>
            <w:tr w14:paraId="129761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804" w:type="pct"/>
                  <w:vAlign w:val="center"/>
                </w:tcPr>
                <w:p w14:paraId="688AC2A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4195" w:type="pct"/>
                  <w:vAlign w:val="center"/>
                </w:tcPr>
                <w:p w14:paraId="1BE530C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理化性质/简介</w:t>
                  </w:r>
                </w:p>
              </w:tc>
            </w:tr>
            <w:tr w14:paraId="56762A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804" w:type="pct"/>
                  <w:vAlign w:val="center"/>
                </w:tcPr>
                <w:p w14:paraId="3BDFAC7E">
                  <w:pPr>
                    <w:keepNext w:val="0"/>
                    <w:keepLines w:val="0"/>
                    <w:pageBreakBefore w:val="0"/>
                    <w:widowControl/>
                    <w:suppressLineNumbers w:val="0"/>
                    <w:kinsoku/>
                    <w:wordWrap w:val="0"/>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石粉</w:t>
                  </w:r>
                </w:p>
              </w:tc>
              <w:tc>
                <w:tcPr>
                  <w:tcW w:w="4195" w:type="pct"/>
                  <w:vAlign w:val="center"/>
                </w:tcPr>
                <w:p w14:paraId="502E1DDE">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主要成分为碳酸钙（含钙量35%-39%），呈弱碱性（pH7.5-9.0），化学性质稳定，遇酸生成二氧化碳。</w:t>
                  </w:r>
                </w:p>
              </w:tc>
            </w:tr>
            <w:tr w14:paraId="75FC8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804" w:type="pct"/>
                  <w:vAlign w:val="center"/>
                </w:tcPr>
                <w:p w14:paraId="40E2EC1A">
                  <w:pPr>
                    <w:keepNext w:val="0"/>
                    <w:keepLines w:val="0"/>
                    <w:pageBreakBefore w:val="0"/>
                    <w:widowControl/>
                    <w:suppressLineNumbers w:val="0"/>
                    <w:kinsoku/>
                    <w:wordWrap w:val="0"/>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矿粉</w:t>
                  </w:r>
                </w:p>
              </w:tc>
              <w:tc>
                <w:tcPr>
                  <w:tcW w:w="4195" w:type="pct"/>
                  <w:vAlign w:val="center"/>
                </w:tcPr>
                <w:p w14:paraId="4C861ADC">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是用水淬高炉矿渣，经干燥，粉磨等工艺处理后得到的高细度，高活性粉料</w:t>
                  </w:r>
                </w:p>
              </w:tc>
            </w:tr>
            <w:tr w14:paraId="605994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804" w:type="pct"/>
                  <w:vAlign w:val="center"/>
                </w:tcPr>
                <w:p w14:paraId="2872C2AB">
                  <w:pPr>
                    <w:keepNext w:val="0"/>
                    <w:keepLines w:val="0"/>
                    <w:pageBreakBefore w:val="0"/>
                    <w:widowControl/>
                    <w:suppressLineNumbers w:val="0"/>
                    <w:kinsoku/>
                    <w:wordWrap w:val="0"/>
                    <w:overflowPunct/>
                    <w:topLinePunct w:val="0"/>
                    <w:bidi w:val="0"/>
                    <w:adjustRightInd w:val="0"/>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丙烯酸乳液</w:t>
                  </w:r>
                  <w:r>
                    <w:rPr>
                      <w:rFonts w:hint="default" w:ascii="Times New Roman" w:hAnsi="Times New Roman" w:cs="Times New Roman"/>
                      <w:i w:val="0"/>
                      <w:iCs w:val="0"/>
                      <w:color w:val="auto"/>
                      <w:kern w:val="0"/>
                      <w:sz w:val="21"/>
                      <w:szCs w:val="21"/>
                      <w:highlight w:val="none"/>
                      <w:u w:val="none"/>
                      <w:lang w:val="en-US" w:eastAsia="zh-CN" w:bidi="ar"/>
                    </w:rPr>
                    <w:t>（RS-300S）</w:t>
                  </w:r>
                </w:p>
              </w:tc>
              <w:tc>
                <w:tcPr>
                  <w:tcW w:w="4195" w:type="pct"/>
                  <w:vAlign w:val="center"/>
                </w:tcPr>
                <w:p w14:paraId="598CB99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丙烯酸乳液即丙烯酸树脂乳液，英文名称为Acrylic acid Polymers，中文别名为丙烯酸树脂乳液，</w:t>
                  </w:r>
                  <w:r>
                    <w:rPr>
                      <w:rFonts w:hint="default" w:ascii="Times New Roman" w:hAnsi="Times New Roman" w:cs="Times New Roman"/>
                      <w:color w:val="auto"/>
                      <w:kern w:val="2"/>
                      <w:sz w:val="21"/>
                      <w:szCs w:val="21"/>
                      <w:highlight w:val="none"/>
                      <w:lang w:val="en-US" w:eastAsia="zh-CN"/>
                    </w:rPr>
                    <w:t>主要成分为苯乙烯/丙烯酸酯共聚物56%~58%、水42%~44%</w:t>
                  </w:r>
                  <w:r>
                    <w:rPr>
                      <w:rFonts w:hint="default" w:ascii="Times New Roman" w:hAnsi="Times New Roman" w:cs="Times New Roman"/>
                      <w:color w:val="auto"/>
                      <w:kern w:val="2"/>
                      <w:sz w:val="21"/>
                      <w:szCs w:val="21"/>
                      <w:highlight w:val="none"/>
                    </w:rPr>
                    <w:t>，丙烯酸树脂色浅、水白透明。涂膜性能优异，耐光、耐候性佳，耐热，耐过度烘烤、耐化学品性及耐腐蚀等性能都极好。</w:t>
                  </w:r>
                  <w:r>
                    <w:rPr>
                      <w:rFonts w:hint="default" w:ascii="Times New Roman" w:hAnsi="Times New Roman" w:cs="Times New Roman"/>
                      <w:color w:val="auto"/>
                      <w:kern w:val="2"/>
                      <w:sz w:val="21"/>
                      <w:szCs w:val="21"/>
                      <w:highlight w:val="none"/>
                      <w:lang w:val="en-US" w:eastAsia="zh-CN"/>
                    </w:rPr>
                    <w:t>根据其第三方检测报告可知，其VOCs含量低于检出限（2g/L），本次评价取检出限一半1g/L、苯系物含量为44mg/kg。</w:t>
                  </w:r>
                </w:p>
              </w:tc>
            </w:tr>
            <w:tr w14:paraId="52279A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804" w:type="pct"/>
                  <w:shd w:val="clear" w:color="auto" w:fill="auto"/>
                  <w:vAlign w:val="center"/>
                </w:tcPr>
                <w:p w14:paraId="51907442">
                  <w:pPr>
                    <w:keepNext w:val="0"/>
                    <w:keepLines w:val="0"/>
                    <w:pageBreakBefore w:val="0"/>
                    <w:widowControl/>
                    <w:suppressLineNumbers w:val="0"/>
                    <w:kinsoku/>
                    <w:wordWrap w:val="0"/>
                    <w:overflowPunct/>
                    <w:topLinePunct w:val="0"/>
                    <w:bidi w:val="0"/>
                    <w:adjustRightInd w:val="0"/>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水性漆</w:t>
                  </w:r>
                </w:p>
              </w:tc>
              <w:tc>
                <w:tcPr>
                  <w:tcW w:w="4195" w:type="pct"/>
                  <w:shd w:val="clear" w:color="auto" w:fill="auto"/>
                  <w:vAlign w:val="center"/>
                </w:tcPr>
                <w:p w14:paraId="27C0D450">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leftChars="0" w:right="0" w:rightChars="0"/>
                    <w:jc w:val="both"/>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单组分</w:t>
                  </w:r>
                  <w:r>
                    <w:rPr>
                      <w:rFonts w:hint="default" w:ascii="Times New Roman" w:hAnsi="Times New Roman" w:cs="Times New Roman"/>
                      <w:color w:val="auto"/>
                      <w:kern w:val="2"/>
                      <w:sz w:val="21"/>
                      <w:szCs w:val="21"/>
                      <w:highlight w:val="none"/>
                      <w:lang w:eastAsia="zh-CN"/>
                    </w:rPr>
                    <w:t>水性漆</w:t>
                  </w: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kern w:val="2"/>
                      <w:sz w:val="21"/>
                      <w:szCs w:val="21"/>
                      <w:highlight w:val="none"/>
                      <w:lang w:val="en-US" w:eastAsia="zh-CN"/>
                    </w:rPr>
                    <w:t>灰色</w:t>
                  </w:r>
                  <w:r>
                    <w:rPr>
                      <w:rFonts w:hint="default" w:ascii="Times New Roman" w:hAnsi="Times New Roman" w:cs="Times New Roman"/>
                      <w:color w:val="auto"/>
                      <w:kern w:val="2"/>
                      <w:sz w:val="21"/>
                      <w:szCs w:val="21"/>
                      <w:highlight w:val="none"/>
                    </w:rPr>
                    <w:t>液体，</w:t>
                  </w:r>
                  <w:r>
                    <w:rPr>
                      <w:rFonts w:hint="default" w:ascii="Times New Roman" w:hAnsi="Times New Roman" w:cs="Times New Roman"/>
                      <w:color w:val="auto"/>
                      <w:kern w:val="2"/>
                      <w:sz w:val="21"/>
                      <w:szCs w:val="21"/>
                      <w:highlight w:val="none"/>
                      <w:lang w:val="en-US" w:eastAsia="zh-CN"/>
                    </w:rPr>
                    <w:t>稍有</w:t>
                  </w:r>
                  <w:r>
                    <w:rPr>
                      <w:rFonts w:hint="default" w:ascii="Times New Roman" w:hAnsi="Times New Roman" w:cs="Times New Roman"/>
                      <w:color w:val="auto"/>
                      <w:kern w:val="2"/>
                      <w:sz w:val="21"/>
                      <w:szCs w:val="21"/>
                      <w:highlight w:val="none"/>
                    </w:rPr>
                    <w:t>气味，溶于水。密度</w:t>
                  </w:r>
                  <w:r>
                    <w:rPr>
                      <w:rFonts w:hint="default" w:ascii="Times New Roman" w:hAnsi="Times New Roman" w:cs="Times New Roman"/>
                      <w:color w:val="auto"/>
                      <w:kern w:val="2"/>
                      <w:sz w:val="21"/>
                      <w:szCs w:val="21"/>
                      <w:highlight w:val="none"/>
                      <w:lang w:val="en-US" w:eastAsia="zh-CN"/>
                    </w:rPr>
                    <w:t>取</w:t>
                  </w:r>
                  <w:r>
                    <w:rPr>
                      <w:rFonts w:hint="default" w:ascii="Times New Roman" w:hAnsi="Times New Roman" w:cs="Times New Roman"/>
                      <w:color w:val="auto"/>
                      <w:kern w:val="2"/>
                      <w:sz w:val="21"/>
                      <w:szCs w:val="21"/>
                      <w:highlight w:val="none"/>
                    </w:rPr>
                    <w:t>1.</w:t>
                  </w:r>
                  <w:r>
                    <w:rPr>
                      <w:rFonts w:hint="default" w:ascii="Times New Roman" w:hAnsi="Times New Roman" w:cs="Times New Roman"/>
                      <w:color w:val="auto"/>
                      <w:kern w:val="2"/>
                      <w:sz w:val="21"/>
                      <w:szCs w:val="21"/>
                      <w:highlight w:val="none"/>
                      <w:lang w:val="en-US" w:eastAsia="zh-CN"/>
                    </w:rPr>
                    <w:t>4</w:t>
                  </w:r>
                  <w:r>
                    <w:rPr>
                      <w:rFonts w:hint="default" w:ascii="Times New Roman" w:hAnsi="Times New Roman" w:cs="Times New Roman"/>
                      <w:color w:val="auto"/>
                      <w:kern w:val="2"/>
                      <w:sz w:val="21"/>
                      <w:szCs w:val="21"/>
                      <w:highlight w:val="none"/>
                    </w:rPr>
                    <w:t>g/cm</w:t>
                  </w:r>
                  <w:r>
                    <w:rPr>
                      <w:rFonts w:hint="default" w:ascii="Times New Roman" w:hAnsi="Times New Roman" w:cs="Times New Roman"/>
                      <w:color w:val="auto"/>
                      <w:kern w:val="2"/>
                      <w:sz w:val="21"/>
                      <w:szCs w:val="21"/>
                      <w:highlight w:val="none"/>
                      <w:vertAlign w:val="superscript"/>
                    </w:rPr>
                    <w:t>3</w:t>
                  </w: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kern w:val="2"/>
                      <w:sz w:val="21"/>
                      <w:szCs w:val="21"/>
                      <w:highlight w:val="none"/>
                      <w:lang w:val="en-US" w:eastAsia="zh-CN"/>
                    </w:rPr>
                    <w:t>主要成分为：2-甲基-2-丙烯酸与2-甲基-2-丙烯酸丁酯和2-甲基-2-丙烯酸甲酯的聚合物50%~60%、二氧化钛20%、水5~15%、二氧化硅3~5%、一缩二丙二醇一甲醚2%、2-丁氧基-1-丙醇1%</w:t>
                  </w: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kern w:val="2"/>
                      <w:sz w:val="21"/>
                      <w:szCs w:val="21"/>
                      <w:highlight w:val="none"/>
                      <w:lang w:val="en-US" w:eastAsia="zh-CN"/>
                    </w:rPr>
                    <w:t>根据其第三方检测报告可知，其VOCs含量为69g/L</w:t>
                  </w:r>
                </w:p>
              </w:tc>
            </w:tr>
            <w:tr w14:paraId="70A1D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804" w:type="pct"/>
                  <w:vAlign w:val="center"/>
                </w:tcPr>
                <w:p w14:paraId="1C92D018">
                  <w:pPr>
                    <w:keepNext w:val="0"/>
                    <w:keepLines w:val="0"/>
                    <w:pageBreakBefore w:val="0"/>
                    <w:widowControl/>
                    <w:suppressLineNumbers w:val="0"/>
                    <w:kinsoku/>
                    <w:wordWrap w:val="0"/>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天然气</w:t>
                  </w:r>
                </w:p>
              </w:tc>
              <w:tc>
                <w:tcPr>
                  <w:tcW w:w="4195" w:type="pct"/>
                  <w:vAlign w:val="center"/>
                </w:tcPr>
                <w:p w14:paraId="2438ACA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不溶于水，密度为0.7174kg/m</w:t>
                  </w:r>
                  <w:r>
                    <w:rPr>
                      <w:rFonts w:hint="default" w:ascii="Times New Roman" w:hAnsi="Times New Roman" w:cs="Times New Roman"/>
                      <w:color w:val="auto"/>
                      <w:kern w:val="2"/>
                      <w:sz w:val="21"/>
                      <w:szCs w:val="21"/>
                      <w:highlight w:val="none"/>
                      <w:vertAlign w:val="superscript"/>
                    </w:rPr>
                    <w:t>3</w:t>
                  </w:r>
                  <w:r>
                    <w:rPr>
                      <w:rFonts w:hint="default" w:ascii="Times New Roman" w:hAnsi="Times New Roman" w:cs="Times New Roman"/>
                      <w:color w:val="auto"/>
                      <w:kern w:val="2"/>
                      <w:sz w:val="21"/>
                      <w:szCs w:val="21"/>
                      <w:highlight w:val="none"/>
                    </w:rPr>
                    <w:t>，相对密度（水）为0.45（液化）燃点（℃）为650，爆炸极限（V%）为5~15。天然气每立方燃烧热值为8000大卡</w:t>
                  </w:r>
                  <w:r>
                    <w:rPr>
                      <w:rFonts w:hint="default" w:ascii="Times New Roman" w:hAnsi="Times New Roman" w:cs="Times New Roman"/>
                      <w:color w:val="auto"/>
                      <w:kern w:val="2"/>
                      <w:sz w:val="21"/>
                      <w:szCs w:val="21"/>
                      <w:highlight w:val="none"/>
                      <w:lang w:eastAsia="zh-CN"/>
                    </w:rPr>
                    <w:t>～</w:t>
                  </w:r>
                  <w:r>
                    <w:rPr>
                      <w:rFonts w:hint="default" w:ascii="Times New Roman" w:hAnsi="Times New Roman" w:cs="Times New Roman"/>
                      <w:color w:val="auto"/>
                      <w:kern w:val="2"/>
                      <w:sz w:val="21"/>
                      <w:szCs w:val="21"/>
                      <w:highlight w:val="none"/>
                    </w:rPr>
                    <w:t>8500大卡。每公斤液化气燃烧热值为11000大卡。气态液化气的比重为0.55</w:t>
                  </w:r>
                </w:p>
              </w:tc>
            </w:tr>
          </w:tbl>
          <w:p w14:paraId="0E2695E1">
            <w:pPr>
              <w:pStyle w:val="106"/>
              <w:keepNext w:val="0"/>
              <w:keepLines w:val="0"/>
              <w:pageBreakBefore w:val="0"/>
              <w:suppressLineNumbers w:val="0"/>
              <w:kinsoku/>
              <w:wordWrap w:val="0"/>
              <w:overflowPunct/>
              <w:autoSpaceDE/>
              <w:autoSpaceDN/>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本项目</w:t>
            </w:r>
            <w:r>
              <w:rPr>
                <w:rFonts w:hint="default" w:ascii="Times New Roman" w:hAnsi="Times New Roman" w:cs="Times New Roman"/>
                <w:b/>
                <w:bCs/>
                <w:color w:val="auto"/>
                <w:sz w:val="21"/>
                <w:szCs w:val="21"/>
                <w:highlight w:val="none"/>
              </w:rPr>
              <w:t>涉VOCs涂料</w:t>
            </w:r>
            <w:r>
              <w:rPr>
                <w:rFonts w:hint="default" w:ascii="Times New Roman" w:hAnsi="Times New Roman" w:cs="Times New Roman"/>
                <w:b/>
                <w:bCs/>
                <w:color w:val="auto"/>
                <w:sz w:val="21"/>
                <w:szCs w:val="21"/>
                <w:highlight w:val="none"/>
                <w:lang w:val="en-US" w:eastAsia="zh-CN"/>
              </w:rPr>
              <w:t>政策相符性分析</w:t>
            </w:r>
            <w:r>
              <w:rPr>
                <w:rFonts w:hint="default" w:ascii="Times New Roman" w:hAnsi="Times New Roman" w:cs="Times New Roman"/>
                <w:b/>
                <w:bCs/>
                <w:color w:val="auto"/>
                <w:sz w:val="21"/>
                <w:szCs w:val="21"/>
                <w:highlight w:val="none"/>
              </w:rPr>
              <w:t>一览表</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68" w:type="dxa"/>
                <w:bottom w:w="0" w:type="dxa"/>
                <w:right w:w="68" w:type="dxa"/>
              </w:tblCellMar>
            </w:tblPr>
            <w:tblGrid>
              <w:gridCol w:w="641"/>
              <w:gridCol w:w="868"/>
              <w:gridCol w:w="870"/>
              <w:gridCol w:w="3437"/>
              <w:gridCol w:w="2917"/>
              <w:gridCol w:w="540"/>
            </w:tblGrid>
            <w:tr w14:paraId="64AA6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346" w:type="pct"/>
                  <w:shd w:val="clear" w:color="auto" w:fill="FFFFFF"/>
                  <w:noWrap w:val="0"/>
                  <w:vAlign w:val="center"/>
                </w:tcPr>
                <w:p w14:paraId="1A13887C">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u w:val="none"/>
                    </w:rPr>
                  </w:pPr>
                  <w:r>
                    <w:rPr>
                      <w:rFonts w:hint="default" w:ascii="Times New Roman" w:hAnsi="Times New Roman" w:cs="Times New Roman"/>
                      <w:b/>
                      <w:color w:val="auto"/>
                      <w:sz w:val="21"/>
                      <w:szCs w:val="21"/>
                      <w:highlight w:val="none"/>
                      <w:u w:val="none"/>
                    </w:rPr>
                    <w:t>名称</w:t>
                  </w:r>
                </w:p>
              </w:tc>
              <w:tc>
                <w:tcPr>
                  <w:tcW w:w="937" w:type="pct"/>
                  <w:gridSpan w:val="2"/>
                  <w:shd w:val="clear" w:color="auto" w:fill="FFFFFF"/>
                  <w:noWrap w:val="0"/>
                  <w:vAlign w:val="center"/>
                </w:tcPr>
                <w:p w14:paraId="7CDA5BBA">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VOCs含量</w:t>
                  </w:r>
                </w:p>
              </w:tc>
              <w:tc>
                <w:tcPr>
                  <w:tcW w:w="1853" w:type="pct"/>
                  <w:shd w:val="clear" w:color="auto" w:fill="FFFFFF"/>
                  <w:noWrap w:val="0"/>
                  <w:vAlign w:val="center"/>
                </w:tcPr>
                <w:p w14:paraId="08183A99">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执行国家标准</w:t>
                  </w:r>
                </w:p>
              </w:tc>
              <w:tc>
                <w:tcPr>
                  <w:tcW w:w="1573" w:type="pct"/>
                  <w:shd w:val="clear" w:color="auto" w:fill="FFFFFF"/>
                  <w:noWrap w:val="0"/>
                  <w:vAlign w:val="center"/>
                </w:tcPr>
                <w:p w14:paraId="0D463570">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标准限值</w:t>
                  </w:r>
                </w:p>
              </w:tc>
              <w:tc>
                <w:tcPr>
                  <w:tcW w:w="289" w:type="pct"/>
                  <w:shd w:val="clear" w:color="auto" w:fill="FFFFFF"/>
                  <w:noWrap w:val="0"/>
                  <w:vAlign w:val="center"/>
                </w:tcPr>
                <w:p w14:paraId="755EB485">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符合性</w:t>
                  </w:r>
                </w:p>
              </w:tc>
            </w:tr>
            <w:tr w14:paraId="16459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346" w:type="pct"/>
                  <w:noWrap w:val="0"/>
                  <w:vAlign w:val="center"/>
                </w:tcPr>
                <w:p w14:paraId="607D9163">
                  <w:pPr>
                    <w:keepNext w:val="0"/>
                    <w:keepLines w:val="0"/>
                    <w:pageBreakBefore w:val="0"/>
                    <w:suppressLineNumbers w:val="0"/>
                    <w:kinsoku/>
                    <w:wordWrap w:val="0"/>
                    <w:overflowPunct/>
                    <w:autoSpaceDE/>
                    <w:autoSpaceDN/>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丙烯酸乳液</w:t>
                  </w:r>
                  <w:r>
                    <w:rPr>
                      <w:rFonts w:hint="default" w:ascii="Times New Roman" w:hAnsi="Times New Roman" w:cs="Times New Roman"/>
                      <w:i w:val="0"/>
                      <w:iCs w:val="0"/>
                      <w:color w:val="auto"/>
                      <w:kern w:val="0"/>
                      <w:sz w:val="21"/>
                      <w:szCs w:val="21"/>
                      <w:highlight w:val="none"/>
                      <w:u w:val="none"/>
                      <w:lang w:val="en-US" w:eastAsia="zh-CN" w:bidi="ar"/>
                    </w:rPr>
                    <w:t>（RS-300S）</w:t>
                  </w:r>
                </w:p>
              </w:tc>
              <w:tc>
                <w:tcPr>
                  <w:tcW w:w="937" w:type="pct"/>
                  <w:gridSpan w:val="2"/>
                  <w:noWrap w:val="0"/>
                  <w:vAlign w:val="center"/>
                </w:tcPr>
                <w:p w14:paraId="2ACC6954">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cs="Times New Roman"/>
                      <w:color w:val="auto"/>
                      <w:kern w:val="2"/>
                      <w:sz w:val="21"/>
                      <w:szCs w:val="21"/>
                      <w:highlight w:val="none"/>
                      <w:lang w:val="en-US" w:eastAsia="zh-CN"/>
                    </w:rPr>
                    <w:t>1g/L</w:t>
                  </w:r>
                </w:p>
              </w:tc>
              <w:tc>
                <w:tcPr>
                  <w:tcW w:w="1853" w:type="pct"/>
                  <w:vMerge w:val="restart"/>
                  <w:noWrap w:val="0"/>
                  <w:vAlign w:val="center"/>
                </w:tcPr>
                <w:p w14:paraId="44547F72">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rPr>
                    <w:t>《低挥发性有机化合物含量涂料产品技术要求》（GB/T38597-2020）</w:t>
                  </w:r>
                </w:p>
              </w:tc>
              <w:tc>
                <w:tcPr>
                  <w:tcW w:w="1573" w:type="pct"/>
                  <w:noWrap w:val="0"/>
                  <w:vAlign w:val="center"/>
                </w:tcPr>
                <w:p w14:paraId="500588D1">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lang w:val="en-US" w:eastAsia="zh-CN"/>
                    </w:rPr>
                    <w:t>表1水性涂料中VOC含量的要求-建筑用墙面涂料-装饰板涂料-合成树脂乳液类涂料：≤100</w:t>
                  </w:r>
                  <w:r>
                    <w:rPr>
                      <w:rFonts w:hint="default" w:ascii="Times New Roman" w:hAnsi="Times New Roman" w:cs="Times New Roman"/>
                      <w:bCs/>
                      <w:color w:val="auto"/>
                      <w:sz w:val="21"/>
                      <w:szCs w:val="21"/>
                      <w:highlight w:val="none"/>
                    </w:rPr>
                    <w:t>g/L</w:t>
                  </w:r>
                </w:p>
              </w:tc>
              <w:tc>
                <w:tcPr>
                  <w:tcW w:w="289" w:type="pct"/>
                  <w:noWrap w:val="0"/>
                  <w:vAlign w:val="center"/>
                </w:tcPr>
                <w:p w14:paraId="36003010">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u w:val="none"/>
                    </w:rPr>
                  </w:pPr>
                  <w:r>
                    <w:rPr>
                      <w:rFonts w:hint="default" w:ascii="Times New Roman" w:hAnsi="Times New Roman" w:cs="Times New Roman"/>
                      <w:bCs/>
                      <w:color w:val="auto"/>
                      <w:sz w:val="21"/>
                      <w:szCs w:val="21"/>
                      <w:highlight w:val="none"/>
                      <w:u w:val="none"/>
                    </w:rPr>
                    <w:t>符合</w:t>
                  </w:r>
                </w:p>
              </w:tc>
            </w:tr>
            <w:tr w14:paraId="40F07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346" w:type="pct"/>
                  <w:noWrap w:val="0"/>
                  <w:vAlign w:val="center"/>
                </w:tcPr>
                <w:p w14:paraId="0A4DA27B">
                  <w:pPr>
                    <w:keepNext w:val="0"/>
                    <w:keepLines w:val="0"/>
                    <w:pageBreakBefore w:val="0"/>
                    <w:suppressLineNumbers w:val="0"/>
                    <w:kinsoku/>
                    <w:wordWrap w:val="0"/>
                    <w:overflowPunct/>
                    <w:autoSpaceDE/>
                    <w:autoSpaceDN/>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color w:val="auto"/>
                      <w:sz w:val="21"/>
                      <w:szCs w:val="21"/>
                      <w:highlight w:val="none"/>
                      <w:lang w:val="en-US" w:eastAsia="zh-CN"/>
                    </w:rPr>
                    <w:t>水性漆</w:t>
                  </w:r>
                </w:p>
              </w:tc>
              <w:tc>
                <w:tcPr>
                  <w:tcW w:w="468" w:type="pct"/>
                  <w:noWrap w:val="0"/>
                  <w:vAlign w:val="center"/>
                </w:tcPr>
                <w:p w14:paraId="48F43D0E">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cs="Times New Roman"/>
                      <w:color w:val="auto"/>
                      <w:kern w:val="2"/>
                      <w:sz w:val="21"/>
                      <w:szCs w:val="21"/>
                      <w:highlight w:val="none"/>
                      <w:lang w:val="en-US" w:eastAsia="zh-CN"/>
                    </w:rPr>
                    <w:t>69g/L</w:t>
                  </w:r>
                </w:p>
              </w:tc>
              <w:tc>
                <w:tcPr>
                  <w:tcW w:w="468" w:type="pct"/>
                  <w:noWrap w:val="0"/>
                  <w:vAlign w:val="center"/>
                </w:tcPr>
                <w:p w14:paraId="0C809E31">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5%</w:t>
                  </w:r>
                </w:p>
              </w:tc>
              <w:tc>
                <w:tcPr>
                  <w:tcW w:w="1853" w:type="pct"/>
                  <w:vMerge w:val="continue"/>
                  <w:noWrap w:val="0"/>
                  <w:vAlign w:val="center"/>
                </w:tcPr>
                <w:p w14:paraId="1A4D735A">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lang w:val="en-US" w:eastAsia="zh-CN"/>
                    </w:rPr>
                  </w:pPr>
                </w:p>
              </w:tc>
              <w:tc>
                <w:tcPr>
                  <w:tcW w:w="1573" w:type="pct"/>
                  <w:noWrap w:val="0"/>
                  <w:vAlign w:val="center"/>
                </w:tcPr>
                <w:p w14:paraId="60366456">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lang w:val="en-US" w:eastAsia="zh-CN"/>
                    </w:rPr>
                    <w:t>表1水性涂料中VOC含量的要求-建筑用墙面涂料-装饰板涂料-其他类：≤200</w:t>
                  </w:r>
                  <w:r>
                    <w:rPr>
                      <w:rFonts w:hint="default" w:ascii="Times New Roman" w:hAnsi="Times New Roman" w:cs="Times New Roman"/>
                      <w:bCs/>
                      <w:color w:val="auto"/>
                      <w:sz w:val="21"/>
                      <w:szCs w:val="21"/>
                      <w:highlight w:val="none"/>
                    </w:rPr>
                    <w:t>g/L</w:t>
                  </w:r>
                </w:p>
              </w:tc>
              <w:tc>
                <w:tcPr>
                  <w:tcW w:w="289" w:type="pct"/>
                  <w:noWrap w:val="0"/>
                  <w:vAlign w:val="center"/>
                </w:tcPr>
                <w:p w14:paraId="782407EF">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u w:val="none"/>
                    </w:rPr>
                  </w:pPr>
                  <w:r>
                    <w:rPr>
                      <w:rFonts w:hint="default" w:ascii="Times New Roman" w:hAnsi="Times New Roman" w:cs="Times New Roman"/>
                      <w:bCs/>
                      <w:color w:val="auto"/>
                      <w:sz w:val="21"/>
                      <w:szCs w:val="21"/>
                      <w:highlight w:val="none"/>
                      <w:u w:val="none"/>
                    </w:rPr>
                    <w:t>符合</w:t>
                  </w:r>
                </w:p>
              </w:tc>
            </w:tr>
            <w:tr w14:paraId="2DBA4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5000" w:type="pct"/>
                  <w:gridSpan w:val="6"/>
                  <w:noWrap w:val="0"/>
                  <w:vAlign w:val="center"/>
                </w:tcPr>
                <w:p w14:paraId="1457451F">
                  <w:pPr>
                    <w:keepNext w:val="0"/>
                    <w:keepLines w:val="0"/>
                    <w:pageBreakBefore w:val="0"/>
                    <w:suppressLineNumbers w:val="0"/>
                    <w:kinsoku/>
                    <w:wordWrap w:val="0"/>
                    <w:overflowPunct/>
                    <w:autoSpaceDE/>
                    <w:autoSpaceDN/>
                    <w:bidi w:val="0"/>
                    <w:adjustRightInd w:val="0"/>
                    <w:snapToGrid w:val="0"/>
                    <w:spacing w:before="0" w:beforeAutospacing="0" w:after="0" w:afterAutospacing="0" w:line="240" w:lineRule="auto"/>
                    <w:ind w:left="0" w:right="0"/>
                    <w:jc w:val="left"/>
                    <w:rPr>
                      <w:rFonts w:hint="default" w:ascii="Times New Roman" w:hAnsi="Times New Roman" w:eastAsia="宋体"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注：丙烯酸乳液用于石粉、矿粉搅拌工序，搅拌后作为涂覆料放入玻璃纤维网格布中成型，因此参考</w:t>
                  </w:r>
                  <w:r>
                    <w:rPr>
                      <w:rFonts w:hint="default" w:ascii="Times New Roman" w:hAnsi="Times New Roman" w:cs="Times New Roman"/>
                      <w:bCs/>
                      <w:color w:val="auto"/>
                      <w:sz w:val="21"/>
                      <w:szCs w:val="21"/>
                      <w:highlight w:val="none"/>
                      <w:lang w:val="en-US" w:eastAsia="zh-CN"/>
                    </w:rPr>
                    <w:t>装饰板涂料VOC含量限值</w:t>
                  </w:r>
                </w:p>
              </w:tc>
            </w:tr>
          </w:tbl>
          <w:p w14:paraId="02A3895A">
            <w:pPr>
              <w:pStyle w:val="5"/>
              <w:pageBreakBefore w:val="0"/>
              <w:numPr>
                <w:ilvl w:val="3"/>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szCs w:val="24"/>
                <w:highlight w:val="none"/>
              </w:rPr>
            </w:pPr>
          </w:p>
          <w:p w14:paraId="737F729D">
            <w:pPr>
              <w:pStyle w:val="5"/>
              <w:pageBreakBefore w:val="0"/>
              <w:numPr>
                <w:ilvl w:val="3"/>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2B24CC5B">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45455769">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生产设备一览表</w:t>
            </w:r>
          </w:p>
          <w:tbl>
            <w:tblPr>
              <w:tblStyle w:val="36"/>
              <w:tblW w:w="497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8"/>
              <w:gridCol w:w="1390"/>
              <w:gridCol w:w="1998"/>
              <w:gridCol w:w="700"/>
              <w:gridCol w:w="2405"/>
              <w:gridCol w:w="2106"/>
            </w:tblGrid>
            <w:tr w14:paraId="175FE2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42" w:type="pct"/>
                  <w:tcBorders>
                    <w:tl2br w:val="nil"/>
                    <w:tr2bl w:val="nil"/>
                  </w:tcBorders>
                  <w:shd w:val="clear" w:color="auto" w:fill="auto"/>
                  <w:noWrap/>
                  <w:vAlign w:val="center"/>
                </w:tcPr>
                <w:p w14:paraId="1E23D30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序号</w:t>
                  </w:r>
                </w:p>
              </w:tc>
              <w:tc>
                <w:tcPr>
                  <w:tcW w:w="755" w:type="pct"/>
                  <w:tcBorders>
                    <w:tl2br w:val="nil"/>
                    <w:tr2bl w:val="nil"/>
                  </w:tcBorders>
                  <w:shd w:val="clear" w:color="auto" w:fill="auto"/>
                  <w:noWrap/>
                  <w:vAlign w:val="center"/>
                </w:tcPr>
                <w:p w14:paraId="1529F55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名称</w:t>
                  </w:r>
                </w:p>
              </w:tc>
              <w:tc>
                <w:tcPr>
                  <w:tcW w:w="1084" w:type="pct"/>
                  <w:tcBorders>
                    <w:tl2br w:val="nil"/>
                    <w:tr2bl w:val="nil"/>
                  </w:tcBorders>
                  <w:shd w:val="clear" w:color="auto" w:fill="auto"/>
                  <w:noWrap/>
                  <w:vAlign w:val="center"/>
                </w:tcPr>
                <w:p w14:paraId="4E1E7FF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设备名称</w:t>
                  </w:r>
                </w:p>
              </w:tc>
              <w:tc>
                <w:tcPr>
                  <w:tcW w:w="382" w:type="pct"/>
                  <w:tcBorders>
                    <w:tl2br w:val="nil"/>
                    <w:tr2bl w:val="nil"/>
                  </w:tcBorders>
                  <w:shd w:val="clear" w:color="auto" w:fill="auto"/>
                  <w:noWrap/>
                  <w:vAlign w:val="center"/>
                </w:tcPr>
                <w:p w14:paraId="03FD0BF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数量</w:t>
                  </w:r>
                </w:p>
              </w:tc>
              <w:tc>
                <w:tcPr>
                  <w:tcW w:w="1304" w:type="pct"/>
                  <w:tcBorders>
                    <w:tl2br w:val="nil"/>
                    <w:tr2bl w:val="nil"/>
                  </w:tcBorders>
                  <w:shd w:val="clear" w:color="auto" w:fill="auto"/>
                  <w:noWrap/>
                  <w:vAlign w:val="center"/>
                </w:tcPr>
                <w:p w14:paraId="2CE4F11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规格型号</w:t>
                  </w:r>
                </w:p>
              </w:tc>
              <w:tc>
                <w:tcPr>
                  <w:tcW w:w="1130" w:type="pct"/>
                  <w:tcBorders>
                    <w:tl2br w:val="nil"/>
                    <w:tr2bl w:val="nil"/>
                  </w:tcBorders>
                  <w:shd w:val="clear" w:color="auto" w:fill="auto"/>
                  <w:noWrap/>
                  <w:vAlign w:val="center"/>
                </w:tcPr>
                <w:p w14:paraId="5C77F5C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用途</w:t>
                  </w:r>
                </w:p>
              </w:tc>
            </w:tr>
            <w:tr w14:paraId="766194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342" w:type="pct"/>
                  <w:vMerge w:val="restart"/>
                  <w:tcBorders>
                    <w:tl2br w:val="nil"/>
                    <w:tr2bl w:val="nil"/>
                  </w:tcBorders>
                  <w:shd w:val="clear" w:color="auto" w:fill="auto"/>
                  <w:noWrap/>
                  <w:vAlign w:val="center"/>
                </w:tcPr>
                <w:p w14:paraId="542897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w:t>
                  </w:r>
                </w:p>
              </w:tc>
              <w:tc>
                <w:tcPr>
                  <w:tcW w:w="755" w:type="pct"/>
                  <w:vMerge w:val="restart"/>
                  <w:tcBorders>
                    <w:tl2br w:val="nil"/>
                    <w:tr2bl w:val="nil"/>
                  </w:tcBorders>
                  <w:shd w:val="clear" w:color="auto" w:fill="auto"/>
                  <w:noWrap/>
                  <w:vAlign w:val="center"/>
                </w:tcPr>
                <w:p w14:paraId="7803AFC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软瓷</w:t>
                  </w:r>
                  <w:r>
                    <w:rPr>
                      <w:rFonts w:hint="default" w:ascii="Times New Roman" w:hAnsi="Times New Roman" w:cs="Times New Roman"/>
                      <w:color w:val="auto"/>
                      <w:sz w:val="21"/>
                      <w:szCs w:val="21"/>
                      <w:highlight w:val="none"/>
                    </w:rPr>
                    <w:t>生产线</w:t>
                  </w:r>
                </w:p>
              </w:tc>
              <w:tc>
                <w:tcPr>
                  <w:tcW w:w="1084" w:type="pct"/>
                  <w:tcBorders>
                    <w:tl2br w:val="nil"/>
                    <w:tr2bl w:val="nil"/>
                  </w:tcBorders>
                  <w:shd w:val="clear" w:color="auto" w:fill="auto"/>
                  <w:noWrap/>
                  <w:vAlign w:val="center"/>
                </w:tcPr>
                <w:p w14:paraId="41B8222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软瓷生产线</w:t>
                  </w:r>
                </w:p>
              </w:tc>
              <w:tc>
                <w:tcPr>
                  <w:tcW w:w="382" w:type="pct"/>
                  <w:tcBorders>
                    <w:tl2br w:val="nil"/>
                    <w:tr2bl w:val="nil"/>
                  </w:tcBorders>
                  <w:shd w:val="clear" w:color="auto" w:fill="auto"/>
                  <w:noWrap/>
                  <w:vAlign w:val="center"/>
                </w:tcPr>
                <w:p w14:paraId="2E44C4E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6条</w:t>
                  </w:r>
                </w:p>
              </w:tc>
              <w:tc>
                <w:tcPr>
                  <w:tcW w:w="1304" w:type="pct"/>
                  <w:tcBorders>
                    <w:tl2br w:val="nil"/>
                    <w:tr2bl w:val="nil"/>
                  </w:tcBorders>
                  <w:shd w:val="clear" w:color="auto" w:fill="auto"/>
                  <w:noWrap/>
                  <w:vAlign w:val="center"/>
                </w:tcPr>
                <w:p w14:paraId="7860BE5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1.3</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w:t>
                  </w:r>
                </w:p>
              </w:tc>
              <w:tc>
                <w:tcPr>
                  <w:tcW w:w="1130" w:type="pct"/>
                  <w:vMerge w:val="restart"/>
                  <w:tcBorders>
                    <w:tl2br w:val="nil"/>
                    <w:tr2bl w:val="nil"/>
                  </w:tcBorders>
                  <w:shd w:val="clear" w:color="auto" w:fill="auto"/>
                  <w:noWrap/>
                  <w:vAlign w:val="center"/>
                </w:tcPr>
                <w:p w14:paraId="30E0860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成型烘干、上色固化</w:t>
                  </w:r>
                </w:p>
              </w:tc>
            </w:tr>
            <w:tr w14:paraId="557D4B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1" w:hRule="atLeast"/>
                <w:jc w:val="center"/>
              </w:trPr>
              <w:tc>
                <w:tcPr>
                  <w:tcW w:w="342" w:type="pct"/>
                  <w:vMerge w:val="continue"/>
                  <w:tcBorders>
                    <w:tl2br w:val="nil"/>
                    <w:tr2bl w:val="nil"/>
                  </w:tcBorders>
                  <w:shd w:val="clear" w:color="auto" w:fill="auto"/>
                  <w:noWrap/>
                  <w:vAlign w:val="center"/>
                </w:tcPr>
                <w:p w14:paraId="25C3A19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55" w:type="pct"/>
                  <w:vMerge w:val="continue"/>
                  <w:tcBorders>
                    <w:tl2br w:val="nil"/>
                    <w:tr2bl w:val="nil"/>
                  </w:tcBorders>
                  <w:shd w:val="clear" w:color="auto" w:fill="auto"/>
                  <w:noWrap/>
                  <w:vAlign w:val="center"/>
                </w:tcPr>
                <w:p w14:paraId="384B4F4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084" w:type="pct"/>
                  <w:tcBorders>
                    <w:tl2br w:val="nil"/>
                    <w:tr2bl w:val="nil"/>
                  </w:tcBorders>
                  <w:shd w:val="clear" w:color="auto" w:fill="auto"/>
                  <w:vAlign w:val="center"/>
                </w:tcPr>
                <w:p w14:paraId="20AFA2F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eastAsia="zh-CN" w:bidi="ar"/>
                    </w:rPr>
                  </w:pPr>
                  <w:r>
                    <w:rPr>
                      <w:rFonts w:hint="default" w:ascii="Times New Roman" w:hAnsi="Times New Roman" w:cs="Times New Roman"/>
                      <w:color w:val="auto"/>
                      <w:sz w:val="21"/>
                      <w:szCs w:val="21"/>
                      <w:highlight w:val="none"/>
                      <w:lang w:val="en-US" w:eastAsia="zh-CN" w:bidi="ar"/>
                    </w:rPr>
                    <w:t>其中配套烤房</w:t>
                  </w:r>
                </w:p>
              </w:tc>
              <w:tc>
                <w:tcPr>
                  <w:tcW w:w="382" w:type="pct"/>
                  <w:tcBorders>
                    <w:tl2br w:val="nil"/>
                    <w:tr2bl w:val="nil"/>
                  </w:tcBorders>
                  <w:shd w:val="clear" w:color="auto" w:fill="auto"/>
                  <w:vAlign w:val="center"/>
                </w:tcPr>
                <w:p w14:paraId="0702410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304" w:type="pct"/>
                  <w:tcBorders>
                    <w:tl2br w:val="nil"/>
                    <w:tr2bl w:val="nil"/>
                  </w:tcBorders>
                  <w:shd w:val="clear" w:color="auto" w:fill="auto"/>
                  <w:noWrap/>
                  <w:vAlign w:val="center"/>
                </w:tcPr>
                <w:p w14:paraId="2D4A1B5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w:t>
                  </w:r>
                </w:p>
              </w:tc>
              <w:tc>
                <w:tcPr>
                  <w:tcW w:w="1130" w:type="pct"/>
                  <w:vMerge w:val="continue"/>
                  <w:tcBorders>
                    <w:tl2br w:val="nil"/>
                    <w:tr2bl w:val="nil"/>
                  </w:tcBorders>
                  <w:shd w:val="clear" w:color="auto" w:fill="auto"/>
                  <w:noWrap/>
                  <w:vAlign w:val="center"/>
                </w:tcPr>
                <w:p w14:paraId="38448ED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62121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42" w:type="pct"/>
                  <w:vMerge w:val="continue"/>
                  <w:tcBorders>
                    <w:tl2br w:val="nil"/>
                    <w:tr2bl w:val="nil"/>
                  </w:tcBorders>
                  <w:shd w:val="clear" w:color="auto" w:fill="auto"/>
                  <w:noWrap/>
                  <w:vAlign w:val="center"/>
                </w:tcPr>
                <w:p w14:paraId="5C94CAC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55" w:type="pct"/>
                  <w:vMerge w:val="continue"/>
                  <w:tcBorders>
                    <w:tl2br w:val="nil"/>
                    <w:tr2bl w:val="nil"/>
                  </w:tcBorders>
                  <w:shd w:val="clear" w:color="auto" w:fill="auto"/>
                  <w:noWrap/>
                  <w:vAlign w:val="center"/>
                </w:tcPr>
                <w:p w14:paraId="2D4B090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084" w:type="pct"/>
                  <w:tcBorders>
                    <w:tl2br w:val="nil"/>
                    <w:tr2bl w:val="nil"/>
                  </w:tcBorders>
                  <w:shd w:val="clear" w:color="auto" w:fill="auto"/>
                  <w:vAlign w:val="center"/>
                </w:tcPr>
                <w:p w14:paraId="5D3A99F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燃烧机：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0万大卡/小时/套</w:t>
                  </w:r>
                </w:p>
                <w:p w14:paraId="2688895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Style w:val="80"/>
                      <w:rFonts w:hint="default" w:ascii="Times New Roman" w:hAnsi="Times New Roman" w:cs="Times New Roman"/>
                      <w:color w:val="auto"/>
                      <w:highlight w:val="none"/>
                      <w:lang w:bidi="ar"/>
                    </w:rPr>
                    <w:t>（燃气热风循环式烤炉）</w:t>
                  </w:r>
                </w:p>
              </w:tc>
              <w:tc>
                <w:tcPr>
                  <w:tcW w:w="382" w:type="pct"/>
                  <w:tcBorders>
                    <w:tl2br w:val="nil"/>
                    <w:tr2bl w:val="nil"/>
                  </w:tcBorders>
                  <w:shd w:val="clear" w:color="auto" w:fill="auto"/>
                  <w:vAlign w:val="center"/>
                </w:tcPr>
                <w:p w14:paraId="2A74E64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台</w:t>
                  </w:r>
                </w:p>
              </w:tc>
              <w:tc>
                <w:tcPr>
                  <w:tcW w:w="1304" w:type="pct"/>
                  <w:tcBorders>
                    <w:tl2br w:val="nil"/>
                    <w:tr2bl w:val="nil"/>
                  </w:tcBorders>
                  <w:shd w:val="clear" w:color="auto" w:fill="auto"/>
                  <w:noWrap/>
                  <w:vAlign w:val="center"/>
                </w:tcPr>
                <w:p w14:paraId="674C02C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0万大卡/小时</w:t>
                  </w:r>
                </w:p>
              </w:tc>
              <w:tc>
                <w:tcPr>
                  <w:tcW w:w="1130" w:type="pct"/>
                  <w:vMerge w:val="continue"/>
                  <w:tcBorders>
                    <w:tl2br w:val="nil"/>
                    <w:tr2bl w:val="nil"/>
                  </w:tcBorders>
                  <w:shd w:val="clear" w:color="auto" w:fill="auto"/>
                  <w:noWrap/>
                  <w:vAlign w:val="center"/>
                </w:tcPr>
                <w:p w14:paraId="5264ECB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246FA2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342" w:type="pct"/>
                  <w:vMerge w:val="continue"/>
                  <w:tcBorders>
                    <w:tl2br w:val="nil"/>
                    <w:tr2bl w:val="nil"/>
                  </w:tcBorders>
                  <w:shd w:val="clear" w:color="auto" w:fill="auto"/>
                  <w:noWrap/>
                  <w:vAlign w:val="center"/>
                </w:tcPr>
                <w:p w14:paraId="4E0F0CA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55" w:type="pct"/>
                  <w:vMerge w:val="continue"/>
                  <w:tcBorders>
                    <w:tl2br w:val="nil"/>
                    <w:tr2bl w:val="nil"/>
                  </w:tcBorders>
                  <w:shd w:val="clear" w:color="auto" w:fill="auto"/>
                  <w:noWrap/>
                  <w:vAlign w:val="center"/>
                </w:tcPr>
                <w:p w14:paraId="46A0DA5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eastAsia="zh-CN"/>
                    </w:rPr>
                  </w:pPr>
                </w:p>
              </w:tc>
              <w:tc>
                <w:tcPr>
                  <w:tcW w:w="1084" w:type="pct"/>
                  <w:tcBorders>
                    <w:tl2br w:val="nil"/>
                    <w:tr2bl w:val="nil"/>
                  </w:tcBorders>
                  <w:shd w:val="clear" w:color="auto" w:fill="auto"/>
                  <w:vAlign w:val="center"/>
                </w:tcPr>
                <w:p w14:paraId="61A2AD7A">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9"/>
                      <w:rFonts w:hint="default" w:ascii="Times New Roman" w:hAnsi="Times New Roman" w:cs="Times New Roman"/>
                      <w:color w:val="auto"/>
                      <w:sz w:val="21"/>
                      <w:szCs w:val="21"/>
                      <w:highlight w:val="none"/>
                      <w:lang w:val="en-US" w:eastAsia="zh-CN" w:bidi="ar"/>
                    </w:rPr>
                    <w:t>搅拌机</w:t>
                  </w:r>
                </w:p>
              </w:tc>
              <w:tc>
                <w:tcPr>
                  <w:tcW w:w="382" w:type="pct"/>
                  <w:tcBorders>
                    <w:tl2br w:val="nil"/>
                    <w:tr2bl w:val="nil"/>
                  </w:tcBorders>
                  <w:shd w:val="clear" w:color="auto" w:fill="auto"/>
                  <w:vAlign w:val="center"/>
                </w:tcPr>
                <w:p w14:paraId="78F64C0F">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台</w:t>
                  </w:r>
                </w:p>
              </w:tc>
              <w:tc>
                <w:tcPr>
                  <w:tcW w:w="1304" w:type="pct"/>
                  <w:tcBorders>
                    <w:tl2br w:val="nil"/>
                    <w:tr2bl w:val="nil"/>
                  </w:tcBorders>
                  <w:shd w:val="clear" w:color="auto" w:fill="auto"/>
                  <w:vAlign w:val="center"/>
                </w:tcPr>
                <w:p w14:paraId="2EDD4E6A">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1000L</w:t>
                  </w:r>
                </w:p>
              </w:tc>
              <w:tc>
                <w:tcPr>
                  <w:tcW w:w="1130" w:type="pct"/>
                  <w:tcBorders>
                    <w:tl2br w:val="nil"/>
                    <w:tr2bl w:val="nil"/>
                  </w:tcBorders>
                  <w:shd w:val="clear" w:color="auto" w:fill="auto"/>
                  <w:noWrap/>
                  <w:vAlign w:val="center"/>
                </w:tcPr>
                <w:p w14:paraId="4C1A6BD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拌料</w:t>
                  </w:r>
                </w:p>
              </w:tc>
            </w:tr>
            <w:tr w14:paraId="2BE2A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342" w:type="pct"/>
                  <w:vMerge w:val="continue"/>
                  <w:tcBorders>
                    <w:tl2br w:val="nil"/>
                    <w:tr2bl w:val="nil"/>
                  </w:tcBorders>
                  <w:shd w:val="clear" w:color="auto" w:fill="auto"/>
                  <w:noWrap/>
                  <w:vAlign w:val="center"/>
                </w:tcPr>
                <w:p w14:paraId="628867A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55" w:type="pct"/>
                  <w:vMerge w:val="continue"/>
                  <w:tcBorders>
                    <w:tl2br w:val="nil"/>
                    <w:tr2bl w:val="nil"/>
                  </w:tcBorders>
                  <w:shd w:val="clear" w:color="auto" w:fill="auto"/>
                  <w:noWrap/>
                  <w:vAlign w:val="center"/>
                </w:tcPr>
                <w:p w14:paraId="5FF8700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1084" w:type="pct"/>
                  <w:tcBorders>
                    <w:tl2br w:val="nil"/>
                    <w:tr2bl w:val="nil"/>
                  </w:tcBorders>
                  <w:shd w:val="clear" w:color="auto" w:fill="auto"/>
                  <w:vAlign w:val="center"/>
                </w:tcPr>
                <w:p w14:paraId="34C40BA4">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9"/>
                      <w:rFonts w:hint="default" w:ascii="Times New Roman" w:hAnsi="Times New Roman" w:cs="Times New Roman"/>
                      <w:color w:val="auto"/>
                      <w:sz w:val="21"/>
                      <w:szCs w:val="21"/>
                      <w:highlight w:val="none"/>
                      <w:lang w:val="en-US" w:eastAsia="zh-CN" w:bidi="ar"/>
                    </w:rPr>
                    <w:t>切割机</w:t>
                  </w:r>
                </w:p>
              </w:tc>
              <w:tc>
                <w:tcPr>
                  <w:tcW w:w="382" w:type="pct"/>
                  <w:tcBorders>
                    <w:tl2br w:val="nil"/>
                    <w:tr2bl w:val="nil"/>
                  </w:tcBorders>
                  <w:shd w:val="clear" w:color="auto" w:fill="auto"/>
                  <w:vAlign w:val="center"/>
                </w:tcPr>
                <w:p w14:paraId="4FCAD0D4">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台</w:t>
                  </w:r>
                </w:p>
              </w:tc>
              <w:tc>
                <w:tcPr>
                  <w:tcW w:w="1304" w:type="pct"/>
                  <w:tcBorders>
                    <w:tl2br w:val="nil"/>
                    <w:tr2bl w:val="nil"/>
                  </w:tcBorders>
                  <w:shd w:val="clear" w:color="auto" w:fill="auto"/>
                  <w:vAlign w:val="center"/>
                </w:tcPr>
                <w:p w14:paraId="67266CCB">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电动</w:t>
                  </w:r>
                </w:p>
              </w:tc>
              <w:tc>
                <w:tcPr>
                  <w:tcW w:w="1130" w:type="pct"/>
                  <w:tcBorders>
                    <w:tl2br w:val="nil"/>
                    <w:tr2bl w:val="nil"/>
                  </w:tcBorders>
                  <w:shd w:val="clear" w:color="auto" w:fill="auto"/>
                  <w:noWrap/>
                  <w:vAlign w:val="center"/>
                </w:tcPr>
                <w:p w14:paraId="150D568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切割</w:t>
                  </w:r>
                </w:p>
              </w:tc>
            </w:tr>
            <w:tr w14:paraId="4CC46B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342" w:type="pct"/>
                  <w:vMerge w:val="continue"/>
                  <w:tcBorders>
                    <w:tl2br w:val="nil"/>
                    <w:tr2bl w:val="nil"/>
                  </w:tcBorders>
                  <w:shd w:val="clear" w:color="auto" w:fill="auto"/>
                  <w:noWrap/>
                  <w:vAlign w:val="center"/>
                </w:tcPr>
                <w:p w14:paraId="749320F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55" w:type="pct"/>
                  <w:vMerge w:val="continue"/>
                  <w:tcBorders>
                    <w:tl2br w:val="nil"/>
                    <w:tr2bl w:val="nil"/>
                  </w:tcBorders>
                  <w:shd w:val="clear" w:color="auto" w:fill="auto"/>
                  <w:noWrap/>
                  <w:vAlign w:val="center"/>
                </w:tcPr>
                <w:p w14:paraId="14D324E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1084" w:type="pct"/>
                  <w:tcBorders>
                    <w:tl2br w:val="nil"/>
                    <w:tr2bl w:val="nil"/>
                  </w:tcBorders>
                  <w:shd w:val="clear" w:color="auto" w:fill="auto"/>
                  <w:vAlign w:val="center"/>
                </w:tcPr>
                <w:p w14:paraId="47891C22">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9"/>
                      <w:rFonts w:hint="default" w:ascii="Times New Roman" w:hAnsi="Times New Roman" w:cs="Times New Roman"/>
                      <w:color w:val="auto"/>
                      <w:sz w:val="21"/>
                      <w:szCs w:val="21"/>
                      <w:highlight w:val="none"/>
                      <w:lang w:val="en-US" w:eastAsia="zh-CN" w:bidi="ar"/>
                    </w:rPr>
                    <w:t>喷漆机</w:t>
                  </w:r>
                </w:p>
              </w:tc>
              <w:tc>
                <w:tcPr>
                  <w:tcW w:w="382" w:type="pct"/>
                  <w:tcBorders>
                    <w:tl2br w:val="nil"/>
                    <w:tr2bl w:val="nil"/>
                  </w:tcBorders>
                  <w:shd w:val="clear" w:color="auto" w:fill="auto"/>
                  <w:vAlign w:val="center"/>
                </w:tcPr>
                <w:p w14:paraId="681784DF">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台</w:t>
                  </w:r>
                </w:p>
              </w:tc>
              <w:tc>
                <w:tcPr>
                  <w:tcW w:w="1304" w:type="pct"/>
                  <w:tcBorders>
                    <w:tl2br w:val="nil"/>
                    <w:tr2bl w:val="nil"/>
                  </w:tcBorders>
                  <w:shd w:val="clear" w:color="auto" w:fill="auto"/>
                  <w:vAlign w:val="center"/>
                </w:tcPr>
                <w:p w14:paraId="323FC6B9">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含2支喷枪，单个喷枪流量0.1L/min</w:t>
                  </w:r>
                </w:p>
              </w:tc>
              <w:tc>
                <w:tcPr>
                  <w:tcW w:w="1130" w:type="pct"/>
                  <w:tcBorders>
                    <w:tl2br w:val="nil"/>
                    <w:tr2bl w:val="nil"/>
                  </w:tcBorders>
                  <w:shd w:val="clear" w:color="auto" w:fill="auto"/>
                  <w:noWrap/>
                  <w:vAlign w:val="center"/>
                </w:tcPr>
                <w:p w14:paraId="3331157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喷涂上色</w:t>
                  </w:r>
                </w:p>
              </w:tc>
            </w:tr>
            <w:tr w14:paraId="112AE9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342" w:type="pct"/>
                  <w:vMerge w:val="continue"/>
                  <w:tcBorders>
                    <w:tl2br w:val="nil"/>
                    <w:tr2bl w:val="nil"/>
                  </w:tcBorders>
                  <w:shd w:val="clear" w:color="auto" w:fill="auto"/>
                  <w:noWrap/>
                  <w:vAlign w:val="center"/>
                </w:tcPr>
                <w:p w14:paraId="7982C0E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55" w:type="pct"/>
                  <w:vMerge w:val="continue"/>
                  <w:tcBorders>
                    <w:tl2br w:val="nil"/>
                    <w:tr2bl w:val="nil"/>
                  </w:tcBorders>
                  <w:shd w:val="clear" w:color="auto" w:fill="auto"/>
                  <w:noWrap/>
                  <w:vAlign w:val="center"/>
                </w:tcPr>
                <w:p w14:paraId="168A99C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084" w:type="pct"/>
                  <w:tcBorders>
                    <w:tl2br w:val="nil"/>
                    <w:tr2bl w:val="nil"/>
                  </w:tcBorders>
                  <w:shd w:val="clear" w:color="auto" w:fill="auto"/>
                  <w:vAlign w:val="center"/>
                </w:tcPr>
                <w:p w14:paraId="3B6364F9">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空压机组</w:t>
                  </w:r>
                </w:p>
              </w:tc>
              <w:tc>
                <w:tcPr>
                  <w:tcW w:w="382" w:type="pct"/>
                  <w:tcBorders>
                    <w:tl2br w:val="nil"/>
                    <w:tr2bl w:val="nil"/>
                  </w:tcBorders>
                  <w:shd w:val="clear" w:color="auto" w:fill="auto"/>
                  <w:vAlign w:val="center"/>
                </w:tcPr>
                <w:p w14:paraId="766E49AE">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套</w:t>
                  </w:r>
                </w:p>
              </w:tc>
              <w:tc>
                <w:tcPr>
                  <w:tcW w:w="1304" w:type="pct"/>
                  <w:tcBorders>
                    <w:tl2br w:val="nil"/>
                    <w:tr2bl w:val="nil"/>
                  </w:tcBorders>
                  <w:shd w:val="clear" w:color="auto" w:fill="auto"/>
                  <w:vAlign w:val="center"/>
                </w:tcPr>
                <w:p w14:paraId="46DAE476">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p>
              </w:tc>
              <w:tc>
                <w:tcPr>
                  <w:tcW w:w="1130" w:type="pct"/>
                  <w:tcBorders>
                    <w:tl2br w:val="nil"/>
                    <w:tr2bl w:val="nil"/>
                  </w:tcBorders>
                  <w:shd w:val="clear" w:color="auto" w:fill="auto"/>
                  <w:noWrap/>
                  <w:vAlign w:val="center"/>
                </w:tcPr>
                <w:p w14:paraId="072692ED">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辅助设备</w:t>
                  </w:r>
                </w:p>
              </w:tc>
            </w:tr>
          </w:tbl>
          <w:p w14:paraId="616EABE5">
            <w:pPr>
              <w:pStyle w:val="14"/>
              <w:keepNext w:val="0"/>
              <w:keepLines w:val="0"/>
              <w:pageBreakBefore w:val="0"/>
              <w:suppressLineNumbers w:val="0"/>
              <w:wordWrap w:val="0"/>
              <w:bidi w:val="0"/>
              <w:spacing w:before="0" w:beforeAutospacing="0" w:after="0" w:afterAutospacing="0"/>
              <w:ind w:left="0" w:right="0" w:firstLine="48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本项目生产线</w:t>
            </w:r>
            <w:r>
              <w:rPr>
                <w:rFonts w:hint="default" w:ascii="Times New Roman" w:hAnsi="Times New Roman" w:cs="Times New Roman"/>
                <w:b/>
                <w:color w:val="auto"/>
                <w:sz w:val="24"/>
                <w:highlight w:val="none"/>
              </w:rPr>
              <w:t>产能</w:t>
            </w:r>
            <w:r>
              <w:rPr>
                <w:rFonts w:hint="default" w:ascii="Times New Roman" w:hAnsi="Times New Roman" w:cs="Times New Roman"/>
                <w:b/>
                <w:color w:val="auto"/>
                <w:sz w:val="24"/>
                <w:highlight w:val="none"/>
                <w:lang w:val="en-US" w:eastAsia="zh-CN"/>
              </w:rPr>
              <w:t>匹配性</w:t>
            </w:r>
            <w:r>
              <w:rPr>
                <w:rFonts w:hint="default" w:ascii="Times New Roman" w:hAnsi="Times New Roman" w:cs="Times New Roman"/>
                <w:b/>
                <w:color w:val="auto"/>
                <w:sz w:val="24"/>
                <w:highlight w:val="none"/>
              </w:rPr>
              <w:t>核算：</w:t>
            </w:r>
          </w:p>
          <w:p w14:paraId="51FD1411">
            <w:pPr>
              <w:pStyle w:val="106"/>
              <w:keepNext w:val="0"/>
              <w:keepLines w:val="0"/>
              <w:pageBreakBefore w:val="0"/>
              <w:suppressLineNumbers w:val="0"/>
              <w:kinsoku/>
              <w:wordWrap w:val="0"/>
              <w:overflowPunct/>
              <w:autoSpaceDE/>
              <w:autoSpaceDN/>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本项目主要</w:t>
            </w:r>
            <w:r>
              <w:rPr>
                <w:rFonts w:hint="default" w:ascii="Times New Roman" w:hAnsi="Times New Roman" w:cs="Times New Roman"/>
                <w:b/>
                <w:bCs/>
                <w:color w:val="auto"/>
                <w:sz w:val="21"/>
                <w:szCs w:val="21"/>
                <w:highlight w:val="none"/>
              </w:rPr>
              <w:t>生产设备</w:t>
            </w:r>
            <w:r>
              <w:rPr>
                <w:rFonts w:hint="default" w:ascii="Times New Roman" w:hAnsi="Times New Roman" w:cs="Times New Roman"/>
                <w:b/>
                <w:bCs/>
                <w:color w:val="auto"/>
                <w:sz w:val="21"/>
                <w:szCs w:val="21"/>
                <w:highlight w:val="none"/>
                <w:lang w:val="en-US" w:eastAsia="zh-CN"/>
              </w:rPr>
              <w:t>产能匹配性分析</w:t>
            </w:r>
            <w:r>
              <w:rPr>
                <w:rFonts w:hint="default" w:ascii="Times New Roman" w:hAnsi="Times New Roman" w:cs="Times New Roman"/>
                <w:b/>
                <w:bCs/>
                <w:color w:val="auto"/>
                <w:sz w:val="21"/>
                <w:szCs w:val="21"/>
                <w:highlight w:val="none"/>
              </w:rPr>
              <w:t>一览表</w:t>
            </w:r>
          </w:p>
          <w:tbl>
            <w:tblPr>
              <w:tblStyle w:val="36"/>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8"/>
              <w:gridCol w:w="1414"/>
              <w:gridCol w:w="953"/>
              <w:gridCol w:w="1083"/>
              <w:gridCol w:w="1231"/>
              <w:gridCol w:w="1387"/>
              <w:gridCol w:w="1261"/>
              <w:gridCol w:w="582"/>
            </w:tblGrid>
            <w:tr w14:paraId="78417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noWrap w:val="0"/>
                  <w:vAlign w:val="center"/>
                </w:tcPr>
                <w:p w14:paraId="6254E21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763" w:type="pct"/>
                  <w:noWrap w:val="0"/>
                  <w:vAlign w:val="center"/>
                </w:tcPr>
                <w:p w14:paraId="2B3A2A8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设施参数</w:t>
                  </w:r>
                </w:p>
              </w:tc>
              <w:tc>
                <w:tcPr>
                  <w:tcW w:w="514" w:type="pct"/>
                  <w:noWrap w:val="0"/>
                  <w:vAlign w:val="center"/>
                </w:tcPr>
                <w:p w14:paraId="3C4C2C1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数量</w:t>
                  </w:r>
                  <w:r>
                    <w:rPr>
                      <w:rFonts w:hint="default" w:ascii="Times New Roman" w:hAnsi="Times New Roman" w:eastAsia="宋体" w:cs="Times New Roman"/>
                      <w:b/>
                      <w:bCs/>
                      <w:color w:val="auto"/>
                      <w:sz w:val="21"/>
                      <w:szCs w:val="21"/>
                      <w:highlight w:val="none"/>
                    </w:rPr>
                    <w:t>（台）</w:t>
                  </w:r>
                </w:p>
              </w:tc>
              <w:tc>
                <w:tcPr>
                  <w:tcW w:w="584" w:type="pct"/>
                  <w:noWrap w:val="0"/>
                  <w:vAlign w:val="center"/>
                </w:tcPr>
                <w:p w14:paraId="2DC0273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单台设备单日</w:t>
                  </w:r>
                  <w:r>
                    <w:rPr>
                      <w:rFonts w:hint="default" w:ascii="Times New Roman" w:hAnsi="Times New Roman" w:eastAsia="宋体" w:cs="Times New Roman"/>
                      <w:b/>
                      <w:bCs/>
                      <w:color w:val="auto"/>
                      <w:sz w:val="21"/>
                      <w:szCs w:val="21"/>
                      <w:highlight w:val="none"/>
                    </w:rPr>
                    <w:t>产能</w:t>
                  </w:r>
                </w:p>
              </w:tc>
              <w:tc>
                <w:tcPr>
                  <w:tcW w:w="664" w:type="pct"/>
                  <w:noWrap w:val="0"/>
                  <w:vAlign w:val="center"/>
                </w:tcPr>
                <w:p w14:paraId="48A0361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年工作时间（</w:t>
                  </w:r>
                  <w:r>
                    <w:rPr>
                      <w:rFonts w:hint="default" w:ascii="Times New Roman" w:hAnsi="Times New Roman" w:eastAsia="宋体"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rPr>
                    <w:t>）</w:t>
                  </w:r>
                </w:p>
              </w:tc>
              <w:tc>
                <w:tcPr>
                  <w:tcW w:w="748" w:type="pct"/>
                  <w:noWrap w:val="0"/>
                  <w:vAlign w:val="center"/>
                </w:tcPr>
                <w:p w14:paraId="7854120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年</w:t>
                  </w:r>
                  <w:r>
                    <w:rPr>
                      <w:rFonts w:hint="default" w:ascii="Times New Roman" w:hAnsi="Times New Roman" w:eastAsia="宋体" w:cs="Times New Roman"/>
                      <w:b/>
                      <w:bCs/>
                      <w:color w:val="auto"/>
                      <w:sz w:val="21"/>
                      <w:szCs w:val="21"/>
                      <w:highlight w:val="none"/>
                    </w:rPr>
                    <w:t>最大产量</w:t>
                  </w:r>
                </w:p>
              </w:tc>
              <w:tc>
                <w:tcPr>
                  <w:tcW w:w="680" w:type="pct"/>
                  <w:noWrap w:val="0"/>
                  <w:vAlign w:val="center"/>
                </w:tcPr>
                <w:p w14:paraId="03622A0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产品方案</w:t>
                  </w:r>
                </w:p>
              </w:tc>
              <w:tc>
                <w:tcPr>
                  <w:tcW w:w="311" w:type="pct"/>
                  <w:noWrap w:val="0"/>
                  <w:vAlign w:val="center"/>
                </w:tcPr>
                <w:p w14:paraId="164F077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匹配</w:t>
                  </w:r>
                </w:p>
                <w:p w14:paraId="60B8472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6A432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noWrap w:val="0"/>
                  <w:vAlign w:val="center"/>
                </w:tcPr>
                <w:p w14:paraId="67F239C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软瓷生产线</w:t>
                  </w:r>
                </w:p>
              </w:tc>
              <w:tc>
                <w:tcPr>
                  <w:tcW w:w="763" w:type="pct"/>
                  <w:noWrap w:val="0"/>
                  <w:vAlign w:val="center"/>
                </w:tcPr>
                <w:p w14:paraId="35AEB4E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生产能力：25m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/h</w:t>
                  </w:r>
                </w:p>
              </w:tc>
              <w:tc>
                <w:tcPr>
                  <w:tcW w:w="514" w:type="pct"/>
                  <w:noWrap w:val="0"/>
                  <w:vAlign w:val="center"/>
                </w:tcPr>
                <w:p w14:paraId="671C1B1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584" w:type="pct"/>
                  <w:noWrap w:val="0"/>
                  <w:vAlign w:val="center"/>
                </w:tcPr>
                <w:p w14:paraId="5219F4D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664" w:type="pct"/>
                  <w:noWrap w:val="0"/>
                  <w:vAlign w:val="center"/>
                </w:tcPr>
                <w:p w14:paraId="2FE11AD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748" w:type="pct"/>
                  <w:noWrap w:val="0"/>
                  <w:vAlign w:val="center"/>
                </w:tcPr>
                <w:p w14:paraId="69FD168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720</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680" w:type="pct"/>
                  <w:noWrap w:val="0"/>
                  <w:vAlign w:val="center"/>
                </w:tcPr>
                <w:p w14:paraId="2AF819D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vertAlign w:val="baseline"/>
                      <w:lang w:val="en-US" w:eastAsia="zh-CN" w:bidi="ar"/>
                    </w:rPr>
                    <w:t>/a</w:t>
                  </w:r>
                </w:p>
              </w:tc>
              <w:tc>
                <w:tcPr>
                  <w:tcW w:w="311" w:type="pct"/>
                  <w:noWrap w:val="0"/>
                  <w:vAlign w:val="center"/>
                </w:tcPr>
                <w:p w14:paraId="3E5F112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匹配</w:t>
                  </w:r>
                </w:p>
              </w:tc>
            </w:tr>
            <w:tr w14:paraId="34DF9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noWrap w:val="0"/>
                  <w:vAlign w:val="center"/>
                </w:tcPr>
                <w:p w14:paraId="1EC9B37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bidi="ar"/>
                    </w:rPr>
                    <w:t>烤房</w:t>
                  </w:r>
                </w:p>
              </w:tc>
              <w:tc>
                <w:tcPr>
                  <w:tcW w:w="763" w:type="pct"/>
                  <w:noWrap w:val="0"/>
                  <w:vAlign w:val="center"/>
                </w:tcPr>
                <w:p w14:paraId="5056C36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处理能力：60m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/h</w:t>
                  </w:r>
                </w:p>
              </w:tc>
              <w:tc>
                <w:tcPr>
                  <w:tcW w:w="514" w:type="pct"/>
                  <w:noWrap w:val="0"/>
                  <w:vAlign w:val="center"/>
                </w:tcPr>
                <w:p w14:paraId="0C7D0D2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84" w:type="pct"/>
                  <w:noWrap w:val="0"/>
                  <w:vAlign w:val="center"/>
                </w:tcPr>
                <w:p w14:paraId="33E0042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664" w:type="pct"/>
                  <w:noWrap w:val="0"/>
                  <w:vAlign w:val="center"/>
                </w:tcPr>
                <w:p w14:paraId="7B224C8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748" w:type="pct"/>
                  <w:noWrap w:val="0"/>
                  <w:vAlign w:val="center"/>
                </w:tcPr>
                <w:p w14:paraId="459FB45A">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576000m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680" w:type="pct"/>
                  <w:noWrap w:val="0"/>
                  <w:vAlign w:val="center"/>
                </w:tcPr>
                <w:p w14:paraId="7FB6348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vertAlign w:val="baseli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vertAlign w:val="baseline"/>
                      <w:lang w:val="en-US" w:eastAsia="zh-CN" w:bidi="ar"/>
                    </w:rPr>
                    <w:t>/a</w:t>
                  </w:r>
                </w:p>
              </w:tc>
              <w:tc>
                <w:tcPr>
                  <w:tcW w:w="311" w:type="pct"/>
                  <w:noWrap w:val="0"/>
                  <w:vAlign w:val="center"/>
                </w:tcPr>
                <w:p w14:paraId="73D656B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匹配</w:t>
                  </w:r>
                </w:p>
              </w:tc>
            </w:tr>
            <w:tr w14:paraId="6B8DE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noWrap w:val="0"/>
                  <w:vAlign w:val="center"/>
                </w:tcPr>
                <w:p w14:paraId="7D6CA57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Style w:val="79"/>
                      <w:rFonts w:hint="default" w:ascii="Times New Roman" w:hAnsi="Times New Roman" w:cs="Times New Roman"/>
                      <w:color w:val="auto"/>
                      <w:sz w:val="21"/>
                      <w:szCs w:val="21"/>
                      <w:highlight w:val="none"/>
                      <w:lang w:val="en-US" w:eastAsia="zh-CN" w:bidi="ar"/>
                    </w:rPr>
                    <w:t>搅拌机</w:t>
                  </w:r>
                </w:p>
              </w:tc>
              <w:tc>
                <w:tcPr>
                  <w:tcW w:w="763" w:type="pct"/>
                  <w:noWrap w:val="0"/>
                  <w:vAlign w:val="center"/>
                </w:tcPr>
                <w:p w14:paraId="4FE2EC1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加工能力：0.05t/h</w:t>
                  </w:r>
                </w:p>
              </w:tc>
              <w:tc>
                <w:tcPr>
                  <w:tcW w:w="514" w:type="pct"/>
                  <w:noWrap w:val="0"/>
                  <w:vAlign w:val="center"/>
                </w:tcPr>
                <w:p w14:paraId="303EFCC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584" w:type="pct"/>
                  <w:noWrap w:val="0"/>
                  <w:vAlign w:val="center"/>
                </w:tcPr>
                <w:p w14:paraId="0B6294B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0.8</w:t>
                  </w: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664" w:type="pct"/>
                  <w:noWrap w:val="0"/>
                  <w:vAlign w:val="center"/>
                </w:tcPr>
                <w:p w14:paraId="541E116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748" w:type="pct"/>
                  <w:noWrap w:val="0"/>
                  <w:vAlign w:val="center"/>
                </w:tcPr>
                <w:p w14:paraId="5F123E54">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1680t</w:t>
                  </w:r>
                </w:p>
                <w:p w14:paraId="67C0958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（原辅材料加工量）</w:t>
                  </w:r>
                </w:p>
              </w:tc>
              <w:tc>
                <w:tcPr>
                  <w:tcW w:w="680" w:type="pct"/>
                  <w:noWrap w:val="0"/>
                  <w:vAlign w:val="center"/>
                </w:tcPr>
                <w:p w14:paraId="577B1B0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1050.5t/a（原辅材料用量）</w:t>
                  </w:r>
                </w:p>
              </w:tc>
              <w:tc>
                <w:tcPr>
                  <w:tcW w:w="311" w:type="pct"/>
                  <w:noWrap w:val="0"/>
                  <w:vAlign w:val="center"/>
                </w:tcPr>
                <w:p w14:paraId="022ABC8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匹配</w:t>
                  </w:r>
                </w:p>
              </w:tc>
            </w:tr>
            <w:tr w14:paraId="294B3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noWrap w:val="0"/>
                  <w:vAlign w:val="center"/>
                </w:tcPr>
                <w:p w14:paraId="4938463F">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Style w:val="79"/>
                      <w:rFonts w:hint="default" w:ascii="Times New Roman" w:hAnsi="Times New Roman" w:cs="Times New Roman"/>
                      <w:color w:val="auto"/>
                      <w:sz w:val="21"/>
                      <w:szCs w:val="21"/>
                      <w:highlight w:val="none"/>
                      <w:lang w:val="en-US" w:eastAsia="zh-CN" w:bidi="ar"/>
                    </w:rPr>
                  </w:pPr>
                  <w:r>
                    <w:rPr>
                      <w:rStyle w:val="79"/>
                      <w:rFonts w:hint="default" w:ascii="Times New Roman" w:hAnsi="Times New Roman" w:cs="Times New Roman"/>
                      <w:color w:val="auto"/>
                      <w:sz w:val="21"/>
                      <w:szCs w:val="21"/>
                      <w:highlight w:val="none"/>
                      <w:lang w:val="en-US" w:eastAsia="zh-CN" w:bidi="ar"/>
                    </w:rPr>
                    <w:t>喷漆机</w:t>
                  </w:r>
                </w:p>
              </w:tc>
              <w:tc>
                <w:tcPr>
                  <w:tcW w:w="763" w:type="pct"/>
                  <w:noWrap w:val="0"/>
                  <w:vAlign w:val="center"/>
                </w:tcPr>
                <w:p w14:paraId="3673F44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单个喷枪流量0.05L/min</w:t>
                  </w:r>
                </w:p>
              </w:tc>
              <w:tc>
                <w:tcPr>
                  <w:tcW w:w="514" w:type="pct"/>
                  <w:noWrap w:val="0"/>
                  <w:vAlign w:val="center"/>
                </w:tcPr>
                <w:p w14:paraId="595DF46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p w14:paraId="41882434">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（喷枪数量）</w:t>
                  </w:r>
                </w:p>
              </w:tc>
              <w:tc>
                <w:tcPr>
                  <w:tcW w:w="584" w:type="pct"/>
                  <w:noWrap w:val="0"/>
                  <w:vAlign w:val="center"/>
                </w:tcPr>
                <w:p w14:paraId="343C0849">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48</w:t>
                  </w:r>
                  <w:r>
                    <w:rPr>
                      <w:rFonts w:hint="default" w:ascii="Times New Roman" w:hAnsi="Times New Roman" w:eastAsia="宋体" w:cs="Times New Roman"/>
                      <w:i w:val="0"/>
                      <w:iCs w:val="0"/>
                      <w:color w:val="auto"/>
                      <w:kern w:val="0"/>
                      <w:sz w:val="21"/>
                      <w:szCs w:val="21"/>
                      <w:highlight w:val="none"/>
                      <w:u w:val="none"/>
                      <w:lang w:val="en-US" w:eastAsia="zh-CN" w:bidi="ar"/>
                    </w:rPr>
                    <w:t>L</w:t>
                  </w:r>
                </w:p>
              </w:tc>
              <w:tc>
                <w:tcPr>
                  <w:tcW w:w="664" w:type="pct"/>
                  <w:noWrap w:val="0"/>
                  <w:vAlign w:val="center"/>
                </w:tcPr>
                <w:p w14:paraId="149BB4A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748" w:type="pct"/>
                  <w:noWrap w:val="0"/>
                  <w:vAlign w:val="center"/>
                </w:tcPr>
                <w:p w14:paraId="1E16F65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28800L</w:t>
                  </w:r>
                </w:p>
                <w:p w14:paraId="27F73424">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（最大喷涂量）</w:t>
                  </w:r>
                </w:p>
              </w:tc>
              <w:tc>
                <w:tcPr>
                  <w:tcW w:w="680" w:type="pct"/>
                  <w:noWrap w:val="0"/>
                  <w:vAlign w:val="center"/>
                </w:tcPr>
                <w:p w14:paraId="26960A8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1429L</w:t>
                  </w:r>
                </w:p>
                <w:p w14:paraId="5A6444F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（水性漆用量2t/a折算）</w:t>
                  </w:r>
                </w:p>
              </w:tc>
              <w:tc>
                <w:tcPr>
                  <w:tcW w:w="311" w:type="pct"/>
                  <w:noWrap w:val="0"/>
                  <w:vAlign w:val="center"/>
                </w:tcPr>
                <w:p w14:paraId="68200034">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匹配</w:t>
                  </w:r>
                </w:p>
              </w:tc>
            </w:tr>
            <w:tr w14:paraId="72FD1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noWrap w:val="0"/>
                  <w:vAlign w:val="center"/>
                </w:tcPr>
                <w:p w14:paraId="73F9117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注：本项目工作时间为</w:t>
                  </w:r>
                  <w:r>
                    <w:rPr>
                      <w:rFonts w:hint="default" w:ascii="Times New Roman" w:hAnsi="Times New Roman" w:cs="Times New Roman"/>
                      <w:color w:val="auto"/>
                      <w:kern w:val="2"/>
                      <w:sz w:val="21"/>
                      <w:szCs w:val="21"/>
                      <w:highlight w:val="none"/>
                    </w:rPr>
                    <w:t>每年300日，每</w:t>
                  </w:r>
                  <w:r>
                    <w:rPr>
                      <w:rFonts w:hint="default" w:ascii="Times New Roman" w:hAnsi="Times New Roman" w:cs="Times New Roman"/>
                      <w:color w:val="auto"/>
                      <w:kern w:val="2"/>
                      <w:sz w:val="21"/>
                      <w:szCs w:val="21"/>
                      <w:highlight w:val="none"/>
                      <w:lang w:val="en-US" w:eastAsia="zh-CN"/>
                    </w:rPr>
                    <w:t>班</w:t>
                  </w:r>
                  <w:r>
                    <w:rPr>
                      <w:rFonts w:hint="default" w:ascii="Times New Roman" w:hAnsi="Times New Roman" w:cs="Times New Roman"/>
                      <w:color w:val="auto"/>
                      <w:kern w:val="2"/>
                      <w:sz w:val="21"/>
                      <w:szCs w:val="21"/>
                      <w:highlight w:val="none"/>
                    </w:rPr>
                    <w:t>8小时</w:t>
                  </w:r>
                  <w:r>
                    <w:rPr>
                      <w:rFonts w:hint="default" w:ascii="Times New Roman" w:hAnsi="Times New Roman" w:cs="Times New Roman"/>
                      <w:color w:val="auto"/>
                      <w:kern w:val="2"/>
                      <w:sz w:val="21"/>
                      <w:szCs w:val="21"/>
                      <w:highlight w:val="none"/>
                      <w:lang w:eastAsia="zh-CN"/>
                    </w:rPr>
                    <w:t>，</w:t>
                  </w:r>
                  <w:r>
                    <w:rPr>
                      <w:rFonts w:hint="default" w:ascii="Times New Roman" w:hAnsi="Times New Roman" w:cs="Times New Roman"/>
                      <w:color w:val="auto"/>
                      <w:kern w:val="2"/>
                      <w:sz w:val="21"/>
                      <w:szCs w:val="21"/>
                      <w:highlight w:val="none"/>
                      <w:lang w:val="en-US" w:eastAsia="zh-CN"/>
                    </w:rPr>
                    <w:t>两</w:t>
                  </w:r>
                  <w:r>
                    <w:rPr>
                      <w:rFonts w:hint="default" w:ascii="Times New Roman" w:hAnsi="Times New Roman" w:cs="Times New Roman"/>
                      <w:color w:val="auto"/>
                      <w:kern w:val="2"/>
                      <w:sz w:val="21"/>
                      <w:szCs w:val="21"/>
                      <w:highlight w:val="none"/>
                    </w:rPr>
                    <w:t>班制</w:t>
                  </w:r>
                </w:p>
              </w:tc>
            </w:tr>
          </w:tbl>
          <w:p w14:paraId="2EA2AD7C">
            <w:pPr>
              <w:pStyle w:val="5"/>
              <w:pageBreakBefore w:val="0"/>
              <w:numPr>
                <w:ilvl w:val="3"/>
                <w:numId w:val="0"/>
              </w:numPr>
              <w:suppressLineNumbers w:val="0"/>
              <w:wordWrap w:val="0"/>
              <w:bidi w:val="0"/>
              <w:spacing w:before="0" w:beforeAutospacing="0" w:after="0" w:afterAutospacing="0"/>
              <w:ind w:left="480" w:right="0"/>
              <w:rPr>
                <w:rFonts w:hint="default" w:ascii="Times New Roman" w:hAnsi="Times New Roman" w:cs="Times New Roman"/>
                <w:color w:val="auto"/>
                <w:sz w:val="21"/>
                <w:szCs w:val="21"/>
                <w:highlight w:val="none"/>
              </w:rPr>
            </w:pPr>
          </w:p>
          <w:p w14:paraId="76D24BF2">
            <w:pPr>
              <w:pStyle w:val="5"/>
              <w:pageBreakBefore w:val="0"/>
              <w:numPr>
                <w:ilvl w:val="3"/>
                <w:numId w:val="0"/>
              </w:numPr>
              <w:suppressLineNumbers w:val="0"/>
              <w:wordWrap w:val="0"/>
              <w:bidi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5</w:t>
            </w:r>
            <w:r>
              <w:rPr>
                <w:rFonts w:hint="default" w:ascii="Times New Roman" w:hAnsi="Times New Roman" w:cs="Times New Roman"/>
                <w:color w:val="auto"/>
                <w:highlight w:val="none"/>
              </w:rPr>
              <w:t>、劳动定员和工作制度</w:t>
            </w:r>
          </w:p>
          <w:p w14:paraId="5F03232E">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劳动定员与工作制度一览表</w:t>
            </w:r>
          </w:p>
          <w:tbl>
            <w:tblPr>
              <w:tblStyle w:val="36"/>
              <w:tblW w:w="498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11"/>
              <w:gridCol w:w="2313"/>
              <w:gridCol w:w="2314"/>
              <w:gridCol w:w="2314"/>
            </w:tblGrid>
            <w:tr w14:paraId="51ACD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3D40BB93">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0EC29FF2">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c>
                <w:tcPr>
                  <w:tcW w:w="1250" w:type="pct"/>
                  <w:vAlign w:val="center"/>
                </w:tcPr>
                <w:p w14:paraId="0C0091D2">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165849B1">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r>
            <w:tr w14:paraId="2D78E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jc w:val="center"/>
              </w:trPr>
              <w:tc>
                <w:tcPr>
                  <w:tcW w:w="1249" w:type="pct"/>
                  <w:vAlign w:val="center"/>
                </w:tcPr>
                <w:p w14:paraId="10F3BE0D">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劳动定员</w:t>
                  </w:r>
                </w:p>
              </w:tc>
              <w:tc>
                <w:tcPr>
                  <w:tcW w:w="1250" w:type="pct"/>
                  <w:vAlign w:val="center"/>
                </w:tcPr>
                <w:p w14:paraId="02D170E4">
                  <w:pPr>
                    <w:pStyle w:val="59"/>
                    <w:keepNext w:val="0"/>
                    <w:keepLines w:val="0"/>
                    <w:pageBreakBefore w:val="0"/>
                    <w:widowControl/>
                    <w:suppressLineNumbers w:val="0"/>
                    <w:wordWrap w:val="0"/>
                    <w:bidi w:val="0"/>
                    <w:spacing w:before="0" w:beforeAutospacing="0" w:after="0" w:afterAutospacing="0" w:line="360" w:lineRule="auto"/>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sz w:val="21"/>
                      <w:szCs w:val="21"/>
                      <w:highlight w:val="none"/>
                      <w:lang w:val="en-US" w:eastAsia="zh-CN"/>
                    </w:rPr>
                    <w:t>40</w:t>
                  </w:r>
                  <w:r>
                    <w:rPr>
                      <w:rFonts w:hint="default" w:ascii="Times New Roman" w:hAnsi="Times New Roman" w:cs="Times New Roman"/>
                      <w:color w:val="auto"/>
                      <w:kern w:val="2"/>
                      <w:sz w:val="21"/>
                      <w:szCs w:val="21"/>
                      <w:highlight w:val="none"/>
                      <w:lang w:eastAsia="zh-CN"/>
                    </w:rPr>
                    <w:t>人</w:t>
                  </w:r>
                </w:p>
              </w:tc>
              <w:tc>
                <w:tcPr>
                  <w:tcW w:w="1250" w:type="pct"/>
                  <w:vAlign w:val="center"/>
                </w:tcPr>
                <w:p w14:paraId="6625E674">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食宿安排</w:t>
                  </w:r>
                </w:p>
              </w:tc>
              <w:tc>
                <w:tcPr>
                  <w:tcW w:w="1250" w:type="pct"/>
                  <w:vAlign w:val="center"/>
                </w:tcPr>
                <w:p w14:paraId="36EF9DA6">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lang w:val="en-US" w:eastAsia="zh-CN"/>
                    </w:rPr>
                    <w:t>无</w:t>
                  </w:r>
                  <w:r>
                    <w:rPr>
                      <w:rFonts w:hint="default" w:ascii="Times New Roman" w:hAnsi="Times New Roman" w:cs="Times New Roman"/>
                      <w:color w:val="auto"/>
                      <w:kern w:val="2"/>
                      <w:highlight w:val="none"/>
                      <w:lang w:eastAsia="zh-CN"/>
                    </w:rPr>
                    <w:t>食宿</w:t>
                  </w:r>
                </w:p>
              </w:tc>
            </w:tr>
            <w:tr w14:paraId="7A7599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4034C023">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工作时间</w:t>
                  </w:r>
                </w:p>
              </w:tc>
              <w:tc>
                <w:tcPr>
                  <w:tcW w:w="1250" w:type="pct"/>
                  <w:vAlign w:val="center"/>
                </w:tcPr>
                <w:p w14:paraId="0A8DAA95">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每年300日，每</w:t>
                  </w:r>
                  <w:r>
                    <w:rPr>
                      <w:rFonts w:hint="default" w:ascii="Times New Roman" w:hAnsi="Times New Roman" w:cs="Times New Roman"/>
                      <w:color w:val="auto"/>
                      <w:kern w:val="2"/>
                      <w:highlight w:val="none"/>
                      <w:lang w:val="en-US" w:eastAsia="zh-CN"/>
                    </w:rPr>
                    <w:t>班</w:t>
                  </w:r>
                  <w:r>
                    <w:rPr>
                      <w:rFonts w:hint="default" w:ascii="Times New Roman" w:hAnsi="Times New Roman" w:cs="Times New Roman"/>
                      <w:color w:val="auto"/>
                      <w:kern w:val="2"/>
                      <w:highlight w:val="none"/>
                    </w:rPr>
                    <w:t>8小时</w:t>
                  </w:r>
                </w:p>
              </w:tc>
              <w:tc>
                <w:tcPr>
                  <w:tcW w:w="1250" w:type="pct"/>
                  <w:vAlign w:val="center"/>
                </w:tcPr>
                <w:p w14:paraId="75FF9054">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夜间生产</w:t>
                  </w:r>
                </w:p>
              </w:tc>
              <w:tc>
                <w:tcPr>
                  <w:tcW w:w="1250" w:type="pct"/>
                  <w:vAlign w:val="center"/>
                </w:tcPr>
                <w:p w14:paraId="61507FAC">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无</w:t>
                  </w:r>
                </w:p>
              </w:tc>
            </w:tr>
            <w:tr w14:paraId="437CF2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1249" w:type="pct"/>
                  <w:vAlign w:val="center"/>
                </w:tcPr>
                <w:p w14:paraId="1D0EB2D1">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工作班制</w:t>
                  </w:r>
                </w:p>
              </w:tc>
              <w:tc>
                <w:tcPr>
                  <w:tcW w:w="1250" w:type="pct"/>
                  <w:vAlign w:val="center"/>
                </w:tcPr>
                <w:p w14:paraId="1611C4BF">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两</w:t>
                  </w:r>
                  <w:r>
                    <w:rPr>
                      <w:rFonts w:hint="default" w:ascii="Times New Roman" w:hAnsi="Times New Roman" w:cs="Times New Roman"/>
                      <w:color w:val="auto"/>
                      <w:kern w:val="2"/>
                      <w:highlight w:val="none"/>
                    </w:rPr>
                    <w:t>班制</w:t>
                  </w:r>
                </w:p>
              </w:tc>
              <w:tc>
                <w:tcPr>
                  <w:tcW w:w="1250" w:type="pct"/>
                  <w:vAlign w:val="center"/>
                </w:tcPr>
                <w:p w14:paraId="3D27C69B">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1250" w:type="pct"/>
                  <w:vAlign w:val="center"/>
                </w:tcPr>
                <w:p w14:paraId="70558CD8">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r>
          </w:tbl>
          <w:p w14:paraId="3E818744">
            <w:pPr>
              <w:pStyle w:val="5"/>
              <w:pageBreakBefore w:val="0"/>
              <w:numPr>
                <w:ilvl w:val="3"/>
                <w:numId w:val="0"/>
              </w:numPr>
              <w:suppressLineNumbers w:val="0"/>
              <w:wordWrap w:val="0"/>
              <w:bidi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4A1F54AF">
            <w:pPr>
              <w:pStyle w:val="6"/>
              <w:pageBreakBefore w:val="0"/>
              <w:widowControl/>
              <w:numPr>
                <w:ilvl w:val="4"/>
                <w:numId w:val="0"/>
              </w:numPr>
              <w:suppressLineNumbers w:val="0"/>
              <w:wordWrap w:val="0"/>
              <w:bidi w:val="0"/>
              <w:spacing w:before="0" w:beforeAutospacing="0" w:after="0" w:afterAutospacing="0"/>
              <w:ind w:left="-960" w:right="0" w:firstLine="1440"/>
              <w:rPr>
                <w:rFonts w:hint="default" w:ascii="Times New Roman" w:hAnsi="Times New Roman" w:eastAsia="宋体" w:cs="Times New Roman"/>
                <w:color w:val="auto"/>
                <w:kern w:val="2"/>
                <w:szCs w:val="32"/>
                <w:highlight w:val="none"/>
                <w:lang w:val="en-US" w:eastAsia="zh-CN"/>
              </w:rPr>
            </w:pPr>
            <w:r>
              <w:rPr>
                <w:rFonts w:hint="default" w:ascii="Times New Roman" w:hAnsi="Times New Roman" w:cs="Times New Roman"/>
                <w:color w:val="auto"/>
                <w:kern w:val="2"/>
                <w:szCs w:val="32"/>
                <w:highlight w:val="none"/>
              </w:rPr>
              <w:t>（1）供电</w:t>
            </w:r>
            <w:r>
              <w:rPr>
                <w:rFonts w:hint="default" w:ascii="Times New Roman" w:hAnsi="Times New Roman" w:cs="Times New Roman"/>
                <w:color w:val="auto"/>
                <w:kern w:val="2"/>
                <w:szCs w:val="32"/>
                <w:highlight w:val="none"/>
                <w:lang w:eastAsia="zh-CN"/>
              </w:rPr>
              <w:t>、</w:t>
            </w:r>
            <w:r>
              <w:rPr>
                <w:rFonts w:hint="default" w:ascii="Times New Roman" w:hAnsi="Times New Roman" w:cs="Times New Roman"/>
                <w:color w:val="auto"/>
                <w:kern w:val="2"/>
                <w:szCs w:val="32"/>
                <w:highlight w:val="none"/>
                <w:lang w:val="en-US" w:eastAsia="zh-CN"/>
              </w:rPr>
              <w:t>供气</w:t>
            </w:r>
          </w:p>
          <w:p w14:paraId="5090A742">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本项目用电由市政供电网提供，年用电量约</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万千瓦·时，不设备用发电机或锅炉</w:t>
            </w:r>
            <w:r>
              <w:rPr>
                <w:rFonts w:hint="default" w:ascii="Times New Roman" w:hAnsi="Times New Roman" w:cs="Times New Roman"/>
                <w:color w:val="auto"/>
                <w:highlight w:val="none"/>
                <w:lang w:eastAsia="zh-CN"/>
              </w:rPr>
              <w:t>；</w:t>
            </w:r>
          </w:p>
          <w:p w14:paraId="7087289E">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sz w:val="24"/>
                <w:szCs w:val="24"/>
                <w:highlight w:val="none"/>
                <w:shd w:val="clear" w:color="auto" w:fill="auto"/>
                <w:lang w:val="en-US" w:eastAsia="zh-CN"/>
              </w:rPr>
              <w:t>软瓷生产线中2个配套烤房各</w:t>
            </w:r>
            <w:r>
              <w:rPr>
                <w:rFonts w:hint="default" w:ascii="Times New Roman" w:hAnsi="Times New Roman" w:cs="Times New Roman"/>
                <w:color w:val="auto"/>
                <w:sz w:val="24"/>
                <w:szCs w:val="24"/>
                <w:highlight w:val="none"/>
                <w:shd w:val="clear" w:color="auto" w:fill="auto"/>
              </w:rPr>
              <w:t>设有</w:t>
            </w:r>
            <w:r>
              <w:rPr>
                <w:rFonts w:hint="default" w:ascii="Times New Roman" w:hAnsi="Times New Roman" w:cs="Times New Roman"/>
                <w:color w:val="auto"/>
                <w:sz w:val="24"/>
                <w:szCs w:val="24"/>
                <w:highlight w:val="none"/>
                <w:shd w:val="clear" w:color="auto" w:fill="auto"/>
                <w:lang w:val="en-US" w:eastAsia="zh-CN"/>
              </w:rPr>
              <w:t>1</w:t>
            </w:r>
            <w:r>
              <w:rPr>
                <w:rFonts w:hint="default" w:ascii="Times New Roman" w:hAnsi="Times New Roman" w:cs="Times New Roman"/>
                <w:color w:val="auto"/>
                <w:sz w:val="24"/>
                <w:szCs w:val="24"/>
                <w:highlight w:val="none"/>
                <w:shd w:val="clear" w:color="auto" w:fill="auto"/>
              </w:rPr>
              <w:t>台</w:t>
            </w:r>
            <w:r>
              <w:rPr>
                <w:rFonts w:hint="default" w:ascii="Times New Roman" w:hAnsi="Times New Roman" w:cs="Times New Roman"/>
                <w:color w:val="auto"/>
                <w:sz w:val="24"/>
                <w:szCs w:val="24"/>
                <w:highlight w:val="none"/>
                <w:shd w:val="clear" w:color="auto" w:fill="auto"/>
                <w:lang w:val="en-US" w:eastAsia="zh-CN"/>
              </w:rPr>
              <w:t>3</w:t>
            </w:r>
            <w:r>
              <w:rPr>
                <w:rFonts w:hint="default" w:ascii="Times New Roman" w:hAnsi="Times New Roman" w:cs="Times New Roman"/>
                <w:color w:val="auto"/>
                <w:sz w:val="24"/>
                <w:szCs w:val="24"/>
                <w:highlight w:val="none"/>
                <w:shd w:val="clear" w:color="auto" w:fill="auto"/>
              </w:rPr>
              <w:t>0万大卡/小时</w:t>
            </w:r>
            <w:r>
              <w:rPr>
                <w:rFonts w:hint="default" w:ascii="Times New Roman" w:hAnsi="Times New Roman" w:cs="Times New Roman"/>
                <w:color w:val="auto"/>
                <w:sz w:val="24"/>
                <w:szCs w:val="24"/>
                <w:highlight w:val="none"/>
                <w:shd w:val="clear" w:color="auto" w:fill="auto"/>
                <w:lang w:val="en-US" w:eastAsia="zh-CN"/>
              </w:rPr>
              <w:t>燃气热风循环式烤炉</w:t>
            </w:r>
            <w:r>
              <w:rPr>
                <w:rFonts w:hint="default" w:ascii="Times New Roman" w:hAnsi="Times New Roman" w:cs="Times New Roman"/>
                <w:color w:val="auto"/>
                <w:sz w:val="24"/>
                <w:szCs w:val="24"/>
                <w:highlight w:val="none"/>
                <w:shd w:val="clear" w:color="auto" w:fill="auto"/>
              </w:rPr>
              <w:t>，耗气量计算公式如下：耗气量=热功率÷热效率÷天然气热值，</w:t>
            </w:r>
            <w:r>
              <w:rPr>
                <w:rFonts w:hint="default" w:ascii="Times New Roman" w:hAnsi="Times New Roman" w:cs="Times New Roman"/>
                <w:color w:val="auto"/>
                <w:sz w:val="24"/>
                <w:szCs w:val="24"/>
                <w:highlight w:val="none"/>
                <w:shd w:val="clear" w:color="auto" w:fill="auto"/>
                <w:lang w:val="en-US" w:eastAsia="zh-CN"/>
              </w:rPr>
              <w:t>已知</w:t>
            </w:r>
            <w:r>
              <w:rPr>
                <w:rFonts w:hint="default" w:ascii="Times New Roman" w:hAnsi="Times New Roman" w:cs="Times New Roman"/>
                <w:color w:val="auto"/>
                <w:sz w:val="24"/>
                <w:szCs w:val="24"/>
                <w:highlight w:val="none"/>
                <w:shd w:val="clear" w:color="auto" w:fill="auto"/>
              </w:rPr>
              <w:t>热功率为</w:t>
            </w:r>
            <w:r>
              <w:rPr>
                <w:rFonts w:hint="default" w:ascii="Times New Roman" w:hAnsi="Times New Roman" w:cs="Times New Roman"/>
                <w:color w:val="auto"/>
                <w:sz w:val="24"/>
                <w:szCs w:val="24"/>
                <w:highlight w:val="none"/>
                <w:shd w:val="clear" w:color="auto" w:fill="auto"/>
                <w:lang w:val="en-US" w:eastAsia="zh-CN"/>
              </w:rPr>
              <w:t>3</w:t>
            </w:r>
            <w:r>
              <w:rPr>
                <w:rFonts w:hint="default" w:ascii="Times New Roman" w:hAnsi="Times New Roman" w:cs="Times New Roman"/>
                <w:color w:val="auto"/>
                <w:sz w:val="24"/>
                <w:szCs w:val="24"/>
                <w:highlight w:val="none"/>
                <w:shd w:val="clear" w:color="auto" w:fill="auto"/>
              </w:rPr>
              <w:t>0万大卡</w:t>
            </w:r>
            <w:r>
              <w:rPr>
                <w:rFonts w:hint="default" w:ascii="Times New Roman" w:hAnsi="Times New Roman" w:cs="Times New Roman"/>
                <w:color w:val="auto"/>
                <w:sz w:val="24"/>
                <w:szCs w:val="24"/>
                <w:highlight w:val="none"/>
                <w:shd w:val="clear" w:color="auto" w:fill="auto"/>
                <w:lang w:eastAsia="zh-CN"/>
              </w:rPr>
              <w:t>，</w:t>
            </w:r>
            <w:r>
              <w:rPr>
                <w:rFonts w:hint="default" w:ascii="Times New Roman" w:hAnsi="Times New Roman" w:cs="Times New Roman"/>
                <w:color w:val="auto"/>
                <w:sz w:val="24"/>
                <w:szCs w:val="24"/>
                <w:highlight w:val="none"/>
                <w:shd w:val="clear" w:color="auto" w:fill="auto"/>
                <w:lang w:val="en-US" w:eastAsia="zh-CN"/>
              </w:rPr>
              <w:t>热效率均取95%，</w:t>
            </w:r>
            <w:r>
              <w:rPr>
                <w:rFonts w:hint="default" w:ascii="Times New Roman" w:hAnsi="Times New Roman" w:cs="Times New Roman"/>
                <w:color w:val="auto"/>
                <w:sz w:val="24"/>
                <w:szCs w:val="24"/>
                <w:highlight w:val="none"/>
                <w:shd w:val="clear" w:color="auto" w:fill="auto"/>
              </w:rPr>
              <w:t>天然气热值为8500kcal/m</w:t>
            </w:r>
            <w:r>
              <w:rPr>
                <w:rFonts w:hint="default" w:ascii="Times New Roman" w:hAnsi="Times New Roman" w:cs="Times New Roman"/>
                <w:color w:val="auto"/>
                <w:sz w:val="24"/>
                <w:szCs w:val="24"/>
                <w:highlight w:val="none"/>
                <w:shd w:val="clear" w:color="auto" w:fill="auto"/>
                <w:vertAlign w:val="superscript"/>
              </w:rPr>
              <w:t>3</w:t>
            </w:r>
            <w:r>
              <w:rPr>
                <w:rFonts w:hint="default" w:ascii="Times New Roman" w:hAnsi="Times New Roman" w:cs="Times New Roman"/>
                <w:color w:val="auto"/>
                <w:sz w:val="24"/>
                <w:szCs w:val="24"/>
                <w:highlight w:val="none"/>
                <w:shd w:val="clear" w:color="auto" w:fill="auto"/>
              </w:rPr>
              <w:t>，则本项目1台</w:t>
            </w:r>
            <w:r>
              <w:rPr>
                <w:rFonts w:hint="default" w:ascii="Times New Roman" w:hAnsi="Times New Roman" w:cs="Times New Roman"/>
                <w:color w:val="auto"/>
                <w:sz w:val="24"/>
                <w:szCs w:val="24"/>
                <w:highlight w:val="none"/>
                <w:shd w:val="clear" w:color="auto" w:fill="auto"/>
                <w:lang w:val="en-US" w:eastAsia="zh-CN"/>
              </w:rPr>
              <w:t>3</w:t>
            </w:r>
            <w:r>
              <w:rPr>
                <w:rFonts w:hint="default" w:ascii="Times New Roman" w:hAnsi="Times New Roman" w:cs="Times New Roman"/>
                <w:color w:val="auto"/>
                <w:sz w:val="24"/>
                <w:szCs w:val="24"/>
                <w:highlight w:val="none"/>
                <w:shd w:val="clear" w:color="auto" w:fill="auto"/>
              </w:rPr>
              <w:t>0万大卡</w:t>
            </w:r>
            <w:r>
              <w:rPr>
                <w:rFonts w:hint="default" w:ascii="Times New Roman" w:hAnsi="Times New Roman" w:cs="Times New Roman"/>
                <w:color w:val="auto"/>
                <w:sz w:val="24"/>
                <w:szCs w:val="24"/>
                <w:highlight w:val="none"/>
                <w:shd w:val="clear" w:color="auto" w:fill="auto"/>
                <w:lang w:val="en-US" w:eastAsia="zh-CN"/>
              </w:rPr>
              <w:t>燃气热风循环式烤炉</w:t>
            </w:r>
            <w:r>
              <w:rPr>
                <w:rFonts w:hint="default" w:ascii="Times New Roman" w:hAnsi="Times New Roman" w:cs="Times New Roman"/>
                <w:color w:val="auto"/>
                <w:sz w:val="24"/>
                <w:szCs w:val="24"/>
                <w:highlight w:val="none"/>
                <w:shd w:val="clear" w:color="auto" w:fill="auto"/>
              </w:rPr>
              <w:t>耗气量为</w:t>
            </w:r>
            <w:r>
              <w:rPr>
                <w:rFonts w:hint="default" w:ascii="Times New Roman" w:hAnsi="Times New Roman" w:cs="Times New Roman"/>
                <w:color w:val="auto"/>
                <w:sz w:val="24"/>
                <w:szCs w:val="24"/>
                <w:highlight w:val="none"/>
                <w:shd w:val="clear" w:color="auto" w:fill="auto"/>
                <w:lang w:val="en-US" w:eastAsia="zh-CN"/>
              </w:rPr>
              <w:t>37.1517</w:t>
            </w:r>
            <w:r>
              <w:rPr>
                <w:rFonts w:hint="default" w:ascii="Times New Roman" w:hAnsi="Times New Roman" w:cs="Times New Roman"/>
                <w:color w:val="auto"/>
                <w:sz w:val="24"/>
                <w:szCs w:val="24"/>
                <w:highlight w:val="none"/>
                <w:shd w:val="clear" w:color="auto" w:fill="auto"/>
              </w:rPr>
              <w:t>m</w:t>
            </w:r>
            <w:r>
              <w:rPr>
                <w:rFonts w:hint="default" w:ascii="Times New Roman" w:hAnsi="Times New Roman" w:cs="Times New Roman"/>
                <w:color w:val="auto"/>
                <w:sz w:val="24"/>
                <w:szCs w:val="24"/>
                <w:highlight w:val="none"/>
                <w:shd w:val="clear" w:color="auto" w:fill="auto"/>
                <w:vertAlign w:val="superscript"/>
              </w:rPr>
              <w:t>3</w:t>
            </w:r>
            <w:r>
              <w:rPr>
                <w:rFonts w:hint="default" w:ascii="Times New Roman" w:hAnsi="Times New Roman" w:cs="Times New Roman"/>
                <w:color w:val="auto"/>
                <w:sz w:val="24"/>
                <w:szCs w:val="24"/>
                <w:highlight w:val="none"/>
                <w:shd w:val="clear" w:color="auto" w:fill="auto"/>
              </w:rPr>
              <w:t>/h，工作时间按300天</w:t>
            </w:r>
            <w:r>
              <w:rPr>
                <w:rFonts w:hint="default" w:ascii="Times New Roman" w:hAnsi="Times New Roman" w:cs="Times New Roman"/>
                <w:color w:val="auto"/>
                <w:sz w:val="24"/>
                <w:szCs w:val="24"/>
                <w:highlight w:val="none"/>
                <w:shd w:val="clear" w:color="auto" w:fill="auto"/>
                <w:lang w:val="en-US" w:eastAsia="zh-CN"/>
              </w:rPr>
              <w:t>计</w:t>
            </w:r>
            <w:r>
              <w:rPr>
                <w:rFonts w:hint="default" w:ascii="Times New Roman" w:hAnsi="Times New Roman" w:cs="Times New Roman"/>
                <w:color w:val="auto"/>
                <w:sz w:val="24"/>
                <w:szCs w:val="24"/>
                <w:highlight w:val="none"/>
                <w:shd w:val="clear" w:color="auto" w:fill="auto"/>
              </w:rPr>
              <w:t>，每天生产时间为</w:t>
            </w:r>
            <w:r>
              <w:rPr>
                <w:rFonts w:hint="default" w:ascii="Times New Roman" w:hAnsi="Times New Roman" w:cs="Times New Roman"/>
                <w:color w:val="auto"/>
                <w:sz w:val="24"/>
                <w:szCs w:val="24"/>
                <w:highlight w:val="none"/>
                <w:shd w:val="clear" w:color="auto" w:fill="auto"/>
                <w:lang w:val="en-US" w:eastAsia="zh-CN"/>
              </w:rPr>
              <w:t>16</w:t>
            </w:r>
            <w:r>
              <w:rPr>
                <w:rFonts w:hint="default" w:ascii="Times New Roman" w:hAnsi="Times New Roman" w:cs="Times New Roman"/>
                <w:color w:val="auto"/>
                <w:sz w:val="24"/>
                <w:szCs w:val="24"/>
                <w:highlight w:val="none"/>
                <w:shd w:val="clear" w:color="auto" w:fill="auto"/>
              </w:rPr>
              <w:t>h，</w:t>
            </w:r>
            <w:r>
              <w:rPr>
                <w:rFonts w:hint="default" w:ascii="Times New Roman" w:hAnsi="Times New Roman" w:cs="Times New Roman"/>
                <w:color w:val="auto"/>
                <w:sz w:val="24"/>
                <w:szCs w:val="24"/>
                <w:highlight w:val="none"/>
                <w:shd w:val="clear" w:color="auto" w:fill="auto"/>
                <w:lang w:val="en-US" w:eastAsia="zh-CN"/>
              </w:rPr>
              <w:t>则2台燃气热风循环式烤炉</w:t>
            </w:r>
            <w:r>
              <w:rPr>
                <w:rFonts w:hint="default" w:ascii="Times New Roman" w:hAnsi="Times New Roman" w:cs="Times New Roman"/>
                <w:color w:val="auto"/>
                <w:sz w:val="24"/>
                <w:szCs w:val="24"/>
                <w:highlight w:val="none"/>
                <w:shd w:val="clear" w:color="auto" w:fill="auto"/>
              </w:rPr>
              <w:t>年使用天然气量为：</w:t>
            </w:r>
            <w:r>
              <w:rPr>
                <w:rFonts w:hint="default" w:ascii="Times New Roman" w:hAnsi="Times New Roman" w:cs="Times New Roman"/>
                <w:color w:val="auto"/>
                <w:sz w:val="24"/>
                <w:szCs w:val="24"/>
                <w:highlight w:val="none"/>
                <w:shd w:val="clear" w:color="auto" w:fill="auto"/>
                <w:lang w:val="en-US" w:eastAsia="zh-CN"/>
              </w:rPr>
              <w:t>2台</w:t>
            </w:r>
            <w:r>
              <w:rPr>
                <w:rFonts w:hint="default" w:ascii="Times New Roman" w:hAnsi="Times New Roman" w:cs="Times New Roman"/>
                <w:color w:val="auto"/>
                <w:sz w:val="24"/>
                <w:szCs w:val="24"/>
                <w:highlight w:val="none"/>
                <w:shd w:val="clear" w:color="auto" w:fill="auto"/>
              </w:rPr>
              <w:t>×</w:t>
            </w:r>
            <w:r>
              <w:rPr>
                <w:rFonts w:hint="default" w:ascii="Times New Roman" w:hAnsi="Times New Roman" w:cs="Times New Roman"/>
                <w:color w:val="auto"/>
                <w:sz w:val="24"/>
                <w:szCs w:val="24"/>
                <w:highlight w:val="none"/>
                <w:shd w:val="clear" w:color="auto" w:fill="auto"/>
                <w:lang w:val="en-US" w:eastAsia="zh-CN"/>
              </w:rPr>
              <w:t>37.1517</w:t>
            </w:r>
            <w:r>
              <w:rPr>
                <w:rFonts w:hint="default" w:ascii="Times New Roman" w:hAnsi="Times New Roman" w:cs="Times New Roman"/>
                <w:color w:val="auto"/>
                <w:sz w:val="24"/>
                <w:szCs w:val="24"/>
                <w:highlight w:val="none"/>
                <w:shd w:val="clear" w:color="auto" w:fill="auto"/>
              </w:rPr>
              <w:t>m</w:t>
            </w:r>
            <w:r>
              <w:rPr>
                <w:rFonts w:hint="default" w:ascii="Times New Roman" w:hAnsi="Times New Roman" w:cs="Times New Roman"/>
                <w:color w:val="auto"/>
                <w:sz w:val="24"/>
                <w:szCs w:val="24"/>
                <w:highlight w:val="none"/>
                <w:shd w:val="clear" w:color="auto" w:fill="auto"/>
                <w:vertAlign w:val="superscript"/>
              </w:rPr>
              <w:t>3</w:t>
            </w:r>
            <w:r>
              <w:rPr>
                <w:rFonts w:hint="default" w:ascii="Times New Roman" w:hAnsi="Times New Roman" w:cs="Times New Roman"/>
                <w:color w:val="auto"/>
                <w:sz w:val="24"/>
                <w:szCs w:val="24"/>
                <w:highlight w:val="none"/>
                <w:shd w:val="clear" w:color="auto" w:fill="auto"/>
              </w:rPr>
              <w:t>/h×</w:t>
            </w:r>
            <w:r>
              <w:rPr>
                <w:rFonts w:hint="default" w:ascii="Times New Roman" w:hAnsi="Times New Roman" w:cs="Times New Roman"/>
                <w:color w:val="auto"/>
                <w:sz w:val="24"/>
                <w:szCs w:val="24"/>
                <w:highlight w:val="none"/>
                <w:shd w:val="clear" w:color="auto" w:fill="auto"/>
                <w:lang w:val="en-US" w:eastAsia="zh-CN"/>
              </w:rPr>
              <w:t>16</w:t>
            </w:r>
            <w:r>
              <w:rPr>
                <w:rFonts w:hint="default" w:ascii="Times New Roman" w:hAnsi="Times New Roman" w:cs="Times New Roman"/>
                <w:color w:val="auto"/>
                <w:sz w:val="24"/>
                <w:szCs w:val="24"/>
                <w:highlight w:val="none"/>
                <w:shd w:val="clear" w:color="auto" w:fill="auto"/>
              </w:rPr>
              <w:t>h×300d=</w:t>
            </w:r>
            <w:r>
              <w:rPr>
                <w:rFonts w:hint="default" w:ascii="Times New Roman" w:hAnsi="Times New Roman" w:cs="Times New Roman"/>
                <w:color w:val="auto"/>
                <w:sz w:val="24"/>
                <w:szCs w:val="24"/>
                <w:highlight w:val="none"/>
                <w:shd w:val="clear" w:color="auto" w:fill="auto"/>
                <w:lang w:val="en-US" w:eastAsia="zh-CN"/>
              </w:rPr>
              <w:t>365565</w:t>
            </w:r>
            <w:r>
              <w:rPr>
                <w:rFonts w:hint="default" w:ascii="Times New Roman" w:hAnsi="Times New Roman" w:cs="Times New Roman"/>
                <w:color w:val="auto"/>
                <w:sz w:val="24"/>
                <w:szCs w:val="24"/>
                <w:highlight w:val="none"/>
                <w:shd w:val="clear" w:color="auto" w:fill="auto"/>
              </w:rPr>
              <w:t>m</w:t>
            </w:r>
            <w:r>
              <w:rPr>
                <w:rFonts w:hint="default" w:ascii="Times New Roman" w:hAnsi="Times New Roman" w:cs="Times New Roman"/>
                <w:color w:val="auto"/>
                <w:sz w:val="24"/>
                <w:szCs w:val="24"/>
                <w:highlight w:val="none"/>
                <w:shd w:val="clear" w:color="auto" w:fill="auto"/>
                <w:vertAlign w:val="superscript"/>
              </w:rPr>
              <w:t>3</w:t>
            </w:r>
            <w:r>
              <w:rPr>
                <w:rFonts w:hint="default" w:ascii="Times New Roman" w:hAnsi="Times New Roman" w:cs="Times New Roman"/>
                <w:color w:val="auto"/>
                <w:sz w:val="24"/>
                <w:szCs w:val="24"/>
                <w:highlight w:val="none"/>
                <w:shd w:val="clear" w:color="auto" w:fill="auto"/>
              </w:rPr>
              <w:t>/a，根据天然气密度0.7174kg/m</w:t>
            </w:r>
            <w:r>
              <w:rPr>
                <w:rFonts w:hint="default" w:ascii="Times New Roman" w:hAnsi="Times New Roman" w:cs="Times New Roman"/>
                <w:color w:val="auto"/>
                <w:sz w:val="24"/>
                <w:szCs w:val="24"/>
                <w:highlight w:val="none"/>
                <w:shd w:val="clear" w:color="auto" w:fill="auto"/>
                <w:vertAlign w:val="superscript"/>
              </w:rPr>
              <w:t>3</w:t>
            </w:r>
            <w:r>
              <w:rPr>
                <w:rFonts w:hint="default" w:ascii="Times New Roman" w:hAnsi="Times New Roman" w:cs="Times New Roman"/>
                <w:color w:val="auto"/>
                <w:sz w:val="24"/>
                <w:szCs w:val="24"/>
                <w:highlight w:val="none"/>
                <w:shd w:val="clear" w:color="auto" w:fill="auto"/>
              </w:rPr>
              <w:t>可换算</w:t>
            </w:r>
            <w:r>
              <w:rPr>
                <w:rFonts w:hint="default" w:ascii="Times New Roman" w:hAnsi="Times New Roman" w:cs="Times New Roman"/>
                <w:color w:val="auto"/>
                <w:sz w:val="24"/>
                <w:szCs w:val="24"/>
                <w:highlight w:val="none"/>
                <w:shd w:val="clear" w:color="auto" w:fill="auto"/>
                <w:lang w:val="en-US" w:eastAsia="zh-CN"/>
              </w:rPr>
              <w:t>约</w:t>
            </w:r>
            <w:r>
              <w:rPr>
                <w:rFonts w:hint="default" w:ascii="Times New Roman" w:hAnsi="Times New Roman" w:cs="Times New Roman"/>
                <w:color w:val="auto"/>
                <w:sz w:val="24"/>
                <w:szCs w:val="24"/>
                <w:highlight w:val="none"/>
                <w:shd w:val="clear" w:color="auto" w:fill="auto"/>
              </w:rPr>
              <w:t>为</w:t>
            </w:r>
            <w:r>
              <w:rPr>
                <w:rFonts w:hint="default" w:ascii="Times New Roman" w:hAnsi="Times New Roman" w:cs="Times New Roman"/>
                <w:color w:val="auto"/>
                <w:sz w:val="24"/>
                <w:szCs w:val="24"/>
                <w:highlight w:val="none"/>
                <w:shd w:val="clear" w:color="auto" w:fill="auto"/>
                <w:lang w:val="en-US" w:eastAsia="zh-CN"/>
              </w:rPr>
              <w:t>256</w:t>
            </w:r>
            <w:r>
              <w:rPr>
                <w:rFonts w:hint="default" w:ascii="Times New Roman" w:hAnsi="Times New Roman" w:cs="Times New Roman"/>
                <w:color w:val="auto"/>
                <w:sz w:val="24"/>
                <w:szCs w:val="24"/>
                <w:highlight w:val="none"/>
                <w:shd w:val="clear" w:color="auto" w:fill="auto"/>
              </w:rPr>
              <w:t>t/a</w:t>
            </w:r>
            <w:r>
              <w:rPr>
                <w:rFonts w:hint="default" w:ascii="Times New Roman" w:hAnsi="Times New Roman" w:cs="Times New Roman"/>
                <w:color w:val="auto"/>
                <w:sz w:val="24"/>
                <w:szCs w:val="24"/>
                <w:highlight w:val="none"/>
                <w:shd w:val="clear" w:color="auto" w:fill="auto"/>
                <w:lang w:eastAsia="zh-CN"/>
              </w:rPr>
              <w:t>。</w:t>
            </w:r>
          </w:p>
          <w:p w14:paraId="63C58C06">
            <w:pPr>
              <w:pStyle w:val="6"/>
              <w:pageBreakBefore w:val="0"/>
              <w:widowControl/>
              <w:numPr>
                <w:ilvl w:val="4"/>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（2）给水</w:t>
            </w:r>
          </w:p>
          <w:p w14:paraId="6ED615E6">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本项目营运期用水主要为生活用水和生产用水，废水为生活污水。</w:t>
            </w:r>
          </w:p>
          <w:p w14:paraId="7E9A8EC6">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①生活用水：本项目劳动定员</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人，生活用水量为</w:t>
            </w:r>
            <w:r>
              <w:rPr>
                <w:rFonts w:hint="default" w:ascii="Times New Roman" w:hAnsi="Times New Roman" w:cs="Times New Roman"/>
                <w:color w:val="auto"/>
                <w:highlight w:val="none"/>
                <w:lang w:val="en-US" w:eastAsia="zh-CN"/>
              </w:rPr>
              <w:t>400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14:paraId="2EB14877">
            <w:pPr>
              <w:pStyle w:val="16"/>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②生产用水：本项目生产用水为</w:t>
            </w:r>
            <w:r>
              <w:rPr>
                <w:rFonts w:hint="default" w:ascii="Times New Roman" w:hAnsi="Times New Roman" w:cs="Times New Roman"/>
                <w:color w:val="auto"/>
                <w:highlight w:val="none"/>
                <w:lang w:val="en-US" w:eastAsia="zh-CN"/>
              </w:rPr>
              <w:t>物料调配</w:t>
            </w:r>
            <w:r>
              <w:rPr>
                <w:rFonts w:hint="default" w:ascii="Times New Roman" w:hAnsi="Times New Roman" w:cs="Times New Roman"/>
                <w:color w:val="auto"/>
                <w:highlight w:val="none"/>
              </w:rPr>
              <w:t>用水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喷枪清洗用水、水帘柜喷淋用水。</w:t>
            </w:r>
          </w:p>
          <w:p w14:paraId="68135CD8">
            <w:pPr>
              <w:pStyle w:val="16"/>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物料调配用水：物料调配用水中调配比例为水：丙烯酸乳液=1:100，本项目丙烯酸乳液年用量为50t/a，对应物料调配用水为0.5t/a；</w:t>
            </w:r>
          </w:p>
          <w:p w14:paraId="5A2F0282">
            <w:pPr>
              <w:pStyle w:val="16"/>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喷枪清洗用水：本项目喷涂物料为水性漆，无需使用稀释剂清洗，仅使用自来水清洗。喷枪清洗为每日2次，每次清洗量约为1L，全年工作300天，对应喷枪清洗用水年用量为0.6t/a。</w:t>
            </w:r>
          </w:p>
          <w:p w14:paraId="6A7E6D55">
            <w:pPr>
              <w:pStyle w:val="6"/>
              <w:pageBreakBefore w:val="0"/>
              <w:widowControl/>
              <w:numPr>
                <w:ilvl w:val="4"/>
                <w:numId w:val="0"/>
              </w:numPr>
              <w:suppressLineNumbers w:val="0"/>
              <w:kinsoku/>
              <w:wordWrap w:val="0"/>
              <w:overflowPunct/>
              <w:topLinePunct w:val="0"/>
              <w:bidi w:val="0"/>
              <w:spacing w:before="0" w:beforeAutospacing="0" w:after="0" w:afterAutospacing="0"/>
              <w:ind w:left="0" w:right="0" w:firstLine="480" w:firstLineChars="200"/>
              <w:jc w:val="both"/>
              <w:rPr>
                <w:rFonts w:hint="default" w:ascii="Times New Roman" w:hAnsi="Times New Roman" w:cs="Times New Roman"/>
                <w:b w:val="0"/>
                <w:bCs w:val="0"/>
                <w:color w:val="auto"/>
                <w:kern w:val="2"/>
                <w:highlight w:val="none"/>
              </w:rPr>
            </w:pPr>
            <w:r>
              <w:rPr>
                <w:rFonts w:hint="default" w:ascii="Times New Roman" w:hAnsi="Times New Roman" w:cs="Times New Roman"/>
                <w:b w:val="0"/>
                <w:bCs w:val="0"/>
                <w:color w:val="auto"/>
                <w:kern w:val="2"/>
                <w:highlight w:val="none"/>
                <w:lang w:val="en-US" w:eastAsia="zh-CN"/>
              </w:rPr>
              <w:t>水帘柜喷淋用水：</w:t>
            </w:r>
            <w:r>
              <w:rPr>
                <w:rFonts w:hint="default" w:ascii="Times New Roman" w:hAnsi="Times New Roman" w:cs="Times New Roman"/>
                <w:b w:val="0"/>
                <w:bCs w:val="0"/>
                <w:color w:val="auto"/>
                <w:kern w:val="2"/>
                <w:highlight w:val="none"/>
              </w:rPr>
              <w:t>项目设置</w:t>
            </w:r>
            <w:r>
              <w:rPr>
                <w:rFonts w:hint="default" w:ascii="Times New Roman" w:hAnsi="Times New Roman" w:cs="Times New Roman"/>
                <w:b w:val="0"/>
                <w:bCs w:val="0"/>
                <w:color w:val="auto"/>
                <w:kern w:val="2"/>
                <w:highlight w:val="none"/>
                <w:lang w:val="en-US" w:eastAsia="zh-CN"/>
              </w:rPr>
              <w:t>1台水帘柜</w:t>
            </w:r>
            <w:r>
              <w:rPr>
                <w:rFonts w:hint="default" w:ascii="Times New Roman" w:hAnsi="Times New Roman" w:cs="Times New Roman"/>
                <w:b w:val="0"/>
                <w:bCs w:val="0"/>
                <w:color w:val="auto"/>
                <w:kern w:val="2"/>
                <w:highlight w:val="none"/>
              </w:rPr>
              <w:t>装置</w:t>
            </w:r>
            <w:r>
              <w:rPr>
                <w:rFonts w:hint="default" w:ascii="Times New Roman" w:hAnsi="Times New Roman" w:cs="Times New Roman"/>
                <w:b w:val="0"/>
                <w:bCs w:val="0"/>
                <w:color w:val="auto"/>
                <w:kern w:val="2"/>
                <w:highlight w:val="none"/>
                <w:lang w:val="en-US" w:eastAsia="zh-CN"/>
              </w:rPr>
              <w:t>用于水性漆上色固化工序。水帘柜</w:t>
            </w:r>
            <w:r>
              <w:rPr>
                <w:rFonts w:hint="default" w:ascii="Times New Roman" w:hAnsi="Times New Roman" w:cs="Times New Roman"/>
                <w:b w:val="0"/>
                <w:bCs w:val="0"/>
                <w:color w:val="auto"/>
                <w:kern w:val="2"/>
                <w:highlight w:val="none"/>
              </w:rPr>
              <w:t>装置储水量均为0.</w:t>
            </w:r>
            <w:r>
              <w:rPr>
                <w:rFonts w:hint="default" w:ascii="Times New Roman" w:hAnsi="Times New Roman" w:cs="Times New Roman"/>
                <w:b w:val="0"/>
                <w:bCs w:val="0"/>
                <w:color w:val="auto"/>
                <w:kern w:val="2"/>
                <w:highlight w:val="none"/>
                <w:lang w:val="en-US" w:eastAsia="zh-CN"/>
              </w:rPr>
              <w:t>5</w:t>
            </w:r>
            <w:r>
              <w:rPr>
                <w:rFonts w:hint="default" w:ascii="Times New Roman" w:hAnsi="Times New Roman" w:cs="Times New Roman"/>
                <w:b w:val="0"/>
                <w:bCs w:val="0"/>
                <w:color w:val="auto"/>
                <w:kern w:val="2"/>
                <w:highlight w:val="none"/>
              </w:rPr>
              <w:t>m</w:t>
            </w:r>
            <w:r>
              <w:rPr>
                <w:rFonts w:hint="default" w:ascii="Times New Roman" w:hAnsi="Times New Roman" w:cs="Times New Roman"/>
                <w:b w:val="0"/>
                <w:bCs w:val="0"/>
                <w:color w:val="auto"/>
                <w:kern w:val="2"/>
                <w:highlight w:val="none"/>
                <w:vertAlign w:val="superscript"/>
              </w:rPr>
              <w:t>3</w:t>
            </w:r>
            <w:r>
              <w:rPr>
                <w:rFonts w:hint="default" w:ascii="Times New Roman" w:hAnsi="Times New Roman" w:cs="Times New Roman"/>
                <w:b w:val="0"/>
                <w:bCs w:val="0"/>
                <w:color w:val="auto"/>
                <w:kern w:val="2"/>
                <w:highlight w:val="none"/>
                <w:vertAlign w:val="baseline"/>
                <w:lang w:eastAsia="zh-CN"/>
              </w:rPr>
              <w:t>，</w:t>
            </w:r>
            <w:r>
              <w:rPr>
                <w:rFonts w:hint="default" w:ascii="Times New Roman" w:hAnsi="Times New Roman" w:cs="Times New Roman"/>
                <w:b w:val="0"/>
                <w:bCs w:val="0"/>
                <w:color w:val="auto"/>
                <w:kern w:val="2"/>
                <w:highlight w:val="none"/>
                <w:lang w:val="en-US" w:eastAsia="zh-CN"/>
              </w:rPr>
              <w:t>设计循环水量为10</w:t>
            </w:r>
            <w:r>
              <w:rPr>
                <w:rFonts w:hint="default" w:ascii="Times New Roman" w:hAnsi="Times New Roman" w:cs="Times New Roman"/>
                <w:b w:val="0"/>
                <w:bCs w:val="0"/>
                <w:color w:val="auto"/>
                <w:kern w:val="2"/>
                <w:highlight w:val="none"/>
              </w:rPr>
              <w:t>m</w:t>
            </w:r>
            <w:r>
              <w:rPr>
                <w:rFonts w:hint="default" w:ascii="Times New Roman" w:hAnsi="Times New Roman" w:cs="Times New Roman"/>
                <w:b w:val="0"/>
                <w:bCs w:val="0"/>
                <w:color w:val="auto"/>
                <w:kern w:val="2"/>
                <w:highlight w:val="none"/>
                <w:vertAlign w:val="superscript"/>
              </w:rPr>
              <w:t>3</w:t>
            </w:r>
            <w:r>
              <w:rPr>
                <w:rFonts w:hint="default" w:ascii="Times New Roman" w:hAnsi="Times New Roman" w:cs="Times New Roman"/>
                <w:b w:val="0"/>
                <w:bCs w:val="0"/>
                <w:color w:val="auto"/>
                <w:kern w:val="2"/>
                <w:highlight w:val="none"/>
                <w:vertAlign w:val="baseline"/>
                <w:lang w:val="en-US" w:eastAsia="zh-CN"/>
              </w:rPr>
              <w:t>/h</w:t>
            </w:r>
            <w:bookmarkStart w:id="21" w:name="_Toc30669"/>
            <w:r>
              <w:rPr>
                <w:rFonts w:hint="default" w:ascii="Times New Roman" w:hAnsi="Times New Roman" w:cs="Times New Roman"/>
                <w:b w:val="0"/>
                <w:bCs w:val="0"/>
                <w:color w:val="auto"/>
                <w:kern w:val="2"/>
                <w:highlight w:val="none"/>
              </w:rPr>
              <w:t>，每天工作</w:t>
            </w:r>
            <w:r>
              <w:rPr>
                <w:rFonts w:hint="default" w:ascii="Times New Roman" w:hAnsi="Times New Roman" w:cs="Times New Roman"/>
                <w:b w:val="0"/>
                <w:bCs w:val="0"/>
                <w:color w:val="auto"/>
                <w:kern w:val="2"/>
                <w:highlight w:val="none"/>
                <w:lang w:val="en-US" w:eastAsia="zh-CN"/>
              </w:rPr>
              <w:t>16</w:t>
            </w:r>
            <w:r>
              <w:rPr>
                <w:rFonts w:hint="default" w:ascii="Times New Roman" w:hAnsi="Times New Roman" w:cs="Times New Roman"/>
                <w:b w:val="0"/>
                <w:bCs w:val="0"/>
                <w:color w:val="auto"/>
                <w:kern w:val="2"/>
                <w:highlight w:val="none"/>
              </w:rPr>
              <w:t>h，年工作</w:t>
            </w:r>
            <w:r>
              <w:rPr>
                <w:rFonts w:hint="default" w:ascii="Times New Roman" w:hAnsi="Times New Roman" w:cs="Times New Roman"/>
                <w:b w:val="0"/>
                <w:bCs w:val="0"/>
                <w:color w:val="auto"/>
                <w:kern w:val="2"/>
                <w:highlight w:val="none"/>
                <w:lang w:val="en-US" w:eastAsia="zh-CN"/>
              </w:rPr>
              <w:t>30</w:t>
            </w:r>
            <w:r>
              <w:rPr>
                <w:rFonts w:hint="default" w:ascii="Times New Roman" w:hAnsi="Times New Roman" w:cs="Times New Roman"/>
                <w:b w:val="0"/>
                <w:bCs w:val="0"/>
                <w:color w:val="auto"/>
                <w:kern w:val="2"/>
                <w:highlight w:val="none"/>
              </w:rPr>
              <w:t>0天</w:t>
            </w:r>
            <w:r>
              <w:rPr>
                <w:rFonts w:hint="default" w:ascii="Times New Roman" w:hAnsi="Times New Roman" w:cs="Times New Roman"/>
                <w:b w:val="0"/>
                <w:bCs w:val="0"/>
                <w:color w:val="auto"/>
                <w:kern w:val="2"/>
                <w:highlight w:val="none"/>
                <w:lang w:eastAsia="zh-CN"/>
              </w:rPr>
              <w:t>，</w:t>
            </w:r>
            <w:r>
              <w:rPr>
                <w:rFonts w:hint="default" w:ascii="Times New Roman" w:hAnsi="Times New Roman" w:cs="Times New Roman"/>
                <w:b w:val="0"/>
                <w:bCs w:val="0"/>
                <w:color w:val="auto"/>
                <w:kern w:val="2"/>
                <w:highlight w:val="none"/>
              </w:rPr>
              <w:t>则</w:t>
            </w:r>
            <w:r>
              <w:rPr>
                <w:rFonts w:hint="default" w:ascii="Times New Roman" w:hAnsi="Times New Roman" w:cs="Times New Roman"/>
                <w:b w:val="0"/>
                <w:bCs w:val="0"/>
                <w:color w:val="auto"/>
                <w:kern w:val="2"/>
                <w:highlight w:val="none"/>
                <w:lang w:val="en-US" w:eastAsia="zh-CN"/>
              </w:rPr>
              <w:t>水帘柜</w:t>
            </w:r>
            <w:r>
              <w:rPr>
                <w:rFonts w:hint="default" w:ascii="Times New Roman" w:hAnsi="Times New Roman" w:cs="Times New Roman"/>
                <w:b w:val="0"/>
                <w:bCs w:val="0"/>
                <w:color w:val="auto"/>
                <w:kern w:val="2"/>
                <w:highlight w:val="none"/>
              </w:rPr>
              <w:t>的总循环水量为</w:t>
            </w:r>
            <w:r>
              <w:rPr>
                <w:rFonts w:hint="default" w:ascii="Times New Roman" w:hAnsi="Times New Roman" w:cs="Times New Roman"/>
                <w:b w:val="0"/>
                <w:bCs w:val="0"/>
                <w:color w:val="auto"/>
                <w:kern w:val="2"/>
                <w:highlight w:val="none"/>
                <w:lang w:val="en-US" w:eastAsia="zh-CN"/>
              </w:rPr>
              <w:t>1台×</w:t>
            </w:r>
            <w:r>
              <w:rPr>
                <w:rFonts w:hint="default" w:ascii="Times New Roman" w:hAnsi="Times New Roman" w:cs="Times New Roman"/>
                <w:b w:val="0"/>
                <w:bCs w:val="0"/>
                <w:color w:val="auto"/>
                <w:kern w:val="2"/>
                <w:highlight w:val="none"/>
              </w:rPr>
              <w:t>1</w:t>
            </w:r>
            <w:r>
              <w:rPr>
                <w:rFonts w:hint="default" w:ascii="Times New Roman" w:hAnsi="Times New Roman" w:cs="Times New Roman"/>
                <w:b w:val="0"/>
                <w:bCs w:val="0"/>
                <w:color w:val="auto"/>
                <w:kern w:val="2"/>
                <w:highlight w:val="none"/>
                <w:lang w:val="en-US" w:eastAsia="zh-CN"/>
              </w:rPr>
              <w:t>0</w:t>
            </w:r>
            <w:r>
              <w:rPr>
                <w:rFonts w:hint="default" w:ascii="Times New Roman" w:hAnsi="Times New Roman" w:cs="Times New Roman"/>
                <w:b w:val="0"/>
                <w:bCs w:val="0"/>
                <w:color w:val="auto"/>
                <w:kern w:val="2"/>
                <w:highlight w:val="none"/>
              </w:rPr>
              <w:t>m</w:t>
            </w:r>
            <w:r>
              <w:rPr>
                <w:rFonts w:hint="default" w:ascii="Times New Roman" w:hAnsi="Times New Roman" w:cs="Times New Roman"/>
                <w:b w:val="0"/>
                <w:bCs w:val="0"/>
                <w:color w:val="auto"/>
                <w:kern w:val="2"/>
                <w:highlight w:val="none"/>
                <w:vertAlign w:val="superscript"/>
              </w:rPr>
              <w:t>3</w:t>
            </w:r>
            <w:r>
              <w:rPr>
                <w:rFonts w:hint="default" w:ascii="Times New Roman" w:hAnsi="Times New Roman" w:cs="Times New Roman"/>
                <w:b w:val="0"/>
                <w:bCs w:val="0"/>
                <w:color w:val="auto"/>
                <w:kern w:val="2"/>
                <w:highlight w:val="none"/>
              </w:rPr>
              <w:t>/h</w:t>
            </w:r>
            <w:r>
              <w:rPr>
                <w:rFonts w:hint="default" w:ascii="Times New Roman" w:hAnsi="Times New Roman" w:cs="Times New Roman"/>
                <w:b w:val="0"/>
                <w:bCs w:val="0"/>
                <w:color w:val="auto"/>
                <w:kern w:val="2"/>
                <w:highlight w:val="none"/>
                <w:lang w:val="en-US" w:eastAsia="zh-CN"/>
              </w:rPr>
              <w:t>×16h×300d/a=48000</w:t>
            </w:r>
            <w:r>
              <w:rPr>
                <w:rFonts w:hint="default" w:ascii="Times New Roman" w:hAnsi="Times New Roman" w:cs="Times New Roman"/>
                <w:b w:val="0"/>
                <w:bCs w:val="0"/>
                <w:color w:val="auto"/>
                <w:kern w:val="2"/>
                <w:highlight w:val="none"/>
              </w:rPr>
              <w:t>m</w:t>
            </w:r>
            <w:r>
              <w:rPr>
                <w:rFonts w:hint="default" w:ascii="Times New Roman" w:hAnsi="Times New Roman" w:cs="Times New Roman"/>
                <w:b w:val="0"/>
                <w:bCs w:val="0"/>
                <w:color w:val="auto"/>
                <w:kern w:val="2"/>
                <w:highlight w:val="none"/>
                <w:vertAlign w:val="superscript"/>
              </w:rPr>
              <w:t>3</w:t>
            </w:r>
            <w:r>
              <w:rPr>
                <w:rFonts w:hint="default" w:ascii="Times New Roman" w:hAnsi="Times New Roman" w:cs="Times New Roman"/>
                <w:b w:val="0"/>
                <w:bCs w:val="0"/>
                <w:color w:val="auto"/>
                <w:kern w:val="2"/>
                <w:highlight w:val="none"/>
              </w:rPr>
              <w:t>/</w:t>
            </w:r>
            <w:r>
              <w:rPr>
                <w:rFonts w:hint="default" w:ascii="Times New Roman" w:hAnsi="Times New Roman" w:cs="Times New Roman"/>
                <w:b w:val="0"/>
                <w:bCs w:val="0"/>
                <w:color w:val="auto"/>
                <w:kern w:val="2"/>
                <w:highlight w:val="none"/>
                <w:lang w:val="en-US" w:eastAsia="zh-CN"/>
              </w:rPr>
              <w:t>a</w:t>
            </w:r>
            <w:r>
              <w:rPr>
                <w:rFonts w:hint="default" w:ascii="Times New Roman" w:hAnsi="Times New Roman" w:cs="Times New Roman"/>
                <w:b w:val="0"/>
                <w:bCs w:val="0"/>
                <w:color w:val="auto"/>
                <w:kern w:val="2"/>
                <w:highlight w:val="none"/>
              </w:rPr>
              <w:t>。</w:t>
            </w:r>
          </w:p>
          <w:p w14:paraId="3AC2D837">
            <w:pPr>
              <w:keepNext w:val="0"/>
              <w:keepLines w:val="0"/>
              <w:pageBreakBefore w:val="0"/>
              <w:suppressLineNumbers w:val="0"/>
              <w:kinsoku/>
              <w:wordWrap w:val="0"/>
              <w:overflowPunct/>
              <w:topLinePunct w:val="0"/>
              <w:bidi w:val="0"/>
              <w:adjustRightInd w:val="0"/>
              <w:spacing w:before="0" w:beforeAutospacing="0" w:after="0" w:afterAutospacing="0"/>
              <w:ind w:left="0"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喷淋循环水需定期补充其损耗，参考《建设给水排水设计规范》（GB50015-2003）中对于冷冻设备的补充水量，应按冷却水循环水量的1%～2%，</w:t>
            </w:r>
            <w:r>
              <w:rPr>
                <w:rFonts w:hint="default" w:ascii="Times New Roman" w:hAnsi="Times New Roman" w:cs="Times New Roman"/>
                <w:b w:val="0"/>
                <w:bCs w:val="0"/>
                <w:color w:val="auto"/>
                <w:highlight w:val="none"/>
                <w:lang w:val="en-US" w:eastAsia="zh-CN"/>
              </w:rPr>
              <w:t>本次评价取1</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则喷淋循环</w:t>
            </w:r>
            <w:r>
              <w:rPr>
                <w:rFonts w:hint="default" w:ascii="Times New Roman" w:hAnsi="Times New Roman" w:cs="Times New Roman"/>
                <w:b w:val="0"/>
                <w:bCs w:val="0"/>
                <w:color w:val="auto"/>
                <w:highlight w:val="none"/>
              </w:rPr>
              <w:t>补充新鲜水量为</w:t>
            </w:r>
            <w:r>
              <w:rPr>
                <w:rFonts w:hint="default" w:ascii="Times New Roman" w:hAnsi="Times New Roman" w:cs="Times New Roman"/>
                <w:b w:val="0"/>
                <w:bCs w:val="0"/>
                <w:color w:val="auto"/>
                <w:highlight w:val="none"/>
                <w:lang w:val="en-US" w:eastAsia="zh-CN"/>
              </w:rPr>
              <w:t>48000</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a×1%=480</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a</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1.6</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d</w:t>
            </w:r>
            <w:r>
              <w:rPr>
                <w:rFonts w:hint="default" w:ascii="Times New Roman" w:hAnsi="Times New Roman" w:cs="Times New Roman"/>
                <w:b w:val="0"/>
                <w:bCs w:val="0"/>
                <w:color w:val="auto"/>
                <w:highlight w:val="none"/>
              </w:rPr>
              <w:t>）。</w:t>
            </w:r>
          </w:p>
          <w:p w14:paraId="6151B688">
            <w:pPr>
              <w:keepNext w:val="0"/>
              <w:keepLines w:val="0"/>
              <w:pageBreakBefore w:val="0"/>
              <w:suppressLineNumbers w:val="0"/>
              <w:kinsoku/>
              <w:wordWrap w:val="0"/>
              <w:overflowPunct/>
              <w:topLinePunct w:val="0"/>
              <w:bidi w:val="0"/>
              <w:adjustRightInd w:val="0"/>
              <w:spacing w:before="0" w:beforeAutospacing="0" w:after="0" w:afterAutospacing="0"/>
              <w:ind w:left="0" w:right="0" w:firstLine="480" w:firstLineChars="200"/>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喷淋用水循环使用不外排</w:t>
            </w:r>
            <w:bookmarkEnd w:id="21"/>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需定期更换。用于水性漆喷涂的水帘柜按2个月更换一次水箱内喷淋用水，对应更换产生的水帘柜喷淋废水量=0.5</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lang w:val="en-US" w:eastAsia="zh-CN"/>
              </w:rPr>
              <w:t>×1台×6次/a=3</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lang w:val="en-US" w:eastAsia="zh-CN"/>
              </w:rPr>
              <w:t>/a</w:t>
            </w:r>
            <w:r>
              <w:rPr>
                <w:rFonts w:hint="default" w:ascii="Times New Roman" w:hAnsi="Times New Roman" w:cs="Times New Roman"/>
                <w:b w:val="0"/>
                <w:bCs w:val="0"/>
                <w:color w:val="auto"/>
                <w:highlight w:val="none"/>
                <w:vertAlign w:val="baseline"/>
                <w:lang w:eastAsia="zh-CN"/>
              </w:rPr>
              <w:t>；</w:t>
            </w:r>
          </w:p>
          <w:p w14:paraId="7DE4D4BC">
            <w:pPr>
              <w:pStyle w:val="16"/>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highlight w:val="none"/>
                <w:lang w:val="en-US" w:eastAsia="zh-CN"/>
              </w:rPr>
              <w:t>本项目运营期</w:t>
            </w:r>
            <w:r>
              <w:rPr>
                <w:rFonts w:hint="default" w:ascii="Times New Roman" w:hAnsi="Times New Roman" w:cs="Times New Roman"/>
                <w:b w:val="0"/>
                <w:bCs w:val="0"/>
                <w:color w:val="auto"/>
                <w:highlight w:val="none"/>
                <w:lang w:eastAsia="zh-CN"/>
              </w:rPr>
              <w:t>产生的水帘柜喷淋废水</w:t>
            </w:r>
            <w:r>
              <w:rPr>
                <w:rFonts w:hint="default" w:ascii="Times New Roman" w:hAnsi="Times New Roman" w:cs="Times New Roman"/>
                <w:b w:val="0"/>
                <w:bCs w:val="0"/>
                <w:color w:val="auto"/>
                <w:highlight w:val="none"/>
                <w:lang w:val="en-US" w:eastAsia="zh-CN"/>
              </w:rPr>
              <w:t>为3</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lang w:val="en-US" w:eastAsia="zh-CN"/>
              </w:rPr>
              <w:t>/a</w:t>
            </w:r>
            <w:r>
              <w:rPr>
                <w:rFonts w:hint="default" w:ascii="Times New Roman" w:hAnsi="Times New Roman" w:cs="Times New Roman"/>
                <w:b w:val="0"/>
                <w:bCs w:val="0"/>
                <w:color w:val="auto"/>
                <w:highlight w:val="none"/>
                <w:lang w:eastAsia="zh-CN"/>
              </w:rPr>
              <w:t>，作为危险废物进行处理，交由有危险废物处理资质单位处理</w:t>
            </w:r>
            <w:r>
              <w:rPr>
                <w:rFonts w:hint="default" w:ascii="Times New Roman" w:hAnsi="Times New Roman" w:cs="Times New Roman"/>
                <w:color w:val="auto"/>
                <w:highlight w:val="none"/>
                <w:lang w:val="en-US" w:eastAsia="zh-CN"/>
              </w:rPr>
              <w:t>。喷淋用水新鲜用水量=喷淋循环补充新鲜水量+更换喷淋用水量=480</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a+3</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lang w:val="en-US" w:eastAsia="zh-CN"/>
              </w:rPr>
              <w:t>/a=</w:t>
            </w:r>
            <w:r>
              <w:rPr>
                <w:rFonts w:hint="default" w:ascii="Times New Roman" w:hAnsi="Times New Roman" w:cs="Times New Roman"/>
                <w:color w:val="auto"/>
                <w:highlight w:val="none"/>
                <w:lang w:val="en-US" w:eastAsia="zh-CN"/>
              </w:rPr>
              <w:t>483</w:t>
            </w:r>
            <w:r>
              <w:rPr>
                <w:rFonts w:hint="default" w:ascii="Times New Roman" w:hAnsi="Times New Roman" w:cs="Times New Roman"/>
                <w:b w:val="0"/>
                <w:bCs w:val="0"/>
                <w:color w:val="auto"/>
                <w:highlight w:val="none"/>
              </w:rPr>
              <w:t>m</w:t>
            </w:r>
            <w:r>
              <w:rPr>
                <w:rFonts w:hint="default" w:ascii="Times New Roman" w:hAnsi="Times New Roman" w:cs="Times New Roman"/>
                <w:b w:val="0"/>
                <w:bCs w:val="0"/>
                <w:color w:val="auto"/>
                <w:highlight w:val="none"/>
                <w:vertAlign w:val="superscript"/>
              </w:rPr>
              <w:t>3</w:t>
            </w: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a。</w:t>
            </w:r>
          </w:p>
          <w:p w14:paraId="14406876">
            <w:pPr>
              <w:pStyle w:val="16"/>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综上，本项目生产用水总</w:t>
            </w:r>
            <w:r>
              <w:rPr>
                <w:rFonts w:hint="default" w:ascii="Times New Roman" w:hAnsi="Times New Roman" w:cs="Times New Roman"/>
                <w:color w:val="auto"/>
                <w:highlight w:val="none"/>
              </w:rPr>
              <w:t>用水量为</w:t>
            </w:r>
            <w:r>
              <w:rPr>
                <w:rFonts w:hint="default" w:ascii="Times New Roman" w:hAnsi="Times New Roman" w:cs="Times New Roman"/>
                <w:color w:val="auto"/>
                <w:highlight w:val="none"/>
                <w:lang w:val="en-US" w:eastAsia="zh-CN"/>
              </w:rPr>
              <w:t>484.1m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/a。</w:t>
            </w:r>
          </w:p>
          <w:p w14:paraId="74B78188">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用水量一览表</w:t>
            </w:r>
          </w:p>
          <w:tbl>
            <w:tblPr>
              <w:tblStyle w:val="36"/>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089"/>
              <w:gridCol w:w="2165"/>
              <w:gridCol w:w="4020"/>
            </w:tblGrid>
            <w:tr w14:paraId="77048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vAlign w:val="center"/>
                </w:tcPr>
                <w:p w14:paraId="7D970636">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用水情形</w:t>
                  </w:r>
                </w:p>
              </w:tc>
              <w:tc>
                <w:tcPr>
                  <w:tcW w:w="1167" w:type="pct"/>
                  <w:vAlign w:val="center"/>
                </w:tcPr>
                <w:p w14:paraId="333901D4">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用量m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/a</w:t>
                  </w:r>
                </w:p>
              </w:tc>
              <w:tc>
                <w:tcPr>
                  <w:tcW w:w="2167" w:type="pct"/>
                  <w:vAlign w:val="center"/>
                </w:tcPr>
                <w:p w14:paraId="7A867DC8">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说明</w:t>
                  </w:r>
                </w:p>
              </w:tc>
            </w:tr>
            <w:tr w14:paraId="331A8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shd w:val="clear" w:color="auto" w:fill="auto"/>
                  <w:vAlign w:val="center"/>
                </w:tcPr>
                <w:p w14:paraId="4BA60068">
                  <w:pPr>
                    <w:pStyle w:val="59"/>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生活用水</w:t>
                  </w:r>
                </w:p>
              </w:tc>
              <w:tc>
                <w:tcPr>
                  <w:tcW w:w="2159" w:type="dxa"/>
                  <w:shd w:val="clear" w:color="auto" w:fill="auto"/>
                  <w:vAlign w:val="center"/>
                </w:tcPr>
                <w:p w14:paraId="27F993F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400</w:t>
                  </w:r>
                </w:p>
              </w:tc>
              <w:tc>
                <w:tcPr>
                  <w:tcW w:w="2167" w:type="pct"/>
                  <w:shd w:val="clear" w:color="auto" w:fill="auto"/>
                  <w:vAlign w:val="center"/>
                </w:tcPr>
                <w:p w14:paraId="6ECC5E4E">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40</w:t>
                  </w:r>
                  <w:r>
                    <w:rPr>
                      <w:rFonts w:hint="default" w:ascii="Times New Roman" w:hAnsi="Times New Roman" w:cs="Times New Roman"/>
                      <w:color w:val="auto"/>
                      <w:sz w:val="21"/>
                      <w:szCs w:val="21"/>
                      <w:highlight w:val="none"/>
                    </w:rPr>
                    <w:t>人</w:t>
                  </w:r>
                </w:p>
              </w:tc>
            </w:tr>
            <w:tr w14:paraId="3B454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665" w:type="pct"/>
                  <w:shd w:val="clear" w:color="auto" w:fill="auto"/>
                  <w:vAlign w:val="center"/>
                </w:tcPr>
                <w:p w14:paraId="162FC42B">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生产用水</w:t>
                  </w:r>
                </w:p>
              </w:tc>
              <w:tc>
                <w:tcPr>
                  <w:tcW w:w="2159" w:type="dxa"/>
                  <w:shd w:val="clear" w:color="auto" w:fill="auto"/>
                  <w:vAlign w:val="center"/>
                </w:tcPr>
                <w:p w14:paraId="7D74868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484.1</w:t>
                  </w:r>
                </w:p>
              </w:tc>
              <w:tc>
                <w:tcPr>
                  <w:tcW w:w="2167" w:type="pct"/>
                  <w:shd w:val="clear" w:color="auto" w:fill="auto"/>
                  <w:vAlign w:val="center"/>
                </w:tcPr>
                <w:p w14:paraId="31333533">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物料调配0.5</w:t>
                  </w:r>
                  <w:r>
                    <w:rPr>
                      <w:rFonts w:hint="default" w:ascii="Times New Roman" w:hAnsi="Times New Roman" w:cs="Times New Roman"/>
                      <w:b w:val="0"/>
                      <w:bCs w:val="0"/>
                      <w:color w:val="auto"/>
                      <w:kern w:val="2"/>
                      <w:sz w:val="21"/>
                      <w:szCs w:val="21"/>
                      <w:highlight w:val="none"/>
                    </w:rPr>
                    <w:t>m</w:t>
                  </w:r>
                  <w:r>
                    <w:rPr>
                      <w:rFonts w:hint="default" w:ascii="Times New Roman" w:hAnsi="Times New Roman" w:cs="Times New Roman"/>
                      <w:b w:val="0"/>
                      <w:bCs w:val="0"/>
                      <w:color w:val="auto"/>
                      <w:kern w:val="2"/>
                      <w:sz w:val="21"/>
                      <w:szCs w:val="21"/>
                      <w:highlight w:val="none"/>
                      <w:vertAlign w:val="superscript"/>
                    </w:rPr>
                    <w:t>3</w:t>
                  </w:r>
                  <w:r>
                    <w:rPr>
                      <w:rFonts w:hint="default" w:ascii="Times New Roman" w:hAnsi="Times New Roman" w:cs="Times New Roman"/>
                      <w:b w:val="0"/>
                      <w:bCs w:val="0"/>
                      <w:color w:val="auto"/>
                      <w:kern w:val="2"/>
                      <w:sz w:val="21"/>
                      <w:szCs w:val="21"/>
                      <w:highlight w:val="none"/>
                    </w:rPr>
                    <w:t>/a</w:t>
                  </w:r>
                  <w:r>
                    <w:rPr>
                      <w:rFonts w:hint="default" w:ascii="Times New Roman" w:hAnsi="Times New Roman" w:cs="Times New Roman"/>
                      <w:color w:val="auto"/>
                      <w:sz w:val="21"/>
                      <w:szCs w:val="21"/>
                      <w:highlight w:val="none"/>
                      <w:lang w:val="en-US" w:eastAsia="zh-CN"/>
                    </w:rPr>
                    <w:t>、喷枪清洗0.6</w:t>
                  </w:r>
                  <w:r>
                    <w:rPr>
                      <w:rFonts w:hint="default" w:ascii="Times New Roman" w:hAnsi="Times New Roman" w:cs="Times New Roman"/>
                      <w:b w:val="0"/>
                      <w:bCs w:val="0"/>
                      <w:color w:val="auto"/>
                      <w:kern w:val="2"/>
                      <w:sz w:val="21"/>
                      <w:szCs w:val="21"/>
                      <w:highlight w:val="none"/>
                    </w:rPr>
                    <w:t>m</w:t>
                  </w:r>
                  <w:r>
                    <w:rPr>
                      <w:rFonts w:hint="default" w:ascii="Times New Roman" w:hAnsi="Times New Roman" w:cs="Times New Roman"/>
                      <w:b w:val="0"/>
                      <w:bCs w:val="0"/>
                      <w:color w:val="auto"/>
                      <w:kern w:val="2"/>
                      <w:sz w:val="21"/>
                      <w:szCs w:val="21"/>
                      <w:highlight w:val="none"/>
                      <w:vertAlign w:val="superscript"/>
                    </w:rPr>
                    <w:t>3</w:t>
                  </w:r>
                  <w:r>
                    <w:rPr>
                      <w:rFonts w:hint="default" w:ascii="Times New Roman" w:hAnsi="Times New Roman" w:cs="Times New Roman"/>
                      <w:b w:val="0"/>
                      <w:bCs w:val="0"/>
                      <w:color w:val="auto"/>
                      <w:kern w:val="2"/>
                      <w:sz w:val="21"/>
                      <w:szCs w:val="21"/>
                      <w:highlight w:val="none"/>
                    </w:rPr>
                    <w:t>/a</w:t>
                  </w:r>
                  <w:r>
                    <w:rPr>
                      <w:rFonts w:hint="default" w:ascii="Times New Roman" w:hAnsi="Times New Roman" w:cs="Times New Roman"/>
                      <w:color w:val="auto"/>
                      <w:sz w:val="21"/>
                      <w:szCs w:val="21"/>
                      <w:highlight w:val="none"/>
                      <w:lang w:val="en-US" w:eastAsia="zh-CN"/>
                    </w:rPr>
                    <w:t>、喷淋用水483</w:t>
                  </w:r>
                  <w:r>
                    <w:rPr>
                      <w:rFonts w:hint="default" w:ascii="Times New Roman" w:hAnsi="Times New Roman" w:cs="Times New Roman"/>
                      <w:b w:val="0"/>
                      <w:bCs w:val="0"/>
                      <w:color w:val="auto"/>
                      <w:kern w:val="2"/>
                      <w:sz w:val="21"/>
                      <w:szCs w:val="21"/>
                      <w:highlight w:val="none"/>
                    </w:rPr>
                    <w:t>m</w:t>
                  </w:r>
                  <w:r>
                    <w:rPr>
                      <w:rFonts w:hint="default" w:ascii="Times New Roman" w:hAnsi="Times New Roman" w:cs="Times New Roman"/>
                      <w:b w:val="0"/>
                      <w:bCs w:val="0"/>
                      <w:color w:val="auto"/>
                      <w:kern w:val="2"/>
                      <w:sz w:val="21"/>
                      <w:szCs w:val="21"/>
                      <w:highlight w:val="none"/>
                      <w:vertAlign w:val="superscript"/>
                    </w:rPr>
                    <w:t>3</w:t>
                  </w:r>
                  <w:r>
                    <w:rPr>
                      <w:rFonts w:hint="default" w:ascii="Times New Roman" w:hAnsi="Times New Roman" w:cs="Times New Roman"/>
                      <w:b w:val="0"/>
                      <w:bCs w:val="0"/>
                      <w:color w:val="auto"/>
                      <w:kern w:val="2"/>
                      <w:sz w:val="21"/>
                      <w:szCs w:val="21"/>
                      <w:highlight w:val="none"/>
                    </w:rPr>
                    <w:t>/a</w:t>
                  </w:r>
                </w:p>
              </w:tc>
            </w:tr>
            <w:tr w14:paraId="166304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8" w:hRule="atLeast"/>
                <w:jc w:val="center"/>
              </w:trPr>
              <w:tc>
                <w:tcPr>
                  <w:tcW w:w="1665" w:type="pct"/>
                  <w:vAlign w:val="center"/>
                </w:tcPr>
                <w:p w14:paraId="2B2556E3">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总用水</w:t>
                  </w:r>
                </w:p>
              </w:tc>
              <w:tc>
                <w:tcPr>
                  <w:tcW w:w="2159" w:type="dxa"/>
                  <w:vAlign w:val="center"/>
                </w:tcPr>
                <w:p w14:paraId="2F53765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884.1</w:t>
                  </w:r>
                </w:p>
              </w:tc>
              <w:tc>
                <w:tcPr>
                  <w:tcW w:w="2167" w:type="pct"/>
                  <w:vAlign w:val="center"/>
                </w:tcPr>
                <w:p w14:paraId="2CF910BD">
                  <w:pPr>
                    <w:keepNext w:val="0"/>
                    <w:keepLines w:val="0"/>
                    <w:pageBreakBefore w:val="0"/>
                    <w:suppressLineNumbers w:val="0"/>
                    <w:kinsoku/>
                    <w:wordWrap w:val="0"/>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14:paraId="658140C6">
            <w:pPr>
              <w:pStyle w:val="6"/>
              <w:pageBreakBefore w:val="0"/>
              <w:widowControl/>
              <w:numPr>
                <w:ilvl w:val="4"/>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（3）排水</w:t>
            </w:r>
          </w:p>
          <w:p w14:paraId="5715C4EE">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本项目实行雨污分流制的排水体制。</w:t>
            </w:r>
          </w:p>
          <w:p w14:paraId="6A846A4F">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雨水：雨水经厂区雨水管网收集后，排入市政雨水管网；</w:t>
            </w:r>
          </w:p>
          <w:p w14:paraId="6CDA5617">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生活污水：本项目生活污水排放量为</w:t>
            </w:r>
            <w:r>
              <w:rPr>
                <w:rFonts w:hint="eastAsia" w:cs="Times New Roman"/>
                <w:color w:val="auto"/>
                <w:highlight w:val="none"/>
                <w:lang w:val="en-US" w:eastAsia="zh-CN"/>
              </w:rPr>
              <w:t>360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/a，经三级化粪池预处理后，排入园区污水处理厂进一步处理，达标后排放至武江；</w:t>
            </w:r>
          </w:p>
          <w:p w14:paraId="6685FE1C">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生产废水：</w:t>
            </w:r>
            <w:r>
              <w:rPr>
                <w:rFonts w:hint="default" w:ascii="Times New Roman" w:hAnsi="Times New Roman" w:cs="Times New Roman"/>
                <w:color w:val="auto"/>
                <w:highlight w:val="none"/>
                <w:lang w:val="en-US" w:eastAsia="zh-CN"/>
              </w:rPr>
              <w:t>本项目无生产废水排放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物料调配用水0.5t/a全部进入产品；喷枪清洗产生的喷枪清洗废液0.6t/a</w:t>
            </w:r>
            <w:r>
              <w:rPr>
                <w:rFonts w:hint="eastAsia" w:ascii="Times New Roman" w:hAnsi="Times New Roman" w:cs="Times New Roman"/>
                <w:color w:val="auto"/>
                <w:highlight w:val="none"/>
                <w:lang w:val="en-US" w:eastAsia="zh-CN"/>
              </w:rPr>
              <w:t>、水帘柜喷淋废水3t/a均</w:t>
            </w:r>
            <w:r>
              <w:rPr>
                <w:rFonts w:hint="default" w:ascii="Times New Roman" w:hAnsi="Times New Roman" w:cs="Times New Roman"/>
                <w:color w:val="auto"/>
                <w:highlight w:val="none"/>
                <w:lang w:val="en-US" w:eastAsia="zh-CN"/>
              </w:rPr>
              <w:t>作为危险废物，定期交由有资质单位转运处理。</w:t>
            </w:r>
          </w:p>
          <w:p w14:paraId="4F8ECF45">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排水量一览表</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16"/>
              <w:gridCol w:w="2115"/>
              <w:gridCol w:w="1200"/>
              <w:gridCol w:w="4649"/>
            </w:tblGrid>
            <w:tr w14:paraId="09360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699819DA">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排水情形</w:t>
                  </w:r>
                </w:p>
              </w:tc>
              <w:tc>
                <w:tcPr>
                  <w:tcW w:w="2110" w:type="dxa"/>
                  <w:vAlign w:val="center"/>
                </w:tcPr>
                <w:p w14:paraId="7051512C">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排水定额</w:t>
                  </w:r>
                </w:p>
              </w:tc>
              <w:tc>
                <w:tcPr>
                  <w:tcW w:w="1197" w:type="dxa"/>
                  <w:vAlign w:val="center"/>
                </w:tcPr>
                <w:p w14:paraId="7AF82DDF">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排水量t/a</w:t>
                  </w:r>
                </w:p>
              </w:tc>
              <w:tc>
                <w:tcPr>
                  <w:tcW w:w="4636" w:type="dxa"/>
                  <w:vAlign w:val="center"/>
                </w:tcPr>
                <w:p w14:paraId="7E443A97">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说明</w:t>
                  </w:r>
                </w:p>
              </w:tc>
            </w:tr>
            <w:tr w14:paraId="496CC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3EAD245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生活污水</w:t>
                  </w:r>
                </w:p>
              </w:tc>
              <w:tc>
                <w:tcPr>
                  <w:tcW w:w="2110" w:type="dxa"/>
                  <w:vAlign w:val="center"/>
                </w:tcPr>
                <w:p w14:paraId="12A5AA9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按生活用水量的90%</w:t>
                  </w:r>
                </w:p>
              </w:tc>
              <w:tc>
                <w:tcPr>
                  <w:tcW w:w="1197" w:type="dxa"/>
                  <w:vAlign w:val="center"/>
                </w:tcPr>
                <w:p w14:paraId="05F46EC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highlight w:val="none"/>
                      <w:lang w:val="en-US"/>
                    </w:rPr>
                  </w:pPr>
                  <w:r>
                    <w:rPr>
                      <w:rFonts w:hint="default" w:ascii="Times New Roman" w:hAnsi="Times New Roman" w:cs="Times New Roman"/>
                      <w:i w:val="0"/>
                      <w:iCs w:val="0"/>
                      <w:color w:val="auto"/>
                      <w:kern w:val="0"/>
                      <w:sz w:val="21"/>
                      <w:szCs w:val="21"/>
                      <w:highlight w:val="none"/>
                      <w:u w:val="none"/>
                      <w:lang w:val="en-US" w:eastAsia="zh-CN" w:bidi="ar"/>
                    </w:rPr>
                    <w:t>360</w:t>
                  </w:r>
                </w:p>
              </w:tc>
              <w:tc>
                <w:tcPr>
                  <w:tcW w:w="4636" w:type="dxa"/>
                  <w:vAlign w:val="center"/>
                </w:tcPr>
                <w:p w14:paraId="1060525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Cs/>
                      <w:color w:val="auto"/>
                      <w:sz w:val="21"/>
                      <w:szCs w:val="16"/>
                      <w:highlight w:val="none"/>
                    </w:rPr>
                  </w:pPr>
                  <w:r>
                    <w:rPr>
                      <w:rFonts w:hint="default" w:ascii="Times New Roman" w:hAnsi="Times New Roman" w:cs="Times New Roman"/>
                      <w:bCs/>
                      <w:color w:val="auto"/>
                      <w:sz w:val="21"/>
                      <w:szCs w:val="16"/>
                      <w:highlight w:val="none"/>
                    </w:rPr>
                    <w:t>三级化粪池→园区污水处理厂→武江</w:t>
                  </w:r>
                </w:p>
              </w:tc>
            </w:tr>
            <w:tr w14:paraId="23A7F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35DCD18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生产废水</w:t>
                  </w:r>
                </w:p>
              </w:tc>
              <w:tc>
                <w:tcPr>
                  <w:tcW w:w="2110" w:type="dxa"/>
                  <w:vAlign w:val="center"/>
                </w:tcPr>
                <w:p w14:paraId="15D231F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w:t>
                  </w:r>
                </w:p>
              </w:tc>
              <w:tc>
                <w:tcPr>
                  <w:tcW w:w="1197" w:type="dxa"/>
                  <w:vAlign w:val="center"/>
                </w:tcPr>
                <w:p w14:paraId="6B9C32E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4636" w:type="dxa"/>
                  <w:vAlign w:val="center"/>
                </w:tcPr>
                <w:p w14:paraId="7108208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Cs/>
                      <w:color w:val="auto"/>
                      <w:sz w:val="21"/>
                      <w:szCs w:val="16"/>
                      <w:highlight w:val="none"/>
                      <w:lang w:eastAsia="zh-CN"/>
                    </w:rPr>
                  </w:pPr>
                  <w:r>
                    <w:rPr>
                      <w:rFonts w:hint="default" w:ascii="Times New Roman" w:hAnsi="Times New Roman" w:cs="Times New Roman"/>
                      <w:bCs/>
                      <w:color w:val="auto"/>
                      <w:sz w:val="21"/>
                      <w:szCs w:val="16"/>
                      <w:highlight w:val="none"/>
                      <w:lang w:val="en-US" w:eastAsia="zh-CN"/>
                    </w:rPr>
                    <w:t>物料调配用水0.5t/a全部进入产品；喷枪清洗产生的喷枪清洗废液0.6t/a、水帘柜喷淋废水3t/a作为危险废物，定期交由有资质单位转运处理</w:t>
                  </w:r>
                </w:p>
              </w:tc>
            </w:tr>
            <w:tr w14:paraId="6F13D1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62FA2489">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总排水</w:t>
                  </w:r>
                </w:p>
              </w:tc>
              <w:tc>
                <w:tcPr>
                  <w:tcW w:w="2110" w:type="dxa"/>
                  <w:vAlign w:val="center"/>
                </w:tcPr>
                <w:p w14:paraId="4FEE441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w:t>
                  </w:r>
                </w:p>
              </w:tc>
              <w:tc>
                <w:tcPr>
                  <w:tcW w:w="1197" w:type="dxa"/>
                  <w:shd w:val="clear" w:color="auto" w:fill="auto"/>
                  <w:vAlign w:val="center"/>
                </w:tcPr>
                <w:p w14:paraId="38E88C1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360</w:t>
                  </w:r>
                </w:p>
              </w:tc>
              <w:tc>
                <w:tcPr>
                  <w:tcW w:w="4636" w:type="dxa"/>
                  <w:vAlign w:val="center"/>
                </w:tcPr>
                <w:p w14:paraId="7A9C36B3">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16"/>
                      <w:highlight w:val="none"/>
                    </w:rPr>
                  </w:pPr>
                  <w:r>
                    <w:rPr>
                      <w:rFonts w:hint="default" w:ascii="Times New Roman" w:hAnsi="Times New Roman" w:cs="Times New Roman"/>
                      <w:color w:val="auto"/>
                      <w:sz w:val="21"/>
                      <w:highlight w:val="none"/>
                    </w:rPr>
                    <w:t>/</w:t>
                  </w:r>
                </w:p>
              </w:tc>
            </w:tr>
          </w:tbl>
          <w:p w14:paraId="730FCEC4">
            <w:pPr>
              <w:pStyle w:val="6"/>
              <w:pageBreakBefore w:val="0"/>
              <w:widowControl/>
              <w:numPr>
                <w:ilvl w:val="4"/>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项目水平衡图如下：</w:t>
            </w:r>
          </w:p>
          <w:p w14:paraId="0FCEDE3E">
            <w:pPr>
              <w:pStyle w:val="6"/>
              <w:pageBreakBefore w:val="0"/>
              <w:widowControl/>
              <w:numPr>
                <w:ilvl w:val="4"/>
                <w:numId w:val="0"/>
              </w:numPr>
              <w:suppressLineNumbers w:val="0"/>
              <w:wordWrap w:val="0"/>
              <w:bidi w:val="0"/>
              <w:spacing w:before="0" w:beforeAutospacing="0" w:after="0" w:afterAutospacing="0"/>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lang w:val="en-US" w:eastAsia="zh-CN"/>
              </w:rPr>
              <w:drawing>
                <wp:inline distT="0" distB="0" distL="114300" distR="114300">
                  <wp:extent cx="5419725" cy="3848735"/>
                  <wp:effectExtent l="9525" t="9525" r="19050" b="15240"/>
                  <wp:docPr id="9" name="ECB019B1-382A-4266-B25C-5B523AA43C14-1" descr="C:/Users/Administrator/AppData/Local/Temp/wps.wpGTB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B019B1-382A-4266-B25C-5B523AA43C14-1" descr="C:/Users/Administrator/AppData/Local/Temp/wps.wpGTBTwps"/>
                          <pic:cNvPicPr>
                            <a:picLocks noChangeAspect="1"/>
                          </pic:cNvPicPr>
                        </pic:nvPicPr>
                        <pic:blipFill>
                          <a:blip r:embed="rId12"/>
                          <a:stretch>
                            <a:fillRect/>
                          </a:stretch>
                        </pic:blipFill>
                        <pic:spPr>
                          <a:xfrm>
                            <a:off x="0" y="0"/>
                            <a:ext cx="5419725" cy="3848735"/>
                          </a:xfrm>
                          <a:prstGeom prst="rect">
                            <a:avLst/>
                          </a:prstGeom>
                          <a:ln>
                            <a:solidFill>
                              <a:schemeClr val="tx1"/>
                            </a:solidFill>
                          </a:ln>
                        </pic:spPr>
                      </pic:pic>
                    </a:graphicData>
                  </a:graphic>
                </wp:inline>
              </w:drawing>
            </w:r>
          </w:p>
          <w:p w14:paraId="38BD67AB">
            <w:pPr>
              <w:pStyle w:val="12"/>
              <w:keepNext w:val="0"/>
              <w:keepLines w:val="0"/>
              <w:pageBreakBefore w:val="0"/>
              <w:numPr>
                <w:ilvl w:val="0"/>
                <w:numId w:val="0"/>
              </w:numPr>
              <w:suppressLineNumbers w:val="0"/>
              <w:tabs>
                <w:tab w:val="left" w:pos="420"/>
              </w:tabs>
              <w:kinsoku/>
              <w:wordWrap w:val="0"/>
              <w:overflowPunct/>
              <w:topLinePunct w:val="0"/>
              <w:bidi w:val="0"/>
              <w:snapToGrid/>
              <w:spacing w:before="0" w:beforeAutospacing="0" w:after="0" w:afterAutospacing="0" w:line="240" w:lineRule="auto"/>
              <w:ind w:left="0" w:leftChars="0" w:right="0" w:rightChars="0" w:firstLine="0" w:firstLineChars="0"/>
              <w:outlineLvl w:val="9"/>
              <w:rPr>
                <w:rFonts w:hint="default" w:ascii="Times New Roman" w:hAnsi="Times New Roman" w:cs="Times New Roman"/>
                <w:color w:val="auto"/>
                <w:kern w:val="2"/>
                <w:highlight w:val="none"/>
              </w:rPr>
            </w:pPr>
            <w:r>
              <w:rPr>
                <w:rFonts w:hint="default" w:ascii="Times New Roman" w:hAnsi="Times New Roman" w:eastAsia="宋体" w:cs="Times New Roman"/>
                <w:b/>
                <w:color w:val="auto"/>
                <w:kern w:val="2"/>
                <w:sz w:val="21"/>
                <w:szCs w:val="21"/>
                <w:highlight w:val="none"/>
                <w:lang w:val="en-US" w:eastAsia="zh-CN" w:bidi="ar-SA"/>
              </w:rPr>
              <w:t>图2-1</w:t>
            </w:r>
            <w:r>
              <w:rPr>
                <w:rFonts w:hint="default" w:ascii="Times New Roman" w:hAnsi="Times New Roman" w:cs="Times New Roman"/>
                <w:b/>
                <w:color w:val="auto"/>
                <w:kern w:val="2"/>
                <w:sz w:val="21"/>
                <w:szCs w:val="21"/>
                <w:highlight w:val="none"/>
                <w:lang w:val="en-US" w:eastAsia="zh-CN" w:bidi="ar-SA"/>
              </w:rPr>
              <w:t xml:space="preserve">-1 </w:t>
            </w:r>
            <w:r>
              <w:rPr>
                <w:rFonts w:hint="default" w:ascii="Times New Roman" w:hAnsi="Times New Roman" w:cs="Times New Roman"/>
                <w:b/>
                <w:bCs/>
                <w:color w:val="auto"/>
                <w:kern w:val="2"/>
                <w:highlight w:val="none"/>
                <w:lang w:val="en-US" w:eastAsia="zh-CN"/>
              </w:rPr>
              <w:t>本项目水平衡图（单位m</w:t>
            </w:r>
            <w:r>
              <w:rPr>
                <w:rFonts w:hint="default" w:ascii="Times New Roman" w:hAnsi="Times New Roman" w:cs="Times New Roman"/>
                <w:b/>
                <w:bCs/>
                <w:color w:val="auto"/>
                <w:kern w:val="2"/>
                <w:highlight w:val="none"/>
                <w:vertAlign w:val="superscript"/>
                <w:lang w:val="en-US" w:eastAsia="zh-CN"/>
              </w:rPr>
              <w:t>3</w:t>
            </w:r>
            <w:r>
              <w:rPr>
                <w:rFonts w:hint="default" w:ascii="Times New Roman" w:hAnsi="Times New Roman" w:cs="Times New Roman"/>
                <w:b/>
                <w:bCs/>
                <w:color w:val="auto"/>
                <w:kern w:val="2"/>
                <w:highlight w:val="none"/>
                <w:lang w:val="en-US" w:eastAsia="zh-CN"/>
              </w:rPr>
              <w:t>/a</w:t>
            </w:r>
            <w:r>
              <w:rPr>
                <w:rFonts w:hint="default" w:ascii="Times New Roman" w:hAnsi="Times New Roman" w:cs="Times New Roman"/>
                <w:color w:val="auto"/>
                <w:kern w:val="2"/>
                <w:highlight w:val="none"/>
                <w:lang w:val="en-US" w:eastAsia="zh-CN"/>
              </w:rPr>
              <w:t>）</w:t>
            </w:r>
          </w:p>
          <w:p w14:paraId="0BA1936C">
            <w:pPr>
              <w:pStyle w:val="6"/>
              <w:pageBreakBefore w:val="0"/>
              <w:widowControl/>
              <w:numPr>
                <w:ilvl w:val="4"/>
                <w:numId w:val="0"/>
              </w:numPr>
              <w:suppressLineNumbers w:val="0"/>
              <w:wordWrap w:val="0"/>
              <w:bidi w:val="0"/>
              <w:spacing w:before="0" w:beforeAutospacing="0" w:after="0" w:afterAutospacing="0"/>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lang w:val="en-US" w:eastAsia="zh-CN"/>
              </w:rPr>
              <w:drawing>
                <wp:inline distT="0" distB="0" distL="114300" distR="114300">
                  <wp:extent cx="5892800" cy="2689225"/>
                  <wp:effectExtent l="9525" t="9525" r="15875" b="19050"/>
                  <wp:docPr id="146"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ECB019B1-382A-4266-B25C-5B523AA43C14-2" descr="wps"/>
                          <pic:cNvPicPr>
                            <a:picLocks noChangeAspect="1"/>
                          </pic:cNvPicPr>
                        </pic:nvPicPr>
                        <pic:blipFill>
                          <a:blip r:embed="rId13"/>
                          <a:stretch>
                            <a:fillRect/>
                          </a:stretch>
                        </pic:blipFill>
                        <pic:spPr>
                          <a:xfrm>
                            <a:off x="0" y="0"/>
                            <a:ext cx="5892800" cy="2689225"/>
                          </a:xfrm>
                          <a:prstGeom prst="rect">
                            <a:avLst/>
                          </a:prstGeom>
                          <a:ln>
                            <a:solidFill>
                              <a:schemeClr val="tx1"/>
                            </a:solidFill>
                          </a:ln>
                        </pic:spPr>
                      </pic:pic>
                    </a:graphicData>
                  </a:graphic>
                </wp:inline>
              </w:drawing>
            </w:r>
          </w:p>
          <w:p w14:paraId="66092A43">
            <w:pPr>
              <w:pStyle w:val="6"/>
              <w:pageBreakBefore w:val="0"/>
              <w:widowControl/>
              <w:numPr>
                <w:ilvl w:val="4"/>
                <w:numId w:val="0"/>
              </w:numPr>
              <w:suppressLineNumbers w:val="0"/>
              <w:wordWrap w:val="0"/>
              <w:bidi w:val="0"/>
              <w:spacing w:before="0" w:beforeAutospacing="0" w:after="0" w:afterAutospacing="0"/>
              <w:ind w:left="-960" w:right="0" w:firstLine="1440"/>
              <w:jc w:val="center"/>
              <w:rPr>
                <w:rFonts w:hint="default" w:ascii="Times New Roman" w:hAnsi="Times New Roman" w:cs="Times New Roman"/>
                <w:color w:val="auto"/>
                <w:kern w:val="2"/>
                <w:highlight w:val="none"/>
              </w:rPr>
            </w:pPr>
            <w:r>
              <w:rPr>
                <w:rFonts w:hint="default" w:ascii="Times New Roman" w:hAnsi="Times New Roman" w:eastAsia="宋体" w:cs="Times New Roman"/>
                <w:b/>
                <w:color w:val="auto"/>
                <w:kern w:val="2"/>
                <w:sz w:val="21"/>
                <w:szCs w:val="21"/>
                <w:highlight w:val="none"/>
                <w:lang w:val="en-US" w:eastAsia="zh-CN" w:bidi="ar-SA"/>
              </w:rPr>
              <w:t>图2-1-2</w:t>
            </w:r>
            <w:r>
              <w:rPr>
                <w:rFonts w:hint="default" w:ascii="Times New Roman" w:hAnsi="Times New Roman" w:cs="Times New Roman"/>
                <w:b/>
                <w:bCs/>
                <w:color w:val="auto"/>
                <w:kern w:val="2"/>
                <w:sz w:val="21"/>
                <w:szCs w:val="21"/>
                <w:highlight w:val="none"/>
                <w:lang w:val="en-US" w:eastAsia="zh-CN"/>
              </w:rPr>
              <w:t>本项目有机废气平衡图（单位t/a</w:t>
            </w:r>
            <w:r>
              <w:rPr>
                <w:rFonts w:hint="default" w:ascii="Times New Roman" w:hAnsi="Times New Roman" w:cs="Times New Roman"/>
                <w:color w:val="auto"/>
                <w:kern w:val="2"/>
                <w:sz w:val="21"/>
                <w:szCs w:val="21"/>
                <w:highlight w:val="none"/>
                <w:lang w:val="en-US" w:eastAsia="zh-CN"/>
              </w:rPr>
              <w:t>）</w:t>
            </w:r>
          </w:p>
          <w:p w14:paraId="2CA7A5C1">
            <w:pPr>
              <w:pStyle w:val="6"/>
              <w:pageBreakBefore w:val="0"/>
              <w:widowControl/>
              <w:numPr>
                <w:ilvl w:val="4"/>
                <w:numId w:val="0"/>
              </w:numPr>
              <w:suppressLineNumbers w:val="0"/>
              <w:wordWrap w:val="0"/>
              <w:bidi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（4）通风系统</w:t>
            </w:r>
          </w:p>
          <w:p w14:paraId="625E5DCE">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035B8F79">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7、环保投资</w:t>
            </w:r>
          </w:p>
          <w:p w14:paraId="33A03C18">
            <w:pPr>
              <w:pStyle w:val="103"/>
              <w:keepNext w:val="0"/>
              <w:keepLines w:val="0"/>
              <w:pageBreakBefore w:val="0"/>
              <w:numPr>
                <w:ilvl w:val="0"/>
                <w:numId w:val="0"/>
              </w:numPr>
              <w:suppressLineNumbers w:val="0"/>
              <w:wordWrap w:val="0"/>
              <w:bidi w:val="0"/>
              <w:spacing w:before="0" w:beforeAutospacing="0" w:after="0" w:afterAutospacing="0"/>
              <w:ind w:left="482" w:leftChars="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本项目所需落实的污染防治措施的投资估算如下表所示。</w:t>
            </w:r>
          </w:p>
          <w:p w14:paraId="422F9074">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sz w:val="21"/>
                <w:szCs w:val="21"/>
                <w:highlight w:val="none"/>
                <w:lang w:val="en-US" w:eastAsia="zh-CN"/>
              </w:rPr>
              <w:t>环保投资估算一览表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1681"/>
              <w:gridCol w:w="4040"/>
              <w:gridCol w:w="2750"/>
            </w:tblGrid>
            <w:tr w14:paraId="1B19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CB3066A">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序号</w:t>
                  </w:r>
                </w:p>
              </w:tc>
              <w:tc>
                <w:tcPr>
                  <w:tcW w:w="906" w:type="pct"/>
                  <w:vAlign w:val="center"/>
                </w:tcPr>
                <w:p w14:paraId="1976C851">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环保项目</w:t>
                  </w:r>
                </w:p>
              </w:tc>
              <w:tc>
                <w:tcPr>
                  <w:tcW w:w="2177" w:type="pct"/>
                  <w:vAlign w:val="center"/>
                </w:tcPr>
                <w:p w14:paraId="14473F91">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主要内容</w:t>
                  </w:r>
                </w:p>
              </w:tc>
              <w:tc>
                <w:tcPr>
                  <w:tcW w:w="1482" w:type="pct"/>
                  <w:vAlign w:val="center"/>
                </w:tcPr>
                <w:p w14:paraId="37FD357F">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投资额（万元）</w:t>
                  </w:r>
                </w:p>
              </w:tc>
            </w:tr>
            <w:tr w14:paraId="7F65A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468EA0DB">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906" w:type="pct"/>
                  <w:vAlign w:val="center"/>
                </w:tcPr>
                <w:p w14:paraId="1E058F67">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废气治理</w:t>
                  </w:r>
                </w:p>
              </w:tc>
              <w:tc>
                <w:tcPr>
                  <w:tcW w:w="2177" w:type="pct"/>
                  <w:vAlign w:val="center"/>
                </w:tcPr>
                <w:p w14:paraId="12A45BF6">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配套废气收集设施</w:t>
                  </w:r>
                </w:p>
              </w:tc>
              <w:tc>
                <w:tcPr>
                  <w:tcW w:w="1482" w:type="pct"/>
                  <w:vAlign w:val="center"/>
                </w:tcPr>
                <w:p w14:paraId="5D5CC0D3">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40</w:t>
                  </w:r>
                </w:p>
              </w:tc>
            </w:tr>
            <w:tr w14:paraId="7A703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19038673">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906" w:type="pct"/>
                  <w:vAlign w:val="center"/>
                </w:tcPr>
                <w:p w14:paraId="6A7BC3A1">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废水治理</w:t>
                  </w:r>
                </w:p>
              </w:tc>
              <w:tc>
                <w:tcPr>
                  <w:tcW w:w="2177" w:type="pct"/>
                  <w:vAlign w:val="center"/>
                </w:tcPr>
                <w:p w14:paraId="2556A161">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铺设污水接驳管道</w:t>
                  </w:r>
                </w:p>
              </w:tc>
              <w:tc>
                <w:tcPr>
                  <w:tcW w:w="1482" w:type="pct"/>
                  <w:vAlign w:val="center"/>
                </w:tcPr>
                <w:p w14:paraId="2DCD38FF">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5</w:t>
                  </w:r>
                </w:p>
              </w:tc>
            </w:tr>
            <w:tr w14:paraId="2D5A2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3BD7758E">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906" w:type="pct"/>
                  <w:vAlign w:val="center"/>
                </w:tcPr>
                <w:p w14:paraId="17AA53F9">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噪声治理</w:t>
                  </w:r>
                </w:p>
              </w:tc>
              <w:tc>
                <w:tcPr>
                  <w:tcW w:w="2177" w:type="pct"/>
                  <w:vAlign w:val="center"/>
                </w:tcPr>
                <w:p w14:paraId="57DD72A0">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高噪声设备配套减振、隔音、消声装置</w:t>
                  </w:r>
                </w:p>
              </w:tc>
              <w:tc>
                <w:tcPr>
                  <w:tcW w:w="1482" w:type="pct"/>
                  <w:vAlign w:val="center"/>
                </w:tcPr>
                <w:p w14:paraId="22F90216">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2</w:t>
                  </w:r>
                </w:p>
              </w:tc>
            </w:tr>
            <w:tr w14:paraId="652F3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8F19FD1">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p>
              </w:tc>
              <w:tc>
                <w:tcPr>
                  <w:tcW w:w="906" w:type="pct"/>
                  <w:vAlign w:val="center"/>
                </w:tcPr>
                <w:p w14:paraId="6573DC51">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固体废物处理</w:t>
                  </w:r>
                </w:p>
              </w:tc>
              <w:tc>
                <w:tcPr>
                  <w:tcW w:w="2177" w:type="pct"/>
                  <w:vAlign w:val="center"/>
                </w:tcPr>
                <w:p w14:paraId="67508724">
                  <w:pPr>
                    <w:keepNext w:val="0"/>
                    <w:keepLines w:val="0"/>
                    <w:pageBreakBefore w:val="0"/>
                    <w:widowControl/>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建设一般工业固体废物、危险废物贮存间</w:t>
                  </w:r>
                </w:p>
              </w:tc>
              <w:tc>
                <w:tcPr>
                  <w:tcW w:w="1482" w:type="pct"/>
                  <w:vAlign w:val="center"/>
                </w:tcPr>
                <w:p w14:paraId="31D1E775">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3</w:t>
                  </w:r>
                </w:p>
              </w:tc>
            </w:tr>
            <w:tr w14:paraId="444A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7" w:type="pct"/>
                  <w:gridSpan w:val="3"/>
                  <w:vAlign w:val="center"/>
                </w:tcPr>
                <w:p w14:paraId="62E7A02F">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合计</w:t>
                  </w:r>
                </w:p>
              </w:tc>
              <w:tc>
                <w:tcPr>
                  <w:tcW w:w="1482" w:type="pct"/>
                  <w:vAlign w:val="center"/>
                </w:tcPr>
                <w:p w14:paraId="68CE9379">
                  <w:pPr>
                    <w:pStyle w:val="65"/>
                    <w:keepNext w:val="0"/>
                    <w:keepLines w:val="0"/>
                    <w:pageBreakBefore w:val="0"/>
                    <w:suppressLineNumbers w:val="0"/>
                    <w:kinsoku/>
                    <w:wordWrap w:val="0"/>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50</w:t>
                  </w:r>
                </w:p>
              </w:tc>
            </w:tr>
          </w:tbl>
          <w:p w14:paraId="7A0E7A95">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20D2220E">
            <w:pPr>
              <w:pStyle w:val="5"/>
              <w:pageBreakBefore w:val="0"/>
              <w:numPr>
                <w:ilvl w:val="3"/>
                <w:numId w:val="0"/>
              </w:numPr>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1、用地合理、合法性分析</w:t>
            </w:r>
          </w:p>
          <w:p w14:paraId="4D031D54">
            <w:pPr>
              <w:pStyle w:val="5"/>
              <w:pageBreakBefore w:val="0"/>
              <w:numPr>
                <w:ilvl w:val="3"/>
                <w:numId w:val="0"/>
              </w:numPr>
              <w:suppressLineNumbers w:val="0"/>
              <w:wordWrap w:val="0"/>
              <w:bidi w:val="0"/>
              <w:spacing w:before="0" w:beforeAutospacing="0" w:after="0" w:afterAutospacing="0"/>
              <w:ind w:right="0" w:firstLine="480" w:firstLineChars="200"/>
              <w:rPr>
                <w:rFonts w:hint="default" w:ascii="Times New Roman" w:hAnsi="Times New Roman" w:cs="Times New Roman"/>
                <w:b w:val="0"/>
                <w:color w:val="auto"/>
                <w:szCs w:val="24"/>
                <w:highlight w:val="none"/>
              </w:rPr>
            </w:pPr>
            <w:r>
              <w:rPr>
                <w:rFonts w:hint="default" w:ascii="Times New Roman" w:hAnsi="Times New Roman" w:cs="Times New Roman"/>
                <w:b w:val="0"/>
                <w:color w:val="auto"/>
                <w:szCs w:val="24"/>
                <w:highlight w:val="none"/>
              </w:rPr>
              <w:t>建设单位拟于</w:t>
            </w:r>
            <w:r>
              <w:rPr>
                <w:rFonts w:hint="default" w:ascii="Times New Roman" w:hAnsi="Times New Roman" w:cs="Times New Roman"/>
                <w:b w:val="0"/>
                <w:color w:val="auto"/>
                <w:szCs w:val="24"/>
                <w:highlight w:val="none"/>
                <w:lang w:eastAsia="zh-CN"/>
              </w:rPr>
              <w:t>韶关市乐昌市乐昌产业转移工业园</w:t>
            </w:r>
            <w:r>
              <w:rPr>
                <w:rFonts w:hint="default" w:ascii="Times New Roman" w:hAnsi="Times New Roman" w:cs="Times New Roman"/>
                <w:b w:val="0"/>
                <w:color w:val="auto"/>
                <w:szCs w:val="24"/>
                <w:highlight w:val="none"/>
                <w:lang w:val="en-US" w:eastAsia="zh-CN"/>
              </w:rPr>
              <w:t>金岭五路6号厂房</w:t>
            </w:r>
            <w:r>
              <w:rPr>
                <w:rFonts w:hint="default" w:ascii="Times New Roman" w:hAnsi="Times New Roman" w:cs="Times New Roman"/>
                <w:b w:val="0"/>
                <w:color w:val="auto"/>
                <w:szCs w:val="24"/>
                <w:highlight w:val="none"/>
              </w:rPr>
              <w:t>进行生产，项目用地用途为工业用地。</w:t>
            </w:r>
          </w:p>
          <w:p w14:paraId="4AC6C11C">
            <w:pPr>
              <w:pStyle w:val="5"/>
              <w:pageBreakBefore w:val="0"/>
              <w:numPr>
                <w:ilvl w:val="3"/>
                <w:numId w:val="0"/>
              </w:numPr>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09BCDAB5">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bookmarkStart w:id="22" w:name="_Toc15878"/>
            <w:bookmarkStart w:id="23" w:name="_Toc21623"/>
            <w:r>
              <w:rPr>
                <w:rFonts w:hint="default" w:ascii="Times New Roman" w:hAnsi="Times New Roman" w:cs="Times New Roman"/>
                <w:bCs/>
                <w:color w:val="auto"/>
                <w:highlight w:val="none"/>
              </w:rPr>
              <w:t>本项目东面</w:t>
            </w:r>
            <w:r>
              <w:rPr>
                <w:rFonts w:hint="default" w:ascii="Times New Roman" w:hAnsi="Times New Roman" w:cs="Times New Roman"/>
                <w:bCs/>
                <w:color w:val="auto"/>
                <w:highlight w:val="none"/>
                <w:lang w:val="en-US" w:eastAsia="zh-CN"/>
              </w:rPr>
              <w:t>紧邻广东科优精密机械制造有限公司</w:t>
            </w:r>
            <w:r>
              <w:rPr>
                <w:rFonts w:hint="default" w:ascii="Times New Roman" w:hAnsi="Times New Roman" w:cs="Times New Roman"/>
                <w:bCs/>
                <w:color w:val="auto"/>
                <w:highlight w:val="none"/>
              </w:rPr>
              <w:t>、南面</w:t>
            </w:r>
            <w:r>
              <w:rPr>
                <w:rFonts w:hint="default" w:ascii="Times New Roman" w:hAnsi="Times New Roman" w:cs="Times New Roman"/>
                <w:bCs/>
                <w:color w:val="auto"/>
                <w:highlight w:val="none"/>
                <w:lang w:val="en-US" w:eastAsia="zh-CN"/>
              </w:rPr>
              <w:t>紧邻欧昊科技韶关有限公司</w:t>
            </w:r>
            <w:r>
              <w:rPr>
                <w:rFonts w:hint="default" w:ascii="Times New Roman" w:hAnsi="Times New Roman" w:cs="Times New Roman"/>
                <w:bCs/>
                <w:color w:val="auto"/>
                <w:highlight w:val="none"/>
              </w:rPr>
              <w:t>、西面</w:t>
            </w:r>
            <w:r>
              <w:rPr>
                <w:rFonts w:hint="default" w:ascii="Times New Roman" w:hAnsi="Times New Roman" w:cs="Times New Roman"/>
                <w:bCs/>
                <w:color w:val="auto"/>
                <w:highlight w:val="none"/>
                <w:lang w:val="en-US" w:eastAsia="zh-CN"/>
              </w:rPr>
              <w:t>为众诚实业公司办公室及隔道路为广东沃府实业有限公司</w:t>
            </w:r>
            <w:r>
              <w:rPr>
                <w:rFonts w:hint="default" w:ascii="Times New Roman" w:hAnsi="Times New Roman" w:cs="Times New Roman"/>
                <w:bCs/>
                <w:color w:val="auto"/>
                <w:highlight w:val="none"/>
              </w:rPr>
              <w:t>、北面为</w:t>
            </w:r>
            <w:r>
              <w:rPr>
                <w:rFonts w:hint="default" w:ascii="Times New Roman" w:hAnsi="Times New Roman" w:cs="Times New Roman"/>
                <w:bCs/>
                <w:color w:val="auto"/>
                <w:highlight w:val="none"/>
                <w:lang w:val="en-US" w:eastAsia="zh-CN"/>
              </w:rPr>
              <w:t>众诚实业公司</w:t>
            </w:r>
            <w:r>
              <w:rPr>
                <w:rFonts w:hint="default" w:ascii="Times New Roman" w:hAnsi="Times New Roman" w:cs="Times New Roman"/>
                <w:bCs/>
                <w:color w:val="auto"/>
                <w:highlight w:val="none"/>
              </w:rPr>
              <w:t>，本项目</w:t>
            </w:r>
            <w:r>
              <w:rPr>
                <w:rFonts w:hint="default" w:ascii="Times New Roman" w:hAnsi="Times New Roman" w:cs="Times New Roman"/>
                <w:bCs/>
                <w:color w:val="auto"/>
                <w:highlight w:val="none"/>
                <w:lang w:val="en-US" w:eastAsia="zh-CN"/>
              </w:rPr>
              <w:t>500m范围内无</w:t>
            </w:r>
            <w:r>
              <w:rPr>
                <w:rFonts w:hint="default" w:ascii="Times New Roman" w:hAnsi="Times New Roman" w:cs="Times New Roman"/>
                <w:bCs/>
                <w:color w:val="auto"/>
                <w:highlight w:val="none"/>
              </w:rPr>
              <w:t>环境保护目标</w:t>
            </w:r>
            <w:r>
              <w:rPr>
                <w:rFonts w:hint="default" w:ascii="Times New Roman" w:hAnsi="Times New Roman" w:cs="Times New Roman"/>
                <w:color w:val="auto"/>
                <w:highlight w:val="none"/>
              </w:rPr>
              <w:t>。</w:t>
            </w:r>
            <w:bookmarkEnd w:id="22"/>
            <w:bookmarkEnd w:id="23"/>
          </w:p>
          <w:p w14:paraId="31F6E638">
            <w:pPr>
              <w:keepNext w:val="0"/>
              <w:keepLines w:val="0"/>
              <w:pageBreakBefore w:val="0"/>
              <w:widowControl w:val="0"/>
              <w:suppressLineNumbers w:val="0"/>
              <w:kinsoku/>
              <w:wordWrap w:val="0"/>
              <w:overflowPunct/>
              <w:topLinePunct w:val="0"/>
              <w:autoSpaceDE/>
              <w:autoSpaceDN/>
              <w:bidi w:val="0"/>
              <w:adjustRightInd w:val="0"/>
              <w:snapToGrid/>
              <w:spacing w:before="0" w:beforeAutospacing="0" w:after="0" w:afterAutospacing="0"/>
              <w:ind w:left="0" w:right="0"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55456C15">
            <w:pPr>
              <w:pStyle w:val="28"/>
              <w:keepNext w:val="0"/>
              <w:keepLines w:val="0"/>
              <w:pageBreakBefore w:val="0"/>
              <w:widowControl w:val="0"/>
              <w:suppressLineNumbers w:val="0"/>
              <w:kinsoku/>
              <w:wordWrap w:val="0"/>
              <w:overflowPunct/>
              <w:topLinePunct w:val="0"/>
              <w:autoSpaceDE/>
              <w:autoSpaceDN/>
              <w:bidi w:val="0"/>
              <w:snapToGrid/>
              <w:spacing w:before="0" w:beforeAutospacing="0" w:after="0" w:afterAutospacing="0"/>
              <w:ind w:left="0" w:right="0" w:firstLine="480"/>
              <w:textAlignment w:val="auto"/>
              <w:outlineLvl w:val="9"/>
              <w:rPr>
                <w:rFonts w:hint="default" w:ascii="Times New Roman" w:hAnsi="Times New Roman" w:cs="Times New Roman"/>
                <w:color w:val="auto"/>
                <w:highlight w:val="none"/>
              </w:rPr>
            </w:pPr>
            <w:bookmarkStart w:id="24" w:name="_Toc20310"/>
            <w:bookmarkStart w:id="25" w:name="_Toc6378"/>
            <w:bookmarkStart w:id="26" w:name="_Toc22320"/>
            <w:bookmarkStart w:id="27" w:name="_Toc19690"/>
            <w:bookmarkStart w:id="28" w:name="_Toc1050"/>
            <w:bookmarkStart w:id="29" w:name="_Toc4970"/>
            <w:bookmarkStart w:id="30" w:name="_Toc5262"/>
            <w:bookmarkStart w:id="31" w:name="_Toc4848"/>
            <w:bookmarkStart w:id="32" w:name="_Toc24572"/>
            <w:r>
              <w:rPr>
                <w:rFonts w:hint="default" w:ascii="Times New Roman" w:hAnsi="Times New Roman" w:cs="Times New Roman"/>
                <w:color w:val="auto"/>
                <w:szCs w:val="24"/>
                <w:highlight w:val="none"/>
              </w:rPr>
              <w:t>本项目由生产厂房建筑物组成，各区用途分明，布局紧凑，原料统一存放，便于物料的管理和风险控制，该区域地面设置防渗层，防止泄漏时下渗，防止污染土壤和地下水；废气排气筒DA001设置在厂房</w:t>
            </w:r>
            <w:r>
              <w:rPr>
                <w:rFonts w:hint="default" w:ascii="Times New Roman" w:hAnsi="Times New Roman" w:cs="Times New Roman"/>
                <w:color w:val="auto"/>
                <w:szCs w:val="24"/>
                <w:highlight w:val="none"/>
                <w:lang w:val="en-US" w:eastAsia="zh-CN"/>
              </w:rPr>
              <w:t>南</w:t>
            </w:r>
            <w:r>
              <w:rPr>
                <w:rFonts w:hint="default" w:ascii="Times New Roman" w:hAnsi="Times New Roman" w:cs="Times New Roman"/>
                <w:color w:val="auto"/>
                <w:szCs w:val="24"/>
                <w:highlight w:val="none"/>
              </w:rPr>
              <w:t>侧。本项目四周以工业性质企业、建设用地为主，因此本项目建设能与周边环境协调一致，项目四至环境见附图</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rPr>
              <w:t>，周边环境现状实景见附图1</w:t>
            </w:r>
            <w:r>
              <w:rPr>
                <w:rFonts w:hint="default" w:ascii="Times New Roman" w:hAnsi="Times New Roman" w:cs="Times New Roman"/>
                <w:color w:val="auto"/>
                <w:szCs w:val="24"/>
                <w:highlight w:val="none"/>
                <w:lang w:val="en-US" w:eastAsia="zh-CN"/>
              </w:rPr>
              <w:t>4</w:t>
            </w:r>
            <w:r>
              <w:rPr>
                <w:rFonts w:hint="default" w:ascii="Times New Roman" w:hAnsi="Times New Roman" w:cs="Times New Roman"/>
                <w:color w:val="auto"/>
                <w:szCs w:val="24"/>
                <w:highlight w:val="none"/>
              </w:rPr>
              <w:t>。</w:t>
            </w:r>
            <w:bookmarkEnd w:id="24"/>
            <w:bookmarkEnd w:id="25"/>
            <w:bookmarkEnd w:id="26"/>
            <w:bookmarkEnd w:id="27"/>
            <w:bookmarkEnd w:id="28"/>
            <w:bookmarkEnd w:id="29"/>
            <w:bookmarkEnd w:id="30"/>
            <w:bookmarkEnd w:id="31"/>
            <w:bookmarkEnd w:id="32"/>
          </w:p>
        </w:tc>
      </w:tr>
      <w:tr w14:paraId="7FE88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41" w:type="pct"/>
            <w:vAlign w:val="center"/>
          </w:tcPr>
          <w:p w14:paraId="4F2365F7">
            <w:pPr>
              <w:keepNext w:val="0"/>
              <w:keepLines w:val="0"/>
              <w:pageBreakBefore w:val="0"/>
              <w:widowControl w:val="0"/>
              <w:numPr>
                <w:ilvl w:val="1"/>
                <w:numId w:val="0"/>
              </w:numPr>
              <w:suppressLineNumbers w:val="0"/>
              <w:tabs>
                <w:tab w:val="left" w:pos="420"/>
              </w:tabs>
              <w:kinsoku/>
              <w:wordWrap w:val="0"/>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default" w:ascii="Times New Roman" w:hAnsi="Times New Roman" w:cs="Times New Roman"/>
                <w:color w:val="auto"/>
                <w:highlight w:val="none"/>
              </w:rPr>
            </w:pPr>
            <w:bookmarkStart w:id="33" w:name="_Toc7091"/>
            <w:bookmarkStart w:id="34" w:name="_Toc14179"/>
            <w:bookmarkStart w:id="35" w:name="_Toc22477"/>
            <w:bookmarkStart w:id="36" w:name="_Toc29759"/>
            <w:bookmarkStart w:id="37" w:name="_Toc25729"/>
            <w:r>
              <w:rPr>
                <w:rFonts w:hint="default" w:ascii="Times New Roman" w:hAnsi="Times New Roman" w:cs="Times New Roman"/>
                <w:b/>
                <w:bCs/>
                <w:color w:val="auto"/>
                <w:highlight w:val="none"/>
              </w:rPr>
              <w:t>工艺流程和产排污环节</w:t>
            </w:r>
            <w:bookmarkEnd w:id="33"/>
            <w:bookmarkEnd w:id="34"/>
            <w:bookmarkEnd w:id="35"/>
            <w:bookmarkEnd w:id="36"/>
            <w:bookmarkEnd w:id="37"/>
          </w:p>
        </w:tc>
        <w:tc>
          <w:tcPr>
            <w:tcW w:w="4758" w:type="pct"/>
          </w:tcPr>
          <w:p w14:paraId="558360DE">
            <w:pPr>
              <w:keepNext w:val="0"/>
              <w:keepLines w:val="0"/>
              <w:pageBreakBefore w:val="0"/>
              <w:numPr>
                <w:ilvl w:val="2"/>
                <w:numId w:val="0"/>
              </w:numPr>
              <w:suppressLineNumbers w:val="0"/>
              <w:tabs>
                <w:tab w:val="left" w:pos="420"/>
              </w:tabs>
              <w:kinsoku/>
              <w:wordWrap w:val="0"/>
              <w:overflowPunct/>
              <w:topLinePunct w:val="0"/>
              <w:bidi w:val="0"/>
              <w:snapToGrid/>
              <w:spacing w:before="0" w:beforeAutospacing="0" w:after="0" w:afterAutospacing="0"/>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一、工艺流程说明</w:t>
            </w:r>
          </w:p>
          <w:p w14:paraId="7B0AC8C7">
            <w:pPr>
              <w:keepNext w:val="0"/>
              <w:keepLines w:val="0"/>
              <w:pageBreakBefore w:val="0"/>
              <w:suppressLineNumbers w:val="0"/>
              <w:kinsoku/>
              <w:wordWrap w:val="0"/>
              <w:overflowPunct/>
              <w:topLinePunct w:val="0"/>
              <w:bidi w:val="0"/>
              <w:snapToGrid/>
              <w:spacing w:before="0" w:beforeAutospacing="0" w:after="0" w:afterAutospacing="0"/>
              <w:ind w:left="0" w:right="0" w:firstLine="480" w:firstLine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lang w:val="en-US" w:eastAsia="zh-CN"/>
              </w:rPr>
              <w:t>新形建筑软瓷</w:t>
            </w:r>
            <w:r>
              <w:rPr>
                <w:rFonts w:hint="default" w:ascii="Times New Roman" w:hAnsi="Times New Roman" w:cs="Times New Roman"/>
                <w:b/>
                <w:bCs/>
                <w:color w:val="auto"/>
                <w:highlight w:val="none"/>
              </w:rPr>
              <w:t>生产工艺流程及产污分析</w:t>
            </w:r>
          </w:p>
          <w:p w14:paraId="20A39DFD">
            <w:pPr>
              <w:keepNext w:val="0"/>
              <w:keepLines w:val="0"/>
              <w:pageBreakBefore w:val="0"/>
              <w:suppressLineNumbers w:val="0"/>
              <w:kinsoku/>
              <w:wordWrap w:val="0"/>
              <w:overflowPunct/>
              <w:topLinePunct w:val="0"/>
              <w:bidi w:val="0"/>
              <w:snapToGrid/>
              <w:spacing w:before="0" w:beforeAutospacing="0" w:after="0" w:afterAutospacing="0"/>
              <w:ind w:left="0" w:right="0"/>
              <w:jc w:val="both"/>
              <w:outlineLvl w:val="9"/>
              <w:rPr>
                <w:rFonts w:hint="default" w:ascii="Times New Roman" w:hAnsi="Times New Roman" w:cs="Times New Roman"/>
                <w:color w:val="auto"/>
                <w:highlight w:val="none"/>
              </w:rPr>
            </w:pP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highlight w:val="none"/>
              </w:rPr>
              <w:drawing>
                <wp:inline distT="0" distB="0" distL="114300" distR="114300">
                  <wp:extent cx="5891530" cy="6015990"/>
                  <wp:effectExtent l="9525" t="9525" r="17145" b="19685"/>
                  <wp:docPr id="40" name="ECB019B1-382A-4266-B25C-5B523AA43C14-3" descr="C:/Users/Administrator/AppData/Local/Temp/wps.TviTY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CB019B1-382A-4266-B25C-5B523AA43C14-3" descr="C:/Users/Administrator/AppData/Local/Temp/wps.TviTYIwps"/>
                          <pic:cNvPicPr>
                            <a:picLocks noChangeAspect="1"/>
                          </pic:cNvPicPr>
                        </pic:nvPicPr>
                        <pic:blipFill>
                          <a:blip r:embed="rId14"/>
                          <a:stretch>
                            <a:fillRect/>
                          </a:stretch>
                        </pic:blipFill>
                        <pic:spPr>
                          <a:xfrm>
                            <a:off x="0" y="0"/>
                            <a:ext cx="5891530" cy="6015990"/>
                          </a:xfrm>
                          <a:prstGeom prst="rect">
                            <a:avLst/>
                          </a:prstGeom>
                          <a:ln>
                            <a:solidFill>
                              <a:schemeClr val="tx1"/>
                            </a:solid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3830320</wp:posOffset>
                      </wp:positionH>
                      <wp:positionV relativeFrom="paragraph">
                        <wp:posOffset>530225</wp:posOffset>
                      </wp:positionV>
                      <wp:extent cx="423545" cy="345440"/>
                      <wp:effectExtent l="0" t="0" r="8255" b="10160"/>
                      <wp:wrapNone/>
                      <wp:docPr id="31" name="矩形 31"/>
                      <wp:cNvGraphicFramePr/>
                      <a:graphic xmlns:a="http://schemas.openxmlformats.org/drawingml/2006/main">
                        <a:graphicData uri="http://schemas.microsoft.com/office/word/2010/wordprocessingShape">
                          <wps:wsp>
                            <wps:cNvSpPr/>
                            <wps:spPr>
                              <a:xfrm>
                                <a:off x="4751705" y="1450975"/>
                                <a:ext cx="423545" cy="34544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6pt;margin-top:41.75pt;height:27.2pt;width:33.35pt;z-index:251711488;v-text-anchor:middle;mso-width-relative:page;mso-height-relative:page;" fillcolor="#FFFFFF [3212]" filled="t" stroked="f" coordsize="21600,21600" o:gfxdata="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&#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hkAWzdoAAAAKAQAADwAAAAAAAAABACAAAAAiAAAA&#10;ZHJzL2Rvd25yZXYueG1sUEsBAhQAFAAAAAgAh07iQDx7nYZ3AgAA2AQAAA4AAAAAAAAAAQAgAAAA&#10;KQEAAGRycy9lMm9Eb2MueG1sUEsFBgAAAAAGAAYAWQEAABIGAAAAAA==&#10;">
                      <v:fill on="t" focussize="0,0"/>
                      <v:stroke on="f" weight="1pt" miterlimit="8" joinstyle="miter"/>
                      <v:imagedata o:title=""/>
                      <o:lock v:ext="edit" aspectratio="f"/>
                    </v:rect>
                  </w:pict>
                </mc:Fallback>
              </mc:AlternateContent>
            </w:r>
          </w:p>
          <w:p w14:paraId="19CA753B">
            <w:pPr>
              <w:pStyle w:val="12"/>
              <w:keepNext w:val="0"/>
              <w:keepLines w:val="0"/>
              <w:pageBreakBefore w:val="0"/>
              <w:numPr>
                <w:ilvl w:val="0"/>
                <w:numId w:val="0"/>
              </w:numPr>
              <w:suppressLineNumbers w:val="0"/>
              <w:tabs>
                <w:tab w:val="left" w:pos="420"/>
              </w:tabs>
              <w:kinsoku/>
              <w:wordWrap w:val="0"/>
              <w:overflowPunct/>
              <w:topLinePunct w:val="0"/>
              <w:bidi w:val="0"/>
              <w:snapToGrid/>
              <w:spacing w:before="0" w:beforeAutospacing="0" w:after="0" w:afterAutospacing="0" w:line="240" w:lineRule="auto"/>
              <w:ind w:left="0" w:leftChars="0" w:right="0" w:rightChars="0" w:firstLine="0" w:firstLineChars="0"/>
              <w:outlineLvl w:val="9"/>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图2-2</w:t>
            </w:r>
            <w:r>
              <w:rPr>
                <w:rFonts w:hint="default" w:ascii="Times New Roman" w:hAnsi="Times New Roman" w:cs="Times New Roman"/>
                <w:b/>
                <w:color w:val="auto"/>
                <w:kern w:val="2"/>
                <w:sz w:val="21"/>
                <w:szCs w:val="21"/>
                <w:highlight w:val="none"/>
                <w:lang w:val="en-US" w:eastAsia="zh-CN" w:bidi="ar-SA"/>
              </w:rPr>
              <w:t xml:space="preserve"> </w:t>
            </w:r>
            <w:r>
              <w:rPr>
                <w:rFonts w:hint="default" w:ascii="Times New Roman" w:hAnsi="Times New Roman" w:cs="Times New Roman"/>
                <w:b/>
                <w:bCs/>
                <w:color w:val="auto"/>
                <w:highlight w:val="none"/>
              </w:rPr>
              <w:t>生产工艺流程图</w:t>
            </w:r>
          </w:p>
          <w:p w14:paraId="61092C20">
            <w:pPr>
              <w:keepNext w:val="0"/>
              <w:keepLines w:val="0"/>
              <w:pageBreakBefore w:val="0"/>
              <w:numPr>
                <w:ilvl w:val="0"/>
                <w:numId w:val="0"/>
              </w:numPr>
              <w:suppressLineNumbers w:val="0"/>
              <w:tabs>
                <w:tab w:val="left" w:pos="420"/>
              </w:tabs>
              <w:kinsoku/>
              <w:wordWrap w:val="0"/>
              <w:overflowPunct/>
              <w:topLinePunct w:val="0"/>
              <w:bidi w:val="0"/>
              <w:snapToGrid/>
              <w:spacing w:before="0" w:beforeAutospacing="0" w:after="0" w:afterAutospacing="0"/>
              <w:ind w:left="480" w:leftChars="200" w:right="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工艺流程说明：</w:t>
            </w:r>
          </w:p>
          <w:p w14:paraId="2439736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ind w:left="0" w:right="0" w:firstLine="480"/>
              <w:textAlignment w:val="auto"/>
              <w:outlineLvl w:val="9"/>
              <w:rPr>
                <w:rFonts w:hint="default" w:ascii="Times New Roman" w:hAnsi="Times New Roman" w:eastAsia="宋体" w:cs="Times New Roman"/>
                <w:b/>
                <w:color w:val="auto"/>
                <w:highlight w:val="none"/>
                <w:lang w:val="en-US" w:eastAsia="zh-CN"/>
              </w:rPr>
            </w:pPr>
            <w:r>
              <w:rPr>
                <w:rFonts w:hint="default" w:ascii="Times New Roman" w:hAnsi="Times New Roman" w:cs="Times New Roman"/>
                <w:b/>
                <w:color w:val="auto"/>
                <w:highlight w:val="none"/>
              </w:rPr>
              <w:t>（1）</w:t>
            </w:r>
            <w:r>
              <w:rPr>
                <w:rFonts w:hint="default" w:ascii="Times New Roman" w:hAnsi="Times New Roman" w:cs="Times New Roman"/>
                <w:b/>
                <w:color w:val="auto"/>
                <w:highlight w:val="none"/>
                <w:lang w:val="en-US" w:eastAsia="zh-CN"/>
              </w:rPr>
              <w:t>投料搅拌</w:t>
            </w:r>
            <w:r>
              <w:rPr>
                <w:rFonts w:hint="default" w:ascii="Times New Roman" w:hAnsi="Times New Roman" w:cs="Times New Roman"/>
                <w:b/>
                <w:color w:val="auto"/>
                <w:highlight w:val="none"/>
              </w:rPr>
              <w:t>：</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外购回的合格原料（石粉、矿粉、丙烯酸乳液）按配方量与调配用水一并投入搅拌机中，在搅拌机内常温搅拌均匀后备用，此过程会产生少量投料粉尘、废包装材料，噪声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此外，根据丙烯酸乳液VOC含量检测结果为未检出（小于方法检出限），说明本项目在常温投料搅拌过程中，丙烯酸乳液不会产生挥发性有机废气；</w:t>
            </w:r>
          </w:p>
          <w:p w14:paraId="6D7CD25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ind w:left="0" w:right="0" w:firstLine="480"/>
              <w:textAlignment w:val="auto"/>
              <w:outlineLvl w:val="9"/>
              <w:rPr>
                <w:rFonts w:hint="default" w:ascii="Times New Roman" w:hAnsi="Times New Roman" w:eastAsia="宋体" w:cs="Times New Roman"/>
                <w:b/>
                <w:color w:val="auto"/>
                <w:highlight w:val="none"/>
                <w:lang w:val="en-US" w:eastAsia="zh-CN"/>
              </w:rPr>
            </w:pPr>
            <w:r>
              <w:rPr>
                <w:rFonts w:hint="default" w:ascii="Times New Roman" w:hAnsi="Times New Roman" w:cs="Times New Roman"/>
                <w:b/>
                <w:color w:val="auto"/>
                <w:highlight w:val="none"/>
              </w:rPr>
              <w:t>（2）</w:t>
            </w:r>
            <w:r>
              <w:rPr>
                <w:rFonts w:hint="default" w:ascii="Times New Roman" w:hAnsi="Times New Roman" w:cs="Times New Roman"/>
                <w:b/>
                <w:color w:val="auto"/>
                <w:highlight w:val="none"/>
                <w:lang w:val="en-US" w:eastAsia="zh-CN"/>
              </w:rPr>
              <w:t>成型烘干</w:t>
            </w:r>
            <w:r>
              <w:rPr>
                <w:rFonts w:hint="default" w:ascii="Times New Roman" w:hAnsi="Times New Roman" w:cs="Times New Roman"/>
                <w:b/>
                <w:color w:val="auto"/>
                <w:highlight w:val="none"/>
              </w:rPr>
              <w:t>：</w:t>
            </w:r>
            <w:r>
              <w:rPr>
                <w:rFonts w:hint="default" w:ascii="Times New Roman" w:hAnsi="Times New Roman" w:cs="Times New Roman"/>
                <w:b w:val="0"/>
                <w:bCs/>
                <w:color w:val="auto"/>
                <w:highlight w:val="none"/>
                <w:lang w:val="en-US" w:eastAsia="zh-CN"/>
              </w:rPr>
              <w:t>搅拌后物料下料至软瓷生产线模具中，并放入玻璃纤维网格布待其自然流平后，送入软瓷生产线自带烘干通道进行成型烘干，供热来源于配套烤房产生的燃烧烟气，温度约80℃</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val="en-US" w:eastAsia="zh-CN" w:bidi="ar"/>
              </w:rPr>
              <w:t>此过程会产生有机废气（以非甲烷总烃表征，含苯系物）、燃烧废气（颗粒物、氮氧化物、二氧化硫、烟气黑度）、生产异味（以臭气浓度表征）、噪声；</w:t>
            </w:r>
          </w:p>
          <w:p w14:paraId="5AC343DE">
            <w:pPr>
              <w:pStyle w:val="43"/>
              <w:keepNext w:val="0"/>
              <w:keepLines w:val="0"/>
              <w:pageBreakBefore w:val="0"/>
              <w:suppressLineNumbers w:val="0"/>
              <w:kinsoku/>
              <w:wordWrap w:val="0"/>
              <w:overflowPunct/>
              <w:topLinePunct w:val="0"/>
              <w:bidi w:val="0"/>
              <w:snapToGrid/>
              <w:spacing w:before="0" w:beforeAutospacing="0" w:after="0" w:afterAutospacing="0"/>
              <w:ind w:left="0" w:right="0" w:firstLine="470" w:firstLineChars="196"/>
              <w:outlineLvl w:val="9"/>
              <w:rPr>
                <w:rFonts w:hint="default" w:ascii="Times New Roman" w:hAnsi="Times New Roman" w:cs="Times New Roman"/>
                <w:color w:val="auto"/>
                <w:highlight w:val="none"/>
              </w:rPr>
            </w:pPr>
            <w:r>
              <w:rPr>
                <w:rFonts w:hint="default" w:ascii="Times New Roman" w:hAnsi="Times New Roman" w:cs="Times New Roman"/>
                <w:b/>
                <w:color w:val="auto"/>
                <w:highlight w:val="none"/>
              </w:rPr>
              <w:t>（</w:t>
            </w:r>
            <w:r>
              <w:rPr>
                <w:rFonts w:hint="default" w:ascii="Times New Roman" w:hAnsi="Times New Roman" w:cs="Times New Roman"/>
                <w:b/>
                <w:color w:val="auto"/>
                <w:highlight w:val="none"/>
                <w:lang w:val="en-US" w:eastAsia="zh-CN"/>
              </w:rPr>
              <w:t>3</w:t>
            </w:r>
            <w:r>
              <w:rPr>
                <w:rFonts w:hint="default" w:ascii="Times New Roman" w:hAnsi="Times New Roman" w:cs="Times New Roman"/>
                <w:b/>
                <w:color w:val="auto"/>
                <w:highlight w:val="none"/>
              </w:rPr>
              <w:t>）</w:t>
            </w:r>
            <w:r>
              <w:rPr>
                <w:rFonts w:hint="default" w:ascii="Times New Roman" w:hAnsi="Times New Roman" w:cs="Times New Roman"/>
                <w:b/>
                <w:color w:val="auto"/>
                <w:highlight w:val="none"/>
                <w:lang w:val="en-US" w:eastAsia="zh-CN"/>
              </w:rPr>
              <w:t>上色固化</w:t>
            </w:r>
            <w:r>
              <w:rPr>
                <w:rFonts w:hint="default" w:ascii="Times New Roman" w:hAnsi="Times New Roman" w:cs="Times New Roman"/>
                <w:b/>
                <w:color w:val="auto"/>
                <w:highlight w:val="none"/>
              </w:rPr>
              <w:t>：</w:t>
            </w:r>
            <w:r>
              <w:rPr>
                <w:rFonts w:hint="default" w:ascii="Times New Roman" w:hAnsi="Times New Roman" w:cs="Times New Roman"/>
                <w:color w:val="auto"/>
                <w:highlight w:val="none"/>
              </w:rPr>
              <w:t>成型</w:t>
            </w:r>
            <w:r>
              <w:rPr>
                <w:rFonts w:hint="default" w:ascii="Times New Roman" w:hAnsi="Times New Roman" w:cs="Times New Roman"/>
                <w:color w:val="auto"/>
                <w:highlight w:val="none"/>
                <w:lang w:val="en-US" w:eastAsia="zh-CN"/>
              </w:rPr>
              <w:t>后物料使用喷漆机在表面喷涂上色，上色后送入烤房进行加热固化，固化采用</w:t>
            </w:r>
            <w:r>
              <w:rPr>
                <w:rFonts w:hint="default" w:ascii="Times New Roman" w:hAnsi="Times New Roman" w:cs="Times New Roman"/>
                <w:color w:val="auto"/>
                <w:highlight w:val="none"/>
              </w:rPr>
              <w:t>天然气</w:t>
            </w:r>
            <w:r>
              <w:rPr>
                <w:rFonts w:hint="default" w:ascii="Times New Roman" w:hAnsi="Times New Roman" w:cs="Times New Roman"/>
                <w:color w:val="auto"/>
                <w:highlight w:val="none"/>
                <w:lang w:val="en-US" w:eastAsia="zh-CN"/>
              </w:rPr>
              <w:t>供热</w:t>
            </w:r>
            <w:r>
              <w:rPr>
                <w:rFonts w:hint="default" w:ascii="Times New Roman" w:hAnsi="Times New Roman" w:cs="Times New Roman"/>
                <w:color w:val="auto"/>
                <w:highlight w:val="none"/>
              </w:rPr>
              <w:t>，控制温度为</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喷涂工位设置水帘柜喷淋收集处理漆雾，喷枪定期使用自来水清洗</w:t>
            </w:r>
            <w:r>
              <w:rPr>
                <w:rFonts w:hint="default" w:ascii="Times New Roman" w:hAnsi="Times New Roman" w:cs="Times New Roman"/>
                <w:color w:val="auto"/>
                <w:highlight w:val="none"/>
              </w:rPr>
              <w:t>。</w:t>
            </w:r>
            <w:r>
              <w:rPr>
                <w:rFonts w:hint="default" w:ascii="Times New Roman" w:hAnsi="Times New Roman" w:cs="Times New Roman"/>
                <w:color w:val="auto"/>
                <w:kern w:val="0"/>
                <w:highlight w:val="none"/>
                <w:lang w:val="en-US" w:eastAsia="zh-CN" w:bidi="ar"/>
              </w:rPr>
              <w:t>此过程会产生有机废气（以非甲烷总烃表征）、漆雾（以颗粒物表征）、燃烧废气（颗粒物、氮氧化物、二氧化硫）、生产异味（以臭气浓度表征）、水帘柜喷淋废水、水帘柜沉渣、喷枪清洗废液；</w:t>
            </w:r>
          </w:p>
          <w:p w14:paraId="5DFD2CDF">
            <w:pPr>
              <w:pStyle w:val="12"/>
              <w:keepNext w:val="0"/>
              <w:keepLines w:val="0"/>
              <w:pageBreakBefore w:val="0"/>
              <w:suppressLineNumbers w:val="0"/>
              <w:kinsoku/>
              <w:wordWrap w:val="0"/>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切割</w:t>
            </w:r>
            <w:r>
              <w:rPr>
                <w:rFonts w:hint="default" w:ascii="Times New Roman" w:hAnsi="Times New Roman" w:cs="Times New Roman"/>
                <w:b/>
                <w:bCs/>
                <w:color w:val="auto"/>
                <w:sz w:val="24"/>
                <w:szCs w:val="24"/>
                <w:highlight w:val="none"/>
              </w:rPr>
              <w:t>：</w:t>
            </w:r>
            <w:r>
              <w:rPr>
                <w:rFonts w:hint="default" w:ascii="Times New Roman" w:hAnsi="Times New Roman" w:cs="Times New Roman"/>
                <w:b w:val="0"/>
                <w:bCs w:val="0"/>
                <w:color w:val="auto"/>
                <w:sz w:val="24"/>
                <w:szCs w:val="24"/>
                <w:highlight w:val="none"/>
                <w:lang w:val="en-US" w:eastAsia="zh-CN"/>
              </w:rPr>
              <w:t>成型物料出厂尺寸由软瓷生产线模具决定，此处切割工序可根据客户订单需求裁切至规定长度，无需对成型物料进行尺寸切割调整，物料经切割机切割后入库待售</w:t>
            </w:r>
            <w:r>
              <w:rPr>
                <w:rFonts w:hint="default" w:ascii="Times New Roman" w:hAnsi="Times New Roman" w:cs="Times New Roman"/>
                <w:b w:val="0"/>
                <w:bCs w:val="0"/>
                <w:color w:val="auto"/>
                <w:sz w:val="24"/>
                <w:szCs w:val="28"/>
                <w:highlight w:val="none"/>
              </w:rPr>
              <w:t>。</w:t>
            </w:r>
            <w:r>
              <w:rPr>
                <w:rFonts w:hint="default" w:ascii="Times New Roman" w:hAnsi="Times New Roman" w:cs="Times New Roman"/>
                <w:b w:val="0"/>
                <w:bCs w:val="0"/>
                <w:color w:val="auto"/>
                <w:sz w:val="24"/>
                <w:szCs w:val="28"/>
                <w:highlight w:val="none"/>
                <w:lang w:val="en-US" w:eastAsia="zh-CN"/>
              </w:rPr>
              <w:t>此过程会产生切割粉尘。</w:t>
            </w:r>
          </w:p>
          <w:p w14:paraId="76C3416F">
            <w:pPr>
              <w:pStyle w:val="12"/>
              <w:keepNext w:val="0"/>
              <w:keepLines w:val="0"/>
              <w:pageBreakBefore w:val="0"/>
              <w:suppressLineNumbers w:val="0"/>
              <w:kinsoku/>
              <w:wordWrap w:val="0"/>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E83C2FA">
            <w:pPr>
              <w:pStyle w:val="106"/>
              <w:keepNext w:val="0"/>
              <w:keepLines w:val="0"/>
              <w:pageBreakBefore w:val="0"/>
              <w:suppressLineNumbers w:val="0"/>
              <w:wordWrap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zh-CN"/>
              </w:rPr>
              <w:t>主要污染节点分析一览表</w:t>
            </w:r>
          </w:p>
          <w:tbl>
            <w:tblPr>
              <w:tblStyle w:val="36"/>
              <w:tblW w:w="498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2390"/>
              <w:gridCol w:w="2533"/>
              <w:gridCol w:w="3596"/>
            </w:tblGrid>
            <w:tr w14:paraId="0159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398" w:type="pct"/>
                  <w:vMerge w:val="restart"/>
                  <w:vAlign w:val="center"/>
                </w:tcPr>
                <w:p w14:paraId="7C319727">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污染类型</w:t>
                  </w:r>
                </w:p>
              </w:tc>
              <w:tc>
                <w:tcPr>
                  <w:tcW w:w="1291" w:type="pct"/>
                  <w:vMerge w:val="restart"/>
                  <w:vAlign w:val="center"/>
                </w:tcPr>
                <w:p w14:paraId="413E000E">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产生部位</w:t>
                  </w:r>
                </w:p>
              </w:tc>
              <w:tc>
                <w:tcPr>
                  <w:tcW w:w="3310" w:type="pct"/>
                  <w:gridSpan w:val="2"/>
                  <w:vAlign w:val="center"/>
                </w:tcPr>
                <w:p w14:paraId="7DA2E230">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w:t>
                  </w:r>
                </w:p>
              </w:tc>
            </w:tr>
            <w:tr w14:paraId="71025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398" w:type="pct"/>
                  <w:vMerge w:val="continue"/>
                  <w:vAlign w:val="center"/>
                </w:tcPr>
                <w:p w14:paraId="76FC6793">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291" w:type="pct"/>
                  <w:vMerge w:val="continue"/>
                  <w:vAlign w:val="center"/>
                </w:tcPr>
                <w:p w14:paraId="4C1F590B">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368" w:type="pct"/>
                  <w:vAlign w:val="center"/>
                </w:tcPr>
                <w:p w14:paraId="51481B2A">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内容</w:t>
                  </w:r>
                </w:p>
              </w:tc>
              <w:tc>
                <w:tcPr>
                  <w:tcW w:w="1941" w:type="pct"/>
                  <w:vAlign w:val="center"/>
                </w:tcPr>
                <w:p w14:paraId="1CFBD4C6">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污染因子</w:t>
                  </w:r>
                </w:p>
              </w:tc>
            </w:tr>
            <w:tr w14:paraId="1C08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398" w:type="pct"/>
                  <w:vAlign w:val="center"/>
                </w:tcPr>
                <w:p w14:paraId="66104C6A">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w:t>
                  </w:r>
                </w:p>
              </w:tc>
              <w:tc>
                <w:tcPr>
                  <w:tcW w:w="1291" w:type="pct"/>
                  <w:vAlign w:val="center"/>
                </w:tcPr>
                <w:p w14:paraId="6674C14C">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员工生活</w:t>
                  </w:r>
                </w:p>
              </w:tc>
              <w:tc>
                <w:tcPr>
                  <w:tcW w:w="1368" w:type="pct"/>
                  <w:vAlign w:val="center"/>
                </w:tcPr>
                <w:p w14:paraId="40B6CE9F">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生活污水</w:t>
                  </w:r>
                </w:p>
              </w:tc>
              <w:tc>
                <w:tcPr>
                  <w:tcW w:w="1941" w:type="pct"/>
                  <w:vAlign w:val="center"/>
                </w:tcPr>
                <w:p w14:paraId="08B80AD3">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、BOD</w:t>
                  </w:r>
                  <w:r>
                    <w:rPr>
                      <w:rFonts w:hint="default" w:ascii="Times New Roman" w:hAnsi="Times New Roman" w:cs="Times New Roman"/>
                      <w:color w:val="auto"/>
                      <w:kern w:val="2"/>
                      <w:sz w:val="21"/>
                      <w:szCs w:val="21"/>
                      <w:highlight w:val="none"/>
                      <w:vertAlign w:val="subscript"/>
                    </w:rPr>
                    <w:t>5</w:t>
                  </w:r>
                  <w:r>
                    <w:rPr>
                      <w:rFonts w:hint="default" w:ascii="Times New Roman" w:hAnsi="Times New Roman" w:cs="Times New Roman"/>
                      <w:color w:val="auto"/>
                      <w:kern w:val="2"/>
                      <w:sz w:val="21"/>
                      <w:szCs w:val="21"/>
                      <w:highlight w:val="none"/>
                    </w:rPr>
                    <w:t>、氨氮、SS</w:t>
                  </w:r>
                </w:p>
              </w:tc>
            </w:tr>
            <w:tr w14:paraId="794D3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98" w:type="pct"/>
                  <w:vMerge w:val="restart"/>
                  <w:vAlign w:val="center"/>
                </w:tcPr>
                <w:p w14:paraId="536A601F">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废气</w:t>
                  </w:r>
                </w:p>
              </w:tc>
              <w:tc>
                <w:tcPr>
                  <w:tcW w:w="1291" w:type="pct"/>
                  <w:vAlign w:val="center"/>
                </w:tcPr>
                <w:p w14:paraId="2E49D2DC">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投料搅拌</w:t>
                  </w:r>
                </w:p>
              </w:tc>
              <w:tc>
                <w:tcPr>
                  <w:tcW w:w="1368" w:type="pct"/>
                  <w:vAlign w:val="center"/>
                </w:tcPr>
                <w:p w14:paraId="75FC88D2">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投料粉尘</w:t>
                  </w:r>
                </w:p>
              </w:tc>
              <w:tc>
                <w:tcPr>
                  <w:tcW w:w="1941" w:type="pct"/>
                  <w:vAlign w:val="center"/>
                </w:tcPr>
                <w:p w14:paraId="575EBBD5">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颗粒物</w:t>
                  </w:r>
                </w:p>
              </w:tc>
            </w:tr>
            <w:tr w14:paraId="008ED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398" w:type="pct"/>
                  <w:vMerge w:val="continue"/>
                  <w:vAlign w:val="center"/>
                </w:tcPr>
                <w:p w14:paraId="439D998D">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Merge w:val="restart"/>
                  <w:vAlign w:val="center"/>
                </w:tcPr>
                <w:p w14:paraId="72131DEE">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成型烘干、上色固化</w:t>
                  </w:r>
                </w:p>
              </w:tc>
              <w:tc>
                <w:tcPr>
                  <w:tcW w:w="1368" w:type="pct"/>
                  <w:vAlign w:val="center"/>
                </w:tcPr>
                <w:p w14:paraId="74B34579">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val="en-US" w:eastAsia="zh-CN"/>
                    </w:rPr>
                    <w:t>有机废气</w:t>
                  </w:r>
                </w:p>
              </w:tc>
              <w:tc>
                <w:tcPr>
                  <w:tcW w:w="1941" w:type="pct"/>
                  <w:vAlign w:val="center"/>
                </w:tcPr>
                <w:p w14:paraId="41FA6BF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非甲烷总烃、苯系物</w:t>
                  </w:r>
                </w:p>
              </w:tc>
            </w:tr>
            <w:tr w14:paraId="242CE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398" w:type="pct"/>
                  <w:vMerge w:val="continue"/>
                  <w:vAlign w:val="center"/>
                </w:tcPr>
                <w:p w14:paraId="0631CA76">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Merge w:val="continue"/>
                  <w:vAlign w:val="center"/>
                </w:tcPr>
                <w:p w14:paraId="37A62D2B">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eastAsia="zh-CN"/>
                    </w:rPr>
                  </w:pPr>
                </w:p>
              </w:tc>
              <w:tc>
                <w:tcPr>
                  <w:tcW w:w="1368" w:type="pct"/>
                  <w:vAlign w:val="center"/>
                </w:tcPr>
                <w:p w14:paraId="7E5FDF5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highlight w:val="none"/>
                      <w:lang w:val="en-US" w:eastAsia="zh-CN"/>
                    </w:rPr>
                    <w:t>天然气燃烧废气</w:t>
                  </w:r>
                </w:p>
              </w:tc>
              <w:tc>
                <w:tcPr>
                  <w:tcW w:w="1941" w:type="pct"/>
                  <w:vAlign w:val="center"/>
                </w:tcPr>
                <w:p w14:paraId="5F072206">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eastAsia="zh-CN"/>
                    </w:rPr>
                    <w:t>氮氧化物、颗粒物、二氧化硫、</w:t>
                  </w:r>
                  <w:r>
                    <w:rPr>
                      <w:rFonts w:hint="default" w:ascii="Times New Roman" w:hAnsi="Times New Roman" w:cs="Times New Roman"/>
                      <w:color w:val="auto"/>
                      <w:kern w:val="2"/>
                      <w:highlight w:val="none"/>
                      <w:lang w:val="en-US" w:eastAsia="zh-CN"/>
                    </w:rPr>
                    <w:t>烟气黑度</w:t>
                  </w:r>
                </w:p>
              </w:tc>
            </w:tr>
            <w:tr w14:paraId="3D45B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398" w:type="pct"/>
                  <w:vMerge w:val="continue"/>
                  <w:vAlign w:val="center"/>
                </w:tcPr>
                <w:p w14:paraId="3700031C">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Merge w:val="continue"/>
                  <w:vAlign w:val="center"/>
                </w:tcPr>
                <w:p w14:paraId="77437734">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eastAsia="zh-CN"/>
                    </w:rPr>
                  </w:pPr>
                </w:p>
              </w:tc>
              <w:tc>
                <w:tcPr>
                  <w:tcW w:w="1368" w:type="pct"/>
                  <w:vAlign w:val="center"/>
                </w:tcPr>
                <w:p w14:paraId="79361016">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漆雾</w:t>
                  </w:r>
                </w:p>
              </w:tc>
              <w:tc>
                <w:tcPr>
                  <w:tcW w:w="1941" w:type="pct"/>
                  <w:vAlign w:val="center"/>
                </w:tcPr>
                <w:p w14:paraId="6578FE56">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颗粒物</w:t>
                  </w:r>
                </w:p>
              </w:tc>
            </w:tr>
            <w:tr w14:paraId="34D7C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398" w:type="pct"/>
                  <w:vMerge w:val="continue"/>
                  <w:vAlign w:val="center"/>
                </w:tcPr>
                <w:p w14:paraId="67FB1E1A">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Merge w:val="continue"/>
                  <w:vAlign w:val="center"/>
                </w:tcPr>
                <w:p w14:paraId="2E6BCBCB">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val="en-US" w:eastAsia="zh-CN"/>
                    </w:rPr>
                  </w:pPr>
                </w:p>
              </w:tc>
              <w:tc>
                <w:tcPr>
                  <w:tcW w:w="1368" w:type="pct"/>
                  <w:vAlign w:val="center"/>
                </w:tcPr>
                <w:p w14:paraId="236D7F14">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生产异味</w:t>
                  </w:r>
                </w:p>
              </w:tc>
              <w:tc>
                <w:tcPr>
                  <w:tcW w:w="1941" w:type="pct"/>
                  <w:vAlign w:val="center"/>
                </w:tcPr>
                <w:p w14:paraId="1A3370A9">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highlight w:val="none"/>
                    </w:rPr>
                    <w:t>臭气浓度</w:t>
                  </w:r>
                </w:p>
              </w:tc>
            </w:tr>
            <w:tr w14:paraId="51710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398" w:type="pct"/>
                  <w:vMerge w:val="continue"/>
                  <w:vAlign w:val="center"/>
                </w:tcPr>
                <w:p w14:paraId="177BB100">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66256CFC">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切割</w:t>
                  </w:r>
                </w:p>
              </w:tc>
              <w:tc>
                <w:tcPr>
                  <w:tcW w:w="1368" w:type="pct"/>
                  <w:vAlign w:val="center"/>
                </w:tcPr>
                <w:p w14:paraId="6AB5C7F4">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切割粉尘</w:t>
                  </w:r>
                </w:p>
              </w:tc>
              <w:tc>
                <w:tcPr>
                  <w:tcW w:w="1941" w:type="pct"/>
                  <w:vAlign w:val="center"/>
                </w:tcPr>
                <w:p w14:paraId="36EE4780">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颗粒物</w:t>
                  </w:r>
                </w:p>
              </w:tc>
            </w:tr>
            <w:tr w14:paraId="63C87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398" w:type="pct"/>
                  <w:vAlign w:val="center"/>
                </w:tcPr>
                <w:p w14:paraId="7EE500A9">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291" w:type="pct"/>
                  <w:vAlign w:val="center"/>
                </w:tcPr>
                <w:p w14:paraId="3953F105">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生产设备、辅助设备</w:t>
                  </w:r>
                </w:p>
              </w:tc>
              <w:tc>
                <w:tcPr>
                  <w:tcW w:w="1368" w:type="pct"/>
                  <w:vAlign w:val="center"/>
                </w:tcPr>
                <w:p w14:paraId="28DC2F1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941" w:type="pct"/>
                  <w:vAlign w:val="center"/>
                </w:tcPr>
                <w:p w14:paraId="039C2CAF">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设备噪声</w:t>
                  </w:r>
                </w:p>
              </w:tc>
            </w:tr>
            <w:tr w14:paraId="30411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98" w:type="pct"/>
                  <w:vMerge w:val="restart"/>
                  <w:vAlign w:val="center"/>
                </w:tcPr>
                <w:p w14:paraId="0A5133C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固体废物</w:t>
                  </w:r>
                </w:p>
              </w:tc>
              <w:tc>
                <w:tcPr>
                  <w:tcW w:w="1291" w:type="pct"/>
                  <w:vAlign w:val="center"/>
                </w:tcPr>
                <w:p w14:paraId="63861FB9">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办公生活</w:t>
                  </w:r>
                </w:p>
              </w:tc>
              <w:tc>
                <w:tcPr>
                  <w:tcW w:w="1368" w:type="pct"/>
                  <w:vAlign w:val="center"/>
                </w:tcPr>
                <w:p w14:paraId="64AB00F2">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生活垃圾</w:t>
                  </w:r>
                </w:p>
              </w:tc>
              <w:tc>
                <w:tcPr>
                  <w:tcW w:w="1941" w:type="pct"/>
                  <w:vAlign w:val="center"/>
                </w:tcPr>
                <w:p w14:paraId="53CE5EFA">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废纸、果皮、塑料等</w:t>
                  </w:r>
                </w:p>
              </w:tc>
            </w:tr>
            <w:tr w14:paraId="47AB0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398" w:type="pct"/>
                  <w:vMerge w:val="continue"/>
                  <w:vAlign w:val="center"/>
                </w:tcPr>
                <w:p w14:paraId="5198C917">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6E4B6A41">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生产车间</w:t>
                  </w:r>
                </w:p>
              </w:tc>
              <w:tc>
                <w:tcPr>
                  <w:tcW w:w="1368" w:type="pct"/>
                  <w:vAlign w:val="center"/>
                </w:tcPr>
                <w:p w14:paraId="295109C7">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生产过程</w:t>
                  </w:r>
                </w:p>
              </w:tc>
              <w:tc>
                <w:tcPr>
                  <w:tcW w:w="1941" w:type="pct"/>
                  <w:vAlign w:val="center"/>
                </w:tcPr>
                <w:p w14:paraId="587257A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lang w:val="en-US"/>
                    </w:rPr>
                  </w:pPr>
                  <w:r>
                    <w:rPr>
                      <w:rFonts w:hint="default" w:ascii="Times New Roman" w:hAnsi="Times New Roman" w:cs="Times New Roman"/>
                      <w:color w:val="auto"/>
                      <w:kern w:val="2"/>
                      <w:sz w:val="21"/>
                      <w:szCs w:val="21"/>
                      <w:highlight w:val="none"/>
                      <w:lang w:val="en-US" w:eastAsia="zh-CN"/>
                    </w:rPr>
                    <w:t>废包装材料</w:t>
                  </w:r>
                  <w:r>
                    <w:rPr>
                      <w:rFonts w:hint="default" w:ascii="Times New Roman" w:hAnsi="Times New Roman" w:cs="Times New Roman"/>
                      <w:color w:val="auto"/>
                      <w:kern w:val="2"/>
                      <w:sz w:val="21"/>
                      <w:szCs w:val="21"/>
                      <w:highlight w:val="none"/>
                    </w:rPr>
                    <w:t>、废机油</w:t>
                  </w:r>
                  <w:r>
                    <w:rPr>
                      <w:rFonts w:hint="default" w:ascii="Times New Roman" w:hAnsi="Times New Roman" w:cs="Times New Roman"/>
                      <w:color w:val="auto"/>
                      <w:kern w:val="2"/>
                      <w:sz w:val="21"/>
                      <w:szCs w:val="21"/>
                      <w:highlight w:val="none"/>
                      <w:lang w:val="en-US" w:eastAsia="zh-CN"/>
                    </w:rPr>
                    <w:t>及桶</w:t>
                  </w: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kern w:val="2"/>
                      <w:sz w:val="21"/>
                      <w:szCs w:val="21"/>
                      <w:highlight w:val="none"/>
                      <w:lang w:val="en-US" w:eastAsia="zh-CN"/>
                    </w:rPr>
                    <w:t>含油废抹布、漆渣、喷枪清洗废液</w:t>
                  </w:r>
                </w:p>
              </w:tc>
            </w:tr>
            <w:tr w14:paraId="62834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398" w:type="pct"/>
                  <w:vMerge w:val="continue"/>
                  <w:vAlign w:val="center"/>
                </w:tcPr>
                <w:p w14:paraId="4EF1AFD5">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2D05E04D">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废气处理设施</w:t>
                  </w:r>
                </w:p>
              </w:tc>
              <w:tc>
                <w:tcPr>
                  <w:tcW w:w="1368" w:type="pct"/>
                  <w:vAlign w:val="center"/>
                </w:tcPr>
                <w:p w14:paraId="30E0411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废气处理</w:t>
                  </w:r>
                </w:p>
              </w:tc>
              <w:tc>
                <w:tcPr>
                  <w:tcW w:w="1941" w:type="pct"/>
                  <w:vAlign w:val="center"/>
                </w:tcPr>
                <w:p w14:paraId="2E91F902">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废</w:t>
                  </w:r>
                  <w:r>
                    <w:rPr>
                      <w:rFonts w:hint="default" w:ascii="Times New Roman" w:hAnsi="Times New Roman" w:cs="Times New Roman"/>
                      <w:color w:val="auto"/>
                      <w:kern w:val="2"/>
                      <w:sz w:val="21"/>
                      <w:szCs w:val="21"/>
                      <w:highlight w:val="none"/>
                      <w:lang w:val="en-US" w:eastAsia="zh-CN"/>
                    </w:rPr>
                    <w:t>布袋、废活性炭、水帘柜废水、水帘柜沉渣</w:t>
                  </w:r>
                </w:p>
              </w:tc>
            </w:tr>
          </w:tbl>
          <w:p w14:paraId="00D5E2E6">
            <w:pPr>
              <w:pStyle w:val="16"/>
              <w:keepNext w:val="0"/>
              <w:keepLines w:val="0"/>
              <w:pageBreakBefore w:val="0"/>
              <w:suppressLineNumbers w:val="0"/>
              <w:kinsoku/>
              <w:wordWrap w:val="0"/>
              <w:overflowPunct/>
              <w:topLinePunct w:val="0"/>
              <w:bidi w:val="0"/>
              <w:snapToGrid/>
              <w:spacing w:before="0" w:beforeAutospacing="0" w:after="0" w:afterAutospacing="0"/>
              <w:ind w:left="0" w:right="0" w:firstLine="0" w:firstLineChars="0"/>
              <w:outlineLvl w:val="9"/>
              <w:rPr>
                <w:rFonts w:hint="default" w:ascii="Times New Roman" w:hAnsi="Times New Roman" w:eastAsia="宋体" w:cs="Times New Roman"/>
                <w:b/>
                <w:bCs/>
                <w:color w:val="auto"/>
                <w:sz w:val="21"/>
                <w:szCs w:val="21"/>
                <w:highlight w:val="none"/>
                <w:lang w:val="en-US" w:eastAsia="zh-CN"/>
              </w:rPr>
            </w:pPr>
          </w:p>
        </w:tc>
      </w:tr>
      <w:tr w14:paraId="75B4E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7" w:hRule="atLeast"/>
        </w:trPr>
        <w:tc>
          <w:tcPr>
            <w:tcW w:w="241" w:type="pct"/>
            <w:vAlign w:val="center"/>
          </w:tcPr>
          <w:p w14:paraId="41AFCB0C">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38" w:name="_Toc8130"/>
            <w:bookmarkStart w:id="39" w:name="_Toc631"/>
            <w:bookmarkStart w:id="40" w:name="_Toc25856"/>
            <w:bookmarkStart w:id="41" w:name="_Toc7967"/>
            <w:bookmarkStart w:id="42" w:name="_Toc5833"/>
            <w:bookmarkStart w:id="43" w:name="_Toc17328"/>
            <w:bookmarkStart w:id="44" w:name="_Toc2438"/>
            <w:bookmarkStart w:id="45" w:name="_Toc14546"/>
            <w:bookmarkStart w:id="46" w:name="_Toc11592"/>
            <w:bookmarkStart w:id="47" w:name="_Toc24696"/>
            <w:bookmarkStart w:id="48" w:name="_Toc7720"/>
            <w:bookmarkStart w:id="49" w:name="_Toc28399"/>
            <w:bookmarkStart w:id="50" w:name="_Toc13420"/>
            <w:bookmarkStart w:id="51" w:name="_Toc5613"/>
            <w:r>
              <w:rPr>
                <w:rFonts w:hint="default" w:ascii="Times New Roman" w:hAnsi="Times New Roman" w:cs="Times New Roman"/>
                <w:b/>
                <w:bCs/>
                <w:color w:val="auto"/>
                <w:kern w:val="2"/>
                <w:highlight w:val="none"/>
              </w:rPr>
              <w:t>与项目有关的原有环境污染问题</w:t>
            </w:r>
            <w:bookmarkEnd w:id="38"/>
            <w:bookmarkEnd w:id="39"/>
            <w:bookmarkEnd w:id="40"/>
            <w:bookmarkEnd w:id="41"/>
            <w:bookmarkEnd w:id="42"/>
            <w:bookmarkEnd w:id="43"/>
            <w:bookmarkEnd w:id="44"/>
            <w:bookmarkEnd w:id="45"/>
            <w:bookmarkEnd w:id="46"/>
            <w:bookmarkEnd w:id="47"/>
            <w:bookmarkEnd w:id="48"/>
            <w:bookmarkEnd w:id="49"/>
            <w:bookmarkEnd w:id="50"/>
            <w:bookmarkEnd w:id="51"/>
          </w:p>
        </w:tc>
        <w:tc>
          <w:tcPr>
            <w:tcW w:w="4758" w:type="pct"/>
            <w:vAlign w:val="center"/>
          </w:tcPr>
          <w:p w14:paraId="5B7AF5A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b/>
                <w:color w:val="auto"/>
                <w:szCs w:val="21"/>
                <w:highlight w:val="none"/>
              </w:rPr>
              <w:t>1.</w:t>
            </w:r>
            <w:r>
              <w:rPr>
                <w:rFonts w:hint="default" w:ascii="Times New Roman" w:hAnsi="Times New Roman" w:cs="Times New Roman"/>
                <w:b/>
                <w:color w:val="auto"/>
                <w:highlight w:val="none"/>
              </w:rPr>
              <w:t>与本项目有关的原有污染情况</w:t>
            </w:r>
          </w:p>
          <w:p w14:paraId="6B53BC0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p w14:paraId="423888E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2.园区现状污染源情况</w:t>
            </w:r>
          </w:p>
          <w:p w14:paraId="37334716">
            <w:pPr>
              <w:pStyle w:val="22"/>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截至202</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月，开发区分为城东片区与城南片区。目前企业主要集中在城东片区， 共有113家；城南片区目前仅有乐昌市第二污水处理厂1家企业，暂无其他企业入驻。开发区企业总计114家。产业园内企业情况详见</w:t>
            </w:r>
            <w:r>
              <w:rPr>
                <w:rFonts w:hint="default" w:ascii="Times New Roman" w:hAnsi="Times New Roman"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w:t>
            </w:r>
          </w:p>
          <w:p w14:paraId="637E03D6">
            <w:pPr>
              <w:pStyle w:val="106"/>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园区通过环评审批企业情况统计</w:t>
            </w:r>
          </w:p>
          <w:tbl>
            <w:tblPr>
              <w:tblStyle w:val="115"/>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17"/>
              <w:gridCol w:w="1553"/>
              <w:gridCol w:w="494"/>
              <w:gridCol w:w="1044"/>
              <w:gridCol w:w="786"/>
              <w:gridCol w:w="3107"/>
              <w:gridCol w:w="1878"/>
            </w:tblGrid>
            <w:tr w14:paraId="3B96E9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4FB86F9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2"/>
                      <w:sz w:val="21"/>
                      <w:szCs w:val="21"/>
                      <w:highlight w:val="none"/>
                    </w:rPr>
                    <w:t>序号</w:t>
                  </w:r>
                </w:p>
              </w:tc>
              <w:tc>
                <w:tcPr>
                  <w:tcW w:w="854" w:type="pct"/>
                  <w:vAlign w:val="center"/>
                </w:tcPr>
                <w:p w14:paraId="53CD52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3"/>
                      <w:sz w:val="21"/>
                      <w:szCs w:val="21"/>
                      <w:highlight w:val="none"/>
                    </w:rPr>
                    <w:t>企业名称</w:t>
                  </w:r>
                </w:p>
              </w:tc>
              <w:tc>
                <w:tcPr>
                  <w:tcW w:w="283" w:type="pct"/>
                  <w:vAlign w:val="center"/>
                </w:tcPr>
                <w:p w14:paraId="1E8A997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3"/>
                      <w:sz w:val="21"/>
                      <w:szCs w:val="21"/>
                      <w:highlight w:val="none"/>
                    </w:rPr>
                    <w:t>建设情</w:t>
                  </w:r>
                  <w:r>
                    <w:rPr>
                      <w:rFonts w:ascii="宋体" w:hAnsi="宋体" w:eastAsia="宋体" w:cs="宋体"/>
                      <w:b/>
                      <w:bCs/>
                      <w:color w:val="auto"/>
                      <w:sz w:val="21"/>
                      <w:szCs w:val="21"/>
                      <w:highlight w:val="none"/>
                    </w:rPr>
                    <w:t>况</w:t>
                  </w:r>
                </w:p>
              </w:tc>
              <w:tc>
                <w:tcPr>
                  <w:tcW w:w="579" w:type="pct"/>
                  <w:vAlign w:val="center"/>
                </w:tcPr>
                <w:p w14:paraId="75268D6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2"/>
                      <w:sz w:val="21"/>
                      <w:szCs w:val="21"/>
                      <w:highlight w:val="none"/>
                    </w:rPr>
                    <w:t>产业类型</w:t>
                  </w:r>
                </w:p>
              </w:tc>
              <w:tc>
                <w:tcPr>
                  <w:tcW w:w="385" w:type="pct"/>
                  <w:vAlign w:val="center"/>
                </w:tcPr>
                <w:p w14:paraId="75941E1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11"/>
                      <w:sz w:val="21"/>
                      <w:szCs w:val="21"/>
                      <w:highlight w:val="none"/>
                    </w:rPr>
                    <w:t>占地面积</w:t>
                  </w:r>
                  <w:r>
                    <w:rPr>
                      <w:rFonts w:ascii="宋体" w:hAnsi="宋体" w:eastAsia="宋体" w:cs="宋体"/>
                      <w:b/>
                      <w:bCs/>
                      <w:color w:val="auto"/>
                      <w:spacing w:val="-6"/>
                      <w:sz w:val="21"/>
                      <w:szCs w:val="21"/>
                      <w:highlight w:val="none"/>
                    </w:rPr>
                    <w:t>（平方米）</w:t>
                  </w:r>
                </w:p>
              </w:tc>
              <w:tc>
                <w:tcPr>
                  <w:tcW w:w="1690" w:type="pct"/>
                  <w:vAlign w:val="center"/>
                </w:tcPr>
                <w:p w14:paraId="1D203AD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1"/>
                      <w:sz w:val="21"/>
                      <w:szCs w:val="21"/>
                      <w:highlight w:val="none"/>
                    </w:rPr>
                    <w:t>主要产品及规模</w:t>
                  </w:r>
                </w:p>
              </w:tc>
              <w:tc>
                <w:tcPr>
                  <w:tcW w:w="962" w:type="pct"/>
                  <w:vAlign w:val="center"/>
                </w:tcPr>
                <w:p w14:paraId="53B107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2"/>
                      <w:sz w:val="21"/>
                      <w:szCs w:val="21"/>
                      <w:highlight w:val="none"/>
                    </w:rPr>
                    <w:t>环评批复</w:t>
                  </w:r>
                </w:p>
              </w:tc>
            </w:tr>
            <w:tr w14:paraId="30C5A2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70E377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1</w:t>
                  </w:r>
                </w:p>
              </w:tc>
              <w:tc>
                <w:tcPr>
                  <w:tcW w:w="854" w:type="pct"/>
                  <w:vAlign w:val="center"/>
                </w:tcPr>
                <w:p w14:paraId="08B488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乐昌市金丰机械有限公司</w:t>
                  </w:r>
                </w:p>
              </w:tc>
              <w:tc>
                <w:tcPr>
                  <w:tcW w:w="283" w:type="pct"/>
                  <w:vAlign w:val="center"/>
                </w:tcPr>
                <w:p w14:paraId="03C7328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1E2B6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金属制品业、通用</w:t>
                  </w:r>
                  <w:r>
                    <w:rPr>
                      <w:rFonts w:ascii="宋体" w:hAnsi="宋体" w:eastAsia="宋体" w:cs="宋体"/>
                      <w:color w:val="auto"/>
                      <w:spacing w:val="-2"/>
                      <w:sz w:val="21"/>
                      <w:szCs w:val="21"/>
                      <w:highlight w:val="none"/>
                    </w:rPr>
                    <w:t>设备制造业</w:t>
                  </w:r>
                </w:p>
              </w:tc>
              <w:tc>
                <w:tcPr>
                  <w:tcW w:w="385" w:type="pct"/>
                  <w:vAlign w:val="center"/>
                </w:tcPr>
                <w:p w14:paraId="3405367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38528.3</w:t>
                  </w:r>
                </w:p>
              </w:tc>
              <w:tc>
                <w:tcPr>
                  <w:tcW w:w="1690" w:type="pct"/>
                  <w:vAlign w:val="center"/>
                </w:tcPr>
                <w:p w14:paraId="088FDEF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w:t>
                  </w:r>
                  <w:r>
                    <w:rPr>
                      <w:color w:val="auto"/>
                      <w:spacing w:val="-3"/>
                      <w:highlight w:val="none"/>
                    </w:rPr>
                    <w:t>2.4</w:t>
                  </w:r>
                  <w:r>
                    <w:rPr>
                      <w:rFonts w:ascii="宋体" w:hAnsi="宋体" w:eastAsia="宋体" w:cs="宋体"/>
                      <w:color w:val="auto"/>
                      <w:spacing w:val="-3"/>
                      <w:highlight w:val="none"/>
                    </w:rPr>
                    <w:t>万吨金属铸件，年加工</w:t>
                  </w:r>
                  <w:r>
                    <w:rPr>
                      <w:color w:val="auto"/>
                      <w:spacing w:val="-3"/>
                      <w:highlight w:val="none"/>
                    </w:rPr>
                    <w:t>1800</w:t>
                  </w:r>
                  <w:r>
                    <w:rPr>
                      <w:rFonts w:ascii="宋体" w:hAnsi="宋体" w:eastAsia="宋体" w:cs="宋体"/>
                      <w:color w:val="auto"/>
                      <w:spacing w:val="-3"/>
                      <w:highlight w:val="none"/>
                    </w:rPr>
                    <w:t>吨机械零部件</w:t>
                  </w:r>
                </w:p>
              </w:tc>
              <w:tc>
                <w:tcPr>
                  <w:tcW w:w="962" w:type="pct"/>
                  <w:vAlign w:val="center"/>
                </w:tcPr>
                <w:p w14:paraId="141EDD1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"bookmark202"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]33</w:t>
                  </w:r>
                  <w:r>
                    <w:rPr>
                      <w:rFonts w:ascii="宋体" w:hAnsi="宋体" w:eastAsia="宋体" w:cs="宋体"/>
                      <w:color w:val="auto"/>
                      <w:spacing w:val="-2"/>
                      <w:highlight w:val="none"/>
                    </w:rPr>
                    <w:t>号、韶环乐审</w:t>
                  </w:r>
                  <w:r>
                    <w:rPr>
                      <w:rFonts w:ascii="宋体" w:hAnsi="宋体" w:eastAsia="宋体" w:cs="宋体"/>
                      <w:color w:val="auto"/>
                      <w:spacing w:val="-4"/>
                      <w:highlight w:val="none"/>
                    </w:rPr>
                    <w:t>〔</w:t>
                  </w:r>
                  <w:r>
                    <w:rPr>
                      <w:color w:val="auto"/>
                      <w:spacing w:val="-4"/>
                      <w:highlight w:val="none"/>
                    </w:rPr>
                    <w:t>2022</w:t>
                  </w:r>
                  <w:r>
                    <w:rPr>
                      <w:rFonts w:ascii="宋体" w:hAnsi="宋体" w:eastAsia="宋体" w:cs="宋体"/>
                      <w:color w:val="auto"/>
                      <w:spacing w:val="-4"/>
                      <w:highlight w:val="none"/>
                    </w:rPr>
                    <w:t>〕</w:t>
                  </w:r>
                  <w:r>
                    <w:rPr>
                      <w:color w:val="auto"/>
                      <w:spacing w:val="-4"/>
                      <w:highlight w:val="none"/>
                    </w:rPr>
                    <w:t>01</w:t>
                  </w:r>
                  <w:r>
                    <w:rPr>
                      <w:rFonts w:ascii="宋体" w:hAnsi="宋体" w:eastAsia="宋体" w:cs="宋体"/>
                      <w:color w:val="auto"/>
                      <w:spacing w:val="-4"/>
                      <w:highlight w:val="none"/>
                    </w:rPr>
                    <w:t>号</w:t>
                  </w:r>
                </w:p>
              </w:tc>
            </w:tr>
            <w:tr w14:paraId="48D1C7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40ECEBF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2</w:t>
                  </w:r>
                </w:p>
              </w:tc>
              <w:tc>
                <w:tcPr>
                  <w:tcW w:w="854" w:type="pct"/>
                  <w:vAlign w:val="center"/>
                </w:tcPr>
                <w:p w14:paraId="775EC58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乐昌市捷凯家具有限公司</w:t>
                  </w:r>
                </w:p>
              </w:tc>
              <w:tc>
                <w:tcPr>
                  <w:tcW w:w="283" w:type="pct"/>
                  <w:vAlign w:val="center"/>
                </w:tcPr>
                <w:p w14:paraId="531E10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E2C6F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5EC8A09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19980</w:t>
                  </w:r>
                </w:p>
              </w:tc>
              <w:tc>
                <w:tcPr>
                  <w:tcW w:w="1690" w:type="pct"/>
                  <w:vAlign w:val="center"/>
                </w:tcPr>
                <w:p w14:paraId="30849D6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年产家具铸铁件</w:t>
                  </w:r>
                  <w:r>
                    <w:rPr>
                      <w:color w:val="auto"/>
                      <w:spacing w:val="-2"/>
                      <w:highlight w:val="none"/>
                    </w:rPr>
                    <w:t>1.2</w:t>
                  </w:r>
                  <w:r>
                    <w:rPr>
                      <w:rFonts w:ascii="宋体" w:hAnsi="宋体" w:eastAsia="宋体" w:cs="宋体"/>
                      <w:color w:val="auto"/>
                      <w:spacing w:val="-2"/>
                      <w:highlight w:val="none"/>
                    </w:rPr>
                    <w:t>万件</w:t>
                  </w:r>
                </w:p>
              </w:tc>
              <w:tc>
                <w:tcPr>
                  <w:tcW w:w="962" w:type="pct"/>
                  <w:vAlign w:val="center"/>
                </w:tcPr>
                <w:p w14:paraId="72EFB41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"bookmark203"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]38</w:t>
                  </w:r>
                  <w:r>
                    <w:rPr>
                      <w:rFonts w:ascii="宋体" w:hAnsi="宋体" w:eastAsia="宋体" w:cs="宋体"/>
                      <w:color w:val="auto"/>
                      <w:spacing w:val="-2"/>
                      <w:highlight w:val="none"/>
                    </w:rPr>
                    <w:t>号</w:t>
                  </w:r>
                </w:p>
              </w:tc>
            </w:tr>
            <w:tr w14:paraId="7308E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D554D9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3</w:t>
                  </w:r>
                </w:p>
              </w:tc>
              <w:tc>
                <w:tcPr>
                  <w:tcW w:w="854" w:type="pct"/>
                  <w:vAlign w:val="center"/>
                </w:tcPr>
                <w:p w14:paraId="4856ED9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乐昌市瑞创精工制造有限公</w:t>
                  </w:r>
                  <w:r>
                    <w:rPr>
                      <w:rFonts w:ascii="宋体" w:hAnsi="宋体" w:eastAsia="宋体" w:cs="宋体"/>
                      <w:color w:val="auto"/>
                      <w:sz w:val="21"/>
                      <w:szCs w:val="21"/>
                      <w:highlight w:val="none"/>
                    </w:rPr>
                    <w:t>司</w:t>
                  </w:r>
                </w:p>
              </w:tc>
              <w:tc>
                <w:tcPr>
                  <w:tcW w:w="283" w:type="pct"/>
                  <w:vAlign w:val="center"/>
                </w:tcPr>
                <w:p w14:paraId="28FE646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E2A715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2F61BDE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19600</w:t>
                  </w:r>
                </w:p>
              </w:tc>
              <w:tc>
                <w:tcPr>
                  <w:tcW w:w="1690" w:type="pct"/>
                  <w:vAlign w:val="center"/>
                </w:tcPr>
                <w:p w14:paraId="1B51E34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年产铸铁电饭煲内胆</w:t>
                  </w:r>
                  <w:r>
                    <w:rPr>
                      <w:color w:val="auto"/>
                      <w:highlight w:val="none"/>
                    </w:rPr>
                    <w:t>10</w:t>
                  </w:r>
                  <w:r>
                    <w:rPr>
                      <w:rFonts w:ascii="宋体" w:hAnsi="宋体" w:eastAsia="宋体" w:cs="宋体"/>
                      <w:color w:val="auto"/>
                      <w:highlight w:val="none"/>
                    </w:rPr>
                    <w:t>万件、水泵铸件</w:t>
                  </w:r>
                  <w:r>
                    <w:rPr>
                      <w:color w:val="auto"/>
                      <w:highlight w:val="none"/>
                    </w:rPr>
                    <w:t>20</w:t>
                  </w:r>
                  <w:r>
                    <w:rPr>
                      <w:rFonts w:ascii="宋体" w:hAnsi="宋体" w:eastAsia="宋体" w:cs="宋体"/>
                      <w:color w:val="auto"/>
                      <w:highlight w:val="none"/>
                    </w:rPr>
                    <w:t>万件、铸铁烤网</w:t>
                  </w:r>
                  <w:r>
                    <w:rPr>
                      <w:color w:val="auto"/>
                      <w:spacing w:val="-4"/>
                      <w:highlight w:val="none"/>
                    </w:rPr>
                    <w:t>100</w:t>
                  </w:r>
                  <w:r>
                    <w:rPr>
                      <w:rFonts w:ascii="宋体" w:hAnsi="宋体" w:eastAsia="宋体" w:cs="宋体"/>
                      <w:color w:val="auto"/>
                      <w:spacing w:val="-4"/>
                      <w:highlight w:val="none"/>
                    </w:rPr>
                    <w:t>万件、铸铁发热板</w:t>
                  </w:r>
                  <w:r>
                    <w:rPr>
                      <w:color w:val="auto"/>
                      <w:spacing w:val="-4"/>
                      <w:highlight w:val="none"/>
                    </w:rPr>
                    <w:t>220</w:t>
                  </w:r>
                  <w:r>
                    <w:rPr>
                      <w:rFonts w:ascii="宋体" w:hAnsi="宋体" w:eastAsia="宋体" w:cs="宋体"/>
                      <w:color w:val="auto"/>
                      <w:spacing w:val="-4"/>
                      <w:highlight w:val="none"/>
                    </w:rPr>
                    <w:t>万件、搪瓷炉架</w:t>
                  </w:r>
                  <w:r>
                    <w:rPr>
                      <w:color w:val="auto"/>
                      <w:spacing w:val="-4"/>
                      <w:highlight w:val="none"/>
                    </w:rPr>
                    <w:t>100</w:t>
                  </w:r>
                  <w:r>
                    <w:rPr>
                      <w:rFonts w:ascii="宋体" w:hAnsi="宋体" w:eastAsia="宋体" w:cs="宋体"/>
                      <w:color w:val="auto"/>
                      <w:spacing w:val="-4"/>
                      <w:highlight w:val="none"/>
                    </w:rPr>
                    <w:t>万件</w:t>
                  </w:r>
                </w:p>
              </w:tc>
              <w:tc>
                <w:tcPr>
                  <w:tcW w:w="962" w:type="pct"/>
                  <w:vAlign w:val="center"/>
                </w:tcPr>
                <w:p w14:paraId="27D10AA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"bookmark204"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]48</w:t>
                  </w:r>
                  <w:r>
                    <w:rPr>
                      <w:rFonts w:ascii="宋体" w:hAnsi="宋体" w:eastAsia="宋体" w:cs="宋体"/>
                      <w:color w:val="auto"/>
                      <w:spacing w:val="-2"/>
                      <w:highlight w:val="none"/>
                    </w:rPr>
                    <w:t>号</w:t>
                  </w:r>
                </w:p>
              </w:tc>
            </w:tr>
            <w:tr w14:paraId="2E7699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3C668F5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4</w:t>
                  </w:r>
                </w:p>
              </w:tc>
              <w:tc>
                <w:tcPr>
                  <w:tcW w:w="854" w:type="pct"/>
                  <w:vAlign w:val="center"/>
                </w:tcPr>
                <w:p w14:paraId="59C40D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乐昌市瑛龙高精铸造有限公</w:t>
                  </w:r>
                  <w:r>
                    <w:rPr>
                      <w:rFonts w:ascii="宋体" w:hAnsi="宋体" w:eastAsia="宋体" w:cs="宋体"/>
                      <w:color w:val="auto"/>
                      <w:sz w:val="21"/>
                      <w:szCs w:val="21"/>
                      <w:highlight w:val="none"/>
                    </w:rPr>
                    <w:t>司</w:t>
                  </w:r>
                </w:p>
              </w:tc>
              <w:tc>
                <w:tcPr>
                  <w:tcW w:w="283" w:type="pct"/>
                  <w:vAlign w:val="center"/>
                </w:tcPr>
                <w:p w14:paraId="3BFE3F6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7797F4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6E6528A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10702.96</w:t>
                  </w:r>
                </w:p>
              </w:tc>
              <w:tc>
                <w:tcPr>
                  <w:tcW w:w="1690" w:type="pct"/>
                  <w:vAlign w:val="center"/>
                </w:tcPr>
                <w:p w14:paraId="1EA1899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年产机械设备类的机械设备</w:t>
                  </w:r>
                  <w:r>
                    <w:rPr>
                      <w:color w:val="auto"/>
                      <w:spacing w:val="-2"/>
                      <w:highlight w:val="none"/>
                    </w:rPr>
                    <w:t>1.1</w:t>
                  </w:r>
                  <w:r>
                    <w:rPr>
                      <w:rFonts w:ascii="宋体" w:hAnsi="宋体" w:eastAsia="宋体" w:cs="宋体"/>
                      <w:color w:val="auto"/>
                      <w:spacing w:val="-2"/>
                      <w:highlight w:val="none"/>
                    </w:rPr>
                    <w:t>万吨</w:t>
                  </w:r>
                </w:p>
              </w:tc>
              <w:tc>
                <w:tcPr>
                  <w:tcW w:w="962" w:type="pct"/>
                  <w:vAlign w:val="center"/>
                </w:tcPr>
                <w:p w14:paraId="0C438EC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"bookmark205"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]40</w:t>
                  </w:r>
                  <w:r>
                    <w:rPr>
                      <w:rFonts w:ascii="宋体" w:hAnsi="宋体" w:eastAsia="宋体" w:cs="宋体"/>
                      <w:color w:val="auto"/>
                      <w:spacing w:val="-2"/>
                      <w:highlight w:val="none"/>
                    </w:rPr>
                    <w:t>号</w:t>
                  </w:r>
                </w:p>
              </w:tc>
            </w:tr>
            <w:tr w14:paraId="3A126C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2A4E826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5</w:t>
                  </w:r>
                </w:p>
              </w:tc>
              <w:tc>
                <w:tcPr>
                  <w:tcW w:w="854" w:type="pct"/>
                  <w:vAlign w:val="center"/>
                </w:tcPr>
                <w:p w14:paraId="025268D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乐昌市湘源金属制品有限公</w:t>
                  </w:r>
                  <w:r>
                    <w:rPr>
                      <w:rFonts w:ascii="宋体" w:hAnsi="宋体" w:eastAsia="宋体" w:cs="宋体"/>
                      <w:color w:val="auto"/>
                      <w:sz w:val="21"/>
                      <w:szCs w:val="21"/>
                      <w:highlight w:val="none"/>
                    </w:rPr>
                    <w:t>司</w:t>
                  </w:r>
                </w:p>
              </w:tc>
              <w:tc>
                <w:tcPr>
                  <w:tcW w:w="283" w:type="pct"/>
                  <w:vAlign w:val="center"/>
                </w:tcPr>
                <w:p w14:paraId="1097F5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3222C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45F3F78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13339.8</w:t>
                  </w:r>
                </w:p>
              </w:tc>
              <w:tc>
                <w:tcPr>
                  <w:tcW w:w="1690" w:type="pct"/>
                  <w:vAlign w:val="center"/>
                </w:tcPr>
                <w:p w14:paraId="4C143CC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年产铸件</w:t>
                  </w:r>
                  <w:r>
                    <w:rPr>
                      <w:color w:val="auto"/>
                      <w:spacing w:val="-4"/>
                      <w:highlight w:val="none"/>
                    </w:rPr>
                    <w:t>11500</w:t>
                  </w:r>
                  <w:r>
                    <w:rPr>
                      <w:rFonts w:ascii="宋体" w:hAnsi="宋体" w:eastAsia="宋体" w:cs="宋体"/>
                      <w:color w:val="auto"/>
                      <w:spacing w:val="-4"/>
                      <w:highlight w:val="none"/>
                    </w:rPr>
                    <w:t>吨</w:t>
                  </w:r>
                </w:p>
              </w:tc>
              <w:tc>
                <w:tcPr>
                  <w:tcW w:w="962" w:type="pct"/>
                  <w:vAlign w:val="center"/>
                </w:tcPr>
                <w:p w14:paraId="4659A83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"bookmark206"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]43</w:t>
                  </w:r>
                  <w:r>
                    <w:rPr>
                      <w:rFonts w:ascii="宋体" w:hAnsi="宋体" w:eastAsia="宋体" w:cs="宋体"/>
                      <w:color w:val="auto"/>
                      <w:spacing w:val="-2"/>
                      <w:highlight w:val="none"/>
                    </w:rPr>
                    <w:t>号、韶环乐审</w:t>
                  </w:r>
                  <w:r>
                    <w:rPr>
                      <w:rFonts w:ascii="宋体" w:hAnsi="宋体" w:eastAsia="宋体" w:cs="宋体"/>
                      <w:color w:val="auto"/>
                      <w:spacing w:val="-4"/>
                      <w:highlight w:val="none"/>
                    </w:rPr>
                    <w:t>〔</w:t>
                  </w:r>
                  <w:r>
                    <w:rPr>
                      <w:color w:val="auto"/>
                      <w:spacing w:val="-4"/>
                      <w:highlight w:val="none"/>
                    </w:rPr>
                    <w:t>2022</w:t>
                  </w:r>
                  <w:r>
                    <w:rPr>
                      <w:rFonts w:ascii="宋体" w:hAnsi="宋体" w:eastAsia="宋体" w:cs="宋体"/>
                      <w:color w:val="auto"/>
                      <w:spacing w:val="-4"/>
                      <w:highlight w:val="none"/>
                    </w:rPr>
                    <w:t>〕</w:t>
                  </w:r>
                  <w:r>
                    <w:rPr>
                      <w:color w:val="auto"/>
                      <w:spacing w:val="-4"/>
                      <w:highlight w:val="none"/>
                    </w:rPr>
                    <w:t>13</w:t>
                  </w:r>
                  <w:r>
                    <w:rPr>
                      <w:rFonts w:ascii="宋体" w:hAnsi="宋体" w:eastAsia="宋体" w:cs="宋体"/>
                      <w:color w:val="auto"/>
                      <w:spacing w:val="-4"/>
                      <w:highlight w:val="none"/>
                    </w:rPr>
                    <w:t>号</w:t>
                  </w:r>
                </w:p>
              </w:tc>
            </w:tr>
            <w:tr w14:paraId="148A45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242" w:type="pct"/>
                  <w:vAlign w:val="center"/>
                </w:tcPr>
                <w:p w14:paraId="7357CC7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6</w:t>
                  </w:r>
                </w:p>
              </w:tc>
              <w:tc>
                <w:tcPr>
                  <w:tcW w:w="854" w:type="pct"/>
                  <w:vAlign w:val="center"/>
                </w:tcPr>
                <w:p w14:paraId="7CF6FD7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乐昌市钜宝科技制造有限公</w:t>
                  </w:r>
                  <w:r>
                    <w:rPr>
                      <w:rFonts w:ascii="宋体" w:hAnsi="宋体" w:eastAsia="宋体" w:cs="宋体"/>
                      <w:color w:val="auto"/>
                      <w:sz w:val="21"/>
                      <w:szCs w:val="21"/>
                      <w:highlight w:val="none"/>
                    </w:rPr>
                    <w:t>司</w:t>
                  </w:r>
                </w:p>
              </w:tc>
              <w:tc>
                <w:tcPr>
                  <w:tcW w:w="283" w:type="pct"/>
                  <w:vAlign w:val="center"/>
                </w:tcPr>
                <w:p w14:paraId="262251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A41AF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金属制品业、通用</w:t>
                  </w:r>
                  <w:r>
                    <w:rPr>
                      <w:rFonts w:ascii="宋体" w:hAnsi="宋体" w:eastAsia="宋体" w:cs="宋体"/>
                      <w:color w:val="auto"/>
                      <w:spacing w:val="-2"/>
                      <w:sz w:val="21"/>
                      <w:szCs w:val="21"/>
                      <w:highlight w:val="none"/>
                    </w:rPr>
                    <w:t>设备制造业</w:t>
                  </w:r>
                </w:p>
              </w:tc>
              <w:tc>
                <w:tcPr>
                  <w:tcW w:w="385" w:type="pct"/>
                  <w:vAlign w:val="center"/>
                </w:tcPr>
                <w:p w14:paraId="2F8D54D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23539.9</w:t>
                  </w:r>
                </w:p>
              </w:tc>
              <w:tc>
                <w:tcPr>
                  <w:tcW w:w="1690" w:type="pct"/>
                  <w:vAlign w:val="center"/>
                </w:tcPr>
                <w:p w14:paraId="4DD2548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年产户外家具</w:t>
                  </w:r>
                  <w:r>
                    <w:rPr>
                      <w:color w:val="auto"/>
                      <w:spacing w:val="-1"/>
                      <w:highlight w:val="none"/>
                    </w:rPr>
                    <w:t>49.8</w:t>
                  </w:r>
                  <w:r>
                    <w:rPr>
                      <w:rFonts w:ascii="宋体" w:hAnsi="宋体" w:eastAsia="宋体" w:cs="宋体"/>
                      <w:color w:val="auto"/>
                      <w:spacing w:val="-1"/>
                      <w:highlight w:val="none"/>
                    </w:rPr>
                    <w:t>万件、水泵铸件</w:t>
                  </w:r>
                  <w:r>
                    <w:rPr>
                      <w:color w:val="auto"/>
                      <w:spacing w:val="-1"/>
                      <w:highlight w:val="none"/>
                    </w:rPr>
                    <w:t>6.52</w:t>
                  </w:r>
                  <w:r>
                    <w:rPr>
                      <w:rFonts w:ascii="宋体" w:hAnsi="宋体" w:eastAsia="宋体" w:cs="宋体"/>
                      <w:color w:val="auto"/>
                      <w:spacing w:val="-1"/>
                      <w:highlight w:val="none"/>
                    </w:rPr>
                    <w:t>万件、铸铁烤网</w:t>
                  </w:r>
                  <w:r>
                    <w:rPr>
                      <w:color w:val="auto"/>
                      <w:spacing w:val="-1"/>
                      <w:highlight w:val="none"/>
                    </w:rPr>
                    <w:t>51</w:t>
                  </w:r>
                  <w:r>
                    <w:rPr>
                      <w:rFonts w:ascii="宋体" w:hAnsi="宋体" w:eastAsia="宋体" w:cs="宋体"/>
                      <w:color w:val="auto"/>
                      <w:spacing w:val="-5"/>
                      <w:highlight w:val="none"/>
                    </w:rPr>
                    <w:t>万件、铸铁发热板</w:t>
                  </w:r>
                  <w:r>
                    <w:rPr>
                      <w:color w:val="auto"/>
                      <w:spacing w:val="-5"/>
                      <w:highlight w:val="none"/>
                    </w:rPr>
                    <w:t>161</w:t>
                  </w:r>
                  <w:r>
                    <w:rPr>
                      <w:rFonts w:ascii="宋体" w:hAnsi="宋体" w:eastAsia="宋体" w:cs="宋体"/>
                      <w:color w:val="auto"/>
                      <w:spacing w:val="-5"/>
                      <w:highlight w:val="none"/>
                    </w:rPr>
                    <w:t>万件、机加工铸铁件</w:t>
                  </w:r>
                  <w:r>
                    <w:rPr>
                      <w:color w:val="auto"/>
                      <w:spacing w:val="-5"/>
                      <w:highlight w:val="none"/>
                    </w:rPr>
                    <w:t>4000</w:t>
                  </w:r>
                  <w:r>
                    <w:rPr>
                      <w:rFonts w:ascii="宋体" w:hAnsi="宋体" w:eastAsia="宋体" w:cs="宋体"/>
                      <w:color w:val="auto"/>
                      <w:spacing w:val="-5"/>
                      <w:highlight w:val="none"/>
                    </w:rPr>
                    <w:t>吨、喷粉铸</w:t>
                  </w:r>
                  <w:r>
                    <w:rPr>
                      <w:rFonts w:ascii="宋体" w:hAnsi="宋体" w:eastAsia="宋体" w:cs="宋体"/>
                      <w:color w:val="auto"/>
                      <w:spacing w:val="-4"/>
                      <w:highlight w:val="none"/>
                    </w:rPr>
                    <w:t>铁件</w:t>
                  </w:r>
                  <w:r>
                    <w:rPr>
                      <w:color w:val="auto"/>
                      <w:spacing w:val="-4"/>
                      <w:highlight w:val="none"/>
                    </w:rPr>
                    <w:t>1000</w:t>
                  </w:r>
                  <w:r>
                    <w:rPr>
                      <w:rFonts w:ascii="宋体" w:hAnsi="宋体" w:eastAsia="宋体" w:cs="宋体"/>
                      <w:color w:val="auto"/>
                      <w:spacing w:val="-4"/>
                      <w:highlight w:val="none"/>
                    </w:rPr>
                    <w:t>吨、搪瓷铸铁件</w:t>
                  </w:r>
                  <w:r>
                    <w:rPr>
                      <w:color w:val="auto"/>
                      <w:spacing w:val="-4"/>
                      <w:highlight w:val="none"/>
                    </w:rPr>
                    <w:t>1000</w:t>
                  </w:r>
                  <w:r>
                    <w:rPr>
                      <w:rFonts w:ascii="宋体" w:hAnsi="宋体" w:eastAsia="宋体" w:cs="宋体"/>
                      <w:color w:val="auto"/>
                      <w:spacing w:val="-4"/>
                      <w:highlight w:val="none"/>
                    </w:rPr>
                    <w:t>吨</w:t>
                  </w:r>
                </w:p>
              </w:tc>
              <w:tc>
                <w:tcPr>
                  <w:tcW w:w="962" w:type="pct"/>
                  <w:vAlign w:val="center"/>
                </w:tcPr>
                <w:p w14:paraId="03456EC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"bookmark207"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]47</w:t>
                  </w:r>
                  <w:r>
                    <w:rPr>
                      <w:rFonts w:ascii="宋体" w:hAnsi="宋体" w:eastAsia="宋体" w:cs="宋体"/>
                      <w:color w:val="auto"/>
                      <w:spacing w:val="-2"/>
                      <w:highlight w:val="none"/>
                    </w:rPr>
                    <w:t>号、韶环乐审</w:t>
                  </w:r>
                  <w:r>
                    <w:rPr>
                      <w:color w:val="auto"/>
                      <w:spacing w:val="-2"/>
                      <w:highlight w:val="none"/>
                    </w:rPr>
                    <w:t>[</w:t>
                  </w:r>
                  <w:r>
                    <w:rPr>
                      <w:color w:val="auto"/>
                      <w:highlight w:val="none"/>
                    </w:rPr>
                    <w:fldChar w:fldCharType="begin"/>
                  </w:r>
                  <w:r>
                    <w:rPr>
                      <w:color w:val="auto"/>
                      <w:highlight w:val="none"/>
                    </w:rPr>
                    <w:instrText xml:space="preserve"> HYPERLINK \l "bookmark208" </w:instrText>
                  </w:r>
                  <w:r>
                    <w:rPr>
                      <w:color w:val="auto"/>
                      <w:highlight w:val="none"/>
                    </w:rPr>
                    <w:fldChar w:fldCharType="separate"/>
                  </w:r>
                  <w:r>
                    <w:rPr>
                      <w:color w:val="auto"/>
                      <w:spacing w:val="-2"/>
                      <w:highlight w:val="none"/>
                    </w:rPr>
                    <w:t>2021</w:t>
                  </w:r>
                  <w:r>
                    <w:rPr>
                      <w:color w:val="auto"/>
                      <w:spacing w:val="-2"/>
                      <w:highlight w:val="none"/>
                    </w:rPr>
                    <w:fldChar w:fldCharType="end"/>
                  </w:r>
                  <w:r>
                    <w:rPr>
                      <w:color w:val="auto"/>
                      <w:spacing w:val="-2"/>
                      <w:highlight w:val="none"/>
                    </w:rPr>
                    <w:t>]30</w:t>
                  </w:r>
                  <w:r>
                    <w:rPr>
                      <w:rFonts w:ascii="宋体" w:hAnsi="宋体" w:eastAsia="宋体" w:cs="宋体"/>
                      <w:color w:val="auto"/>
                      <w:spacing w:val="-2"/>
                      <w:highlight w:val="none"/>
                    </w:rPr>
                    <w:t>号</w:t>
                  </w:r>
                </w:p>
              </w:tc>
            </w:tr>
            <w:tr w14:paraId="05F212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604F924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7</w:t>
                  </w:r>
                </w:p>
              </w:tc>
              <w:tc>
                <w:tcPr>
                  <w:tcW w:w="854" w:type="pct"/>
                  <w:vAlign w:val="center"/>
                </w:tcPr>
                <w:p w14:paraId="4FB2CDE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乐昌胜旗精工科技有限公司</w:t>
                  </w:r>
                </w:p>
              </w:tc>
              <w:tc>
                <w:tcPr>
                  <w:tcW w:w="283" w:type="pct"/>
                  <w:vAlign w:val="center"/>
                </w:tcPr>
                <w:p w14:paraId="3DBDA9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384F3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4156190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13322</w:t>
                  </w:r>
                </w:p>
              </w:tc>
              <w:tc>
                <w:tcPr>
                  <w:tcW w:w="1690" w:type="pct"/>
                  <w:vAlign w:val="center"/>
                </w:tcPr>
                <w:p w14:paraId="58CEB9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5"/>
                      <w:highlight w:val="none"/>
                    </w:rPr>
                    <w:t>年产炉架</w:t>
                  </w:r>
                  <w:r>
                    <w:rPr>
                      <w:color w:val="auto"/>
                      <w:spacing w:val="-5"/>
                      <w:highlight w:val="none"/>
                    </w:rPr>
                    <w:t>10</w:t>
                  </w:r>
                  <w:r>
                    <w:rPr>
                      <w:rFonts w:ascii="宋体" w:hAnsi="宋体" w:eastAsia="宋体" w:cs="宋体"/>
                      <w:color w:val="auto"/>
                      <w:spacing w:val="-5"/>
                      <w:highlight w:val="none"/>
                    </w:rPr>
                    <w:t>万件、炉排、炉头、家具件、机械件、减速机波</w:t>
                  </w:r>
                  <w:r>
                    <w:rPr>
                      <w:rFonts w:ascii="宋体" w:hAnsi="宋体" w:eastAsia="宋体" w:cs="宋体"/>
                      <w:color w:val="auto"/>
                      <w:spacing w:val="-3"/>
                      <w:highlight w:val="none"/>
                    </w:rPr>
                    <w:t>箱各</w:t>
                  </w:r>
                  <w:r>
                    <w:rPr>
                      <w:color w:val="auto"/>
                      <w:spacing w:val="-3"/>
                      <w:highlight w:val="none"/>
                    </w:rPr>
                    <w:t>5</w:t>
                  </w:r>
                  <w:r>
                    <w:rPr>
                      <w:rFonts w:ascii="宋体" w:hAnsi="宋体" w:eastAsia="宋体" w:cs="宋体"/>
                      <w:color w:val="auto"/>
                      <w:spacing w:val="-3"/>
                      <w:highlight w:val="none"/>
                    </w:rPr>
                    <w:t>万件、发热盘</w:t>
                  </w:r>
                  <w:r>
                    <w:rPr>
                      <w:color w:val="auto"/>
                      <w:spacing w:val="-3"/>
                      <w:highlight w:val="none"/>
                    </w:rPr>
                    <w:t>3</w:t>
                  </w:r>
                  <w:r>
                    <w:rPr>
                      <w:rFonts w:ascii="宋体" w:hAnsi="宋体" w:eastAsia="宋体" w:cs="宋体"/>
                      <w:color w:val="auto"/>
                      <w:spacing w:val="-3"/>
                      <w:highlight w:val="none"/>
                    </w:rPr>
                    <w:t>万件</w:t>
                  </w:r>
                </w:p>
              </w:tc>
              <w:tc>
                <w:tcPr>
                  <w:tcW w:w="962" w:type="pct"/>
                  <w:vAlign w:val="center"/>
                </w:tcPr>
                <w:p w14:paraId="7CE16D0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"bookmark209"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]44</w:t>
                  </w:r>
                  <w:r>
                    <w:rPr>
                      <w:rFonts w:ascii="宋体" w:hAnsi="宋体" w:eastAsia="宋体" w:cs="宋体"/>
                      <w:color w:val="auto"/>
                      <w:spacing w:val="-2"/>
                      <w:highlight w:val="none"/>
                    </w:rPr>
                    <w:t>号</w:t>
                  </w:r>
                </w:p>
              </w:tc>
            </w:tr>
            <w:tr w14:paraId="5271B3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D5E0C8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8</w:t>
                  </w:r>
                </w:p>
              </w:tc>
              <w:tc>
                <w:tcPr>
                  <w:tcW w:w="854" w:type="pct"/>
                  <w:vAlign w:val="center"/>
                </w:tcPr>
                <w:p w14:paraId="219462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乐昌市钜烽机械制造有限公</w:t>
                  </w:r>
                  <w:r>
                    <w:rPr>
                      <w:rFonts w:ascii="宋体" w:hAnsi="宋体" w:eastAsia="宋体" w:cs="宋体"/>
                      <w:color w:val="auto"/>
                      <w:sz w:val="21"/>
                      <w:szCs w:val="21"/>
                      <w:highlight w:val="none"/>
                    </w:rPr>
                    <w:t>司</w:t>
                  </w:r>
                </w:p>
              </w:tc>
              <w:tc>
                <w:tcPr>
                  <w:tcW w:w="283" w:type="pct"/>
                  <w:vAlign w:val="center"/>
                </w:tcPr>
                <w:p w14:paraId="4565F80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5B56AD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63A20E8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10000</w:t>
                  </w:r>
                </w:p>
              </w:tc>
              <w:tc>
                <w:tcPr>
                  <w:tcW w:w="1690" w:type="pct"/>
                  <w:vAlign w:val="center"/>
                </w:tcPr>
                <w:p w14:paraId="51BF9D9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年产机械铸件</w:t>
                  </w:r>
                  <w:r>
                    <w:rPr>
                      <w:color w:val="auto"/>
                      <w:spacing w:val="-3"/>
                      <w:highlight w:val="none"/>
                    </w:rPr>
                    <w:t>1</w:t>
                  </w:r>
                  <w:r>
                    <w:rPr>
                      <w:rFonts w:ascii="宋体" w:hAnsi="宋体" w:eastAsia="宋体" w:cs="宋体"/>
                      <w:color w:val="auto"/>
                      <w:spacing w:val="-3"/>
                      <w:highlight w:val="none"/>
                    </w:rPr>
                    <w:t>万吨</w:t>
                  </w:r>
                </w:p>
              </w:tc>
              <w:tc>
                <w:tcPr>
                  <w:tcW w:w="962" w:type="pct"/>
                  <w:vAlign w:val="center"/>
                </w:tcPr>
                <w:p w14:paraId="6D3DA2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"bookmark210"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]41</w:t>
                  </w:r>
                  <w:r>
                    <w:rPr>
                      <w:rFonts w:ascii="宋体" w:hAnsi="宋体" w:eastAsia="宋体" w:cs="宋体"/>
                      <w:color w:val="auto"/>
                      <w:spacing w:val="-2"/>
                      <w:highlight w:val="none"/>
                    </w:rPr>
                    <w:t>号</w:t>
                  </w:r>
                </w:p>
              </w:tc>
            </w:tr>
            <w:tr w14:paraId="4456D4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2DEC97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9</w:t>
                  </w:r>
                </w:p>
              </w:tc>
              <w:tc>
                <w:tcPr>
                  <w:tcW w:w="854" w:type="pct"/>
                  <w:vAlign w:val="center"/>
                </w:tcPr>
                <w:p w14:paraId="7ECBB5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乐昌市金利华机械制造有限</w:t>
                  </w:r>
                  <w:r>
                    <w:rPr>
                      <w:rFonts w:ascii="宋体" w:hAnsi="宋体" w:eastAsia="宋体" w:cs="宋体"/>
                      <w:color w:val="auto"/>
                      <w:spacing w:val="-4"/>
                      <w:sz w:val="21"/>
                      <w:szCs w:val="21"/>
                      <w:highlight w:val="none"/>
                    </w:rPr>
                    <w:t>公司</w:t>
                  </w:r>
                </w:p>
              </w:tc>
              <w:tc>
                <w:tcPr>
                  <w:tcW w:w="283" w:type="pct"/>
                  <w:vAlign w:val="center"/>
                </w:tcPr>
                <w:p w14:paraId="6FB785E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DE0DD5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015DB3E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10000</w:t>
                  </w:r>
                </w:p>
              </w:tc>
              <w:tc>
                <w:tcPr>
                  <w:tcW w:w="1690" w:type="pct"/>
                  <w:vAlign w:val="center"/>
                </w:tcPr>
                <w:p w14:paraId="4BDBBFD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年产食品机械铸件</w:t>
                  </w:r>
                  <w:r>
                    <w:rPr>
                      <w:color w:val="auto"/>
                      <w:spacing w:val="-3"/>
                      <w:highlight w:val="none"/>
                    </w:rPr>
                    <w:t>1</w:t>
                  </w:r>
                  <w:r>
                    <w:rPr>
                      <w:rFonts w:ascii="宋体" w:hAnsi="宋体" w:eastAsia="宋体" w:cs="宋体"/>
                      <w:color w:val="auto"/>
                      <w:spacing w:val="-3"/>
                      <w:highlight w:val="none"/>
                    </w:rPr>
                    <w:t>万件</w:t>
                  </w:r>
                </w:p>
              </w:tc>
              <w:tc>
                <w:tcPr>
                  <w:tcW w:w="962" w:type="pct"/>
                  <w:vAlign w:val="center"/>
                </w:tcPr>
                <w:p w14:paraId="0AAC2FB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"bookmark211"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]42</w:t>
                  </w:r>
                  <w:r>
                    <w:rPr>
                      <w:rFonts w:ascii="宋体" w:hAnsi="宋体" w:eastAsia="宋体" w:cs="宋体"/>
                      <w:color w:val="auto"/>
                      <w:spacing w:val="-2"/>
                      <w:highlight w:val="none"/>
                    </w:rPr>
                    <w:t>号</w:t>
                  </w:r>
                </w:p>
              </w:tc>
            </w:tr>
            <w:tr w14:paraId="665AA7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2FA952A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w:t>
                  </w:r>
                </w:p>
              </w:tc>
              <w:tc>
                <w:tcPr>
                  <w:tcW w:w="854" w:type="pct"/>
                  <w:vAlign w:val="center"/>
                </w:tcPr>
                <w:p w14:paraId="19C58A4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乐昌市宏信精工制造有限公</w:t>
                  </w:r>
                  <w:r>
                    <w:rPr>
                      <w:rFonts w:ascii="宋体" w:hAnsi="宋体" w:eastAsia="宋体" w:cs="宋体"/>
                      <w:color w:val="auto"/>
                      <w:sz w:val="21"/>
                      <w:szCs w:val="21"/>
                      <w:highlight w:val="none"/>
                    </w:rPr>
                    <w:t>司</w:t>
                  </w:r>
                </w:p>
              </w:tc>
              <w:tc>
                <w:tcPr>
                  <w:tcW w:w="283" w:type="pct"/>
                  <w:vAlign w:val="center"/>
                </w:tcPr>
                <w:p w14:paraId="1F7900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3A1E35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3AC57E0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10000</w:t>
                  </w:r>
                </w:p>
              </w:tc>
              <w:tc>
                <w:tcPr>
                  <w:tcW w:w="1690" w:type="pct"/>
                  <w:vAlign w:val="center"/>
                </w:tcPr>
                <w:p w14:paraId="7702B8D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年产球墨模具、零件</w:t>
                  </w:r>
                  <w:r>
                    <w:rPr>
                      <w:color w:val="auto"/>
                      <w:spacing w:val="-2"/>
                      <w:highlight w:val="none"/>
                    </w:rPr>
                    <w:t>4000</w:t>
                  </w:r>
                  <w:r>
                    <w:rPr>
                      <w:rFonts w:ascii="宋体" w:hAnsi="宋体" w:eastAsia="宋体" w:cs="宋体"/>
                      <w:color w:val="auto"/>
                      <w:spacing w:val="-2"/>
                      <w:highlight w:val="none"/>
                    </w:rPr>
                    <w:t>吨、灰口模具、零件</w:t>
                  </w:r>
                  <w:r>
                    <w:rPr>
                      <w:color w:val="auto"/>
                      <w:spacing w:val="-2"/>
                      <w:highlight w:val="none"/>
                    </w:rPr>
                    <w:t>6000</w:t>
                  </w:r>
                  <w:r>
                    <w:rPr>
                      <w:rFonts w:ascii="宋体" w:hAnsi="宋体" w:eastAsia="宋体" w:cs="宋体"/>
                      <w:color w:val="auto"/>
                      <w:spacing w:val="-2"/>
                      <w:highlight w:val="none"/>
                    </w:rPr>
                    <w:t>吨</w:t>
                  </w:r>
                </w:p>
              </w:tc>
              <w:tc>
                <w:tcPr>
                  <w:tcW w:w="962" w:type="pct"/>
                  <w:vAlign w:val="center"/>
                </w:tcPr>
                <w:p w14:paraId="1C96267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"bookmark212"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]39</w:t>
                  </w:r>
                  <w:r>
                    <w:rPr>
                      <w:rFonts w:ascii="宋体" w:hAnsi="宋体" w:eastAsia="宋体" w:cs="宋体"/>
                      <w:color w:val="auto"/>
                      <w:spacing w:val="-2"/>
                      <w:highlight w:val="none"/>
                    </w:rPr>
                    <w:t>号、韶环乐审</w:t>
                  </w:r>
                  <w:r>
                    <w:rPr>
                      <w:color w:val="auto"/>
                      <w:spacing w:val="-2"/>
                      <w:highlight w:val="none"/>
                    </w:rPr>
                    <w:t>[</w:t>
                  </w:r>
                  <w:r>
                    <w:rPr>
                      <w:color w:val="auto"/>
                      <w:highlight w:val="none"/>
                    </w:rPr>
                    <w:fldChar w:fldCharType="begin"/>
                  </w:r>
                  <w:r>
                    <w:rPr>
                      <w:color w:val="auto"/>
                      <w:highlight w:val="none"/>
                    </w:rPr>
                    <w:instrText xml:space="preserve"> HYPERLINK \l "bookmark213" </w:instrText>
                  </w:r>
                  <w:r>
                    <w:rPr>
                      <w:color w:val="auto"/>
                      <w:highlight w:val="none"/>
                    </w:rPr>
                    <w:fldChar w:fldCharType="separate"/>
                  </w:r>
                  <w:r>
                    <w:rPr>
                      <w:color w:val="auto"/>
                      <w:spacing w:val="-2"/>
                      <w:highlight w:val="none"/>
                    </w:rPr>
                    <w:t>2022</w:t>
                  </w:r>
                  <w:r>
                    <w:rPr>
                      <w:color w:val="auto"/>
                      <w:spacing w:val="-2"/>
                      <w:highlight w:val="none"/>
                    </w:rPr>
                    <w:fldChar w:fldCharType="end"/>
                  </w:r>
                  <w:r>
                    <w:rPr>
                      <w:color w:val="auto"/>
                      <w:spacing w:val="-2"/>
                      <w:highlight w:val="none"/>
                    </w:rPr>
                    <w:t>]23</w:t>
                  </w:r>
                  <w:r>
                    <w:rPr>
                      <w:rFonts w:ascii="宋体" w:hAnsi="宋体" w:eastAsia="宋体" w:cs="宋体"/>
                      <w:color w:val="auto"/>
                      <w:spacing w:val="-2"/>
                      <w:highlight w:val="none"/>
                    </w:rPr>
                    <w:t>号</w:t>
                  </w:r>
                </w:p>
              </w:tc>
            </w:tr>
            <w:tr w14:paraId="1757C1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A5B94C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8"/>
                      <w:highlight w:val="none"/>
                    </w:rPr>
                    <w:t>11</w:t>
                  </w:r>
                </w:p>
              </w:tc>
              <w:tc>
                <w:tcPr>
                  <w:tcW w:w="854" w:type="pct"/>
                  <w:vAlign w:val="center"/>
                </w:tcPr>
                <w:p w14:paraId="326ED3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乐昌市金来得实业有限公司</w:t>
                  </w:r>
                </w:p>
              </w:tc>
              <w:tc>
                <w:tcPr>
                  <w:tcW w:w="283" w:type="pct"/>
                  <w:vAlign w:val="center"/>
                </w:tcPr>
                <w:p w14:paraId="2AC12E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907F24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橡胶和塑料制品业、家具制造业</w:t>
                  </w:r>
                </w:p>
              </w:tc>
              <w:tc>
                <w:tcPr>
                  <w:tcW w:w="385" w:type="pct"/>
                  <w:vAlign w:val="center"/>
                </w:tcPr>
                <w:p w14:paraId="69B96A7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23018.4</w:t>
                  </w:r>
                </w:p>
              </w:tc>
              <w:tc>
                <w:tcPr>
                  <w:tcW w:w="1690" w:type="pct"/>
                  <w:vAlign w:val="center"/>
                </w:tcPr>
                <w:p w14:paraId="62D9E63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年产卫浴、衣柜</w:t>
                  </w:r>
                  <w:r>
                    <w:rPr>
                      <w:color w:val="auto"/>
                      <w:spacing w:val="-1"/>
                      <w:highlight w:val="none"/>
                    </w:rPr>
                    <w:t>1.6</w:t>
                  </w:r>
                  <w:r>
                    <w:rPr>
                      <w:rFonts w:ascii="宋体" w:hAnsi="宋体" w:eastAsia="宋体" w:cs="宋体"/>
                      <w:color w:val="auto"/>
                      <w:spacing w:val="-1"/>
                      <w:highlight w:val="none"/>
                    </w:rPr>
                    <w:t>万套；聚乙烯高分子材料</w:t>
                  </w:r>
                  <w:r>
                    <w:rPr>
                      <w:color w:val="auto"/>
                      <w:spacing w:val="-1"/>
                      <w:highlight w:val="none"/>
                    </w:rPr>
                    <w:t>4.8</w:t>
                  </w:r>
                  <w:r>
                    <w:rPr>
                      <w:rFonts w:ascii="宋体" w:hAnsi="宋体" w:eastAsia="宋体" w:cs="宋体"/>
                      <w:color w:val="auto"/>
                      <w:spacing w:val="-1"/>
                      <w:highlight w:val="none"/>
                    </w:rPr>
                    <w:t>万</w:t>
                  </w:r>
                  <w:r>
                    <w:rPr>
                      <w:rFonts w:ascii="宋体" w:hAnsi="宋体" w:eastAsia="宋体" w:cs="宋体"/>
                      <w:color w:val="auto"/>
                      <w:spacing w:val="-2"/>
                      <w:highlight w:val="none"/>
                    </w:rPr>
                    <w:t>立方米</w:t>
                  </w:r>
                </w:p>
              </w:tc>
              <w:tc>
                <w:tcPr>
                  <w:tcW w:w="962" w:type="pct"/>
                  <w:vAlign w:val="center"/>
                </w:tcPr>
                <w:p w14:paraId="399E643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3"/>
                      <w:highlight w:val="none"/>
                    </w:rPr>
                    <w:t>乐环审</w:t>
                  </w:r>
                  <w:r>
                    <w:rPr>
                      <w:color w:val="auto"/>
                      <w:spacing w:val="-13"/>
                      <w:highlight w:val="none"/>
                    </w:rPr>
                    <w:t>[</w:t>
                  </w:r>
                  <w:r>
                    <w:rPr>
                      <w:color w:val="auto"/>
                      <w:highlight w:val="none"/>
                    </w:rPr>
                    <w:fldChar w:fldCharType="begin"/>
                  </w:r>
                  <w:r>
                    <w:rPr>
                      <w:color w:val="auto"/>
                      <w:highlight w:val="none"/>
                    </w:rPr>
                    <w:instrText xml:space="preserve"> HYPERLINK \l "bookmark214" </w:instrText>
                  </w:r>
                  <w:r>
                    <w:rPr>
                      <w:color w:val="auto"/>
                      <w:highlight w:val="none"/>
                    </w:rPr>
                    <w:fldChar w:fldCharType="separate"/>
                  </w:r>
                  <w:r>
                    <w:rPr>
                      <w:color w:val="auto"/>
                      <w:spacing w:val="-13"/>
                      <w:highlight w:val="none"/>
                    </w:rPr>
                    <w:t>2018</w:t>
                  </w:r>
                  <w:r>
                    <w:rPr>
                      <w:color w:val="auto"/>
                      <w:spacing w:val="-13"/>
                      <w:highlight w:val="none"/>
                    </w:rPr>
                    <w:fldChar w:fldCharType="end"/>
                  </w:r>
                  <w:r>
                    <w:rPr>
                      <w:color w:val="auto"/>
                      <w:spacing w:val="-13"/>
                      <w:highlight w:val="none"/>
                    </w:rPr>
                    <w:t>]03</w:t>
                  </w:r>
                  <w:r>
                    <w:rPr>
                      <w:rFonts w:ascii="宋体" w:hAnsi="宋体" w:eastAsia="宋体" w:cs="宋体"/>
                      <w:color w:val="auto"/>
                      <w:spacing w:val="-13"/>
                      <w:highlight w:val="none"/>
                    </w:rPr>
                    <w:t>号、乐环审〔</w:t>
                  </w:r>
                  <w:r>
                    <w:rPr>
                      <w:color w:val="auto"/>
                      <w:spacing w:val="-13"/>
                      <w:highlight w:val="none"/>
                    </w:rPr>
                    <w:t>2020</w:t>
                  </w:r>
                  <w:r>
                    <w:rPr>
                      <w:rFonts w:ascii="宋体" w:hAnsi="宋体" w:eastAsia="宋体" w:cs="宋体"/>
                      <w:color w:val="auto"/>
                      <w:spacing w:val="-13"/>
                      <w:highlight w:val="none"/>
                    </w:rPr>
                    <w:t>〕</w:t>
                  </w:r>
                  <w:r>
                    <w:rPr>
                      <w:color w:val="auto"/>
                      <w:spacing w:val="-8"/>
                      <w:highlight w:val="none"/>
                    </w:rPr>
                    <w:t>14</w:t>
                  </w:r>
                  <w:r>
                    <w:rPr>
                      <w:rFonts w:ascii="宋体" w:hAnsi="宋体" w:eastAsia="宋体" w:cs="宋体"/>
                      <w:color w:val="auto"/>
                      <w:spacing w:val="-8"/>
                      <w:highlight w:val="none"/>
                    </w:rPr>
                    <w:t>号</w:t>
                  </w:r>
                </w:p>
              </w:tc>
            </w:tr>
            <w:tr w14:paraId="7ABDF8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4" w:hRule="atLeast"/>
                <w:jc w:val="center"/>
              </w:trPr>
              <w:tc>
                <w:tcPr>
                  <w:tcW w:w="242" w:type="pct"/>
                  <w:vAlign w:val="center"/>
                </w:tcPr>
                <w:p w14:paraId="5B3FBAA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12</w:t>
                  </w:r>
                </w:p>
              </w:tc>
              <w:tc>
                <w:tcPr>
                  <w:tcW w:w="854" w:type="pct"/>
                  <w:vAlign w:val="center"/>
                </w:tcPr>
                <w:p w14:paraId="73A8756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广东沃府实业有限公司</w:t>
                  </w:r>
                </w:p>
              </w:tc>
              <w:tc>
                <w:tcPr>
                  <w:tcW w:w="283" w:type="pct"/>
                  <w:vAlign w:val="center"/>
                </w:tcPr>
                <w:p w14:paraId="4D8532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343BB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橡胶和塑料制品业、废弃资源综合</w:t>
                  </w:r>
                  <w:r>
                    <w:rPr>
                      <w:rFonts w:ascii="宋体" w:hAnsi="宋体" w:eastAsia="宋体" w:cs="宋体"/>
                      <w:color w:val="auto"/>
                      <w:spacing w:val="-2"/>
                      <w:sz w:val="21"/>
                      <w:szCs w:val="21"/>
                      <w:highlight w:val="none"/>
                    </w:rPr>
                    <w:t>利用业</w:t>
                  </w:r>
                </w:p>
              </w:tc>
              <w:tc>
                <w:tcPr>
                  <w:tcW w:w="385" w:type="pct"/>
                  <w:vAlign w:val="center"/>
                </w:tcPr>
                <w:p w14:paraId="0E09B40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73337</w:t>
                  </w:r>
                </w:p>
              </w:tc>
              <w:tc>
                <w:tcPr>
                  <w:tcW w:w="1690" w:type="pct"/>
                  <w:vAlign w:val="center"/>
                </w:tcPr>
                <w:p w14:paraId="79CE9C5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年产改性塑料</w:t>
                  </w:r>
                  <w:r>
                    <w:rPr>
                      <w:color w:val="auto"/>
                      <w:highlight w:val="none"/>
                    </w:rPr>
                    <w:t>10</w:t>
                  </w:r>
                  <w:r>
                    <w:rPr>
                      <w:rFonts w:ascii="宋体" w:hAnsi="宋体" w:eastAsia="宋体" w:cs="宋体"/>
                      <w:color w:val="auto"/>
                      <w:highlight w:val="none"/>
                    </w:rPr>
                    <w:t>万吨、家电塑料配件</w:t>
                  </w:r>
                  <w:r>
                    <w:rPr>
                      <w:color w:val="auto"/>
                      <w:highlight w:val="none"/>
                    </w:rPr>
                    <w:t>2000</w:t>
                  </w:r>
                  <w:r>
                    <w:rPr>
                      <w:rFonts w:ascii="宋体" w:hAnsi="宋体" w:eastAsia="宋体" w:cs="宋体"/>
                      <w:color w:val="auto"/>
                      <w:highlight w:val="none"/>
                    </w:rPr>
                    <w:t>吨</w:t>
                  </w:r>
                </w:p>
              </w:tc>
              <w:tc>
                <w:tcPr>
                  <w:tcW w:w="962" w:type="pct"/>
                  <w:vAlign w:val="center"/>
                </w:tcPr>
                <w:p w14:paraId="7FD4FB8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韶环审</w:t>
                  </w:r>
                  <w:r>
                    <w:rPr>
                      <w:color w:val="auto"/>
                      <w:spacing w:val="-2"/>
                      <w:highlight w:val="none"/>
                    </w:rPr>
                    <w:t>[</w:t>
                  </w:r>
                  <w:r>
                    <w:rPr>
                      <w:color w:val="auto"/>
                      <w:highlight w:val="none"/>
                    </w:rPr>
                    <w:fldChar w:fldCharType="begin"/>
                  </w:r>
                  <w:r>
                    <w:rPr>
                      <w:color w:val="auto"/>
                      <w:highlight w:val="none"/>
                    </w:rPr>
                    <w:instrText xml:space="preserve"> HYPERLINK \l "bookmark215"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]177</w:t>
                  </w:r>
                  <w:r>
                    <w:rPr>
                      <w:rFonts w:ascii="宋体" w:hAnsi="宋体" w:eastAsia="宋体" w:cs="宋体"/>
                      <w:color w:val="auto"/>
                      <w:spacing w:val="-2"/>
                      <w:highlight w:val="none"/>
                    </w:rPr>
                    <w:t>号、乐环审</w:t>
                  </w:r>
                  <w:r>
                    <w:rPr>
                      <w:rFonts w:ascii="宋体" w:hAnsi="宋体" w:eastAsia="宋体" w:cs="宋体"/>
                      <w:color w:val="auto"/>
                      <w:spacing w:val="-8"/>
                      <w:highlight w:val="none"/>
                    </w:rPr>
                    <w:t>〔</w:t>
                  </w:r>
                  <w:r>
                    <w:rPr>
                      <w:color w:val="auto"/>
                      <w:spacing w:val="-8"/>
                      <w:highlight w:val="none"/>
                    </w:rPr>
                    <w:t>2021</w:t>
                  </w:r>
                  <w:r>
                    <w:rPr>
                      <w:rFonts w:ascii="宋体" w:hAnsi="宋体" w:eastAsia="宋体" w:cs="宋体"/>
                      <w:color w:val="auto"/>
                      <w:spacing w:val="-8"/>
                      <w:highlight w:val="none"/>
                    </w:rPr>
                    <w:t>〕</w:t>
                  </w:r>
                  <w:r>
                    <w:rPr>
                      <w:color w:val="auto"/>
                      <w:spacing w:val="-8"/>
                      <w:highlight w:val="none"/>
                    </w:rPr>
                    <w:t>05</w:t>
                  </w:r>
                  <w:r>
                    <w:rPr>
                      <w:rFonts w:ascii="宋体" w:hAnsi="宋体" w:eastAsia="宋体" w:cs="宋体"/>
                      <w:color w:val="auto"/>
                      <w:spacing w:val="-8"/>
                      <w:highlight w:val="none"/>
                    </w:rPr>
                    <w:t>号、韶环乐审〔</w:t>
                  </w:r>
                  <w:r>
                    <w:rPr>
                      <w:color w:val="auto"/>
                      <w:spacing w:val="-8"/>
                      <w:highlight w:val="none"/>
                    </w:rPr>
                    <w:t>2025</w:t>
                  </w:r>
                  <w:r>
                    <w:rPr>
                      <w:rFonts w:ascii="宋体" w:hAnsi="宋体" w:eastAsia="宋体" w:cs="宋体"/>
                      <w:color w:val="auto"/>
                      <w:spacing w:val="-8"/>
                      <w:highlight w:val="none"/>
                    </w:rPr>
                    <w:t>〕</w:t>
                  </w:r>
                  <w:r>
                    <w:rPr>
                      <w:color w:val="auto"/>
                      <w:spacing w:val="-8"/>
                      <w:highlight w:val="none"/>
                    </w:rPr>
                    <w:t>17</w:t>
                  </w:r>
                  <w:r>
                    <w:rPr>
                      <w:rFonts w:ascii="宋体" w:hAnsi="宋体" w:eastAsia="宋体" w:cs="宋体"/>
                      <w:color w:val="auto"/>
                      <w:spacing w:val="-8"/>
                      <w:highlight w:val="none"/>
                    </w:rPr>
                    <w:t>号</w:t>
                  </w:r>
                </w:p>
              </w:tc>
            </w:tr>
            <w:tr w14:paraId="25EEE9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242" w:type="pct"/>
                  <w:vAlign w:val="center"/>
                </w:tcPr>
                <w:p w14:paraId="5077010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13</w:t>
                  </w:r>
                </w:p>
              </w:tc>
              <w:tc>
                <w:tcPr>
                  <w:tcW w:w="854" w:type="pct"/>
                  <w:vAlign w:val="center"/>
                </w:tcPr>
                <w:p w14:paraId="013825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韶关乐淇包装材料有限公司</w:t>
                  </w:r>
                </w:p>
              </w:tc>
              <w:tc>
                <w:tcPr>
                  <w:tcW w:w="283" w:type="pct"/>
                  <w:vAlign w:val="center"/>
                </w:tcPr>
                <w:p w14:paraId="27E1F8F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4F3C1B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橡胶和塑料制品业、废弃资源综合</w:t>
                  </w:r>
                  <w:r>
                    <w:rPr>
                      <w:rFonts w:ascii="宋体" w:hAnsi="宋体" w:eastAsia="宋体" w:cs="宋体"/>
                      <w:color w:val="auto"/>
                      <w:spacing w:val="-2"/>
                      <w:sz w:val="21"/>
                      <w:szCs w:val="21"/>
                      <w:highlight w:val="none"/>
                    </w:rPr>
                    <w:t>利用业</w:t>
                  </w:r>
                </w:p>
              </w:tc>
              <w:tc>
                <w:tcPr>
                  <w:tcW w:w="385" w:type="pct"/>
                  <w:vAlign w:val="center"/>
                </w:tcPr>
                <w:p w14:paraId="04196F5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50991.9</w:t>
                  </w:r>
                </w:p>
              </w:tc>
              <w:tc>
                <w:tcPr>
                  <w:tcW w:w="1690" w:type="pct"/>
                  <w:vAlign w:val="center"/>
                </w:tcPr>
                <w:p w14:paraId="5813A9F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年产塑料新材料</w:t>
                  </w:r>
                  <w:r>
                    <w:rPr>
                      <w:color w:val="auto"/>
                      <w:spacing w:val="-2"/>
                      <w:highlight w:val="none"/>
                    </w:rPr>
                    <w:t>7.22</w:t>
                  </w:r>
                  <w:r>
                    <w:rPr>
                      <w:rFonts w:ascii="宋体" w:hAnsi="宋体" w:eastAsia="宋体" w:cs="宋体"/>
                      <w:color w:val="auto"/>
                      <w:spacing w:val="-2"/>
                      <w:highlight w:val="none"/>
                    </w:rPr>
                    <w:t>万吨</w:t>
                  </w:r>
                </w:p>
              </w:tc>
              <w:tc>
                <w:tcPr>
                  <w:tcW w:w="962" w:type="pct"/>
                  <w:vAlign w:val="center"/>
                </w:tcPr>
                <w:p w14:paraId="68C2686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"bookmark216"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]04</w:t>
                  </w:r>
                  <w:r>
                    <w:rPr>
                      <w:rFonts w:ascii="宋体" w:hAnsi="宋体" w:eastAsia="宋体" w:cs="宋体"/>
                      <w:color w:val="auto"/>
                      <w:spacing w:val="-2"/>
                      <w:highlight w:val="none"/>
                    </w:rPr>
                    <w:t>号</w:t>
                  </w:r>
                </w:p>
              </w:tc>
            </w:tr>
            <w:tr w14:paraId="324DC3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2CA9DC8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14</w:t>
                  </w:r>
                </w:p>
              </w:tc>
              <w:tc>
                <w:tcPr>
                  <w:tcW w:w="854" w:type="pct"/>
                  <w:vAlign w:val="center"/>
                </w:tcPr>
                <w:p w14:paraId="328B636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乐昌市华国艺术装饰建材有</w:t>
                  </w:r>
                  <w:r>
                    <w:rPr>
                      <w:rFonts w:ascii="宋体" w:hAnsi="宋体" w:eastAsia="宋体" w:cs="宋体"/>
                      <w:color w:val="auto"/>
                      <w:spacing w:val="-5"/>
                      <w:sz w:val="21"/>
                      <w:szCs w:val="21"/>
                      <w:highlight w:val="none"/>
                    </w:rPr>
                    <w:t>限公司</w:t>
                  </w:r>
                </w:p>
              </w:tc>
              <w:tc>
                <w:tcPr>
                  <w:tcW w:w="283" w:type="pct"/>
                  <w:vAlign w:val="center"/>
                </w:tcPr>
                <w:p w14:paraId="29DEF52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58ED7C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483D5DF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27375.05</w:t>
                  </w:r>
                </w:p>
              </w:tc>
              <w:tc>
                <w:tcPr>
                  <w:tcW w:w="1690" w:type="pct"/>
                  <w:vAlign w:val="center"/>
                </w:tcPr>
                <w:p w14:paraId="5055AD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PU</w:t>
                  </w:r>
                  <w:r>
                    <w:rPr>
                      <w:rFonts w:ascii="宋体" w:hAnsi="宋体" w:eastAsia="宋体" w:cs="宋体"/>
                      <w:color w:val="auto"/>
                      <w:spacing w:val="-2"/>
                      <w:highlight w:val="none"/>
                    </w:rPr>
                    <w:t>装饰线条</w:t>
                  </w:r>
                  <w:r>
                    <w:rPr>
                      <w:color w:val="auto"/>
                      <w:spacing w:val="-2"/>
                      <w:highlight w:val="none"/>
                    </w:rPr>
                    <w:t>1500</w:t>
                  </w:r>
                  <w:r>
                    <w:rPr>
                      <w:rFonts w:ascii="宋体" w:hAnsi="宋体" w:eastAsia="宋体" w:cs="宋体"/>
                      <w:color w:val="auto"/>
                      <w:spacing w:val="-2"/>
                      <w:highlight w:val="none"/>
                    </w:rPr>
                    <w:t>吨、聚氨酯装饰制品</w:t>
                  </w:r>
                  <w:r>
                    <w:rPr>
                      <w:color w:val="auto"/>
                      <w:spacing w:val="-2"/>
                      <w:highlight w:val="none"/>
                    </w:rPr>
                    <w:t>2</w:t>
                  </w:r>
                  <w:r>
                    <w:rPr>
                      <w:color w:val="auto"/>
                      <w:spacing w:val="-3"/>
                      <w:highlight w:val="none"/>
                    </w:rPr>
                    <w:t>50</w:t>
                  </w:r>
                  <w:r>
                    <w:rPr>
                      <w:rFonts w:ascii="宋体" w:hAnsi="宋体" w:eastAsia="宋体" w:cs="宋体"/>
                      <w:color w:val="auto"/>
                      <w:spacing w:val="-3"/>
                      <w:highlight w:val="none"/>
                    </w:rPr>
                    <w:t>吨</w:t>
                  </w:r>
                </w:p>
              </w:tc>
              <w:tc>
                <w:tcPr>
                  <w:tcW w:w="962" w:type="pct"/>
                  <w:vAlign w:val="center"/>
                </w:tcPr>
                <w:p w14:paraId="2EB0F7E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"bookmark217"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]35</w:t>
                  </w:r>
                  <w:r>
                    <w:rPr>
                      <w:rFonts w:ascii="宋体" w:hAnsi="宋体" w:eastAsia="宋体" w:cs="宋体"/>
                      <w:color w:val="auto"/>
                      <w:spacing w:val="-2"/>
                      <w:highlight w:val="none"/>
                    </w:rPr>
                    <w:t>号</w:t>
                  </w:r>
                </w:p>
              </w:tc>
            </w:tr>
            <w:tr w14:paraId="071711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4663093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15</w:t>
                  </w:r>
                </w:p>
              </w:tc>
              <w:tc>
                <w:tcPr>
                  <w:tcW w:w="854" w:type="pct"/>
                  <w:vAlign w:val="center"/>
                </w:tcPr>
                <w:p w14:paraId="7234294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6"/>
                      <w:sz w:val="21"/>
                      <w:szCs w:val="21"/>
                      <w:highlight w:val="none"/>
                    </w:rPr>
                    <w:t>汇隽新材料科技（乐昌）有限</w:t>
                  </w:r>
                  <w:r>
                    <w:rPr>
                      <w:rFonts w:ascii="宋体" w:hAnsi="宋体" w:eastAsia="宋体" w:cs="宋体"/>
                      <w:color w:val="auto"/>
                      <w:spacing w:val="-4"/>
                      <w:sz w:val="21"/>
                      <w:szCs w:val="21"/>
                      <w:highlight w:val="none"/>
                    </w:rPr>
                    <w:t>公司</w:t>
                  </w:r>
                </w:p>
              </w:tc>
              <w:tc>
                <w:tcPr>
                  <w:tcW w:w="283" w:type="pct"/>
                  <w:vAlign w:val="center"/>
                </w:tcPr>
                <w:p w14:paraId="086887A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1C74D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19798CE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7349.3</w:t>
                  </w:r>
                </w:p>
              </w:tc>
              <w:tc>
                <w:tcPr>
                  <w:tcW w:w="1690" w:type="pct"/>
                  <w:vAlign w:val="center"/>
                </w:tcPr>
                <w:p w14:paraId="49B4C4D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PU</w:t>
                  </w:r>
                  <w:r>
                    <w:rPr>
                      <w:rFonts w:ascii="宋体" w:hAnsi="宋体" w:eastAsia="宋体" w:cs="宋体"/>
                      <w:color w:val="auto"/>
                      <w:spacing w:val="-2"/>
                      <w:highlight w:val="none"/>
                    </w:rPr>
                    <w:t>装饰线条</w:t>
                  </w:r>
                  <w:r>
                    <w:rPr>
                      <w:color w:val="auto"/>
                      <w:spacing w:val="-2"/>
                      <w:highlight w:val="none"/>
                    </w:rPr>
                    <w:t>750</w:t>
                  </w:r>
                  <w:r>
                    <w:rPr>
                      <w:rFonts w:ascii="宋体" w:hAnsi="宋体" w:eastAsia="宋体" w:cs="宋体"/>
                      <w:color w:val="auto"/>
                      <w:spacing w:val="-2"/>
                      <w:highlight w:val="none"/>
                    </w:rPr>
                    <w:t>吨、聚氨酯装饰制品</w:t>
                  </w:r>
                  <w:r>
                    <w:rPr>
                      <w:color w:val="auto"/>
                      <w:spacing w:val="-2"/>
                      <w:highlight w:val="none"/>
                    </w:rPr>
                    <w:t>250</w:t>
                  </w:r>
                  <w:r>
                    <w:rPr>
                      <w:rFonts w:ascii="宋体" w:hAnsi="宋体" w:eastAsia="宋体" w:cs="宋体"/>
                      <w:color w:val="auto"/>
                      <w:spacing w:val="-2"/>
                      <w:highlight w:val="none"/>
                    </w:rPr>
                    <w:t>吨</w:t>
                  </w:r>
                </w:p>
              </w:tc>
              <w:tc>
                <w:tcPr>
                  <w:tcW w:w="962" w:type="pct"/>
                  <w:vAlign w:val="center"/>
                </w:tcPr>
                <w:p w14:paraId="089250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乐环审</w:t>
                  </w:r>
                  <w:r>
                    <w:rPr>
                      <w:color w:val="auto"/>
                      <w:spacing w:val="-4"/>
                      <w:highlight w:val="none"/>
                    </w:rPr>
                    <w:t>[</w:t>
                  </w:r>
                  <w:r>
                    <w:rPr>
                      <w:color w:val="auto"/>
                      <w:highlight w:val="none"/>
                    </w:rPr>
                    <w:fldChar w:fldCharType="begin"/>
                  </w:r>
                  <w:r>
                    <w:rPr>
                      <w:color w:val="auto"/>
                      <w:highlight w:val="none"/>
                    </w:rPr>
                    <w:instrText xml:space="preserve"> HYPERLINK \l "bookmark218" </w:instrText>
                  </w:r>
                  <w:r>
                    <w:rPr>
                      <w:color w:val="auto"/>
                      <w:highlight w:val="none"/>
                    </w:rPr>
                    <w:fldChar w:fldCharType="separate"/>
                  </w:r>
                  <w:r>
                    <w:rPr>
                      <w:color w:val="auto"/>
                      <w:spacing w:val="-4"/>
                      <w:highlight w:val="none"/>
                    </w:rPr>
                    <w:t>2018</w:t>
                  </w:r>
                  <w:r>
                    <w:rPr>
                      <w:color w:val="auto"/>
                      <w:spacing w:val="-4"/>
                      <w:highlight w:val="none"/>
                    </w:rPr>
                    <w:fldChar w:fldCharType="end"/>
                  </w:r>
                  <w:r>
                    <w:rPr>
                      <w:color w:val="auto"/>
                      <w:spacing w:val="-4"/>
                      <w:highlight w:val="none"/>
                    </w:rPr>
                    <w:t>]13</w:t>
                  </w:r>
                  <w:r>
                    <w:rPr>
                      <w:rFonts w:ascii="宋体" w:hAnsi="宋体" w:eastAsia="宋体" w:cs="宋体"/>
                      <w:color w:val="auto"/>
                      <w:spacing w:val="-4"/>
                      <w:highlight w:val="none"/>
                    </w:rPr>
                    <w:t>号</w:t>
                  </w:r>
                </w:p>
              </w:tc>
            </w:tr>
            <w:tr w14:paraId="048D67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4" w:hRule="atLeast"/>
                <w:jc w:val="center"/>
              </w:trPr>
              <w:tc>
                <w:tcPr>
                  <w:tcW w:w="242" w:type="pct"/>
                  <w:vAlign w:val="center"/>
                </w:tcPr>
                <w:p w14:paraId="05EF654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16</w:t>
                  </w:r>
                </w:p>
              </w:tc>
              <w:tc>
                <w:tcPr>
                  <w:tcW w:w="854" w:type="pct"/>
                  <w:vAlign w:val="center"/>
                </w:tcPr>
                <w:p w14:paraId="361DF50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广东宝创环保新材料制品有</w:t>
                  </w:r>
                  <w:r>
                    <w:rPr>
                      <w:rFonts w:ascii="宋体" w:hAnsi="宋体" w:eastAsia="宋体" w:cs="宋体"/>
                      <w:color w:val="auto"/>
                      <w:spacing w:val="-5"/>
                      <w:sz w:val="21"/>
                      <w:szCs w:val="21"/>
                      <w:highlight w:val="none"/>
                    </w:rPr>
                    <w:t>限公司</w:t>
                  </w:r>
                </w:p>
              </w:tc>
              <w:tc>
                <w:tcPr>
                  <w:tcW w:w="283" w:type="pct"/>
                  <w:vAlign w:val="center"/>
                </w:tcPr>
                <w:p w14:paraId="26D4CC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06440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纺织业</w:t>
                  </w:r>
                </w:p>
              </w:tc>
              <w:tc>
                <w:tcPr>
                  <w:tcW w:w="385" w:type="pct"/>
                  <w:vAlign w:val="center"/>
                </w:tcPr>
                <w:p w14:paraId="44E0958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32671.2</w:t>
                  </w:r>
                </w:p>
              </w:tc>
              <w:tc>
                <w:tcPr>
                  <w:tcW w:w="1690" w:type="pct"/>
                  <w:vAlign w:val="center"/>
                </w:tcPr>
                <w:p w14:paraId="1AC5E3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年产热轧无纺布</w:t>
                  </w:r>
                  <w:r>
                    <w:rPr>
                      <w:color w:val="auto"/>
                      <w:spacing w:val="-4"/>
                      <w:highlight w:val="none"/>
                    </w:rPr>
                    <w:t>2800</w:t>
                  </w:r>
                  <w:r>
                    <w:rPr>
                      <w:rFonts w:ascii="宋体" w:hAnsi="宋体" w:eastAsia="宋体" w:cs="宋体"/>
                      <w:color w:val="auto"/>
                      <w:spacing w:val="-4"/>
                      <w:highlight w:val="none"/>
                    </w:rPr>
                    <w:t>吨、口罩</w:t>
                  </w:r>
                  <w:r>
                    <w:rPr>
                      <w:color w:val="auto"/>
                      <w:spacing w:val="-4"/>
                      <w:highlight w:val="none"/>
                    </w:rPr>
                    <w:t>30000</w:t>
                  </w:r>
                  <w:r>
                    <w:rPr>
                      <w:rFonts w:ascii="宋体" w:hAnsi="宋体" w:eastAsia="宋体" w:cs="宋体"/>
                      <w:color w:val="auto"/>
                      <w:spacing w:val="-4"/>
                      <w:highlight w:val="none"/>
                    </w:rPr>
                    <w:t>万片、纺粘熔喷</w:t>
                  </w:r>
                  <w:r>
                    <w:rPr>
                      <w:rFonts w:ascii="宋体" w:hAnsi="宋体" w:eastAsia="宋体" w:cs="宋体"/>
                      <w:color w:val="auto"/>
                      <w:spacing w:val="-5"/>
                      <w:highlight w:val="none"/>
                    </w:rPr>
                    <w:t>无纺布</w:t>
                  </w:r>
                  <w:r>
                    <w:rPr>
                      <w:color w:val="auto"/>
                      <w:spacing w:val="-9"/>
                      <w:highlight w:val="none"/>
                    </w:rPr>
                    <w:t>7440</w:t>
                  </w:r>
                  <w:r>
                    <w:rPr>
                      <w:rFonts w:ascii="宋体" w:hAnsi="宋体" w:eastAsia="宋体" w:cs="宋体"/>
                      <w:color w:val="auto"/>
                      <w:spacing w:val="-9"/>
                      <w:highlight w:val="none"/>
                    </w:rPr>
                    <w:t>吨、衬布</w:t>
                  </w:r>
                  <w:r>
                    <w:rPr>
                      <w:color w:val="auto"/>
                      <w:spacing w:val="-9"/>
                      <w:highlight w:val="none"/>
                    </w:rPr>
                    <w:t>5720</w:t>
                  </w:r>
                  <w:r>
                    <w:rPr>
                      <w:rFonts w:ascii="宋体" w:hAnsi="宋体" w:eastAsia="宋体" w:cs="宋体"/>
                      <w:color w:val="auto"/>
                      <w:spacing w:val="-9"/>
                      <w:highlight w:val="none"/>
                    </w:rPr>
                    <w:t>万米、热风无纺布</w:t>
                  </w:r>
                  <w:r>
                    <w:rPr>
                      <w:color w:val="auto"/>
                      <w:spacing w:val="-9"/>
                      <w:highlight w:val="none"/>
                    </w:rPr>
                    <w:t>860</w:t>
                  </w:r>
                  <w:r>
                    <w:rPr>
                      <w:rFonts w:ascii="宋体" w:hAnsi="宋体" w:eastAsia="宋体" w:cs="宋体"/>
                      <w:color w:val="auto"/>
                      <w:spacing w:val="-9"/>
                      <w:highlight w:val="none"/>
                    </w:rPr>
                    <w:t>吨、复合芯体</w:t>
                  </w:r>
                  <w:r>
                    <w:rPr>
                      <w:color w:val="auto"/>
                      <w:spacing w:val="-9"/>
                      <w:highlight w:val="none"/>
                    </w:rPr>
                    <w:t>1430</w:t>
                  </w:r>
                  <w:r>
                    <w:rPr>
                      <w:rFonts w:ascii="宋体" w:hAnsi="宋体" w:eastAsia="宋体" w:cs="宋体"/>
                      <w:color w:val="auto"/>
                      <w:spacing w:val="-3"/>
                      <w:highlight w:val="none"/>
                    </w:rPr>
                    <w:t>吨、湿巾</w:t>
                  </w:r>
                  <w:r>
                    <w:rPr>
                      <w:color w:val="auto"/>
                      <w:spacing w:val="-3"/>
                      <w:highlight w:val="none"/>
                    </w:rPr>
                    <w:t>360</w:t>
                  </w:r>
                  <w:r>
                    <w:rPr>
                      <w:rFonts w:ascii="宋体" w:hAnsi="宋体" w:eastAsia="宋体" w:cs="宋体"/>
                      <w:color w:val="auto"/>
                      <w:spacing w:val="-3"/>
                      <w:highlight w:val="none"/>
                    </w:rPr>
                    <w:t>万包、熔喷无纺布</w:t>
                  </w:r>
                  <w:r>
                    <w:rPr>
                      <w:color w:val="auto"/>
                      <w:spacing w:val="-3"/>
                      <w:highlight w:val="none"/>
                    </w:rPr>
                    <w:t>1500</w:t>
                  </w:r>
                  <w:r>
                    <w:rPr>
                      <w:rFonts w:ascii="宋体" w:hAnsi="宋体" w:eastAsia="宋体" w:cs="宋体"/>
                      <w:color w:val="auto"/>
                      <w:spacing w:val="-3"/>
                      <w:highlight w:val="none"/>
                    </w:rPr>
                    <w:t>吨、网膜无纺布</w:t>
                  </w:r>
                  <w:r>
                    <w:rPr>
                      <w:color w:val="auto"/>
                      <w:spacing w:val="-4"/>
                      <w:highlight w:val="none"/>
                    </w:rPr>
                    <w:t>825</w:t>
                  </w:r>
                  <w:r>
                    <w:rPr>
                      <w:rFonts w:ascii="宋体" w:hAnsi="宋体" w:eastAsia="宋体" w:cs="宋体"/>
                      <w:color w:val="auto"/>
                      <w:spacing w:val="-5"/>
                      <w:highlight w:val="none"/>
                    </w:rPr>
                    <w:t>万米、无纺布抽取式干巾</w:t>
                  </w:r>
                  <w:r>
                    <w:rPr>
                      <w:color w:val="auto"/>
                      <w:spacing w:val="-5"/>
                      <w:highlight w:val="none"/>
                    </w:rPr>
                    <w:t>57</w:t>
                  </w:r>
                  <w:r>
                    <w:rPr>
                      <w:rFonts w:ascii="宋体" w:hAnsi="宋体" w:eastAsia="宋体" w:cs="宋体"/>
                      <w:color w:val="auto"/>
                      <w:spacing w:val="-5"/>
                      <w:highlight w:val="none"/>
                    </w:rPr>
                    <w:t>万盒、无纺布床</w:t>
                  </w:r>
                  <w:r>
                    <w:rPr>
                      <w:rFonts w:ascii="宋体" w:hAnsi="宋体" w:eastAsia="宋体" w:cs="宋体"/>
                      <w:color w:val="auto"/>
                      <w:spacing w:val="-6"/>
                      <w:highlight w:val="none"/>
                    </w:rPr>
                    <w:t>单</w:t>
                  </w:r>
                  <w:r>
                    <w:rPr>
                      <w:color w:val="auto"/>
                      <w:spacing w:val="-6"/>
                      <w:highlight w:val="none"/>
                    </w:rPr>
                    <w:t>570</w:t>
                  </w:r>
                  <w:r>
                    <w:rPr>
                      <w:rFonts w:ascii="宋体" w:hAnsi="宋体" w:eastAsia="宋体" w:cs="宋体"/>
                      <w:color w:val="auto"/>
                      <w:spacing w:val="-6"/>
                      <w:highlight w:val="none"/>
                    </w:rPr>
                    <w:t>万张、口</w:t>
                  </w:r>
                  <w:r>
                    <w:rPr>
                      <w:rFonts w:ascii="宋体" w:hAnsi="宋体" w:eastAsia="宋体" w:cs="宋体"/>
                      <w:color w:val="auto"/>
                      <w:spacing w:val="-2"/>
                      <w:highlight w:val="none"/>
                    </w:rPr>
                    <w:t>罩衬布</w:t>
                  </w:r>
                  <w:r>
                    <w:rPr>
                      <w:color w:val="auto"/>
                      <w:spacing w:val="-2"/>
                      <w:highlight w:val="none"/>
                    </w:rPr>
                    <w:t>2000</w:t>
                  </w:r>
                  <w:r>
                    <w:rPr>
                      <w:rFonts w:ascii="宋体" w:hAnsi="宋体" w:eastAsia="宋体" w:cs="宋体"/>
                      <w:color w:val="auto"/>
                      <w:spacing w:val="-2"/>
                      <w:highlight w:val="none"/>
                    </w:rPr>
                    <w:t>万米、其他衬布</w:t>
                  </w:r>
                  <w:r>
                    <w:rPr>
                      <w:color w:val="auto"/>
                      <w:spacing w:val="-2"/>
                      <w:highlight w:val="none"/>
                    </w:rPr>
                    <w:t>7000</w:t>
                  </w:r>
                  <w:r>
                    <w:rPr>
                      <w:rFonts w:ascii="宋体" w:hAnsi="宋体" w:eastAsia="宋体" w:cs="宋体"/>
                      <w:color w:val="auto"/>
                      <w:spacing w:val="-2"/>
                      <w:highlight w:val="none"/>
                    </w:rPr>
                    <w:t>万米</w:t>
                  </w:r>
                </w:p>
              </w:tc>
              <w:tc>
                <w:tcPr>
                  <w:tcW w:w="962" w:type="pct"/>
                  <w:vAlign w:val="center"/>
                </w:tcPr>
                <w:p w14:paraId="0CEC5B9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3"/>
                      <w:highlight w:val="none"/>
                    </w:rPr>
                    <w:t>乐环审</w:t>
                  </w:r>
                  <w:r>
                    <w:rPr>
                      <w:color w:val="auto"/>
                      <w:spacing w:val="-13"/>
                      <w:highlight w:val="none"/>
                    </w:rPr>
                    <w:t>[</w:t>
                  </w:r>
                  <w:r>
                    <w:rPr>
                      <w:color w:val="auto"/>
                      <w:highlight w:val="none"/>
                    </w:rPr>
                    <w:fldChar w:fldCharType="begin"/>
                  </w:r>
                  <w:r>
                    <w:rPr>
                      <w:color w:val="auto"/>
                      <w:highlight w:val="none"/>
                    </w:rPr>
                    <w:instrText xml:space="preserve"> HYPERLINK \l "bookmark219" </w:instrText>
                  </w:r>
                  <w:r>
                    <w:rPr>
                      <w:color w:val="auto"/>
                      <w:highlight w:val="none"/>
                    </w:rPr>
                    <w:fldChar w:fldCharType="separate"/>
                  </w:r>
                  <w:r>
                    <w:rPr>
                      <w:color w:val="auto"/>
                      <w:spacing w:val="-13"/>
                      <w:highlight w:val="none"/>
                    </w:rPr>
                    <w:t>2017</w:t>
                  </w:r>
                  <w:r>
                    <w:rPr>
                      <w:color w:val="auto"/>
                      <w:spacing w:val="-13"/>
                      <w:highlight w:val="none"/>
                    </w:rPr>
                    <w:fldChar w:fldCharType="end"/>
                  </w:r>
                  <w:r>
                    <w:rPr>
                      <w:color w:val="auto"/>
                      <w:spacing w:val="-13"/>
                      <w:highlight w:val="none"/>
                    </w:rPr>
                    <w:t>]50</w:t>
                  </w:r>
                  <w:r>
                    <w:rPr>
                      <w:rFonts w:ascii="宋体" w:hAnsi="宋体" w:eastAsia="宋体" w:cs="宋体"/>
                      <w:color w:val="auto"/>
                      <w:spacing w:val="-13"/>
                      <w:highlight w:val="none"/>
                    </w:rPr>
                    <w:t>号、乐环审〔</w:t>
                  </w:r>
                  <w:r>
                    <w:rPr>
                      <w:color w:val="auto"/>
                      <w:spacing w:val="-13"/>
                      <w:highlight w:val="none"/>
                    </w:rPr>
                    <w:t>2020</w:t>
                  </w:r>
                  <w:r>
                    <w:rPr>
                      <w:rFonts w:ascii="宋体" w:hAnsi="宋体" w:eastAsia="宋体" w:cs="宋体"/>
                      <w:color w:val="auto"/>
                      <w:spacing w:val="-13"/>
                      <w:highlight w:val="none"/>
                    </w:rPr>
                    <w:t>〕</w:t>
                  </w:r>
                  <w:r>
                    <w:rPr>
                      <w:color w:val="auto"/>
                      <w:spacing w:val="-2"/>
                      <w:highlight w:val="none"/>
                    </w:rPr>
                    <w:t>23</w:t>
                  </w:r>
                  <w:r>
                    <w:rPr>
                      <w:rFonts w:ascii="宋体" w:hAnsi="宋体" w:eastAsia="宋体" w:cs="宋体"/>
                      <w:color w:val="auto"/>
                      <w:spacing w:val="-2"/>
                      <w:highlight w:val="none"/>
                    </w:rPr>
                    <w:t>号、韶环乐审〔</w:t>
                  </w:r>
                  <w:r>
                    <w:rPr>
                      <w:color w:val="auto"/>
                      <w:spacing w:val="-2"/>
                      <w:highlight w:val="none"/>
                    </w:rPr>
                    <w:t>2021</w:t>
                  </w:r>
                  <w:r>
                    <w:rPr>
                      <w:rFonts w:ascii="宋体" w:hAnsi="宋体" w:eastAsia="宋体" w:cs="宋体"/>
                      <w:color w:val="auto"/>
                      <w:spacing w:val="-2"/>
                      <w:highlight w:val="none"/>
                    </w:rPr>
                    <w:t>〕</w:t>
                  </w:r>
                  <w:r>
                    <w:rPr>
                      <w:color w:val="auto"/>
                      <w:spacing w:val="-2"/>
                      <w:highlight w:val="none"/>
                    </w:rPr>
                    <w:t>26</w:t>
                  </w:r>
                  <w:r>
                    <w:rPr>
                      <w:rFonts w:ascii="宋体" w:hAnsi="宋体" w:eastAsia="宋体" w:cs="宋体"/>
                      <w:color w:val="auto"/>
                      <w:spacing w:val="-2"/>
                      <w:highlight w:val="none"/>
                    </w:rPr>
                    <w:t>号</w:t>
                  </w:r>
                </w:p>
              </w:tc>
            </w:tr>
            <w:tr w14:paraId="6B4BFD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A24F0A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17</w:t>
                  </w:r>
                </w:p>
              </w:tc>
              <w:tc>
                <w:tcPr>
                  <w:tcW w:w="854" w:type="pct"/>
                  <w:vAlign w:val="center"/>
                </w:tcPr>
                <w:p w14:paraId="0ED4EE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广东泰邦耐磨金属科技有限</w:t>
                  </w:r>
                  <w:r>
                    <w:rPr>
                      <w:rFonts w:ascii="宋体" w:hAnsi="宋体" w:eastAsia="宋体" w:cs="宋体"/>
                      <w:color w:val="auto"/>
                      <w:spacing w:val="-4"/>
                      <w:sz w:val="21"/>
                      <w:szCs w:val="21"/>
                      <w:highlight w:val="none"/>
                    </w:rPr>
                    <w:t>公司</w:t>
                  </w:r>
                </w:p>
              </w:tc>
              <w:tc>
                <w:tcPr>
                  <w:tcW w:w="283" w:type="pct"/>
                  <w:vAlign w:val="center"/>
                </w:tcPr>
                <w:p w14:paraId="7A5D650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8301E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64EFA62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33583</w:t>
                  </w:r>
                </w:p>
              </w:tc>
              <w:tc>
                <w:tcPr>
                  <w:tcW w:w="1690" w:type="pct"/>
                  <w:vAlign w:val="center"/>
                </w:tcPr>
                <w:p w14:paraId="08D1034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年产铸钢</w:t>
                  </w:r>
                  <w:r>
                    <w:rPr>
                      <w:color w:val="auto"/>
                      <w:spacing w:val="-4"/>
                      <w:highlight w:val="none"/>
                    </w:rPr>
                    <w:t>1</w:t>
                  </w:r>
                  <w:r>
                    <w:rPr>
                      <w:rFonts w:ascii="宋体" w:hAnsi="宋体" w:eastAsia="宋体" w:cs="宋体"/>
                      <w:color w:val="auto"/>
                      <w:spacing w:val="-4"/>
                      <w:highlight w:val="none"/>
                    </w:rPr>
                    <w:t>万吨</w:t>
                  </w:r>
                </w:p>
              </w:tc>
              <w:tc>
                <w:tcPr>
                  <w:tcW w:w="962" w:type="pct"/>
                  <w:vAlign w:val="center"/>
                </w:tcPr>
                <w:p w14:paraId="0F2589B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乐环函</w:t>
                  </w:r>
                  <w:r>
                    <w:rPr>
                      <w:color w:val="auto"/>
                      <w:spacing w:val="-2"/>
                      <w:highlight w:val="none"/>
                    </w:rPr>
                    <w:t>[</w:t>
                  </w:r>
                  <w:r>
                    <w:rPr>
                      <w:color w:val="auto"/>
                      <w:highlight w:val="none"/>
                    </w:rPr>
                    <w:fldChar w:fldCharType="begin"/>
                  </w:r>
                  <w:r>
                    <w:rPr>
                      <w:color w:val="auto"/>
                      <w:highlight w:val="none"/>
                    </w:rPr>
                    <w:instrText xml:space="preserve"> HYPERLINK \l "bookmark220" </w:instrText>
                  </w:r>
                  <w:r>
                    <w:rPr>
                      <w:color w:val="auto"/>
                      <w:highlight w:val="none"/>
                    </w:rPr>
                    <w:fldChar w:fldCharType="separate"/>
                  </w:r>
                  <w:r>
                    <w:rPr>
                      <w:color w:val="auto"/>
                      <w:spacing w:val="-2"/>
                      <w:highlight w:val="none"/>
                    </w:rPr>
                    <w:t>2011</w:t>
                  </w:r>
                  <w:r>
                    <w:rPr>
                      <w:color w:val="auto"/>
                      <w:spacing w:val="-2"/>
                      <w:highlight w:val="none"/>
                    </w:rPr>
                    <w:fldChar w:fldCharType="end"/>
                  </w:r>
                  <w:r>
                    <w:rPr>
                      <w:color w:val="auto"/>
                      <w:spacing w:val="-2"/>
                      <w:highlight w:val="none"/>
                    </w:rPr>
                    <w:t>]25</w:t>
                  </w:r>
                  <w:r>
                    <w:rPr>
                      <w:rFonts w:ascii="宋体" w:hAnsi="宋体" w:eastAsia="宋体" w:cs="宋体"/>
                      <w:color w:val="auto"/>
                      <w:spacing w:val="-2"/>
                      <w:highlight w:val="none"/>
                    </w:rPr>
                    <w:t>号、乐环审</w:t>
                  </w:r>
                  <w:r>
                    <w:rPr>
                      <w:color w:val="auto"/>
                      <w:spacing w:val="-5"/>
                      <w:highlight w:val="none"/>
                    </w:rPr>
                    <w:t>[</w:t>
                  </w:r>
                  <w:r>
                    <w:rPr>
                      <w:color w:val="auto"/>
                      <w:highlight w:val="none"/>
                    </w:rPr>
                    <w:fldChar w:fldCharType="begin"/>
                  </w:r>
                  <w:r>
                    <w:rPr>
                      <w:color w:val="auto"/>
                      <w:highlight w:val="none"/>
                    </w:rPr>
                    <w:instrText xml:space="preserve"> HYPERLINK \l "bookmark221" </w:instrText>
                  </w:r>
                  <w:r>
                    <w:rPr>
                      <w:color w:val="auto"/>
                      <w:highlight w:val="none"/>
                    </w:rPr>
                    <w:fldChar w:fldCharType="separate"/>
                  </w:r>
                  <w:r>
                    <w:rPr>
                      <w:color w:val="auto"/>
                      <w:spacing w:val="-5"/>
                      <w:highlight w:val="none"/>
                    </w:rPr>
                    <w:t>2018</w:t>
                  </w:r>
                  <w:r>
                    <w:rPr>
                      <w:color w:val="auto"/>
                      <w:spacing w:val="-5"/>
                      <w:highlight w:val="none"/>
                    </w:rPr>
                    <w:fldChar w:fldCharType="end"/>
                  </w:r>
                  <w:r>
                    <w:rPr>
                      <w:color w:val="auto"/>
                      <w:spacing w:val="-5"/>
                      <w:highlight w:val="none"/>
                    </w:rPr>
                    <w:t>]17</w:t>
                  </w:r>
                  <w:r>
                    <w:rPr>
                      <w:rFonts w:ascii="宋体" w:hAnsi="宋体" w:eastAsia="宋体" w:cs="宋体"/>
                      <w:color w:val="auto"/>
                      <w:spacing w:val="-5"/>
                      <w:highlight w:val="none"/>
                    </w:rPr>
                    <w:t>号</w:t>
                  </w:r>
                </w:p>
              </w:tc>
            </w:tr>
            <w:tr w14:paraId="54CFB5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2" w:hRule="atLeast"/>
                <w:jc w:val="center"/>
              </w:trPr>
              <w:tc>
                <w:tcPr>
                  <w:tcW w:w="242" w:type="pct"/>
                  <w:vAlign w:val="center"/>
                </w:tcPr>
                <w:p w14:paraId="5377C8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18</w:t>
                  </w:r>
                </w:p>
              </w:tc>
              <w:tc>
                <w:tcPr>
                  <w:tcW w:w="854" w:type="pct"/>
                  <w:vAlign w:val="center"/>
                </w:tcPr>
                <w:p w14:paraId="7023BC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乐昌市明俊铸造有限公司</w:t>
                  </w:r>
                </w:p>
              </w:tc>
              <w:tc>
                <w:tcPr>
                  <w:tcW w:w="283" w:type="pct"/>
                  <w:vAlign w:val="center"/>
                </w:tcPr>
                <w:p w14:paraId="6353978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87BFC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7C446D8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12666</w:t>
                  </w:r>
                </w:p>
              </w:tc>
              <w:tc>
                <w:tcPr>
                  <w:tcW w:w="1690" w:type="pct"/>
                  <w:vAlign w:val="center"/>
                </w:tcPr>
                <w:p w14:paraId="71AB314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年产水泵类铸件、油泵</w:t>
                  </w:r>
                  <w:r>
                    <w:rPr>
                      <w:color w:val="auto"/>
                      <w:spacing w:val="-2"/>
                      <w:highlight w:val="none"/>
                    </w:rPr>
                    <w:t>6000</w:t>
                  </w:r>
                  <w:r>
                    <w:rPr>
                      <w:rFonts w:ascii="宋体" w:hAnsi="宋体" w:eastAsia="宋体" w:cs="宋体"/>
                      <w:color w:val="auto"/>
                      <w:spacing w:val="-2"/>
                      <w:highlight w:val="none"/>
                    </w:rPr>
                    <w:t>吨</w:t>
                  </w:r>
                </w:p>
              </w:tc>
              <w:tc>
                <w:tcPr>
                  <w:tcW w:w="962" w:type="pct"/>
                  <w:vAlign w:val="center"/>
                </w:tcPr>
                <w:p w14:paraId="59E82FB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highlight w:val="none"/>
                    </w:rPr>
                    <w:t>乐环函</w:t>
                  </w:r>
                  <w:r>
                    <w:rPr>
                      <w:color w:val="auto"/>
                      <w:spacing w:val="-4"/>
                      <w:highlight w:val="none"/>
                    </w:rPr>
                    <w:t>[</w:t>
                  </w:r>
                  <w:r>
                    <w:rPr>
                      <w:color w:val="auto"/>
                      <w:highlight w:val="none"/>
                    </w:rPr>
                    <w:fldChar w:fldCharType="begin"/>
                  </w:r>
                  <w:r>
                    <w:rPr>
                      <w:color w:val="auto"/>
                      <w:highlight w:val="none"/>
                    </w:rPr>
                    <w:instrText xml:space="preserve"> HYPERLINK \l "bookmark222" </w:instrText>
                  </w:r>
                  <w:r>
                    <w:rPr>
                      <w:color w:val="auto"/>
                      <w:highlight w:val="none"/>
                    </w:rPr>
                    <w:fldChar w:fldCharType="separate"/>
                  </w:r>
                  <w:r>
                    <w:rPr>
                      <w:color w:val="auto"/>
                      <w:spacing w:val="-4"/>
                      <w:highlight w:val="none"/>
                    </w:rPr>
                    <w:t>2008</w:t>
                  </w:r>
                  <w:r>
                    <w:rPr>
                      <w:color w:val="auto"/>
                      <w:spacing w:val="-4"/>
                      <w:highlight w:val="none"/>
                    </w:rPr>
                    <w:fldChar w:fldCharType="end"/>
                  </w:r>
                  <w:r>
                    <w:rPr>
                      <w:color w:val="auto"/>
                      <w:spacing w:val="-4"/>
                      <w:highlight w:val="none"/>
                    </w:rPr>
                    <w:t>]12</w:t>
                  </w:r>
                  <w:r>
                    <w:rPr>
                      <w:rFonts w:ascii="宋体" w:hAnsi="宋体" w:eastAsia="宋体" w:cs="宋体"/>
                      <w:color w:val="auto"/>
                      <w:spacing w:val="-4"/>
                      <w:highlight w:val="none"/>
                    </w:rPr>
                    <w:t>号、乐环审</w:t>
                  </w:r>
                  <w:r>
                    <w:rPr>
                      <w:color w:val="auto"/>
                      <w:spacing w:val="-6"/>
                      <w:highlight w:val="none"/>
                    </w:rPr>
                    <w:t>[</w:t>
                  </w:r>
                  <w:r>
                    <w:rPr>
                      <w:color w:val="auto"/>
                      <w:highlight w:val="none"/>
                    </w:rPr>
                    <w:fldChar w:fldCharType="begin"/>
                  </w:r>
                  <w:r>
                    <w:rPr>
                      <w:color w:val="auto"/>
                      <w:highlight w:val="none"/>
                    </w:rPr>
                    <w:instrText xml:space="preserve"> HYPERLINK \l "bookmark223" </w:instrText>
                  </w:r>
                  <w:r>
                    <w:rPr>
                      <w:color w:val="auto"/>
                      <w:highlight w:val="none"/>
                    </w:rPr>
                    <w:fldChar w:fldCharType="separate"/>
                  </w:r>
                  <w:r>
                    <w:rPr>
                      <w:color w:val="auto"/>
                      <w:spacing w:val="-6"/>
                      <w:highlight w:val="none"/>
                    </w:rPr>
                    <w:t>2018</w:t>
                  </w:r>
                  <w:r>
                    <w:rPr>
                      <w:color w:val="auto"/>
                      <w:spacing w:val="-6"/>
                      <w:highlight w:val="none"/>
                    </w:rPr>
                    <w:fldChar w:fldCharType="end"/>
                  </w:r>
                  <w:r>
                    <w:rPr>
                      <w:color w:val="auto"/>
                      <w:spacing w:val="-6"/>
                      <w:highlight w:val="none"/>
                    </w:rPr>
                    <w:t>]38</w:t>
                  </w:r>
                  <w:r>
                    <w:rPr>
                      <w:rFonts w:ascii="宋体" w:hAnsi="宋体" w:eastAsia="宋体" w:cs="宋体"/>
                      <w:color w:val="auto"/>
                      <w:spacing w:val="-6"/>
                      <w:highlight w:val="none"/>
                    </w:rPr>
                    <w:t>号、韶环乐审〔</w:t>
                  </w:r>
                  <w:r>
                    <w:rPr>
                      <w:color w:val="auto"/>
                      <w:spacing w:val="-6"/>
                      <w:highlight w:val="none"/>
                    </w:rPr>
                    <w:t>2022</w:t>
                  </w:r>
                  <w:r>
                    <w:rPr>
                      <w:rFonts w:ascii="宋体" w:hAnsi="宋体" w:eastAsia="宋体" w:cs="宋体"/>
                      <w:color w:val="auto"/>
                      <w:spacing w:val="-6"/>
                      <w:highlight w:val="none"/>
                    </w:rPr>
                    <w:t>〕</w:t>
                  </w:r>
                  <w:r>
                    <w:rPr>
                      <w:color w:val="auto"/>
                      <w:spacing w:val="-6"/>
                      <w:highlight w:val="none"/>
                    </w:rPr>
                    <w:t>14</w:t>
                  </w:r>
                  <w:r>
                    <w:rPr>
                      <w:rFonts w:ascii="宋体" w:hAnsi="宋体" w:eastAsia="宋体" w:cs="宋体"/>
                      <w:color w:val="auto"/>
                      <w:sz w:val="21"/>
                      <w:szCs w:val="21"/>
                      <w:highlight w:val="none"/>
                    </w:rPr>
                    <w:t>号</w:t>
                  </w:r>
                </w:p>
              </w:tc>
            </w:tr>
            <w:tr w14:paraId="650390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67F9043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19</w:t>
                  </w:r>
                </w:p>
              </w:tc>
              <w:tc>
                <w:tcPr>
                  <w:tcW w:w="854" w:type="pct"/>
                  <w:vAlign w:val="center"/>
                </w:tcPr>
                <w:p w14:paraId="7211EC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乐昌市翔辉皮革有限公司</w:t>
                  </w:r>
                </w:p>
              </w:tc>
              <w:tc>
                <w:tcPr>
                  <w:tcW w:w="283" w:type="pct"/>
                  <w:vAlign w:val="center"/>
                </w:tcPr>
                <w:p w14:paraId="63EEEC6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F2EBE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皮革、毛皮、羽毛</w:t>
                  </w:r>
                  <w:r>
                    <w:rPr>
                      <w:rFonts w:ascii="宋体" w:hAnsi="宋体" w:eastAsia="宋体" w:cs="宋体"/>
                      <w:color w:val="auto"/>
                      <w:spacing w:val="-1"/>
                      <w:sz w:val="21"/>
                      <w:szCs w:val="21"/>
                      <w:highlight w:val="none"/>
                    </w:rPr>
                    <w:t>及其制品和制鞋业</w:t>
                  </w:r>
                </w:p>
              </w:tc>
              <w:tc>
                <w:tcPr>
                  <w:tcW w:w="385" w:type="pct"/>
                  <w:vAlign w:val="center"/>
                </w:tcPr>
                <w:p w14:paraId="3DBA03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14014.6</w:t>
                  </w:r>
                </w:p>
              </w:tc>
              <w:tc>
                <w:tcPr>
                  <w:tcW w:w="1690" w:type="pct"/>
                  <w:vAlign w:val="center"/>
                </w:tcPr>
                <w:p w14:paraId="69DFCF3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年产二层贴膜榔皮</w:t>
                  </w:r>
                  <w:r>
                    <w:rPr>
                      <w:color w:val="auto"/>
                      <w:spacing w:val="-2"/>
                      <w:highlight w:val="none"/>
                    </w:rPr>
                    <w:t>200</w:t>
                  </w:r>
                  <w:r>
                    <w:rPr>
                      <w:rFonts w:ascii="宋体" w:hAnsi="宋体" w:eastAsia="宋体" w:cs="宋体"/>
                      <w:color w:val="auto"/>
                      <w:spacing w:val="-2"/>
                      <w:highlight w:val="none"/>
                    </w:rPr>
                    <w:t>万呎、</w:t>
                  </w:r>
                  <w:r>
                    <w:rPr>
                      <w:color w:val="auto"/>
                      <w:spacing w:val="-2"/>
                      <w:highlight w:val="none"/>
                    </w:rPr>
                    <w:t>3</w:t>
                  </w:r>
                  <w:r>
                    <w:rPr>
                      <w:rFonts w:ascii="宋体" w:hAnsi="宋体" w:eastAsia="宋体" w:cs="宋体"/>
                      <w:color w:val="auto"/>
                      <w:spacing w:val="-2"/>
                      <w:highlight w:val="none"/>
                    </w:rPr>
                    <w:t>贴膜</w:t>
                  </w:r>
                  <w:r>
                    <w:rPr>
                      <w:color w:val="auto"/>
                      <w:spacing w:val="-2"/>
                      <w:highlight w:val="none"/>
                    </w:rPr>
                    <w:t>PU0</w:t>
                  </w:r>
                  <w:r>
                    <w:rPr>
                      <w:rFonts w:ascii="宋体" w:hAnsi="宋体" w:eastAsia="宋体" w:cs="宋体"/>
                      <w:color w:val="auto"/>
                      <w:spacing w:val="-2"/>
                      <w:highlight w:val="none"/>
                    </w:rPr>
                    <w:t>万码</w:t>
                  </w:r>
                </w:p>
              </w:tc>
              <w:tc>
                <w:tcPr>
                  <w:tcW w:w="962" w:type="pct"/>
                  <w:vAlign w:val="center"/>
                </w:tcPr>
                <w:p w14:paraId="29AE5C0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"bookmark224"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]07</w:t>
                  </w:r>
                  <w:r>
                    <w:rPr>
                      <w:rFonts w:ascii="宋体" w:hAnsi="宋体" w:eastAsia="宋体" w:cs="宋体"/>
                      <w:color w:val="auto"/>
                      <w:spacing w:val="-2"/>
                      <w:highlight w:val="none"/>
                    </w:rPr>
                    <w:t>号</w:t>
                  </w:r>
                </w:p>
              </w:tc>
            </w:tr>
            <w:tr w14:paraId="0EB1A6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79EE2B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w:t>
                  </w:r>
                </w:p>
              </w:tc>
              <w:tc>
                <w:tcPr>
                  <w:tcW w:w="854" w:type="pct"/>
                  <w:vAlign w:val="center"/>
                </w:tcPr>
                <w:p w14:paraId="09D041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广东欧匹特智能装备有限公</w:t>
                  </w:r>
                  <w:r>
                    <w:rPr>
                      <w:rFonts w:ascii="宋体" w:hAnsi="宋体" w:eastAsia="宋体" w:cs="宋体"/>
                      <w:color w:val="auto"/>
                      <w:sz w:val="21"/>
                      <w:szCs w:val="21"/>
                      <w:highlight w:val="none"/>
                    </w:rPr>
                    <w:t>司</w:t>
                  </w:r>
                </w:p>
              </w:tc>
              <w:tc>
                <w:tcPr>
                  <w:tcW w:w="283" w:type="pct"/>
                  <w:vAlign w:val="center"/>
                </w:tcPr>
                <w:p w14:paraId="2FF5A7C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553314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通用设备制造业</w:t>
                  </w:r>
                </w:p>
              </w:tc>
              <w:tc>
                <w:tcPr>
                  <w:tcW w:w="385" w:type="pct"/>
                  <w:vAlign w:val="center"/>
                </w:tcPr>
                <w:p w14:paraId="57251B8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26032</w:t>
                  </w:r>
                </w:p>
              </w:tc>
              <w:tc>
                <w:tcPr>
                  <w:tcW w:w="1690" w:type="pct"/>
                  <w:vAlign w:val="center"/>
                </w:tcPr>
                <w:p w14:paraId="2EF3B78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年产数控机床</w:t>
                  </w:r>
                  <w:r>
                    <w:rPr>
                      <w:color w:val="auto"/>
                      <w:spacing w:val="-2"/>
                      <w:highlight w:val="none"/>
                    </w:rPr>
                    <w:t>450</w:t>
                  </w:r>
                  <w:r>
                    <w:rPr>
                      <w:rFonts w:ascii="宋体" w:hAnsi="宋体" w:eastAsia="宋体" w:cs="宋体"/>
                      <w:color w:val="auto"/>
                      <w:spacing w:val="-2"/>
                      <w:highlight w:val="none"/>
                    </w:rPr>
                    <w:t>台</w:t>
                  </w:r>
                </w:p>
              </w:tc>
              <w:tc>
                <w:tcPr>
                  <w:tcW w:w="962" w:type="pct"/>
                  <w:vAlign w:val="center"/>
                </w:tcPr>
                <w:p w14:paraId="5C0C461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16</w:t>
                  </w:r>
                  <w:r>
                    <w:rPr>
                      <w:rFonts w:ascii="宋体" w:hAnsi="宋体" w:eastAsia="宋体" w:cs="宋体"/>
                      <w:color w:val="auto"/>
                      <w:spacing w:val="-1"/>
                      <w:highlight w:val="none"/>
                    </w:rPr>
                    <w:t>号</w:t>
                  </w:r>
                </w:p>
              </w:tc>
            </w:tr>
            <w:tr w14:paraId="62FEA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208290A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21</w:t>
                  </w:r>
                </w:p>
              </w:tc>
              <w:tc>
                <w:tcPr>
                  <w:tcW w:w="854" w:type="pct"/>
                  <w:vAlign w:val="center"/>
                </w:tcPr>
                <w:p w14:paraId="27FE09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乐昌市泰瑞菲实业有限公司</w:t>
                  </w:r>
                </w:p>
              </w:tc>
              <w:tc>
                <w:tcPr>
                  <w:tcW w:w="283" w:type="pct"/>
                  <w:vAlign w:val="center"/>
                </w:tcPr>
                <w:p w14:paraId="5A9044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9C6ED7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22DF250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15266</w:t>
                  </w:r>
                </w:p>
              </w:tc>
              <w:tc>
                <w:tcPr>
                  <w:tcW w:w="1690" w:type="pct"/>
                  <w:vAlign w:val="center"/>
                </w:tcPr>
                <w:p w14:paraId="19229EE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年产新型塑料装饰材料</w:t>
                  </w:r>
                  <w:r>
                    <w:rPr>
                      <w:color w:val="auto"/>
                      <w:spacing w:val="-2"/>
                      <w:highlight w:val="none"/>
                    </w:rPr>
                    <w:t>1</w:t>
                  </w:r>
                  <w:r>
                    <w:rPr>
                      <w:rFonts w:ascii="宋体" w:hAnsi="宋体" w:eastAsia="宋体" w:cs="宋体"/>
                      <w:color w:val="auto"/>
                      <w:spacing w:val="-2"/>
                      <w:highlight w:val="none"/>
                    </w:rPr>
                    <w:t>万吨</w:t>
                  </w:r>
                </w:p>
              </w:tc>
              <w:tc>
                <w:tcPr>
                  <w:tcW w:w="962" w:type="pct"/>
                  <w:vAlign w:val="center"/>
                </w:tcPr>
                <w:p w14:paraId="30381F8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"bookmark225"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]55</w:t>
                  </w:r>
                  <w:r>
                    <w:rPr>
                      <w:rFonts w:ascii="宋体" w:hAnsi="宋体" w:eastAsia="宋体" w:cs="宋体"/>
                      <w:color w:val="auto"/>
                      <w:spacing w:val="-2"/>
                      <w:highlight w:val="none"/>
                    </w:rPr>
                    <w:t>号</w:t>
                  </w:r>
                </w:p>
              </w:tc>
            </w:tr>
            <w:tr w14:paraId="335D89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A75B5C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22</w:t>
                  </w:r>
                </w:p>
              </w:tc>
              <w:tc>
                <w:tcPr>
                  <w:tcW w:w="854" w:type="pct"/>
                  <w:vAlign w:val="center"/>
                </w:tcPr>
                <w:p w14:paraId="1A2C7C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韶关韶瑞铸钢有限公司</w:t>
                  </w:r>
                </w:p>
              </w:tc>
              <w:tc>
                <w:tcPr>
                  <w:tcW w:w="283" w:type="pct"/>
                  <w:vAlign w:val="center"/>
                </w:tcPr>
                <w:p w14:paraId="6EE7341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842557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5127FD4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75085</w:t>
                  </w:r>
                </w:p>
              </w:tc>
              <w:tc>
                <w:tcPr>
                  <w:tcW w:w="1690" w:type="pct"/>
                  <w:vAlign w:val="center"/>
                </w:tcPr>
                <w:p w14:paraId="4074680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年产铸钢件、铸铁件</w:t>
                  </w:r>
                  <w:r>
                    <w:rPr>
                      <w:color w:val="auto"/>
                      <w:spacing w:val="-1"/>
                      <w:highlight w:val="none"/>
                    </w:rPr>
                    <w:t>4.1</w:t>
                  </w:r>
                  <w:r>
                    <w:rPr>
                      <w:rFonts w:ascii="宋体" w:hAnsi="宋体" w:eastAsia="宋体" w:cs="宋体"/>
                      <w:color w:val="auto"/>
                      <w:spacing w:val="-1"/>
                      <w:highlight w:val="none"/>
                    </w:rPr>
                    <w:t>万吨</w:t>
                  </w:r>
                </w:p>
              </w:tc>
              <w:tc>
                <w:tcPr>
                  <w:tcW w:w="962" w:type="pct"/>
                  <w:vAlign w:val="center"/>
                </w:tcPr>
                <w:p w14:paraId="4B87514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乐环函</w:t>
                  </w:r>
                  <w:r>
                    <w:rPr>
                      <w:color w:val="auto"/>
                      <w:spacing w:val="-3"/>
                      <w:highlight w:val="none"/>
                    </w:rPr>
                    <w:t>[</w:t>
                  </w:r>
                  <w:r>
                    <w:rPr>
                      <w:color w:val="auto"/>
                      <w:highlight w:val="none"/>
                    </w:rPr>
                    <w:fldChar w:fldCharType="begin"/>
                  </w:r>
                  <w:r>
                    <w:rPr>
                      <w:color w:val="auto"/>
                      <w:highlight w:val="none"/>
                    </w:rPr>
                    <w:instrText xml:space="preserve"> HYPERLINK \l "bookmark226" </w:instrText>
                  </w:r>
                  <w:r>
                    <w:rPr>
                      <w:color w:val="auto"/>
                      <w:highlight w:val="none"/>
                    </w:rPr>
                    <w:fldChar w:fldCharType="separate"/>
                  </w:r>
                  <w:r>
                    <w:rPr>
                      <w:color w:val="auto"/>
                      <w:spacing w:val="-3"/>
                      <w:highlight w:val="none"/>
                    </w:rPr>
                    <w:t>2011</w:t>
                  </w:r>
                  <w:r>
                    <w:rPr>
                      <w:color w:val="auto"/>
                      <w:spacing w:val="-3"/>
                      <w:highlight w:val="none"/>
                    </w:rPr>
                    <w:fldChar w:fldCharType="end"/>
                  </w:r>
                  <w:r>
                    <w:rPr>
                      <w:color w:val="auto"/>
                      <w:spacing w:val="-3"/>
                      <w:highlight w:val="none"/>
                    </w:rPr>
                    <w:t>]163</w:t>
                  </w:r>
                  <w:r>
                    <w:rPr>
                      <w:rFonts w:ascii="宋体" w:hAnsi="宋体" w:eastAsia="宋体" w:cs="宋体"/>
                      <w:color w:val="auto"/>
                      <w:spacing w:val="-3"/>
                      <w:highlight w:val="none"/>
                    </w:rPr>
                    <w:t>号、乐环审</w:t>
                  </w:r>
                  <w:r>
                    <w:rPr>
                      <w:color w:val="auto"/>
                      <w:spacing w:val="-3"/>
                      <w:highlight w:val="none"/>
                    </w:rPr>
                    <w:t>[</w:t>
                  </w:r>
                  <w:r>
                    <w:rPr>
                      <w:color w:val="auto"/>
                      <w:highlight w:val="none"/>
                    </w:rPr>
                    <w:fldChar w:fldCharType="begin"/>
                  </w:r>
                  <w:r>
                    <w:rPr>
                      <w:color w:val="auto"/>
                      <w:highlight w:val="none"/>
                    </w:rPr>
                    <w:instrText xml:space="preserve"> HYPERLINK \l "bookmark227" </w:instrText>
                  </w:r>
                  <w:r>
                    <w:rPr>
                      <w:color w:val="auto"/>
                      <w:highlight w:val="none"/>
                    </w:rPr>
                    <w:fldChar w:fldCharType="separate"/>
                  </w:r>
                  <w:r>
                    <w:rPr>
                      <w:color w:val="auto"/>
                      <w:spacing w:val="-3"/>
                      <w:highlight w:val="none"/>
                    </w:rPr>
                    <w:t>2017</w:t>
                  </w:r>
                  <w:r>
                    <w:rPr>
                      <w:color w:val="auto"/>
                      <w:spacing w:val="-3"/>
                      <w:highlight w:val="none"/>
                    </w:rPr>
                    <w:fldChar w:fldCharType="end"/>
                  </w:r>
                  <w:r>
                    <w:rPr>
                      <w:color w:val="auto"/>
                      <w:spacing w:val="-3"/>
                      <w:highlight w:val="none"/>
                    </w:rPr>
                    <w:t>]01</w:t>
                  </w:r>
                  <w:r>
                    <w:rPr>
                      <w:rFonts w:ascii="宋体" w:hAnsi="宋体" w:eastAsia="宋体" w:cs="宋体"/>
                      <w:color w:val="auto"/>
                      <w:spacing w:val="-3"/>
                      <w:highlight w:val="none"/>
                    </w:rPr>
                    <w:t>号、乐环审</w:t>
                  </w:r>
                  <w:r>
                    <w:rPr>
                      <w:color w:val="auto"/>
                      <w:spacing w:val="-3"/>
                      <w:highlight w:val="none"/>
                    </w:rPr>
                    <w:t>[</w:t>
                  </w:r>
                  <w:r>
                    <w:rPr>
                      <w:color w:val="auto"/>
                      <w:highlight w:val="none"/>
                    </w:rPr>
                    <w:fldChar w:fldCharType="begin"/>
                  </w:r>
                  <w:r>
                    <w:rPr>
                      <w:color w:val="auto"/>
                      <w:highlight w:val="none"/>
                    </w:rPr>
                    <w:instrText xml:space="preserve"> HYPERLINK \l "bookmark228" </w:instrText>
                  </w:r>
                  <w:r>
                    <w:rPr>
                      <w:color w:val="auto"/>
                      <w:highlight w:val="none"/>
                    </w:rPr>
                    <w:fldChar w:fldCharType="separate"/>
                  </w:r>
                  <w:r>
                    <w:rPr>
                      <w:color w:val="auto"/>
                      <w:spacing w:val="-3"/>
                      <w:highlight w:val="none"/>
                    </w:rPr>
                    <w:t>2018</w:t>
                  </w:r>
                  <w:r>
                    <w:rPr>
                      <w:color w:val="auto"/>
                      <w:spacing w:val="-3"/>
                      <w:highlight w:val="none"/>
                    </w:rPr>
                    <w:fldChar w:fldCharType="end"/>
                  </w:r>
                  <w:r>
                    <w:rPr>
                      <w:color w:val="auto"/>
                      <w:spacing w:val="-3"/>
                      <w:highlight w:val="none"/>
                    </w:rPr>
                    <w:t>]19</w:t>
                  </w:r>
                  <w:r>
                    <w:rPr>
                      <w:rFonts w:ascii="宋体" w:hAnsi="宋体" w:eastAsia="宋体" w:cs="宋体"/>
                      <w:color w:val="auto"/>
                      <w:spacing w:val="-3"/>
                      <w:highlight w:val="none"/>
                    </w:rPr>
                    <w:t>号</w:t>
                  </w:r>
                </w:p>
              </w:tc>
            </w:tr>
            <w:tr w14:paraId="451431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662134B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w:t>
                  </w:r>
                </w:p>
              </w:tc>
              <w:tc>
                <w:tcPr>
                  <w:tcW w:w="854" w:type="pct"/>
                  <w:vAlign w:val="center"/>
                </w:tcPr>
                <w:p w14:paraId="1C32AF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精信（乐昌）机械有限公司</w:t>
                  </w:r>
                </w:p>
              </w:tc>
              <w:tc>
                <w:tcPr>
                  <w:tcW w:w="283" w:type="pct"/>
                  <w:vAlign w:val="center"/>
                </w:tcPr>
                <w:p w14:paraId="284030C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90B56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349F2E5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16950.3</w:t>
                  </w:r>
                </w:p>
              </w:tc>
              <w:tc>
                <w:tcPr>
                  <w:tcW w:w="1690" w:type="pct"/>
                  <w:vAlign w:val="center"/>
                </w:tcPr>
                <w:p w14:paraId="42D3CA7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年产人防门配件</w:t>
                  </w:r>
                  <w:r>
                    <w:rPr>
                      <w:color w:val="auto"/>
                      <w:spacing w:val="-3"/>
                      <w:highlight w:val="none"/>
                    </w:rPr>
                    <w:t>11250</w:t>
                  </w:r>
                  <w:r>
                    <w:rPr>
                      <w:rFonts w:ascii="宋体" w:hAnsi="宋体" w:eastAsia="宋体" w:cs="宋体"/>
                      <w:color w:val="auto"/>
                      <w:spacing w:val="-3"/>
                      <w:highlight w:val="none"/>
                    </w:rPr>
                    <w:t>套</w:t>
                  </w:r>
                </w:p>
              </w:tc>
              <w:tc>
                <w:tcPr>
                  <w:tcW w:w="962" w:type="pct"/>
                  <w:vAlign w:val="center"/>
                </w:tcPr>
                <w:p w14:paraId="61B47AF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25</w:t>
                  </w:r>
                  <w:r>
                    <w:rPr>
                      <w:rFonts w:ascii="宋体" w:hAnsi="宋体" w:eastAsia="宋体" w:cs="宋体"/>
                      <w:color w:val="auto"/>
                      <w:spacing w:val="-1"/>
                      <w:highlight w:val="none"/>
                    </w:rPr>
                    <w:t>号</w:t>
                  </w:r>
                </w:p>
              </w:tc>
            </w:tr>
            <w:tr w14:paraId="18192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1C2D12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24</w:t>
                  </w:r>
                </w:p>
              </w:tc>
              <w:tc>
                <w:tcPr>
                  <w:tcW w:w="854" w:type="pct"/>
                  <w:vAlign w:val="center"/>
                </w:tcPr>
                <w:p w14:paraId="2C18462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韶关高尔德防雷科技有限公</w:t>
                  </w:r>
                  <w:r>
                    <w:rPr>
                      <w:rFonts w:ascii="宋体" w:hAnsi="宋体" w:eastAsia="宋体" w:cs="宋体"/>
                      <w:color w:val="auto"/>
                      <w:sz w:val="21"/>
                      <w:szCs w:val="21"/>
                      <w:highlight w:val="none"/>
                    </w:rPr>
                    <w:t>司</w:t>
                  </w:r>
                </w:p>
              </w:tc>
              <w:tc>
                <w:tcPr>
                  <w:tcW w:w="283" w:type="pct"/>
                  <w:vAlign w:val="center"/>
                </w:tcPr>
                <w:p w14:paraId="7BAF747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8F541E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电气机械和器材制</w:t>
                  </w:r>
                  <w:r>
                    <w:rPr>
                      <w:rFonts w:ascii="宋体" w:hAnsi="宋体" w:eastAsia="宋体" w:cs="宋体"/>
                      <w:color w:val="auto"/>
                      <w:spacing w:val="-2"/>
                      <w:sz w:val="21"/>
                      <w:szCs w:val="21"/>
                      <w:highlight w:val="none"/>
                    </w:rPr>
                    <w:t>造业</w:t>
                  </w:r>
                </w:p>
              </w:tc>
              <w:tc>
                <w:tcPr>
                  <w:tcW w:w="385" w:type="pct"/>
                  <w:vAlign w:val="center"/>
                </w:tcPr>
                <w:p w14:paraId="284C486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15561.5</w:t>
                  </w:r>
                </w:p>
              </w:tc>
              <w:tc>
                <w:tcPr>
                  <w:tcW w:w="1690" w:type="pct"/>
                  <w:vAlign w:val="center"/>
                </w:tcPr>
                <w:p w14:paraId="5FDF555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年产防雷电子器件</w:t>
                  </w:r>
                  <w:r>
                    <w:rPr>
                      <w:color w:val="auto"/>
                      <w:spacing w:val="-3"/>
                      <w:highlight w:val="none"/>
                    </w:rPr>
                    <w:t>10</w:t>
                  </w:r>
                  <w:r>
                    <w:rPr>
                      <w:rFonts w:ascii="宋体" w:hAnsi="宋体" w:eastAsia="宋体" w:cs="宋体"/>
                      <w:color w:val="auto"/>
                      <w:spacing w:val="-3"/>
                      <w:highlight w:val="none"/>
                    </w:rPr>
                    <w:t>万套、</w:t>
                  </w:r>
                  <w:r>
                    <w:rPr>
                      <w:color w:val="auto"/>
                      <w:spacing w:val="-3"/>
                      <w:highlight w:val="none"/>
                    </w:rPr>
                    <w:t>3</w:t>
                  </w:r>
                  <w:r>
                    <w:rPr>
                      <w:rFonts w:ascii="宋体" w:hAnsi="宋体" w:eastAsia="宋体" w:cs="宋体"/>
                      <w:color w:val="auto"/>
                      <w:spacing w:val="-3"/>
                      <w:highlight w:val="none"/>
                    </w:rPr>
                    <w:t>万台移动通信基站电源、</w:t>
                  </w:r>
                  <w:r>
                    <w:rPr>
                      <w:color w:val="auto"/>
                      <w:spacing w:val="-3"/>
                      <w:highlight w:val="none"/>
                    </w:rPr>
                    <w:t>480</w:t>
                  </w:r>
                  <w:r>
                    <w:rPr>
                      <w:rFonts w:ascii="宋体" w:hAnsi="宋体" w:eastAsia="宋体" w:cs="宋体"/>
                      <w:color w:val="auto"/>
                      <w:spacing w:val="-2"/>
                      <w:highlight w:val="none"/>
                    </w:rPr>
                    <w:t>万</w:t>
                  </w:r>
                  <w:r>
                    <w:rPr>
                      <w:color w:val="auto"/>
                      <w:spacing w:val="-2"/>
                      <w:highlight w:val="none"/>
                    </w:rPr>
                    <w:t>AH</w:t>
                  </w:r>
                  <w:r>
                    <w:rPr>
                      <w:rFonts w:ascii="宋体" w:hAnsi="宋体" w:eastAsia="宋体" w:cs="宋体"/>
                      <w:color w:val="auto"/>
                      <w:spacing w:val="-2"/>
                      <w:highlight w:val="none"/>
                    </w:rPr>
                    <w:t>铁锂电池</w:t>
                  </w:r>
                </w:p>
              </w:tc>
              <w:tc>
                <w:tcPr>
                  <w:tcW w:w="962" w:type="pct"/>
                  <w:vAlign w:val="center"/>
                </w:tcPr>
                <w:p w14:paraId="0E1B707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w:t>
                  </w:r>
                  <w:r>
                    <w:rPr>
                      <w:color w:val="auto"/>
                      <w:highlight w:val="none"/>
                    </w:rPr>
                    <w:fldChar w:fldCharType="begin"/>
                  </w:r>
                  <w:r>
                    <w:rPr>
                      <w:color w:val="auto"/>
                      <w:highlight w:val="none"/>
                    </w:rPr>
                    <w:instrText xml:space="preserve"> HYPERLINK \l "bookmark229" </w:instrText>
                  </w:r>
                  <w:r>
                    <w:rPr>
                      <w:color w:val="auto"/>
                      <w:highlight w:val="none"/>
                    </w:rPr>
                    <w:fldChar w:fldCharType="separate"/>
                  </w:r>
                  <w:r>
                    <w:rPr>
                      <w:color w:val="auto"/>
                      <w:spacing w:val="-1"/>
                      <w:highlight w:val="none"/>
                    </w:rPr>
                    <w:t>2015</w:t>
                  </w:r>
                  <w:r>
                    <w:rPr>
                      <w:color w:val="auto"/>
                      <w:spacing w:val="-1"/>
                      <w:highlight w:val="none"/>
                    </w:rPr>
                    <w:fldChar w:fldCharType="end"/>
                  </w:r>
                  <w:r>
                    <w:rPr>
                      <w:color w:val="auto"/>
                      <w:spacing w:val="-1"/>
                      <w:highlight w:val="none"/>
                    </w:rPr>
                    <w:t>]240</w:t>
                  </w:r>
                  <w:r>
                    <w:rPr>
                      <w:rFonts w:ascii="宋体" w:hAnsi="宋体" w:eastAsia="宋体" w:cs="宋体"/>
                      <w:color w:val="auto"/>
                      <w:spacing w:val="-1"/>
                      <w:highlight w:val="none"/>
                    </w:rPr>
                    <w:t>号、乐环审</w:t>
                  </w:r>
                  <w:r>
                    <w:rPr>
                      <w:rFonts w:ascii="宋体" w:hAnsi="宋体" w:eastAsia="宋体" w:cs="宋体"/>
                      <w:color w:val="auto"/>
                      <w:spacing w:val="-4"/>
                      <w:highlight w:val="none"/>
                    </w:rPr>
                    <w:t>〔</w:t>
                  </w:r>
                  <w:r>
                    <w:rPr>
                      <w:color w:val="auto"/>
                      <w:spacing w:val="-4"/>
                      <w:highlight w:val="none"/>
                    </w:rPr>
                    <w:t>2020</w:t>
                  </w:r>
                  <w:r>
                    <w:rPr>
                      <w:rFonts w:ascii="宋体" w:hAnsi="宋体" w:eastAsia="宋体" w:cs="宋体"/>
                      <w:color w:val="auto"/>
                      <w:spacing w:val="-4"/>
                      <w:highlight w:val="none"/>
                    </w:rPr>
                    <w:t>〕</w:t>
                  </w:r>
                  <w:r>
                    <w:rPr>
                      <w:color w:val="auto"/>
                      <w:spacing w:val="-4"/>
                      <w:highlight w:val="none"/>
                    </w:rPr>
                    <w:t>12</w:t>
                  </w:r>
                  <w:r>
                    <w:rPr>
                      <w:rFonts w:ascii="宋体" w:hAnsi="宋体" w:eastAsia="宋体" w:cs="宋体"/>
                      <w:color w:val="auto"/>
                      <w:spacing w:val="-4"/>
                      <w:highlight w:val="none"/>
                    </w:rPr>
                    <w:t>号</w:t>
                  </w:r>
                </w:p>
              </w:tc>
            </w:tr>
            <w:tr w14:paraId="436EEE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12FE96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25</w:t>
                  </w:r>
                </w:p>
              </w:tc>
              <w:tc>
                <w:tcPr>
                  <w:tcW w:w="854" w:type="pct"/>
                  <w:vAlign w:val="center"/>
                </w:tcPr>
                <w:p w14:paraId="53BB49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韶关博尔兹阀门工业有限公</w:t>
                  </w:r>
                  <w:r>
                    <w:rPr>
                      <w:rFonts w:ascii="宋体" w:hAnsi="宋体" w:eastAsia="宋体" w:cs="宋体"/>
                      <w:color w:val="auto"/>
                      <w:sz w:val="21"/>
                      <w:szCs w:val="21"/>
                      <w:highlight w:val="none"/>
                    </w:rPr>
                    <w:t>司</w:t>
                  </w:r>
                </w:p>
              </w:tc>
              <w:tc>
                <w:tcPr>
                  <w:tcW w:w="283" w:type="pct"/>
                  <w:vAlign w:val="center"/>
                </w:tcPr>
                <w:p w14:paraId="1D3FD7A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942CE1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5D6ADA5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20198.7</w:t>
                  </w:r>
                </w:p>
              </w:tc>
              <w:tc>
                <w:tcPr>
                  <w:tcW w:w="1690" w:type="pct"/>
                  <w:vAlign w:val="center"/>
                </w:tcPr>
                <w:p w14:paraId="6DF588B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年产阀门</w:t>
                  </w:r>
                  <w:r>
                    <w:rPr>
                      <w:color w:val="auto"/>
                      <w:highlight w:val="none"/>
                    </w:rPr>
                    <w:t>5000</w:t>
                  </w:r>
                  <w:r>
                    <w:rPr>
                      <w:rFonts w:ascii="宋体" w:hAnsi="宋体" w:eastAsia="宋体" w:cs="宋体"/>
                      <w:color w:val="auto"/>
                      <w:highlight w:val="none"/>
                    </w:rPr>
                    <w:t>件、铸钢件</w:t>
                  </w:r>
                  <w:r>
                    <w:rPr>
                      <w:color w:val="auto"/>
                      <w:highlight w:val="none"/>
                    </w:rPr>
                    <w:t>1.2</w:t>
                  </w:r>
                  <w:r>
                    <w:rPr>
                      <w:rFonts w:ascii="宋体" w:hAnsi="宋体" w:eastAsia="宋体" w:cs="宋体"/>
                      <w:color w:val="auto"/>
                      <w:highlight w:val="none"/>
                    </w:rPr>
                    <w:t>万件、铸铁件</w:t>
                  </w:r>
                  <w:r>
                    <w:rPr>
                      <w:color w:val="auto"/>
                      <w:highlight w:val="none"/>
                    </w:rPr>
                    <w:t>2.3</w:t>
                  </w:r>
                  <w:r>
                    <w:rPr>
                      <w:rFonts w:ascii="宋体" w:hAnsi="宋体" w:eastAsia="宋体" w:cs="宋体"/>
                      <w:color w:val="auto"/>
                      <w:highlight w:val="none"/>
                    </w:rPr>
                    <w:t>万件、机械</w:t>
                  </w:r>
                  <w:r>
                    <w:rPr>
                      <w:rFonts w:ascii="宋体" w:hAnsi="宋体" w:eastAsia="宋体" w:cs="宋体"/>
                      <w:color w:val="auto"/>
                      <w:spacing w:val="-8"/>
                      <w:highlight w:val="none"/>
                    </w:rPr>
                    <w:t>配件</w:t>
                  </w:r>
                  <w:r>
                    <w:rPr>
                      <w:color w:val="auto"/>
                      <w:spacing w:val="-8"/>
                      <w:highlight w:val="none"/>
                    </w:rPr>
                    <w:t>1</w:t>
                  </w:r>
                  <w:r>
                    <w:rPr>
                      <w:rFonts w:ascii="宋体" w:hAnsi="宋体" w:eastAsia="宋体" w:cs="宋体"/>
                      <w:color w:val="auto"/>
                      <w:spacing w:val="-8"/>
                      <w:highlight w:val="none"/>
                    </w:rPr>
                    <w:t>万件</w:t>
                  </w:r>
                </w:p>
              </w:tc>
              <w:tc>
                <w:tcPr>
                  <w:tcW w:w="962" w:type="pct"/>
                  <w:vAlign w:val="center"/>
                </w:tcPr>
                <w:p w14:paraId="3A4459E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3"/>
                      <w:highlight w:val="none"/>
                    </w:rPr>
                    <w:t>乐环函</w:t>
                  </w:r>
                  <w:r>
                    <w:rPr>
                      <w:color w:val="auto"/>
                      <w:spacing w:val="-13"/>
                      <w:highlight w:val="none"/>
                    </w:rPr>
                    <w:t>[</w:t>
                  </w:r>
                  <w:r>
                    <w:rPr>
                      <w:color w:val="auto"/>
                      <w:highlight w:val="none"/>
                    </w:rPr>
                    <w:fldChar w:fldCharType="begin"/>
                  </w:r>
                  <w:r>
                    <w:rPr>
                      <w:color w:val="auto"/>
                      <w:highlight w:val="none"/>
                    </w:rPr>
                    <w:instrText xml:space="preserve"> HYPERLINK \l "bookmark230" </w:instrText>
                  </w:r>
                  <w:r>
                    <w:rPr>
                      <w:color w:val="auto"/>
                      <w:highlight w:val="none"/>
                    </w:rPr>
                    <w:fldChar w:fldCharType="separate"/>
                  </w:r>
                  <w:r>
                    <w:rPr>
                      <w:color w:val="auto"/>
                      <w:spacing w:val="-13"/>
                      <w:highlight w:val="none"/>
                    </w:rPr>
                    <w:t>2009</w:t>
                  </w:r>
                  <w:r>
                    <w:rPr>
                      <w:color w:val="auto"/>
                      <w:spacing w:val="-13"/>
                      <w:highlight w:val="none"/>
                    </w:rPr>
                    <w:fldChar w:fldCharType="end"/>
                  </w:r>
                  <w:r>
                    <w:rPr>
                      <w:color w:val="auto"/>
                      <w:spacing w:val="-13"/>
                      <w:highlight w:val="none"/>
                    </w:rPr>
                    <w:t>]94</w:t>
                  </w:r>
                  <w:r>
                    <w:rPr>
                      <w:rFonts w:ascii="宋体" w:hAnsi="宋体" w:eastAsia="宋体" w:cs="宋体"/>
                      <w:color w:val="auto"/>
                      <w:spacing w:val="-13"/>
                      <w:highlight w:val="none"/>
                    </w:rPr>
                    <w:t>号、乐环审〔</w:t>
                  </w:r>
                  <w:r>
                    <w:rPr>
                      <w:color w:val="auto"/>
                      <w:spacing w:val="-13"/>
                      <w:highlight w:val="none"/>
                    </w:rPr>
                    <w:t>2018</w:t>
                  </w:r>
                  <w:r>
                    <w:rPr>
                      <w:rFonts w:ascii="宋体" w:hAnsi="宋体" w:eastAsia="宋体" w:cs="宋体"/>
                      <w:color w:val="auto"/>
                      <w:spacing w:val="-13"/>
                      <w:highlight w:val="none"/>
                    </w:rPr>
                    <w:t>〕</w:t>
                  </w:r>
                  <w:r>
                    <w:rPr>
                      <w:color w:val="auto"/>
                      <w:spacing w:val="-3"/>
                      <w:highlight w:val="none"/>
                    </w:rPr>
                    <w:t>65</w:t>
                  </w:r>
                  <w:r>
                    <w:rPr>
                      <w:rFonts w:ascii="宋体" w:hAnsi="宋体" w:eastAsia="宋体" w:cs="宋体"/>
                      <w:color w:val="auto"/>
                      <w:spacing w:val="-3"/>
                      <w:highlight w:val="none"/>
                    </w:rPr>
                    <w:t>号</w:t>
                  </w:r>
                </w:p>
              </w:tc>
            </w:tr>
            <w:tr w14:paraId="1213A8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A2560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26</w:t>
                  </w:r>
                </w:p>
              </w:tc>
              <w:tc>
                <w:tcPr>
                  <w:tcW w:w="854" w:type="pct"/>
                  <w:vAlign w:val="center"/>
                </w:tcPr>
                <w:p w14:paraId="0DF7DA2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广东科拓电子元件有限公司</w:t>
                  </w:r>
                </w:p>
              </w:tc>
              <w:tc>
                <w:tcPr>
                  <w:tcW w:w="283" w:type="pct"/>
                  <w:vAlign w:val="center"/>
                </w:tcPr>
                <w:p w14:paraId="3946790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C8355A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电气机械和器材制</w:t>
                  </w:r>
                  <w:r>
                    <w:rPr>
                      <w:rFonts w:ascii="宋体" w:hAnsi="宋体" w:eastAsia="宋体" w:cs="宋体"/>
                      <w:color w:val="auto"/>
                      <w:spacing w:val="-2"/>
                      <w:sz w:val="21"/>
                      <w:szCs w:val="21"/>
                      <w:highlight w:val="none"/>
                    </w:rPr>
                    <w:t>造业</w:t>
                  </w:r>
                </w:p>
              </w:tc>
              <w:tc>
                <w:tcPr>
                  <w:tcW w:w="385" w:type="pct"/>
                  <w:vAlign w:val="center"/>
                </w:tcPr>
                <w:p w14:paraId="0EA8F99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1720.83</w:t>
                  </w:r>
                </w:p>
              </w:tc>
              <w:tc>
                <w:tcPr>
                  <w:tcW w:w="1690" w:type="pct"/>
                  <w:vAlign w:val="center"/>
                </w:tcPr>
                <w:p w14:paraId="1FABA42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年产电容、电阻器</w:t>
                  </w:r>
                  <w:r>
                    <w:rPr>
                      <w:color w:val="auto"/>
                      <w:spacing w:val="-2"/>
                      <w:highlight w:val="none"/>
                    </w:rPr>
                    <w:t>8</w:t>
                  </w:r>
                  <w:r>
                    <w:rPr>
                      <w:rFonts w:ascii="宋体" w:hAnsi="宋体" w:eastAsia="宋体" w:cs="宋体"/>
                      <w:color w:val="auto"/>
                      <w:spacing w:val="-2"/>
                      <w:highlight w:val="none"/>
                    </w:rPr>
                    <w:t>亿只</w:t>
                  </w:r>
                </w:p>
              </w:tc>
              <w:tc>
                <w:tcPr>
                  <w:tcW w:w="962" w:type="pct"/>
                  <w:vAlign w:val="center"/>
                </w:tcPr>
                <w:p w14:paraId="7DD811F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13</w:t>
                  </w:r>
                  <w:r>
                    <w:rPr>
                      <w:rFonts w:ascii="宋体" w:hAnsi="宋体" w:eastAsia="宋体" w:cs="宋体"/>
                      <w:color w:val="auto"/>
                      <w:spacing w:val="-1"/>
                      <w:highlight w:val="none"/>
                    </w:rPr>
                    <w:t>号</w:t>
                  </w:r>
                </w:p>
              </w:tc>
            </w:tr>
            <w:tr w14:paraId="6307D4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61EE1C6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w:t>
                  </w:r>
                </w:p>
              </w:tc>
              <w:tc>
                <w:tcPr>
                  <w:tcW w:w="854" w:type="pct"/>
                  <w:vAlign w:val="center"/>
                </w:tcPr>
                <w:p w14:paraId="663C94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宇创箱包制品（韶关市乐昌）有限公司</w:t>
                  </w:r>
                </w:p>
              </w:tc>
              <w:tc>
                <w:tcPr>
                  <w:tcW w:w="283" w:type="pct"/>
                  <w:vAlign w:val="center"/>
                </w:tcPr>
                <w:p w14:paraId="5832722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BF506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皮革、毛皮、羽毛</w:t>
                  </w:r>
                  <w:r>
                    <w:rPr>
                      <w:rFonts w:ascii="宋体" w:hAnsi="宋体" w:eastAsia="宋体" w:cs="宋体"/>
                      <w:color w:val="auto"/>
                      <w:spacing w:val="-1"/>
                      <w:sz w:val="21"/>
                      <w:szCs w:val="21"/>
                      <w:highlight w:val="none"/>
                    </w:rPr>
                    <w:t>及其制品和制鞋业</w:t>
                  </w:r>
                </w:p>
              </w:tc>
              <w:tc>
                <w:tcPr>
                  <w:tcW w:w="385" w:type="pct"/>
                  <w:vAlign w:val="center"/>
                </w:tcPr>
                <w:p w14:paraId="02704F2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1200</w:t>
                  </w:r>
                </w:p>
              </w:tc>
              <w:tc>
                <w:tcPr>
                  <w:tcW w:w="1690" w:type="pct"/>
                  <w:vAlign w:val="center"/>
                </w:tcPr>
                <w:p w14:paraId="360FB5A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年产钱包</w:t>
                  </w:r>
                  <w:r>
                    <w:rPr>
                      <w:color w:val="auto"/>
                      <w:spacing w:val="-4"/>
                      <w:highlight w:val="none"/>
                    </w:rPr>
                    <w:t>30</w:t>
                  </w:r>
                  <w:r>
                    <w:rPr>
                      <w:rFonts w:ascii="宋体" w:hAnsi="宋体" w:eastAsia="宋体" w:cs="宋体"/>
                      <w:color w:val="auto"/>
                      <w:spacing w:val="-4"/>
                      <w:highlight w:val="none"/>
                    </w:rPr>
                    <w:t>万个，手袋</w:t>
                  </w:r>
                  <w:r>
                    <w:rPr>
                      <w:color w:val="auto"/>
                      <w:spacing w:val="-4"/>
                      <w:highlight w:val="none"/>
                    </w:rPr>
                    <w:t>50</w:t>
                  </w:r>
                  <w:r>
                    <w:rPr>
                      <w:rFonts w:ascii="宋体" w:hAnsi="宋体" w:eastAsia="宋体" w:cs="宋体"/>
                      <w:color w:val="auto"/>
                      <w:spacing w:val="-4"/>
                      <w:highlight w:val="none"/>
                    </w:rPr>
                    <w:t>万个</w:t>
                  </w:r>
                </w:p>
              </w:tc>
              <w:tc>
                <w:tcPr>
                  <w:tcW w:w="962" w:type="pct"/>
                  <w:vAlign w:val="center"/>
                </w:tcPr>
                <w:p w14:paraId="1882409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09</w:t>
                  </w:r>
                  <w:r>
                    <w:rPr>
                      <w:rFonts w:ascii="宋体" w:hAnsi="宋体" w:eastAsia="宋体" w:cs="宋体"/>
                      <w:color w:val="auto"/>
                      <w:spacing w:val="-1"/>
                      <w:highlight w:val="none"/>
                    </w:rPr>
                    <w:t>号</w:t>
                  </w:r>
                </w:p>
              </w:tc>
            </w:tr>
            <w:tr w14:paraId="33E4A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372B2D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28</w:t>
                  </w:r>
                </w:p>
              </w:tc>
              <w:tc>
                <w:tcPr>
                  <w:tcW w:w="854" w:type="pct"/>
                  <w:vAlign w:val="center"/>
                </w:tcPr>
                <w:p w14:paraId="346C9A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广东启轮金属制品有限公司</w:t>
                  </w:r>
                </w:p>
              </w:tc>
              <w:tc>
                <w:tcPr>
                  <w:tcW w:w="283" w:type="pct"/>
                  <w:vAlign w:val="center"/>
                </w:tcPr>
                <w:p w14:paraId="26FA20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3B3A58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79A7E75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10679.3</w:t>
                  </w:r>
                </w:p>
              </w:tc>
              <w:tc>
                <w:tcPr>
                  <w:tcW w:w="1690" w:type="pct"/>
                  <w:vAlign w:val="center"/>
                </w:tcPr>
                <w:p w14:paraId="2977BD7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5"/>
                      <w:highlight w:val="none"/>
                    </w:rPr>
                    <w:t>年产脚轮</w:t>
                  </w:r>
                  <w:r>
                    <w:rPr>
                      <w:color w:val="auto"/>
                      <w:spacing w:val="-5"/>
                      <w:highlight w:val="none"/>
                    </w:rPr>
                    <w:t>100</w:t>
                  </w:r>
                  <w:r>
                    <w:rPr>
                      <w:rFonts w:ascii="宋体" w:hAnsi="宋体" w:eastAsia="宋体" w:cs="宋体"/>
                      <w:color w:val="auto"/>
                      <w:spacing w:val="-5"/>
                      <w:highlight w:val="none"/>
                    </w:rPr>
                    <w:t>万个</w:t>
                  </w:r>
                </w:p>
              </w:tc>
              <w:tc>
                <w:tcPr>
                  <w:tcW w:w="962" w:type="pct"/>
                  <w:vAlign w:val="center"/>
                </w:tcPr>
                <w:p w14:paraId="3496E7B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韶环乐审〔</w:t>
                  </w:r>
                  <w:r>
                    <w:rPr>
                      <w:color w:val="auto"/>
                      <w:spacing w:val="-2"/>
                      <w:highlight w:val="none"/>
                    </w:rPr>
                    <w:t>2021</w:t>
                  </w:r>
                  <w:r>
                    <w:rPr>
                      <w:rFonts w:ascii="宋体" w:hAnsi="宋体" w:eastAsia="宋体" w:cs="宋体"/>
                      <w:color w:val="auto"/>
                      <w:spacing w:val="-2"/>
                      <w:highlight w:val="none"/>
                    </w:rPr>
                    <w:t>〕</w:t>
                  </w:r>
                  <w:r>
                    <w:rPr>
                      <w:color w:val="auto"/>
                      <w:spacing w:val="-2"/>
                      <w:highlight w:val="none"/>
                    </w:rPr>
                    <w:t>22</w:t>
                  </w:r>
                  <w:r>
                    <w:rPr>
                      <w:rFonts w:ascii="宋体" w:hAnsi="宋体" w:eastAsia="宋体" w:cs="宋体"/>
                      <w:color w:val="auto"/>
                      <w:spacing w:val="-2"/>
                      <w:highlight w:val="none"/>
                    </w:rPr>
                    <w:t>号、韶环乐</w:t>
                  </w:r>
                  <w:r>
                    <w:rPr>
                      <w:rFonts w:ascii="宋体" w:hAnsi="宋体" w:eastAsia="宋体" w:cs="宋体"/>
                      <w:color w:val="auto"/>
                      <w:spacing w:val="-1"/>
                      <w:highlight w:val="none"/>
                    </w:rPr>
                    <w:t>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09</w:t>
                  </w:r>
                  <w:r>
                    <w:rPr>
                      <w:rFonts w:ascii="宋体" w:hAnsi="宋体" w:eastAsia="宋体" w:cs="宋体"/>
                      <w:color w:val="auto"/>
                      <w:spacing w:val="-1"/>
                      <w:highlight w:val="none"/>
                    </w:rPr>
                    <w:t>号</w:t>
                  </w:r>
                </w:p>
              </w:tc>
            </w:tr>
            <w:tr w14:paraId="33E488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2" w:hRule="atLeast"/>
                <w:jc w:val="center"/>
              </w:trPr>
              <w:tc>
                <w:tcPr>
                  <w:tcW w:w="242" w:type="pct"/>
                  <w:vAlign w:val="center"/>
                </w:tcPr>
                <w:p w14:paraId="4AE5A80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29</w:t>
                  </w:r>
                </w:p>
              </w:tc>
              <w:tc>
                <w:tcPr>
                  <w:tcW w:w="854" w:type="pct"/>
                  <w:vAlign w:val="center"/>
                </w:tcPr>
                <w:p w14:paraId="4B7364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深圳艾尔康电子元器件有限</w:t>
                  </w:r>
                  <w:r>
                    <w:rPr>
                      <w:rFonts w:ascii="宋体" w:hAnsi="宋体" w:eastAsia="宋体" w:cs="宋体"/>
                      <w:color w:val="auto"/>
                      <w:spacing w:val="-2"/>
                      <w:sz w:val="21"/>
                      <w:szCs w:val="21"/>
                      <w:highlight w:val="none"/>
                    </w:rPr>
                    <w:t>公司乐昌分公司</w:t>
                  </w:r>
                </w:p>
              </w:tc>
              <w:tc>
                <w:tcPr>
                  <w:tcW w:w="283" w:type="pct"/>
                  <w:vAlign w:val="center"/>
                </w:tcPr>
                <w:p w14:paraId="435350C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568B93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计算机、通信和其他电子设备制造业</w:t>
                  </w:r>
                </w:p>
              </w:tc>
              <w:tc>
                <w:tcPr>
                  <w:tcW w:w="385" w:type="pct"/>
                  <w:vAlign w:val="center"/>
                </w:tcPr>
                <w:p w14:paraId="6C1B2A3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20006.9</w:t>
                  </w:r>
                </w:p>
              </w:tc>
              <w:tc>
                <w:tcPr>
                  <w:tcW w:w="1690" w:type="pct"/>
                  <w:vAlign w:val="center"/>
                </w:tcPr>
                <w:p w14:paraId="1BB206D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年产探针</w:t>
                  </w:r>
                  <w:r>
                    <w:rPr>
                      <w:color w:val="auto"/>
                      <w:spacing w:val="-1"/>
                      <w:highlight w:val="none"/>
                    </w:rPr>
                    <w:t>422</w:t>
                  </w:r>
                  <w:r>
                    <w:rPr>
                      <w:rFonts w:ascii="宋体" w:hAnsi="宋体" w:eastAsia="宋体" w:cs="宋体"/>
                      <w:color w:val="auto"/>
                      <w:spacing w:val="-1"/>
                      <w:highlight w:val="none"/>
                    </w:rPr>
                    <w:t>万、接线端子及其零部件</w:t>
                  </w:r>
                  <w:r>
                    <w:rPr>
                      <w:color w:val="auto"/>
                      <w:spacing w:val="-1"/>
                      <w:highlight w:val="none"/>
                    </w:rPr>
                    <w:t>36000</w:t>
                  </w:r>
                  <w:r>
                    <w:rPr>
                      <w:rFonts w:ascii="宋体" w:hAnsi="宋体" w:eastAsia="宋体" w:cs="宋体"/>
                      <w:color w:val="auto"/>
                      <w:spacing w:val="-1"/>
                      <w:highlight w:val="none"/>
                    </w:rPr>
                    <w:t>万、感应器及</w:t>
                  </w:r>
                  <w:r>
                    <w:rPr>
                      <w:rFonts w:ascii="宋体" w:hAnsi="宋体" w:eastAsia="宋体" w:cs="宋体"/>
                      <w:color w:val="auto"/>
                      <w:spacing w:val="-2"/>
                      <w:highlight w:val="none"/>
                    </w:rPr>
                    <w:t>其零部件</w:t>
                  </w:r>
                  <w:r>
                    <w:rPr>
                      <w:color w:val="auto"/>
                      <w:spacing w:val="-2"/>
                      <w:highlight w:val="none"/>
                    </w:rPr>
                    <w:t>200</w:t>
                  </w:r>
                  <w:r>
                    <w:rPr>
                      <w:rFonts w:ascii="宋体" w:hAnsi="宋体" w:eastAsia="宋体" w:cs="宋体"/>
                      <w:color w:val="auto"/>
                      <w:spacing w:val="-2"/>
                      <w:highlight w:val="none"/>
                    </w:rPr>
                    <w:t>万、接插件及其零部件</w:t>
                  </w:r>
                  <w:r>
                    <w:rPr>
                      <w:color w:val="auto"/>
                      <w:spacing w:val="-2"/>
                      <w:highlight w:val="none"/>
                    </w:rPr>
                    <w:t>2500</w:t>
                  </w:r>
                  <w:r>
                    <w:rPr>
                      <w:rFonts w:ascii="宋体" w:hAnsi="宋体" w:eastAsia="宋体" w:cs="宋体"/>
                      <w:color w:val="auto"/>
                      <w:spacing w:val="-2"/>
                      <w:highlight w:val="none"/>
                    </w:rPr>
                    <w:t>万、模具</w:t>
                  </w:r>
                  <w:r>
                    <w:rPr>
                      <w:color w:val="auto"/>
                      <w:spacing w:val="-2"/>
                      <w:highlight w:val="none"/>
                    </w:rPr>
                    <w:t>50</w:t>
                  </w:r>
                  <w:r>
                    <w:rPr>
                      <w:rFonts w:ascii="宋体" w:hAnsi="宋体" w:eastAsia="宋体" w:cs="宋体"/>
                      <w:color w:val="auto"/>
                      <w:spacing w:val="-2"/>
                      <w:highlight w:val="none"/>
                    </w:rPr>
                    <w:t>套、</w:t>
                  </w:r>
                  <w:r>
                    <w:rPr>
                      <w:rFonts w:ascii="宋体" w:hAnsi="宋体" w:eastAsia="宋体" w:cs="宋体"/>
                      <w:color w:val="auto"/>
                      <w:spacing w:val="1"/>
                      <w:highlight w:val="none"/>
                    </w:rPr>
                    <w:t>五金产品</w:t>
                  </w:r>
                  <w:r>
                    <w:rPr>
                      <w:color w:val="auto"/>
                      <w:spacing w:val="1"/>
                      <w:highlight w:val="none"/>
                    </w:rPr>
                    <w:t>30000</w:t>
                  </w:r>
                  <w:r>
                    <w:rPr>
                      <w:rFonts w:ascii="宋体" w:hAnsi="宋体" w:eastAsia="宋体" w:cs="宋体"/>
                      <w:color w:val="auto"/>
                      <w:spacing w:val="1"/>
                      <w:highlight w:val="none"/>
                    </w:rPr>
                    <w:t>万、塑胶配件</w:t>
                  </w:r>
                  <w:r>
                    <w:rPr>
                      <w:color w:val="auto"/>
                      <w:spacing w:val="1"/>
                      <w:highlight w:val="none"/>
                    </w:rPr>
                    <w:t>300</w:t>
                  </w:r>
                  <w:r>
                    <w:rPr>
                      <w:color w:val="auto"/>
                      <w:highlight w:val="none"/>
                    </w:rPr>
                    <w:t>00</w:t>
                  </w:r>
                  <w:r>
                    <w:rPr>
                      <w:rFonts w:ascii="宋体" w:hAnsi="宋体" w:eastAsia="宋体" w:cs="宋体"/>
                      <w:color w:val="auto"/>
                      <w:highlight w:val="none"/>
                    </w:rPr>
                    <w:t>万、自动化装备</w:t>
                  </w:r>
                  <w:r>
                    <w:rPr>
                      <w:color w:val="auto"/>
                      <w:highlight w:val="none"/>
                    </w:rPr>
                    <w:t>50</w:t>
                  </w:r>
                  <w:r>
                    <w:rPr>
                      <w:rFonts w:ascii="宋体" w:hAnsi="宋体" w:eastAsia="宋体" w:cs="宋体"/>
                      <w:color w:val="auto"/>
                      <w:highlight w:val="none"/>
                    </w:rPr>
                    <w:t>台</w:t>
                  </w:r>
                </w:p>
              </w:tc>
              <w:tc>
                <w:tcPr>
                  <w:tcW w:w="962" w:type="pct"/>
                  <w:vAlign w:val="center"/>
                </w:tcPr>
                <w:p w14:paraId="78F3167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"bookmark231"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]32</w:t>
                  </w:r>
                  <w:r>
                    <w:rPr>
                      <w:rFonts w:ascii="宋体" w:hAnsi="宋体" w:eastAsia="宋体" w:cs="宋体"/>
                      <w:color w:val="auto"/>
                      <w:spacing w:val="-2"/>
                      <w:highlight w:val="none"/>
                    </w:rPr>
                    <w:t>号</w:t>
                  </w:r>
                </w:p>
              </w:tc>
            </w:tr>
            <w:tr w14:paraId="417A1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62E283E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30</w:t>
                  </w:r>
                </w:p>
              </w:tc>
              <w:tc>
                <w:tcPr>
                  <w:tcW w:w="854" w:type="pct"/>
                  <w:vAlign w:val="center"/>
                </w:tcPr>
                <w:p w14:paraId="5A3379B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乐昌市缔恒科技有限公司</w:t>
                  </w:r>
                </w:p>
              </w:tc>
              <w:tc>
                <w:tcPr>
                  <w:tcW w:w="283" w:type="pct"/>
                  <w:vAlign w:val="center"/>
                </w:tcPr>
                <w:p w14:paraId="72CF988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2CD26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通用设备制造业</w:t>
                  </w:r>
                </w:p>
              </w:tc>
              <w:tc>
                <w:tcPr>
                  <w:tcW w:w="385" w:type="pct"/>
                  <w:vAlign w:val="center"/>
                </w:tcPr>
                <w:p w14:paraId="5DE2715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5000</w:t>
                  </w:r>
                </w:p>
              </w:tc>
              <w:tc>
                <w:tcPr>
                  <w:tcW w:w="1690" w:type="pct"/>
                  <w:vAlign w:val="center"/>
                </w:tcPr>
                <w:p w14:paraId="391B45E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年产金刚石复合片</w:t>
                  </w:r>
                  <w:r>
                    <w:rPr>
                      <w:color w:val="auto"/>
                      <w:spacing w:val="-3"/>
                      <w:highlight w:val="none"/>
                    </w:rPr>
                    <w:t>50</w:t>
                  </w:r>
                  <w:r>
                    <w:rPr>
                      <w:rFonts w:ascii="宋体" w:hAnsi="宋体" w:eastAsia="宋体" w:cs="宋体"/>
                      <w:color w:val="auto"/>
                      <w:spacing w:val="-3"/>
                      <w:highlight w:val="none"/>
                    </w:rPr>
                    <w:t>万片</w:t>
                  </w:r>
                </w:p>
              </w:tc>
              <w:tc>
                <w:tcPr>
                  <w:tcW w:w="962" w:type="pct"/>
                  <w:vAlign w:val="center"/>
                </w:tcPr>
                <w:p w14:paraId="636DB3C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乐环函</w:t>
                  </w:r>
                  <w:r>
                    <w:rPr>
                      <w:color w:val="auto"/>
                      <w:spacing w:val="-4"/>
                      <w:highlight w:val="none"/>
                    </w:rPr>
                    <w:t>[</w:t>
                  </w:r>
                  <w:r>
                    <w:rPr>
                      <w:color w:val="auto"/>
                      <w:highlight w:val="none"/>
                    </w:rPr>
                    <w:fldChar w:fldCharType="begin"/>
                  </w:r>
                  <w:r>
                    <w:rPr>
                      <w:color w:val="auto"/>
                      <w:highlight w:val="none"/>
                    </w:rPr>
                    <w:instrText xml:space="preserve"> HYPERLINK \l "bookmark232" </w:instrText>
                  </w:r>
                  <w:r>
                    <w:rPr>
                      <w:color w:val="auto"/>
                      <w:highlight w:val="none"/>
                    </w:rPr>
                    <w:fldChar w:fldCharType="separate"/>
                  </w:r>
                  <w:r>
                    <w:rPr>
                      <w:color w:val="auto"/>
                      <w:spacing w:val="-4"/>
                      <w:highlight w:val="none"/>
                    </w:rPr>
                    <w:t>2009</w:t>
                  </w:r>
                  <w:r>
                    <w:rPr>
                      <w:color w:val="auto"/>
                      <w:spacing w:val="-4"/>
                      <w:highlight w:val="none"/>
                    </w:rPr>
                    <w:fldChar w:fldCharType="end"/>
                  </w:r>
                  <w:r>
                    <w:rPr>
                      <w:color w:val="auto"/>
                      <w:spacing w:val="-4"/>
                      <w:highlight w:val="none"/>
                    </w:rPr>
                    <w:t>]16</w:t>
                  </w:r>
                  <w:r>
                    <w:rPr>
                      <w:rFonts w:ascii="宋体" w:hAnsi="宋体" w:eastAsia="宋体" w:cs="宋体"/>
                      <w:color w:val="auto"/>
                      <w:spacing w:val="-4"/>
                      <w:highlight w:val="none"/>
                    </w:rPr>
                    <w:t>号</w:t>
                  </w:r>
                </w:p>
              </w:tc>
            </w:tr>
            <w:tr w14:paraId="4D4833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27AF003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31</w:t>
                  </w:r>
                </w:p>
              </w:tc>
              <w:tc>
                <w:tcPr>
                  <w:tcW w:w="854" w:type="pct"/>
                  <w:vAlign w:val="center"/>
                </w:tcPr>
                <w:p w14:paraId="3051F0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乐昌市盛昌钢构有限公司</w:t>
                  </w:r>
                </w:p>
              </w:tc>
              <w:tc>
                <w:tcPr>
                  <w:tcW w:w="283" w:type="pct"/>
                  <w:vAlign w:val="center"/>
                </w:tcPr>
                <w:p w14:paraId="1225EA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0C0DDC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3C6D63C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9000</w:t>
                  </w:r>
                </w:p>
              </w:tc>
              <w:tc>
                <w:tcPr>
                  <w:tcW w:w="1690" w:type="pct"/>
                  <w:vAlign w:val="center"/>
                </w:tcPr>
                <w:p w14:paraId="232E24C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年加工</w:t>
                  </w:r>
                  <w:r>
                    <w:rPr>
                      <w:color w:val="auto"/>
                      <w:spacing w:val="-4"/>
                      <w:highlight w:val="none"/>
                    </w:rPr>
                    <w:t>500</w:t>
                  </w:r>
                  <w:r>
                    <w:rPr>
                      <w:rFonts w:ascii="宋体" w:hAnsi="宋体" w:eastAsia="宋体" w:cs="宋体"/>
                      <w:color w:val="auto"/>
                      <w:spacing w:val="-4"/>
                      <w:highlight w:val="none"/>
                    </w:rPr>
                    <w:t>吨钢结构</w:t>
                  </w:r>
                </w:p>
              </w:tc>
              <w:tc>
                <w:tcPr>
                  <w:tcW w:w="962" w:type="pct"/>
                  <w:vAlign w:val="center"/>
                </w:tcPr>
                <w:p w14:paraId="720F2A5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乐环函</w:t>
                  </w:r>
                  <w:r>
                    <w:rPr>
                      <w:color w:val="auto"/>
                      <w:spacing w:val="-1"/>
                      <w:highlight w:val="none"/>
                    </w:rPr>
                    <w:t>[</w:t>
                  </w:r>
                  <w:r>
                    <w:rPr>
                      <w:color w:val="auto"/>
                      <w:highlight w:val="none"/>
                    </w:rPr>
                    <w:fldChar w:fldCharType="begin"/>
                  </w:r>
                  <w:r>
                    <w:rPr>
                      <w:color w:val="auto"/>
                      <w:highlight w:val="none"/>
                    </w:rPr>
                    <w:instrText xml:space="preserve"> HYPERLINK \l "bookmark233" </w:instrText>
                  </w:r>
                  <w:r>
                    <w:rPr>
                      <w:color w:val="auto"/>
                      <w:highlight w:val="none"/>
                    </w:rPr>
                    <w:fldChar w:fldCharType="separate"/>
                  </w:r>
                  <w:r>
                    <w:rPr>
                      <w:color w:val="auto"/>
                      <w:spacing w:val="-1"/>
                      <w:highlight w:val="none"/>
                    </w:rPr>
                    <w:t>2011</w:t>
                  </w:r>
                  <w:r>
                    <w:rPr>
                      <w:color w:val="auto"/>
                      <w:spacing w:val="-1"/>
                      <w:highlight w:val="none"/>
                    </w:rPr>
                    <w:fldChar w:fldCharType="end"/>
                  </w:r>
                  <w:r>
                    <w:rPr>
                      <w:color w:val="auto"/>
                      <w:spacing w:val="-1"/>
                      <w:highlight w:val="none"/>
                    </w:rPr>
                    <w:t>]80</w:t>
                  </w:r>
                  <w:r>
                    <w:rPr>
                      <w:rFonts w:ascii="宋体" w:hAnsi="宋体" w:eastAsia="宋体" w:cs="宋体"/>
                      <w:color w:val="auto"/>
                      <w:spacing w:val="-1"/>
                      <w:highlight w:val="none"/>
                    </w:rPr>
                    <w:t>号</w:t>
                  </w:r>
                </w:p>
              </w:tc>
            </w:tr>
            <w:tr w14:paraId="589FD8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0547C59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32</w:t>
                  </w:r>
                </w:p>
              </w:tc>
              <w:tc>
                <w:tcPr>
                  <w:tcW w:w="854" w:type="pct"/>
                  <w:vAlign w:val="center"/>
                </w:tcPr>
                <w:p w14:paraId="499C74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乐昌市安莉琪服饰有限公司</w:t>
                  </w:r>
                </w:p>
              </w:tc>
              <w:tc>
                <w:tcPr>
                  <w:tcW w:w="283" w:type="pct"/>
                  <w:vAlign w:val="center"/>
                </w:tcPr>
                <w:p w14:paraId="35456F0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A857D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纺织服装、服饰业</w:t>
                  </w:r>
                </w:p>
              </w:tc>
              <w:tc>
                <w:tcPr>
                  <w:tcW w:w="385" w:type="pct"/>
                  <w:vAlign w:val="center"/>
                </w:tcPr>
                <w:p w14:paraId="2891CC5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13164.82</w:t>
                  </w:r>
                </w:p>
              </w:tc>
              <w:tc>
                <w:tcPr>
                  <w:tcW w:w="1690" w:type="pct"/>
                  <w:vAlign w:val="center"/>
                </w:tcPr>
                <w:p w14:paraId="7167AB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w:t>
                  </w:r>
                  <w:r>
                    <w:rPr>
                      <w:color w:val="auto"/>
                      <w:spacing w:val="-4"/>
                      <w:highlight w:val="none"/>
                    </w:rPr>
                    <w:t>600</w:t>
                  </w:r>
                  <w:r>
                    <w:rPr>
                      <w:rFonts w:ascii="宋体" w:hAnsi="宋体" w:eastAsia="宋体" w:cs="宋体"/>
                      <w:color w:val="auto"/>
                      <w:spacing w:val="-4"/>
                      <w:highlight w:val="none"/>
                    </w:rPr>
                    <w:t>万件服装</w:t>
                  </w:r>
                </w:p>
              </w:tc>
              <w:tc>
                <w:tcPr>
                  <w:tcW w:w="962" w:type="pct"/>
                  <w:vAlign w:val="center"/>
                </w:tcPr>
                <w:p w14:paraId="383D440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"bookmark234"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]61</w:t>
                  </w:r>
                  <w:r>
                    <w:rPr>
                      <w:rFonts w:ascii="宋体" w:hAnsi="宋体" w:eastAsia="宋体" w:cs="宋体"/>
                      <w:color w:val="auto"/>
                      <w:spacing w:val="-2"/>
                      <w:highlight w:val="none"/>
                    </w:rPr>
                    <w:t>号</w:t>
                  </w:r>
                </w:p>
              </w:tc>
            </w:tr>
            <w:tr w14:paraId="4DD8D2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2A4F972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33</w:t>
                  </w:r>
                </w:p>
              </w:tc>
              <w:tc>
                <w:tcPr>
                  <w:tcW w:w="854" w:type="pct"/>
                  <w:vAlign w:val="center"/>
                </w:tcPr>
                <w:p w14:paraId="6BE07E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乐昌市宏泰机械制造有限公</w:t>
                  </w:r>
                  <w:r>
                    <w:rPr>
                      <w:rFonts w:ascii="宋体" w:hAnsi="宋体" w:eastAsia="宋体" w:cs="宋体"/>
                      <w:color w:val="auto"/>
                      <w:sz w:val="21"/>
                      <w:szCs w:val="21"/>
                      <w:highlight w:val="none"/>
                    </w:rPr>
                    <w:t>司</w:t>
                  </w:r>
                </w:p>
              </w:tc>
              <w:tc>
                <w:tcPr>
                  <w:tcW w:w="283" w:type="pct"/>
                  <w:vAlign w:val="center"/>
                </w:tcPr>
                <w:p w14:paraId="48598B1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812C7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590FAED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17320</w:t>
                  </w:r>
                </w:p>
              </w:tc>
              <w:tc>
                <w:tcPr>
                  <w:tcW w:w="1690" w:type="pct"/>
                  <w:vAlign w:val="center"/>
                </w:tcPr>
                <w:p w14:paraId="4581B9A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年产铸钢件</w:t>
                  </w:r>
                  <w:r>
                    <w:rPr>
                      <w:color w:val="auto"/>
                      <w:spacing w:val="-3"/>
                      <w:highlight w:val="none"/>
                    </w:rPr>
                    <w:t>1.5</w:t>
                  </w:r>
                  <w:r>
                    <w:rPr>
                      <w:rFonts w:ascii="宋体" w:hAnsi="宋体" w:eastAsia="宋体" w:cs="宋体"/>
                      <w:color w:val="auto"/>
                      <w:spacing w:val="-3"/>
                      <w:highlight w:val="none"/>
                    </w:rPr>
                    <w:t>万吨、铸铁件</w:t>
                  </w:r>
                  <w:r>
                    <w:rPr>
                      <w:color w:val="auto"/>
                      <w:spacing w:val="-3"/>
                      <w:highlight w:val="none"/>
                    </w:rPr>
                    <w:t>5000</w:t>
                  </w:r>
                  <w:r>
                    <w:rPr>
                      <w:rFonts w:ascii="宋体" w:hAnsi="宋体" w:eastAsia="宋体" w:cs="宋体"/>
                      <w:color w:val="auto"/>
                      <w:spacing w:val="-3"/>
                      <w:highlight w:val="none"/>
                    </w:rPr>
                    <w:t>吨</w:t>
                  </w:r>
                </w:p>
              </w:tc>
              <w:tc>
                <w:tcPr>
                  <w:tcW w:w="962" w:type="pct"/>
                  <w:vAlign w:val="center"/>
                </w:tcPr>
                <w:p w14:paraId="33469A7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3"/>
                      <w:highlight w:val="none"/>
                    </w:rPr>
                    <w:t>乐环函</w:t>
                  </w:r>
                  <w:r>
                    <w:rPr>
                      <w:color w:val="auto"/>
                      <w:spacing w:val="-13"/>
                      <w:highlight w:val="none"/>
                    </w:rPr>
                    <w:t>[</w:t>
                  </w:r>
                  <w:r>
                    <w:rPr>
                      <w:color w:val="auto"/>
                      <w:highlight w:val="none"/>
                    </w:rPr>
                    <w:fldChar w:fldCharType="begin"/>
                  </w:r>
                  <w:r>
                    <w:rPr>
                      <w:color w:val="auto"/>
                      <w:highlight w:val="none"/>
                    </w:rPr>
                    <w:instrText xml:space="preserve"> HYPERLINK \l "bookmark235" </w:instrText>
                  </w:r>
                  <w:r>
                    <w:rPr>
                      <w:color w:val="auto"/>
                      <w:highlight w:val="none"/>
                    </w:rPr>
                    <w:fldChar w:fldCharType="separate"/>
                  </w:r>
                  <w:r>
                    <w:rPr>
                      <w:color w:val="auto"/>
                      <w:spacing w:val="-13"/>
                      <w:highlight w:val="none"/>
                    </w:rPr>
                    <w:t>2009</w:t>
                  </w:r>
                  <w:r>
                    <w:rPr>
                      <w:color w:val="auto"/>
                      <w:spacing w:val="-13"/>
                      <w:highlight w:val="none"/>
                    </w:rPr>
                    <w:fldChar w:fldCharType="end"/>
                  </w:r>
                  <w:r>
                    <w:rPr>
                      <w:color w:val="auto"/>
                      <w:spacing w:val="-13"/>
                      <w:highlight w:val="none"/>
                    </w:rPr>
                    <w:t>]36</w:t>
                  </w:r>
                  <w:r>
                    <w:rPr>
                      <w:rFonts w:ascii="宋体" w:hAnsi="宋体" w:eastAsia="宋体" w:cs="宋体"/>
                      <w:color w:val="auto"/>
                      <w:spacing w:val="-13"/>
                      <w:highlight w:val="none"/>
                    </w:rPr>
                    <w:t>号、乐环审〔</w:t>
                  </w:r>
                  <w:r>
                    <w:rPr>
                      <w:color w:val="auto"/>
                      <w:spacing w:val="-13"/>
                      <w:highlight w:val="none"/>
                    </w:rPr>
                    <w:t>2019</w:t>
                  </w:r>
                  <w:r>
                    <w:rPr>
                      <w:rFonts w:ascii="宋体" w:hAnsi="宋体" w:eastAsia="宋体" w:cs="宋体"/>
                      <w:color w:val="auto"/>
                      <w:spacing w:val="-13"/>
                      <w:highlight w:val="none"/>
                    </w:rPr>
                    <w:t>〕</w:t>
                  </w:r>
                  <w:r>
                    <w:rPr>
                      <w:color w:val="auto"/>
                      <w:spacing w:val="-1"/>
                      <w:highlight w:val="none"/>
                    </w:rPr>
                    <w:t>43</w:t>
                  </w:r>
                  <w:r>
                    <w:rPr>
                      <w:rFonts w:ascii="宋体" w:hAnsi="宋体" w:eastAsia="宋体" w:cs="宋体"/>
                      <w:color w:val="auto"/>
                      <w:spacing w:val="-1"/>
                      <w:highlight w:val="none"/>
                    </w:rPr>
                    <w:t>号</w:t>
                  </w:r>
                </w:p>
              </w:tc>
            </w:tr>
            <w:tr w14:paraId="203BA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0" w:hRule="atLeast"/>
                <w:jc w:val="center"/>
              </w:trPr>
              <w:tc>
                <w:tcPr>
                  <w:tcW w:w="242" w:type="pct"/>
                  <w:vAlign w:val="center"/>
                </w:tcPr>
                <w:p w14:paraId="2102DF9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34</w:t>
                  </w:r>
                </w:p>
              </w:tc>
              <w:tc>
                <w:tcPr>
                  <w:tcW w:w="854" w:type="pct"/>
                  <w:vAlign w:val="center"/>
                </w:tcPr>
                <w:p w14:paraId="14DF30A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乐昌市特安消防器材有限公</w:t>
                  </w:r>
                  <w:r>
                    <w:rPr>
                      <w:rFonts w:ascii="宋体" w:hAnsi="宋体" w:eastAsia="宋体" w:cs="宋体"/>
                      <w:color w:val="auto"/>
                      <w:sz w:val="21"/>
                      <w:szCs w:val="21"/>
                      <w:highlight w:val="none"/>
                    </w:rPr>
                    <w:t>司</w:t>
                  </w:r>
                </w:p>
              </w:tc>
              <w:tc>
                <w:tcPr>
                  <w:tcW w:w="283" w:type="pct"/>
                  <w:vAlign w:val="center"/>
                </w:tcPr>
                <w:p w14:paraId="66B26E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8DFF3A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1EB2979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1283.1</w:t>
                  </w:r>
                </w:p>
              </w:tc>
              <w:tc>
                <w:tcPr>
                  <w:tcW w:w="1690" w:type="pct"/>
                  <w:vAlign w:val="center"/>
                </w:tcPr>
                <w:p w14:paraId="27217F8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年产过滤式消防自救呼吸器</w:t>
                  </w:r>
                  <w:r>
                    <w:rPr>
                      <w:color w:val="auto"/>
                      <w:spacing w:val="-2"/>
                      <w:highlight w:val="none"/>
                    </w:rPr>
                    <w:t>60</w:t>
                  </w:r>
                  <w:r>
                    <w:rPr>
                      <w:rFonts w:ascii="宋体" w:hAnsi="宋体" w:eastAsia="宋体" w:cs="宋体"/>
                      <w:color w:val="auto"/>
                      <w:spacing w:val="-2"/>
                      <w:highlight w:val="none"/>
                    </w:rPr>
                    <w:t>万件（含霍加拉特剂生产</w:t>
                  </w:r>
                  <w:r>
                    <w:rPr>
                      <w:color w:val="auto"/>
                      <w:spacing w:val="-2"/>
                      <w:highlight w:val="none"/>
                    </w:rPr>
                    <w:t>600</w:t>
                  </w:r>
                  <w:r>
                    <w:rPr>
                      <w:rFonts w:ascii="宋体" w:hAnsi="宋体" w:eastAsia="宋体" w:cs="宋体"/>
                      <w:color w:val="auto"/>
                      <w:spacing w:val="-2"/>
                      <w:highlight w:val="none"/>
                    </w:rPr>
                    <w:t>吨</w:t>
                  </w:r>
                  <w:r>
                    <w:rPr>
                      <w:rFonts w:ascii="宋体" w:hAnsi="宋体" w:eastAsia="宋体" w:cs="宋体"/>
                      <w:color w:val="auto"/>
                      <w:spacing w:val="-29"/>
                      <w:highlight w:val="none"/>
                    </w:rPr>
                    <w:t>），</w:t>
                  </w:r>
                  <w:r>
                    <w:rPr>
                      <w:rFonts w:ascii="宋体" w:hAnsi="宋体" w:eastAsia="宋体" w:cs="宋体"/>
                      <w:color w:val="auto"/>
                      <w:spacing w:val="-2"/>
                      <w:highlight w:val="none"/>
                    </w:rPr>
                    <w:t>逃生缓降器</w:t>
                  </w:r>
                  <w:r>
                    <w:rPr>
                      <w:color w:val="auto"/>
                      <w:spacing w:val="-2"/>
                      <w:highlight w:val="none"/>
                    </w:rPr>
                    <w:t>3000</w:t>
                  </w:r>
                  <w:r>
                    <w:rPr>
                      <w:rFonts w:ascii="宋体" w:hAnsi="宋体" w:eastAsia="宋体" w:cs="宋体"/>
                      <w:color w:val="auto"/>
                      <w:spacing w:val="-2"/>
                      <w:highlight w:val="none"/>
                    </w:rPr>
                    <w:t>套，急逃生绳</w:t>
                  </w:r>
                  <w:r>
                    <w:rPr>
                      <w:color w:val="auto"/>
                      <w:spacing w:val="-2"/>
                      <w:highlight w:val="none"/>
                    </w:rPr>
                    <w:t>3000</w:t>
                  </w:r>
                  <w:r>
                    <w:rPr>
                      <w:rFonts w:ascii="宋体" w:hAnsi="宋体" w:eastAsia="宋体" w:cs="宋体"/>
                      <w:color w:val="auto"/>
                      <w:spacing w:val="-2"/>
                      <w:highlight w:val="none"/>
                    </w:rPr>
                    <w:t>条，</w:t>
                  </w:r>
                  <w:r>
                    <w:rPr>
                      <w:rFonts w:ascii="宋体" w:hAnsi="宋体" w:eastAsia="宋体" w:cs="宋体"/>
                      <w:color w:val="auto"/>
                      <w:spacing w:val="-3"/>
                      <w:highlight w:val="none"/>
                    </w:rPr>
                    <w:t>消防防护服</w:t>
                  </w:r>
                  <w:r>
                    <w:rPr>
                      <w:color w:val="auto"/>
                      <w:spacing w:val="-3"/>
                      <w:highlight w:val="none"/>
                    </w:rPr>
                    <w:t>2</w:t>
                  </w:r>
                  <w:r>
                    <w:rPr>
                      <w:rFonts w:ascii="宋体" w:hAnsi="宋体" w:eastAsia="宋体" w:cs="宋体"/>
                      <w:color w:val="auto"/>
                      <w:spacing w:val="-3"/>
                      <w:highlight w:val="none"/>
                    </w:rPr>
                    <w:t>万套，家庭应急供氧组合装备</w:t>
                  </w:r>
                  <w:r>
                    <w:rPr>
                      <w:color w:val="auto"/>
                      <w:spacing w:val="-3"/>
                      <w:highlight w:val="none"/>
                    </w:rPr>
                    <w:t>1500</w:t>
                  </w:r>
                  <w:r>
                    <w:rPr>
                      <w:rFonts w:ascii="宋体" w:hAnsi="宋体" w:eastAsia="宋体" w:cs="宋体"/>
                      <w:color w:val="auto"/>
                      <w:spacing w:val="-3"/>
                      <w:highlight w:val="none"/>
                    </w:rPr>
                    <w:t>台，灭火毯</w:t>
                  </w:r>
                  <w:r>
                    <w:rPr>
                      <w:color w:val="auto"/>
                      <w:spacing w:val="-3"/>
                      <w:highlight w:val="none"/>
                    </w:rPr>
                    <w:t>3000</w:t>
                  </w:r>
                  <w:r>
                    <w:rPr>
                      <w:rFonts w:ascii="宋体" w:hAnsi="宋体" w:eastAsia="宋体" w:cs="宋体"/>
                      <w:color w:val="auto"/>
                      <w:spacing w:val="-3"/>
                      <w:highlight w:val="none"/>
                    </w:rPr>
                    <w:t>张，箔</w:t>
                  </w:r>
                  <w:r>
                    <w:rPr>
                      <w:rFonts w:ascii="宋体" w:hAnsi="宋体" w:eastAsia="宋体" w:cs="宋体"/>
                      <w:color w:val="auto"/>
                      <w:spacing w:val="-2"/>
                      <w:highlight w:val="none"/>
                    </w:rPr>
                    <w:t>隔热服</w:t>
                  </w:r>
                  <w:r>
                    <w:rPr>
                      <w:color w:val="auto"/>
                      <w:spacing w:val="-2"/>
                      <w:highlight w:val="none"/>
                    </w:rPr>
                    <w:t>3000</w:t>
                  </w:r>
                  <w:r>
                    <w:rPr>
                      <w:rFonts w:ascii="宋体" w:hAnsi="宋体" w:eastAsia="宋体" w:cs="宋体"/>
                      <w:color w:val="auto"/>
                      <w:spacing w:val="-2"/>
                      <w:highlight w:val="none"/>
                    </w:rPr>
                    <w:t>套，以及应急包、应急箱</w:t>
                  </w:r>
                  <w:r>
                    <w:rPr>
                      <w:color w:val="auto"/>
                      <w:spacing w:val="-2"/>
                      <w:highlight w:val="none"/>
                    </w:rPr>
                    <w:t>6000</w:t>
                  </w:r>
                  <w:r>
                    <w:rPr>
                      <w:rFonts w:ascii="宋体" w:hAnsi="宋体" w:eastAsia="宋体" w:cs="宋体"/>
                      <w:color w:val="auto"/>
                      <w:spacing w:val="-2"/>
                      <w:highlight w:val="none"/>
                    </w:rPr>
                    <w:t>套等</w:t>
                  </w:r>
                </w:p>
              </w:tc>
              <w:tc>
                <w:tcPr>
                  <w:tcW w:w="962" w:type="pct"/>
                  <w:vAlign w:val="center"/>
                </w:tcPr>
                <w:p w14:paraId="304E929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"bookmark236"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]79</w:t>
                  </w:r>
                  <w:r>
                    <w:rPr>
                      <w:rFonts w:ascii="宋体" w:hAnsi="宋体" w:eastAsia="宋体" w:cs="宋体"/>
                      <w:color w:val="auto"/>
                      <w:spacing w:val="-2"/>
                      <w:highlight w:val="none"/>
                    </w:rPr>
                    <w:t>号</w:t>
                  </w:r>
                </w:p>
              </w:tc>
            </w:tr>
            <w:tr w14:paraId="48469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3B1D9C6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35</w:t>
                  </w:r>
                </w:p>
              </w:tc>
              <w:tc>
                <w:tcPr>
                  <w:tcW w:w="854" w:type="pct"/>
                  <w:vAlign w:val="center"/>
                </w:tcPr>
                <w:p w14:paraId="7CB8D0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乐昌市同路单采血浆有限公</w:t>
                  </w:r>
                  <w:r>
                    <w:rPr>
                      <w:rFonts w:ascii="宋体" w:hAnsi="宋体" w:eastAsia="宋体" w:cs="宋体"/>
                      <w:color w:val="auto"/>
                      <w:sz w:val="21"/>
                      <w:szCs w:val="21"/>
                      <w:highlight w:val="none"/>
                    </w:rPr>
                    <w:t>司</w:t>
                  </w:r>
                </w:p>
              </w:tc>
              <w:tc>
                <w:tcPr>
                  <w:tcW w:w="283" w:type="pct"/>
                  <w:vAlign w:val="center"/>
                </w:tcPr>
                <w:p w14:paraId="7777502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10B64B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卫生</w:t>
                  </w:r>
                </w:p>
              </w:tc>
              <w:tc>
                <w:tcPr>
                  <w:tcW w:w="385" w:type="pct"/>
                  <w:vAlign w:val="center"/>
                </w:tcPr>
                <w:p w14:paraId="3FB45C2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9379</w:t>
                  </w:r>
                </w:p>
              </w:tc>
              <w:tc>
                <w:tcPr>
                  <w:tcW w:w="1690" w:type="pct"/>
                  <w:vAlign w:val="center"/>
                </w:tcPr>
                <w:p w14:paraId="1BFECFB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rFonts w:ascii="宋体" w:hAnsi="宋体" w:eastAsia="宋体" w:cs="宋体"/>
                      <w:color w:val="auto"/>
                      <w:spacing w:val="-2"/>
                      <w:highlight w:val="none"/>
                    </w:rPr>
                    <w:t>采浆量为</w:t>
                  </w:r>
                  <w:r>
                    <w:rPr>
                      <w:color w:val="auto"/>
                      <w:spacing w:val="-2"/>
                      <w:highlight w:val="none"/>
                    </w:rPr>
                    <w:t>40t/a</w:t>
                  </w:r>
                </w:p>
              </w:tc>
              <w:tc>
                <w:tcPr>
                  <w:tcW w:w="962" w:type="pct"/>
                  <w:vAlign w:val="center"/>
                </w:tcPr>
                <w:p w14:paraId="6468DC3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"bookmark237" </w:instrText>
                  </w:r>
                  <w:r>
                    <w:rPr>
                      <w:color w:val="auto"/>
                      <w:highlight w:val="none"/>
                    </w:rPr>
                    <w:fldChar w:fldCharType="separate"/>
                  </w:r>
                  <w:r>
                    <w:rPr>
                      <w:color w:val="auto"/>
                      <w:spacing w:val="-2"/>
                      <w:highlight w:val="none"/>
                    </w:rPr>
                    <w:t>2016</w:t>
                  </w:r>
                  <w:r>
                    <w:rPr>
                      <w:color w:val="auto"/>
                      <w:spacing w:val="-2"/>
                      <w:highlight w:val="none"/>
                    </w:rPr>
                    <w:fldChar w:fldCharType="end"/>
                  </w:r>
                  <w:r>
                    <w:rPr>
                      <w:color w:val="auto"/>
                      <w:spacing w:val="-2"/>
                      <w:highlight w:val="none"/>
                    </w:rPr>
                    <w:t>]20</w:t>
                  </w:r>
                  <w:r>
                    <w:rPr>
                      <w:rFonts w:ascii="宋体" w:hAnsi="宋体" w:eastAsia="宋体" w:cs="宋体"/>
                      <w:color w:val="auto"/>
                      <w:spacing w:val="-2"/>
                      <w:highlight w:val="none"/>
                    </w:rPr>
                    <w:t>号</w:t>
                  </w:r>
                </w:p>
              </w:tc>
            </w:tr>
            <w:tr w14:paraId="33F0C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1560FE4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36</w:t>
                  </w:r>
                </w:p>
              </w:tc>
              <w:tc>
                <w:tcPr>
                  <w:tcW w:w="854" w:type="pct"/>
                  <w:vAlign w:val="center"/>
                </w:tcPr>
                <w:p w14:paraId="212294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韶关鑫瑞智能装备有限公司</w:t>
                  </w:r>
                </w:p>
              </w:tc>
              <w:tc>
                <w:tcPr>
                  <w:tcW w:w="283" w:type="pct"/>
                  <w:vAlign w:val="center"/>
                </w:tcPr>
                <w:p w14:paraId="6C9E52D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E82963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3D56BBB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17693</w:t>
                  </w:r>
                </w:p>
              </w:tc>
              <w:tc>
                <w:tcPr>
                  <w:tcW w:w="1690" w:type="pct"/>
                  <w:vAlign w:val="center"/>
                </w:tcPr>
                <w:p w14:paraId="48C6B8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z w:val="21"/>
                      <w:szCs w:val="21"/>
                      <w:highlight w:val="none"/>
                    </w:rPr>
                    <w:t>年产破碎、筛分单机设备，移动式破碎筛分装备和</w:t>
                  </w:r>
                  <w:r>
                    <w:rPr>
                      <w:rFonts w:ascii="宋体" w:hAnsi="宋体" w:eastAsia="宋体" w:cs="宋体"/>
                      <w:color w:val="auto"/>
                      <w:spacing w:val="-1"/>
                      <w:sz w:val="21"/>
                      <w:szCs w:val="21"/>
                      <w:highlight w:val="none"/>
                    </w:rPr>
                    <w:t>模块化装</w:t>
                  </w:r>
                  <w:r>
                    <w:rPr>
                      <w:rFonts w:ascii="宋体" w:hAnsi="宋体" w:eastAsia="宋体" w:cs="宋体"/>
                      <w:color w:val="auto"/>
                      <w:spacing w:val="-5"/>
                      <w:highlight w:val="none"/>
                    </w:rPr>
                    <w:t>备</w:t>
                  </w:r>
                  <w:r>
                    <w:rPr>
                      <w:color w:val="auto"/>
                      <w:spacing w:val="-5"/>
                      <w:highlight w:val="none"/>
                    </w:rPr>
                    <w:t>803</w:t>
                  </w:r>
                  <w:r>
                    <w:rPr>
                      <w:rFonts w:ascii="宋体" w:hAnsi="宋体" w:eastAsia="宋体" w:cs="宋体"/>
                      <w:color w:val="auto"/>
                      <w:spacing w:val="-5"/>
                      <w:highlight w:val="none"/>
                    </w:rPr>
                    <w:t>台</w:t>
                  </w:r>
                </w:p>
              </w:tc>
              <w:tc>
                <w:tcPr>
                  <w:tcW w:w="962" w:type="pct"/>
                  <w:vAlign w:val="center"/>
                </w:tcPr>
                <w:p w14:paraId="1D83FCD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25</w:t>
                  </w:r>
                  <w:r>
                    <w:rPr>
                      <w:rFonts w:ascii="宋体" w:hAnsi="宋体" w:eastAsia="宋体" w:cs="宋体"/>
                      <w:color w:val="auto"/>
                      <w:spacing w:val="-1"/>
                      <w:highlight w:val="none"/>
                    </w:rPr>
                    <w:t>号</w:t>
                  </w:r>
                </w:p>
              </w:tc>
            </w:tr>
            <w:tr w14:paraId="35F29C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48BBF8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37</w:t>
                  </w:r>
                </w:p>
              </w:tc>
              <w:tc>
                <w:tcPr>
                  <w:tcW w:w="854" w:type="pct"/>
                  <w:vAlign w:val="center"/>
                </w:tcPr>
                <w:p w14:paraId="7D5D4D2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韶关龙督装饰材料有限公司</w:t>
                  </w:r>
                </w:p>
              </w:tc>
              <w:tc>
                <w:tcPr>
                  <w:tcW w:w="283" w:type="pct"/>
                  <w:vAlign w:val="center"/>
                </w:tcPr>
                <w:p w14:paraId="72BAD2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D9086F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13A28E4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33812.1</w:t>
                  </w:r>
                </w:p>
              </w:tc>
              <w:tc>
                <w:tcPr>
                  <w:tcW w:w="1690" w:type="pct"/>
                  <w:vAlign w:val="center"/>
                </w:tcPr>
                <w:p w14:paraId="44680FC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highlight w:val="none"/>
                    </w:rPr>
                    <w:t>年产彩涂铝卷</w:t>
                  </w:r>
                  <w:r>
                    <w:rPr>
                      <w:color w:val="auto"/>
                      <w:spacing w:val="-2"/>
                      <w:highlight w:val="none"/>
                    </w:rPr>
                    <w:t>400</w:t>
                  </w:r>
                  <w:r>
                    <w:rPr>
                      <w:rFonts w:ascii="宋体" w:hAnsi="宋体" w:eastAsia="宋体" w:cs="宋体"/>
                      <w:color w:val="auto"/>
                      <w:spacing w:val="-2"/>
                      <w:highlight w:val="none"/>
                    </w:rPr>
                    <w:t>万平方米，铝幕墙板、铝天花板</w:t>
                  </w:r>
                  <w:r>
                    <w:rPr>
                      <w:color w:val="auto"/>
                      <w:spacing w:val="-2"/>
                      <w:highlight w:val="none"/>
                    </w:rPr>
                    <w:t>100</w:t>
                  </w:r>
                  <w:r>
                    <w:rPr>
                      <w:rFonts w:ascii="宋体" w:hAnsi="宋体" w:eastAsia="宋体" w:cs="宋体"/>
                      <w:color w:val="auto"/>
                      <w:spacing w:val="-2"/>
                      <w:highlight w:val="none"/>
                    </w:rPr>
                    <w:t>万平</w:t>
                  </w:r>
                  <w:r>
                    <w:rPr>
                      <w:rFonts w:ascii="宋体" w:hAnsi="宋体" w:eastAsia="宋体" w:cs="宋体"/>
                      <w:color w:val="auto"/>
                      <w:spacing w:val="-2"/>
                      <w:sz w:val="21"/>
                      <w:szCs w:val="21"/>
                      <w:highlight w:val="none"/>
                    </w:rPr>
                    <w:t>方米</w:t>
                  </w:r>
                </w:p>
              </w:tc>
              <w:tc>
                <w:tcPr>
                  <w:tcW w:w="962" w:type="pct"/>
                  <w:vAlign w:val="center"/>
                </w:tcPr>
                <w:p w14:paraId="5F64647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"bookmark238"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]50</w:t>
                  </w:r>
                  <w:r>
                    <w:rPr>
                      <w:rFonts w:ascii="宋体" w:hAnsi="宋体" w:eastAsia="宋体" w:cs="宋体"/>
                      <w:color w:val="auto"/>
                      <w:spacing w:val="-2"/>
                      <w:highlight w:val="none"/>
                    </w:rPr>
                    <w:t>号</w:t>
                  </w:r>
                </w:p>
              </w:tc>
            </w:tr>
            <w:tr w14:paraId="2D40F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7D5F00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38</w:t>
                  </w:r>
                </w:p>
              </w:tc>
              <w:tc>
                <w:tcPr>
                  <w:tcW w:w="854" w:type="pct"/>
                  <w:vAlign w:val="center"/>
                </w:tcPr>
                <w:p w14:paraId="196F5C7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乐昌市胜兴新材料有限公司</w:t>
                  </w:r>
                </w:p>
              </w:tc>
              <w:tc>
                <w:tcPr>
                  <w:tcW w:w="283" w:type="pct"/>
                  <w:vAlign w:val="center"/>
                </w:tcPr>
                <w:p w14:paraId="227382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8DD65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纺织业</w:t>
                  </w:r>
                </w:p>
              </w:tc>
              <w:tc>
                <w:tcPr>
                  <w:tcW w:w="385" w:type="pct"/>
                  <w:vAlign w:val="center"/>
                </w:tcPr>
                <w:p w14:paraId="37E3A65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5760</w:t>
                  </w:r>
                </w:p>
              </w:tc>
              <w:tc>
                <w:tcPr>
                  <w:tcW w:w="1690" w:type="pct"/>
                  <w:vAlign w:val="center"/>
                </w:tcPr>
                <w:p w14:paraId="5B4BF36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年产衬布</w:t>
                  </w:r>
                  <w:r>
                    <w:rPr>
                      <w:color w:val="auto"/>
                      <w:spacing w:val="-1"/>
                      <w:highlight w:val="none"/>
                    </w:rPr>
                    <w:t>6000</w:t>
                  </w:r>
                  <w:r>
                    <w:rPr>
                      <w:rFonts w:ascii="宋体" w:hAnsi="宋体" w:eastAsia="宋体" w:cs="宋体"/>
                      <w:color w:val="auto"/>
                      <w:spacing w:val="-1"/>
                      <w:highlight w:val="none"/>
                    </w:rPr>
                    <w:t>万米</w:t>
                  </w:r>
                </w:p>
              </w:tc>
              <w:tc>
                <w:tcPr>
                  <w:tcW w:w="962" w:type="pct"/>
                  <w:vAlign w:val="center"/>
                </w:tcPr>
                <w:p w14:paraId="5742433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韶环乐审</w:t>
                  </w:r>
                  <w:r>
                    <w:rPr>
                      <w:color w:val="auto"/>
                      <w:spacing w:val="-2"/>
                      <w:highlight w:val="none"/>
                    </w:rPr>
                    <w:t>[</w:t>
                  </w:r>
                  <w:r>
                    <w:rPr>
                      <w:color w:val="auto"/>
                      <w:highlight w:val="none"/>
                    </w:rPr>
                    <w:fldChar w:fldCharType="begin"/>
                  </w:r>
                  <w:r>
                    <w:rPr>
                      <w:color w:val="auto"/>
                      <w:highlight w:val="none"/>
                    </w:rPr>
                    <w:instrText xml:space="preserve"> HYPERLINK \l "bookmark239" </w:instrText>
                  </w:r>
                  <w:r>
                    <w:rPr>
                      <w:color w:val="auto"/>
                      <w:highlight w:val="none"/>
                    </w:rPr>
                    <w:fldChar w:fldCharType="separate"/>
                  </w:r>
                  <w:r>
                    <w:rPr>
                      <w:color w:val="auto"/>
                      <w:spacing w:val="-2"/>
                      <w:highlight w:val="none"/>
                    </w:rPr>
                    <w:t>2023</w:t>
                  </w:r>
                  <w:r>
                    <w:rPr>
                      <w:color w:val="auto"/>
                      <w:spacing w:val="-2"/>
                      <w:highlight w:val="none"/>
                    </w:rPr>
                    <w:fldChar w:fldCharType="end"/>
                  </w:r>
                  <w:r>
                    <w:rPr>
                      <w:color w:val="auto"/>
                      <w:spacing w:val="-2"/>
                      <w:highlight w:val="none"/>
                    </w:rPr>
                    <w:t>]18</w:t>
                  </w:r>
                  <w:r>
                    <w:rPr>
                      <w:rFonts w:ascii="宋体" w:hAnsi="宋体" w:eastAsia="宋体" w:cs="宋体"/>
                      <w:color w:val="auto"/>
                      <w:spacing w:val="-2"/>
                      <w:highlight w:val="none"/>
                    </w:rPr>
                    <w:t>号</w:t>
                  </w:r>
                </w:p>
              </w:tc>
            </w:tr>
            <w:tr w14:paraId="01950A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E0C215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39</w:t>
                  </w:r>
                </w:p>
              </w:tc>
              <w:tc>
                <w:tcPr>
                  <w:tcW w:w="854" w:type="pct"/>
                  <w:vAlign w:val="center"/>
                </w:tcPr>
                <w:p w14:paraId="0A9BF7C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乐昌市鸿鑫机械设备有限公</w:t>
                  </w:r>
                  <w:r>
                    <w:rPr>
                      <w:rFonts w:ascii="宋体" w:hAnsi="宋体" w:eastAsia="宋体" w:cs="宋体"/>
                      <w:color w:val="auto"/>
                      <w:sz w:val="21"/>
                      <w:szCs w:val="21"/>
                      <w:highlight w:val="none"/>
                    </w:rPr>
                    <w:t>司</w:t>
                  </w:r>
                </w:p>
              </w:tc>
              <w:tc>
                <w:tcPr>
                  <w:tcW w:w="283" w:type="pct"/>
                  <w:vAlign w:val="center"/>
                </w:tcPr>
                <w:p w14:paraId="69160F1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6E025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通用设备制造业</w:t>
                  </w:r>
                </w:p>
              </w:tc>
              <w:tc>
                <w:tcPr>
                  <w:tcW w:w="385" w:type="pct"/>
                  <w:vAlign w:val="center"/>
                </w:tcPr>
                <w:p w14:paraId="7637EE4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700</w:t>
                  </w:r>
                </w:p>
              </w:tc>
              <w:tc>
                <w:tcPr>
                  <w:tcW w:w="1690" w:type="pct"/>
                  <w:vAlign w:val="center"/>
                </w:tcPr>
                <w:p w14:paraId="651A3FA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年产液压元件</w:t>
                  </w:r>
                  <w:r>
                    <w:rPr>
                      <w:color w:val="auto"/>
                      <w:spacing w:val="-3"/>
                      <w:highlight w:val="none"/>
                    </w:rPr>
                    <w:t>1000</w:t>
                  </w:r>
                  <w:r>
                    <w:rPr>
                      <w:rFonts w:ascii="宋体" w:hAnsi="宋体" w:eastAsia="宋体" w:cs="宋体"/>
                      <w:color w:val="auto"/>
                      <w:spacing w:val="-3"/>
                      <w:highlight w:val="none"/>
                    </w:rPr>
                    <w:t>套</w:t>
                  </w:r>
                </w:p>
              </w:tc>
              <w:tc>
                <w:tcPr>
                  <w:tcW w:w="962" w:type="pct"/>
                  <w:vAlign w:val="center"/>
                </w:tcPr>
                <w:p w14:paraId="7327C17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38</w:t>
                  </w:r>
                  <w:r>
                    <w:rPr>
                      <w:rFonts w:ascii="宋体" w:hAnsi="宋体" w:eastAsia="宋体" w:cs="宋体"/>
                      <w:color w:val="auto"/>
                      <w:spacing w:val="-1"/>
                      <w:highlight w:val="none"/>
                    </w:rPr>
                    <w:t>号</w:t>
                  </w:r>
                </w:p>
              </w:tc>
            </w:tr>
            <w:tr w14:paraId="6FCF18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2D85B9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40</w:t>
                  </w:r>
                </w:p>
              </w:tc>
              <w:tc>
                <w:tcPr>
                  <w:tcW w:w="854" w:type="pct"/>
                  <w:vAlign w:val="center"/>
                </w:tcPr>
                <w:p w14:paraId="465A1C7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广东柏创智能装备有限公司</w:t>
                  </w:r>
                </w:p>
              </w:tc>
              <w:tc>
                <w:tcPr>
                  <w:tcW w:w="283" w:type="pct"/>
                  <w:vAlign w:val="center"/>
                </w:tcPr>
                <w:p w14:paraId="2F8B69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A7166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电气机械和器材制</w:t>
                  </w:r>
                  <w:r>
                    <w:rPr>
                      <w:rFonts w:ascii="宋体" w:hAnsi="宋体" w:eastAsia="宋体" w:cs="宋体"/>
                      <w:color w:val="auto"/>
                      <w:spacing w:val="-2"/>
                      <w:sz w:val="21"/>
                      <w:szCs w:val="21"/>
                      <w:highlight w:val="none"/>
                    </w:rPr>
                    <w:t>造业</w:t>
                  </w:r>
                </w:p>
              </w:tc>
              <w:tc>
                <w:tcPr>
                  <w:tcW w:w="385" w:type="pct"/>
                  <w:vAlign w:val="center"/>
                </w:tcPr>
                <w:p w14:paraId="3B06436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23334.5</w:t>
                  </w:r>
                </w:p>
              </w:tc>
              <w:tc>
                <w:tcPr>
                  <w:tcW w:w="1690" w:type="pct"/>
                  <w:vAlign w:val="center"/>
                </w:tcPr>
                <w:p w14:paraId="000326A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年产单晶炉热交换器</w:t>
                  </w:r>
                  <w:r>
                    <w:rPr>
                      <w:color w:val="auto"/>
                      <w:spacing w:val="-1"/>
                      <w:highlight w:val="none"/>
                    </w:rPr>
                    <w:t>1.2</w:t>
                  </w:r>
                  <w:r>
                    <w:rPr>
                      <w:rFonts w:ascii="宋体" w:hAnsi="宋体" w:eastAsia="宋体" w:cs="宋体"/>
                      <w:color w:val="auto"/>
                      <w:spacing w:val="-1"/>
                      <w:highlight w:val="none"/>
                    </w:rPr>
                    <w:t>万套、腔体部件</w:t>
                  </w:r>
                  <w:r>
                    <w:rPr>
                      <w:color w:val="auto"/>
                      <w:spacing w:val="-1"/>
                      <w:highlight w:val="none"/>
                    </w:rPr>
                    <w:t>200</w:t>
                  </w:r>
                  <w:r>
                    <w:rPr>
                      <w:rFonts w:ascii="宋体" w:hAnsi="宋体" w:eastAsia="宋体" w:cs="宋体"/>
                      <w:color w:val="auto"/>
                      <w:spacing w:val="-1"/>
                      <w:highlight w:val="none"/>
                    </w:rPr>
                    <w:t>套、</w:t>
                  </w:r>
                  <w:r>
                    <w:rPr>
                      <w:rFonts w:ascii="宋体" w:hAnsi="宋体" w:eastAsia="宋体" w:cs="宋体"/>
                      <w:color w:val="auto"/>
                      <w:spacing w:val="-2"/>
                      <w:highlight w:val="none"/>
                    </w:rPr>
                    <w:t>晶棒相关</w:t>
                  </w:r>
                  <w:r>
                    <w:rPr>
                      <w:rFonts w:ascii="宋体" w:hAnsi="宋体" w:eastAsia="宋体" w:cs="宋体"/>
                      <w:color w:val="auto"/>
                      <w:spacing w:val="-4"/>
                      <w:highlight w:val="none"/>
                    </w:rPr>
                    <w:t>自动化设备</w:t>
                  </w:r>
                  <w:r>
                    <w:rPr>
                      <w:color w:val="auto"/>
                      <w:spacing w:val="-4"/>
                      <w:highlight w:val="none"/>
                    </w:rPr>
                    <w:t>200</w:t>
                  </w:r>
                  <w:r>
                    <w:rPr>
                      <w:rFonts w:ascii="宋体" w:hAnsi="宋体" w:eastAsia="宋体" w:cs="宋体"/>
                      <w:color w:val="auto"/>
                      <w:spacing w:val="-4"/>
                      <w:highlight w:val="none"/>
                    </w:rPr>
                    <w:t>套</w:t>
                  </w:r>
                </w:p>
              </w:tc>
              <w:tc>
                <w:tcPr>
                  <w:tcW w:w="962" w:type="pct"/>
                  <w:vAlign w:val="center"/>
                </w:tcPr>
                <w:p w14:paraId="0316D13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33</w:t>
                  </w:r>
                  <w:r>
                    <w:rPr>
                      <w:rFonts w:ascii="宋体" w:hAnsi="宋体" w:eastAsia="宋体" w:cs="宋体"/>
                      <w:color w:val="auto"/>
                      <w:spacing w:val="-1"/>
                      <w:highlight w:val="none"/>
                    </w:rPr>
                    <w:t>号</w:t>
                  </w:r>
                </w:p>
              </w:tc>
            </w:tr>
            <w:tr w14:paraId="4BA33F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2EE701E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41</w:t>
                  </w:r>
                </w:p>
              </w:tc>
              <w:tc>
                <w:tcPr>
                  <w:tcW w:w="854" w:type="pct"/>
                  <w:vAlign w:val="center"/>
                </w:tcPr>
                <w:p w14:paraId="1472098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广东中衡能源设备有限公司</w:t>
                  </w:r>
                </w:p>
              </w:tc>
              <w:tc>
                <w:tcPr>
                  <w:tcW w:w="283" w:type="pct"/>
                  <w:vAlign w:val="center"/>
                </w:tcPr>
                <w:p w14:paraId="0E52D89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1FA94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00CE3CC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13940.57</w:t>
                  </w:r>
                </w:p>
              </w:tc>
              <w:tc>
                <w:tcPr>
                  <w:tcW w:w="1690" w:type="pct"/>
                  <w:vAlign w:val="center"/>
                </w:tcPr>
                <w:p w14:paraId="18D7B8C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年产移动通信基站设备</w:t>
                  </w:r>
                  <w:r>
                    <w:rPr>
                      <w:color w:val="auto"/>
                      <w:spacing w:val="-1"/>
                      <w:highlight w:val="none"/>
                    </w:rPr>
                    <w:t>3</w:t>
                  </w:r>
                  <w:r>
                    <w:rPr>
                      <w:rFonts w:ascii="宋体" w:hAnsi="宋体" w:eastAsia="宋体" w:cs="宋体"/>
                      <w:color w:val="auto"/>
                      <w:spacing w:val="-1"/>
                      <w:highlight w:val="none"/>
                    </w:rPr>
                    <w:t>万套、移动通信机柜</w:t>
                  </w:r>
                  <w:r>
                    <w:rPr>
                      <w:color w:val="auto"/>
                      <w:spacing w:val="-2"/>
                      <w:highlight w:val="none"/>
                    </w:rPr>
                    <w:t>2</w:t>
                  </w:r>
                  <w:r>
                    <w:rPr>
                      <w:rFonts w:ascii="宋体" w:hAnsi="宋体" w:eastAsia="宋体" w:cs="宋体"/>
                      <w:color w:val="auto"/>
                      <w:spacing w:val="-2"/>
                      <w:highlight w:val="none"/>
                    </w:rPr>
                    <w:t>万套</w:t>
                  </w:r>
                </w:p>
              </w:tc>
              <w:tc>
                <w:tcPr>
                  <w:tcW w:w="962" w:type="pct"/>
                  <w:vAlign w:val="center"/>
                </w:tcPr>
                <w:p w14:paraId="0BFB6B2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2022</w:t>
                  </w:r>
                  <w:r>
                    <w:rPr>
                      <w:rFonts w:ascii="宋体" w:hAnsi="宋体" w:eastAsia="宋体" w:cs="宋体"/>
                      <w:color w:val="auto"/>
                      <w:spacing w:val="-1"/>
                      <w:highlight w:val="none"/>
                    </w:rPr>
                    <w:t>〕</w:t>
                  </w:r>
                  <w:r>
                    <w:rPr>
                      <w:color w:val="auto"/>
                      <w:spacing w:val="-1"/>
                      <w:highlight w:val="none"/>
                    </w:rPr>
                    <w:t>12</w:t>
                  </w:r>
                  <w:r>
                    <w:rPr>
                      <w:rFonts w:ascii="宋体" w:hAnsi="宋体" w:eastAsia="宋体" w:cs="宋体"/>
                      <w:color w:val="auto"/>
                      <w:spacing w:val="-1"/>
                      <w:highlight w:val="none"/>
                    </w:rPr>
                    <w:t>号</w:t>
                  </w:r>
                </w:p>
              </w:tc>
            </w:tr>
            <w:tr w14:paraId="4366FC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4" w:hRule="atLeast"/>
                <w:jc w:val="center"/>
              </w:trPr>
              <w:tc>
                <w:tcPr>
                  <w:tcW w:w="242" w:type="pct"/>
                  <w:vAlign w:val="center"/>
                </w:tcPr>
                <w:p w14:paraId="18A94C0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42</w:t>
                  </w:r>
                </w:p>
              </w:tc>
              <w:tc>
                <w:tcPr>
                  <w:tcW w:w="854" w:type="pct"/>
                  <w:vAlign w:val="center"/>
                </w:tcPr>
                <w:p w14:paraId="7B599B8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韶关欧亚特电子制品有限公</w:t>
                  </w:r>
                  <w:r>
                    <w:rPr>
                      <w:rFonts w:ascii="宋体" w:hAnsi="宋体" w:eastAsia="宋体" w:cs="宋体"/>
                      <w:color w:val="auto"/>
                      <w:sz w:val="21"/>
                      <w:szCs w:val="21"/>
                      <w:highlight w:val="none"/>
                    </w:rPr>
                    <w:t>司</w:t>
                  </w:r>
                </w:p>
              </w:tc>
              <w:tc>
                <w:tcPr>
                  <w:tcW w:w="283" w:type="pct"/>
                  <w:vAlign w:val="center"/>
                </w:tcPr>
                <w:p w14:paraId="70FE78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608714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计算机、通信和其他电子设备制造业、电气机械和器材制造业、橡胶和</w:t>
                  </w:r>
                  <w:r>
                    <w:rPr>
                      <w:rFonts w:ascii="宋体" w:hAnsi="宋体" w:eastAsia="宋体" w:cs="宋体"/>
                      <w:color w:val="auto"/>
                      <w:spacing w:val="-2"/>
                      <w:sz w:val="21"/>
                      <w:szCs w:val="21"/>
                      <w:highlight w:val="none"/>
                    </w:rPr>
                    <w:t>塑料制品业</w:t>
                  </w:r>
                </w:p>
              </w:tc>
              <w:tc>
                <w:tcPr>
                  <w:tcW w:w="385" w:type="pct"/>
                  <w:vAlign w:val="center"/>
                </w:tcPr>
                <w:p w14:paraId="4B734B1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18664</w:t>
                  </w:r>
                </w:p>
              </w:tc>
              <w:tc>
                <w:tcPr>
                  <w:tcW w:w="1690" w:type="pct"/>
                  <w:vAlign w:val="center"/>
                </w:tcPr>
                <w:p w14:paraId="73FFC10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highlight w:val="none"/>
                    </w:rPr>
                    <w:t>年产</w:t>
                  </w:r>
                  <w:r>
                    <w:rPr>
                      <w:color w:val="auto"/>
                      <w:spacing w:val="-3"/>
                      <w:highlight w:val="none"/>
                    </w:rPr>
                    <w:t>1000</w:t>
                  </w:r>
                  <w:r>
                    <w:rPr>
                      <w:rFonts w:ascii="宋体" w:hAnsi="宋体" w:eastAsia="宋体" w:cs="宋体"/>
                      <w:color w:val="auto"/>
                      <w:spacing w:val="-3"/>
                      <w:highlight w:val="none"/>
                    </w:rPr>
                    <w:t>万支热熔胶枪及</w:t>
                  </w:r>
                  <w:r>
                    <w:rPr>
                      <w:color w:val="auto"/>
                      <w:spacing w:val="-3"/>
                      <w:highlight w:val="none"/>
                    </w:rPr>
                    <w:t>1000</w:t>
                  </w:r>
                  <w:r>
                    <w:rPr>
                      <w:rFonts w:ascii="宋体" w:hAnsi="宋体" w:eastAsia="宋体" w:cs="宋体"/>
                      <w:color w:val="auto"/>
                      <w:spacing w:val="-3"/>
                      <w:highlight w:val="none"/>
                    </w:rPr>
                    <w:t>万根插头线、</w:t>
                  </w:r>
                  <w:r>
                    <w:rPr>
                      <w:color w:val="auto"/>
                      <w:spacing w:val="-3"/>
                      <w:highlight w:val="none"/>
                    </w:rPr>
                    <w:t>30</w:t>
                  </w:r>
                  <w:r>
                    <w:rPr>
                      <w:color w:val="auto"/>
                      <w:spacing w:val="-4"/>
                      <w:highlight w:val="none"/>
                    </w:rPr>
                    <w:t>00</w:t>
                  </w:r>
                  <w:r>
                    <w:rPr>
                      <w:rFonts w:ascii="宋体" w:hAnsi="宋体" w:eastAsia="宋体" w:cs="宋体"/>
                      <w:color w:val="auto"/>
                      <w:spacing w:val="-4"/>
                      <w:highlight w:val="none"/>
                    </w:rPr>
                    <w:t>万条热熔</w:t>
                  </w:r>
                  <w:r>
                    <w:rPr>
                      <w:rFonts w:ascii="宋体" w:hAnsi="宋体" w:eastAsia="宋体" w:cs="宋体"/>
                      <w:color w:val="auto"/>
                      <w:spacing w:val="-2"/>
                      <w:sz w:val="21"/>
                      <w:szCs w:val="21"/>
                      <w:highlight w:val="none"/>
                    </w:rPr>
                    <w:t>胶条</w:t>
                  </w:r>
                </w:p>
              </w:tc>
              <w:tc>
                <w:tcPr>
                  <w:tcW w:w="962" w:type="pct"/>
                  <w:vAlign w:val="center"/>
                </w:tcPr>
                <w:p w14:paraId="69008C5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乐环函</w:t>
                  </w:r>
                  <w:r>
                    <w:rPr>
                      <w:color w:val="auto"/>
                      <w:spacing w:val="-2"/>
                      <w:highlight w:val="none"/>
                    </w:rPr>
                    <w:t>[</w:t>
                  </w:r>
                  <w:r>
                    <w:rPr>
                      <w:color w:val="auto"/>
                      <w:highlight w:val="none"/>
                    </w:rPr>
                    <w:fldChar w:fldCharType="begin"/>
                  </w:r>
                  <w:r>
                    <w:rPr>
                      <w:color w:val="auto"/>
                      <w:highlight w:val="none"/>
                    </w:rPr>
                    <w:instrText xml:space="preserve"> HYPERLINK \l "bookmark240" </w:instrText>
                  </w:r>
                  <w:r>
                    <w:rPr>
                      <w:color w:val="auto"/>
                      <w:highlight w:val="none"/>
                    </w:rPr>
                    <w:fldChar w:fldCharType="separate"/>
                  </w:r>
                  <w:r>
                    <w:rPr>
                      <w:color w:val="auto"/>
                      <w:spacing w:val="-2"/>
                      <w:highlight w:val="none"/>
                    </w:rPr>
                    <w:t>2011</w:t>
                  </w:r>
                  <w:r>
                    <w:rPr>
                      <w:color w:val="auto"/>
                      <w:spacing w:val="-2"/>
                      <w:highlight w:val="none"/>
                    </w:rPr>
                    <w:fldChar w:fldCharType="end"/>
                  </w:r>
                  <w:r>
                    <w:rPr>
                      <w:color w:val="auto"/>
                      <w:spacing w:val="-2"/>
                      <w:highlight w:val="none"/>
                    </w:rPr>
                    <w:t>]79</w:t>
                  </w:r>
                  <w:r>
                    <w:rPr>
                      <w:rFonts w:ascii="宋体" w:hAnsi="宋体" w:eastAsia="宋体" w:cs="宋体"/>
                      <w:color w:val="auto"/>
                      <w:spacing w:val="-2"/>
                      <w:highlight w:val="none"/>
                    </w:rPr>
                    <w:t>号、乐环审</w:t>
                  </w:r>
                  <w:r>
                    <w:rPr>
                      <w:color w:val="auto"/>
                      <w:spacing w:val="-2"/>
                      <w:highlight w:val="none"/>
                    </w:rPr>
                    <w:t>[</w:t>
                  </w:r>
                  <w:r>
                    <w:rPr>
                      <w:color w:val="auto"/>
                      <w:highlight w:val="none"/>
                    </w:rPr>
                    <w:fldChar w:fldCharType="begin"/>
                  </w:r>
                  <w:r>
                    <w:rPr>
                      <w:color w:val="auto"/>
                      <w:highlight w:val="none"/>
                    </w:rPr>
                    <w:instrText xml:space="preserve"> HYPERLINK \l "bookmark241"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]09</w:t>
                  </w:r>
                  <w:r>
                    <w:rPr>
                      <w:rFonts w:ascii="宋体" w:hAnsi="宋体" w:eastAsia="宋体" w:cs="宋体"/>
                      <w:color w:val="auto"/>
                      <w:spacing w:val="-2"/>
                      <w:highlight w:val="none"/>
                    </w:rPr>
                    <w:t>号、乐环审</w:t>
                  </w:r>
                  <w:r>
                    <w:rPr>
                      <w:color w:val="auto"/>
                      <w:spacing w:val="-2"/>
                      <w:highlight w:val="none"/>
                    </w:rPr>
                    <w:t>[</w:t>
                  </w:r>
                  <w:r>
                    <w:rPr>
                      <w:color w:val="auto"/>
                      <w:highlight w:val="none"/>
                    </w:rPr>
                    <w:fldChar w:fldCharType="begin"/>
                  </w:r>
                  <w:r>
                    <w:rPr>
                      <w:color w:val="auto"/>
                      <w:highlight w:val="none"/>
                    </w:rPr>
                    <w:instrText xml:space="preserve"> HYPERLINK \l "bookmark241"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]52</w:t>
                  </w:r>
                  <w:r>
                    <w:rPr>
                      <w:rFonts w:ascii="宋体" w:hAnsi="宋体" w:eastAsia="宋体" w:cs="宋体"/>
                      <w:color w:val="auto"/>
                      <w:spacing w:val="-2"/>
                      <w:highlight w:val="none"/>
                    </w:rPr>
                    <w:t>号、</w:t>
                  </w: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05</w:t>
                  </w:r>
                  <w:r>
                    <w:rPr>
                      <w:rFonts w:ascii="宋体" w:hAnsi="宋体" w:eastAsia="宋体" w:cs="宋体"/>
                      <w:color w:val="auto"/>
                      <w:spacing w:val="-1"/>
                      <w:highlight w:val="none"/>
                    </w:rPr>
                    <w:t>号</w:t>
                  </w:r>
                </w:p>
              </w:tc>
            </w:tr>
            <w:tr w14:paraId="23FE94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B3CDA2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43</w:t>
                  </w:r>
                </w:p>
              </w:tc>
              <w:tc>
                <w:tcPr>
                  <w:tcW w:w="854" w:type="pct"/>
                  <w:vAlign w:val="center"/>
                </w:tcPr>
                <w:p w14:paraId="47BAC13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6"/>
                      <w:sz w:val="21"/>
                      <w:szCs w:val="21"/>
                      <w:highlight w:val="none"/>
                    </w:rPr>
                    <w:t>德尔安科技（广东）有限公司</w:t>
                  </w:r>
                </w:p>
              </w:tc>
              <w:tc>
                <w:tcPr>
                  <w:tcW w:w="283" w:type="pct"/>
                  <w:vAlign w:val="center"/>
                </w:tcPr>
                <w:p w14:paraId="601884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F151ED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63CBB6A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27672.2</w:t>
                  </w:r>
                </w:p>
              </w:tc>
              <w:tc>
                <w:tcPr>
                  <w:tcW w:w="1690" w:type="pct"/>
                  <w:vAlign w:val="center"/>
                </w:tcPr>
                <w:p w14:paraId="0138A55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年产过滤式消防自救呼吸器</w:t>
                  </w:r>
                  <w:r>
                    <w:rPr>
                      <w:color w:val="auto"/>
                      <w:spacing w:val="-1"/>
                      <w:highlight w:val="none"/>
                    </w:rPr>
                    <w:t>400</w:t>
                  </w:r>
                  <w:r>
                    <w:rPr>
                      <w:rFonts w:ascii="宋体" w:hAnsi="宋体" w:eastAsia="宋体" w:cs="宋体"/>
                      <w:color w:val="auto"/>
                      <w:spacing w:val="-1"/>
                      <w:highlight w:val="none"/>
                    </w:rPr>
                    <w:t>万具，水基型灭火器</w:t>
                  </w:r>
                  <w:r>
                    <w:rPr>
                      <w:color w:val="auto"/>
                      <w:spacing w:val="-1"/>
                      <w:highlight w:val="none"/>
                    </w:rPr>
                    <w:t>1</w:t>
                  </w:r>
                  <w:r>
                    <w:rPr>
                      <w:color w:val="auto"/>
                      <w:spacing w:val="-2"/>
                      <w:highlight w:val="none"/>
                    </w:rPr>
                    <w:t>00</w:t>
                  </w:r>
                  <w:r>
                    <w:rPr>
                      <w:rFonts w:ascii="宋体" w:hAnsi="宋体" w:eastAsia="宋体" w:cs="宋体"/>
                      <w:color w:val="auto"/>
                      <w:spacing w:val="-2"/>
                      <w:highlight w:val="none"/>
                    </w:rPr>
                    <w:t>万</w:t>
                  </w:r>
                  <w:r>
                    <w:rPr>
                      <w:rFonts w:ascii="宋体" w:hAnsi="宋体" w:eastAsia="宋体" w:cs="宋体"/>
                      <w:color w:val="auto"/>
                      <w:highlight w:val="none"/>
                    </w:rPr>
                    <w:t>具，催化剂</w:t>
                  </w:r>
                  <w:r>
                    <w:rPr>
                      <w:color w:val="auto"/>
                      <w:highlight w:val="none"/>
                    </w:rPr>
                    <w:t>600</w:t>
                  </w:r>
                  <w:r>
                    <w:rPr>
                      <w:rFonts w:ascii="宋体" w:hAnsi="宋体" w:eastAsia="宋体" w:cs="宋体"/>
                      <w:color w:val="auto"/>
                      <w:highlight w:val="none"/>
                    </w:rPr>
                    <w:t>吨和水系灭火剂</w:t>
                  </w:r>
                  <w:r>
                    <w:rPr>
                      <w:color w:val="auto"/>
                      <w:highlight w:val="none"/>
                    </w:rPr>
                    <w:t>2400</w:t>
                  </w:r>
                  <w:r>
                    <w:rPr>
                      <w:rFonts w:ascii="宋体" w:hAnsi="宋体" w:eastAsia="宋体" w:cs="宋体"/>
                      <w:color w:val="auto"/>
                      <w:highlight w:val="none"/>
                    </w:rPr>
                    <w:t>吨等</w:t>
                  </w:r>
                </w:p>
              </w:tc>
              <w:tc>
                <w:tcPr>
                  <w:tcW w:w="962" w:type="pct"/>
                  <w:vAlign w:val="center"/>
                </w:tcPr>
                <w:p w14:paraId="54E8FD4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23</w:t>
                  </w:r>
                  <w:r>
                    <w:rPr>
                      <w:rFonts w:ascii="宋体" w:hAnsi="宋体" w:eastAsia="宋体" w:cs="宋体"/>
                      <w:color w:val="auto"/>
                      <w:spacing w:val="-1"/>
                      <w:highlight w:val="none"/>
                    </w:rPr>
                    <w:t>号</w:t>
                  </w:r>
                </w:p>
              </w:tc>
            </w:tr>
            <w:tr w14:paraId="6B02BC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1EDD51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44</w:t>
                  </w:r>
                </w:p>
              </w:tc>
              <w:tc>
                <w:tcPr>
                  <w:tcW w:w="854" w:type="pct"/>
                  <w:vAlign w:val="center"/>
                </w:tcPr>
                <w:p w14:paraId="05F21E1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广东东田实业有限公司</w:t>
                  </w:r>
                </w:p>
              </w:tc>
              <w:tc>
                <w:tcPr>
                  <w:tcW w:w="283" w:type="pct"/>
                  <w:vAlign w:val="center"/>
                </w:tcPr>
                <w:p w14:paraId="159F156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263B4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电气机械和器材制</w:t>
                  </w:r>
                  <w:r>
                    <w:rPr>
                      <w:rFonts w:ascii="宋体" w:hAnsi="宋体" w:eastAsia="宋体" w:cs="宋体"/>
                      <w:color w:val="auto"/>
                      <w:spacing w:val="-2"/>
                      <w:sz w:val="21"/>
                      <w:szCs w:val="21"/>
                      <w:highlight w:val="none"/>
                    </w:rPr>
                    <w:t>造业</w:t>
                  </w:r>
                </w:p>
              </w:tc>
              <w:tc>
                <w:tcPr>
                  <w:tcW w:w="385" w:type="pct"/>
                  <w:vAlign w:val="center"/>
                </w:tcPr>
                <w:p w14:paraId="67419AB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1557.48</w:t>
                  </w:r>
                </w:p>
              </w:tc>
              <w:tc>
                <w:tcPr>
                  <w:tcW w:w="1690" w:type="pct"/>
                  <w:vAlign w:val="center"/>
                </w:tcPr>
                <w:p w14:paraId="597ADF0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年产移动通信基站电源钣金件</w:t>
                  </w:r>
                  <w:r>
                    <w:rPr>
                      <w:color w:val="auto"/>
                      <w:spacing w:val="-1"/>
                      <w:highlight w:val="none"/>
                    </w:rPr>
                    <w:t>5</w:t>
                  </w:r>
                  <w:r>
                    <w:rPr>
                      <w:rFonts w:ascii="宋体" w:hAnsi="宋体" w:eastAsia="宋体" w:cs="宋体"/>
                      <w:color w:val="auto"/>
                      <w:spacing w:val="-1"/>
                      <w:highlight w:val="none"/>
                    </w:rPr>
                    <w:t>万套</w:t>
                  </w:r>
                </w:p>
              </w:tc>
              <w:tc>
                <w:tcPr>
                  <w:tcW w:w="962" w:type="pct"/>
                  <w:vAlign w:val="center"/>
                </w:tcPr>
                <w:p w14:paraId="5240F30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27</w:t>
                  </w:r>
                  <w:r>
                    <w:rPr>
                      <w:rFonts w:ascii="宋体" w:hAnsi="宋体" w:eastAsia="宋体" w:cs="宋体"/>
                      <w:color w:val="auto"/>
                      <w:spacing w:val="-1"/>
                      <w:highlight w:val="none"/>
                    </w:rPr>
                    <w:t>号</w:t>
                  </w:r>
                </w:p>
              </w:tc>
            </w:tr>
            <w:tr w14:paraId="7E80D3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1DBC061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45</w:t>
                  </w:r>
                </w:p>
              </w:tc>
              <w:tc>
                <w:tcPr>
                  <w:tcW w:w="854" w:type="pct"/>
                  <w:vAlign w:val="center"/>
                </w:tcPr>
                <w:p w14:paraId="75EA52C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广东弘德宝厨具有限公司</w:t>
                  </w:r>
                </w:p>
              </w:tc>
              <w:tc>
                <w:tcPr>
                  <w:tcW w:w="283" w:type="pct"/>
                  <w:vAlign w:val="center"/>
                </w:tcPr>
                <w:p w14:paraId="6675910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797006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11CC93B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26640</w:t>
                  </w:r>
                </w:p>
              </w:tc>
              <w:tc>
                <w:tcPr>
                  <w:tcW w:w="1690" w:type="pct"/>
                  <w:vAlign w:val="center"/>
                </w:tcPr>
                <w:p w14:paraId="5DEBFD0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年产铸铁厨房用具</w:t>
                  </w:r>
                  <w:r>
                    <w:rPr>
                      <w:color w:val="auto"/>
                      <w:spacing w:val="-2"/>
                      <w:highlight w:val="none"/>
                    </w:rPr>
                    <w:t>2.5</w:t>
                  </w:r>
                  <w:r>
                    <w:rPr>
                      <w:rFonts w:ascii="宋体" w:hAnsi="宋体" w:eastAsia="宋体" w:cs="宋体"/>
                      <w:color w:val="auto"/>
                      <w:spacing w:val="-2"/>
                      <w:highlight w:val="none"/>
                    </w:rPr>
                    <w:t>万吨</w:t>
                  </w:r>
                </w:p>
              </w:tc>
              <w:tc>
                <w:tcPr>
                  <w:tcW w:w="962" w:type="pct"/>
                  <w:vAlign w:val="center"/>
                </w:tcPr>
                <w:p w14:paraId="721DAD7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2022</w:t>
                  </w:r>
                  <w:r>
                    <w:rPr>
                      <w:rFonts w:ascii="宋体" w:hAnsi="宋体" w:eastAsia="宋体" w:cs="宋体"/>
                      <w:color w:val="auto"/>
                      <w:spacing w:val="-1"/>
                      <w:highlight w:val="none"/>
                    </w:rPr>
                    <w:t>〕</w:t>
                  </w:r>
                  <w:r>
                    <w:rPr>
                      <w:color w:val="auto"/>
                      <w:spacing w:val="-1"/>
                      <w:highlight w:val="none"/>
                    </w:rPr>
                    <w:t>18</w:t>
                  </w:r>
                  <w:r>
                    <w:rPr>
                      <w:rFonts w:ascii="宋体" w:hAnsi="宋体" w:eastAsia="宋体" w:cs="宋体"/>
                      <w:color w:val="auto"/>
                      <w:spacing w:val="-1"/>
                      <w:highlight w:val="none"/>
                    </w:rPr>
                    <w:t>号</w:t>
                  </w:r>
                </w:p>
              </w:tc>
            </w:tr>
            <w:tr w14:paraId="3116B2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242" w:type="pct"/>
                  <w:vAlign w:val="center"/>
                </w:tcPr>
                <w:p w14:paraId="4AF8E2F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46</w:t>
                  </w:r>
                </w:p>
              </w:tc>
              <w:tc>
                <w:tcPr>
                  <w:tcW w:w="854" w:type="pct"/>
                  <w:vAlign w:val="center"/>
                </w:tcPr>
                <w:p w14:paraId="51C17A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冠荣科技（韶关）有限公司</w:t>
                  </w:r>
                </w:p>
              </w:tc>
              <w:tc>
                <w:tcPr>
                  <w:tcW w:w="283" w:type="pct"/>
                  <w:vAlign w:val="center"/>
                </w:tcPr>
                <w:p w14:paraId="654C7D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5206F4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橡胶和塑料制品业、印刷和记录媒</w:t>
                  </w:r>
                  <w:r>
                    <w:rPr>
                      <w:rFonts w:ascii="宋体" w:hAnsi="宋体" w:eastAsia="宋体" w:cs="宋体"/>
                      <w:color w:val="auto"/>
                      <w:spacing w:val="-2"/>
                      <w:sz w:val="21"/>
                      <w:szCs w:val="21"/>
                      <w:highlight w:val="none"/>
                    </w:rPr>
                    <w:t>介复制业</w:t>
                  </w:r>
                </w:p>
              </w:tc>
              <w:tc>
                <w:tcPr>
                  <w:tcW w:w="385" w:type="pct"/>
                  <w:vAlign w:val="center"/>
                </w:tcPr>
                <w:p w14:paraId="25C4C7F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23334.5</w:t>
                  </w:r>
                </w:p>
              </w:tc>
              <w:tc>
                <w:tcPr>
                  <w:tcW w:w="1690" w:type="pct"/>
                  <w:vAlign w:val="center"/>
                </w:tcPr>
                <w:p w14:paraId="11C6B29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年产商标</w:t>
                  </w:r>
                  <w:r>
                    <w:rPr>
                      <w:color w:val="auto"/>
                      <w:spacing w:val="-1"/>
                      <w:highlight w:val="none"/>
                    </w:rPr>
                    <w:t>18000</w:t>
                  </w:r>
                  <w:r>
                    <w:rPr>
                      <w:rFonts w:ascii="宋体" w:hAnsi="宋体" w:eastAsia="宋体" w:cs="宋体"/>
                      <w:color w:val="auto"/>
                      <w:spacing w:val="-1"/>
                      <w:highlight w:val="none"/>
                    </w:rPr>
                    <w:t>万个、</w:t>
                  </w:r>
                  <w:r>
                    <w:rPr>
                      <w:color w:val="auto"/>
                      <w:spacing w:val="-1"/>
                      <w:highlight w:val="none"/>
                    </w:rPr>
                    <w:t>TPU</w:t>
                  </w:r>
                  <w:r>
                    <w:rPr>
                      <w:rFonts w:ascii="宋体" w:hAnsi="宋体" w:eastAsia="宋体" w:cs="宋体"/>
                      <w:color w:val="auto"/>
                      <w:spacing w:val="-1"/>
                      <w:highlight w:val="none"/>
                    </w:rPr>
                    <w:t>材料</w:t>
                  </w:r>
                  <w:r>
                    <w:rPr>
                      <w:rFonts w:ascii="宋体" w:hAnsi="宋体" w:eastAsia="宋体" w:cs="宋体"/>
                      <w:color w:val="auto"/>
                      <w:spacing w:val="-2"/>
                      <w:highlight w:val="none"/>
                    </w:rPr>
                    <w:t>和硅胶材料</w:t>
                  </w:r>
                  <w:r>
                    <w:rPr>
                      <w:color w:val="auto"/>
                      <w:spacing w:val="-2"/>
                      <w:highlight w:val="none"/>
                    </w:rPr>
                    <w:t>50</w:t>
                  </w:r>
                  <w:r>
                    <w:rPr>
                      <w:rFonts w:ascii="宋体" w:hAnsi="宋体" w:eastAsia="宋体" w:cs="宋体"/>
                      <w:color w:val="auto"/>
                      <w:spacing w:val="-2"/>
                      <w:highlight w:val="none"/>
                    </w:rPr>
                    <w:t>万平方米</w:t>
                  </w:r>
                </w:p>
              </w:tc>
              <w:tc>
                <w:tcPr>
                  <w:tcW w:w="962" w:type="pct"/>
                  <w:vAlign w:val="center"/>
                </w:tcPr>
                <w:p w14:paraId="6C1B769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07</w:t>
                  </w:r>
                  <w:r>
                    <w:rPr>
                      <w:rFonts w:ascii="宋体" w:hAnsi="宋体" w:eastAsia="宋体" w:cs="宋体"/>
                      <w:color w:val="auto"/>
                      <w:spacing w:val="-1"/>
                      <w:highlight w:val="none"/>
                    </w:rPr>
                    <w:t>号</w:t>
                  </w:r>
                </w:p>
              </w:tc>
            </w:tr>
            <w:tr w14:paraId="2E2F0D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3033F2E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47</w:t>
                  </w:r>
                </w:p>
              </w:tc>
              <w:tc>
                <w:tcPr>
                  <w:tcW w:w="854" w:type="pct"/>
                  <w:vAlign w:val="center"/>
                </w:tcPr>
                <w:p w14:paraId="00FFA1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添亿包装（广东）有限公司</w:t>
                  </w:r>
                </w:p>
              </w:tc>
              <w:tc>
                <w:tcPr>
                  <w:tcW w:w="283" w:type="pct"/>
                  <w:vAlign w:val="center"/>
                </w:tcPr>
                <w:p w14:paraId="796F067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9BB656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纸制品制造</w:t>
                  </w:r>
                </w:p>
              </w:tc>
              <w:tc>
                <w:tcPr>
                  <w:tcW w:w="385" w:type="pct"/>
                  <w:vAlign w:val="center"/>
                </w:tcPr>
                <w:p w14:paraId="078A913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16564.72</w:t>
                  </w:r>
                </w:p>
              </w:tc>
              <w:tc>
                <w:tcPr>
                  <w:tcW w:w="1690" w:type="pct"/>
                  <w:vAlign w:val="center"/>
                </w:tcPr>
                <w:p w14:paraId="4597601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年产彩盒</w:t>
                  </w:r>
                  <w:r>
                    <w:rPr>
                      <w:color w:val="auto"/>
                      <w:spacing w:val="-4"/>
                      <w:highlight w:val="none"/>
                    </w:rPr>
                    <w:t>10</w:t>
                  </w:r>
                  <w:r>
                    <w:rPr>
                      <w:rFonts w:ascii="宋体" w:hAnsi="宋体" w:eastAsia="宋体" w:cs="宋体"/>
                      <w:color w:val="auto"/>
                      <w:spacing w:val="-4"/>
                      <w:highlight w:val="none"/>
                    </w:rPr>
                    <w:t>亿套</w:t>
                  </w:r>
                </w:p>
              </w:tc>
              <w:tc>
                <w:tcPr>
                  <w:tcW w:w="962" w:type="pct"/>
                  <w:vAlign w:val="center"/>
                </w:tcPr>
                <w:p w14:paraId="7239788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24</w:t>
                  </w:r>
                  <w:r>
                    <w:rPr>
                      <w:rFonts w:ascii="宋体" w:hAnsi="宋体" w:eastAsia="宋体" w:cs="宋体"/>
                      <w:color w:val="auto"/>
                      <w:spacing w:val="-1"/>
                      <w:highlight w:val="none"/>
                    </w:rPr>
                    <w:t>号</w:t>
                  </w:r>
                </w:p>
              </w:tc>
            </w:tr>
            <w:tr w14:paraId="3DCB54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0F8E19E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48</w:t>
                  </w:r>
                </w:p>
              </w:tc>
              <w:tc>
                <w:tcPr>
                  <w:tcW w:w="854" w:type="pct"/>
                  <w:vAlign w:val="center"/>
                </w:tcPr>
                <w:p w14:paraId="431B43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广东光宝微电子有限公司</w:t>
                  </w:r>
                </w:p>
              </w:tc>
              <w:tc>
                <w:tcPr>
                  <w:tcW w:w="283" w:type="pct"/>
                  <w:vAlign w:val="center"/>
                </w:tcPr>
                <w:p w14:paraId="1C2462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C4CF3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计算机、通信和其他电子设备制造业</w:t>
                  </w:r>
                </w:p>
              </w:tc>
              <w:tc>
                <w:tcPr>
                  <w:tcW w:w="385" w:type="pct"/>
                  <w:vAlign w:val="center"/>
                </w:tcPr>
                <w:p w14:paraId="711238E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3600</w:t>
                  </w:r>
                </w:p>
              </w:tc>
              <w:tc>
                <w:tcPr>
                  <w:tcW w:w="1690" w:type="pct"/>
                  <w:vAlign w:val="center"/>
                </w:tcPr>
                <w:p w14:paraId="75BD6A1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年产发光二极管</w:t>
                  </w:r>
                  <w:r>
                    <w:rPr>
                      <w:color w:val="auto"/>
                      <w:spacing w:val="-3"/>
                      <w:highlight w:val="none"/>
                    </w:rPr>
                    <w:t>1.2</w:t>
                  </w:r>
                  <w:r>
                    <w:rPr>
                      <w:rFonts w:ascii="宋体" w:hAnsi="宋体" w:eastAsia="宋体" w:cs="宋体"/>
                      <w:color w:val="auto"/>
                      <w:spacing w:val="-3"/>
                      <w:highlight w:val="none"/>
                    </w:rPr>
                    <w:t>亿个、光电耦合器件</w:t>
                  </w:r>
                  <w:r>
                    <w:rPr>
                      <w:color w:val="auto"/>
                      <w:spacing w:val="-3"/>
                      <w:highlight w:val="none"/>
                    </w:rPr>
                    <w:t>1500</w:t>
                  </w:r>
                  <w:r>
                    <w:rPr>
                      <w:rFonts w:ascii="宋体" w:hAnsi="宋体" w:eastAsia="宋体" w:cs="宋体"/>
                      <w:color w:val="auto"/>
                      <w:spacing w:val="-3"/>
                      <w:highlight w:val="none"/>
                    </w:rPr>
                    <w:t>万个</w:t>
                  </w:r>
                </w:p>
              </w:tc>
              <w:tc>
                <w:tcPr>
                  <w:tcW w:w="962" w:type="pct"/>
                  <w:vAlign w:val="center"/>
                </w:tcPr>
                <w:p w14:paraId="1457125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2024</w:t>
                  </w:r>
                  <w:r>
                    <w:rPr>
                      <w:rFonts w:ascii="宋体" w:hAnsi="宋体" w:eastAsia="宋体" w:cs="宋体"/>
                      <w:color w:val="auto"/>
                      <w:spacing w:val="-1"/>
                      <w:highlight w:val="none"/>
                    </w:rPr>
                    <w:t>〕</w:t>
                  </w:r>
                  <w:r>
                    <w:rPr>
                      <w:color w:val="auto"/>
                      <w:spacing w:val="-1"/>
                      <w:highlight w:val="none"/>
                    </w:rPr>
                    <w:t>21</w:t>
                  </w:r>
                  <w:r>
                    <w:rPr>
                      <w:rFonts w:ascii="宋体" w:hAnsi="宋体" w:eastAsia="宋体" w:cs="宋体"/>
                      <w:color w:val="auto"/>
                      <w:spacing w:val="-1"/>
                      <w:highlight w:val="none"/>
                    </w:rPr>
                    <w:t>号</w:t>
                  </w:r>
                </w:p>
              </w:tc>
            </w:tr>
            <w:tr w14:paraId="34D13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4C649F5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49</w:t>
                  </w:r>
                </w:p>
              </w:tc>
              <w:tc>
                <w:tcPr>
                  <w:tcW w:w="854" w:type="pct"/>
                  <w:vAlign w:val="center"/>
                </w:tcPr>
                <w:p w14:paraId="0575C5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韶关博鑫工程服务有限公司</w:t>
                  </w:r>
                </w:p>
              </w:tc>
              <w:tc>
                <w:tcPr>
                  <w:tcW w:w="283" w:type="pct"/>
                  <w:vAlign w:val="center"/>
                </w:tcPr>
                <w:p w14:paraId="7628AE7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82B23C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68C136A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51544.6</w:t>
                  </w:r>
                </w:p>
              </w:tc>
              <w:tc>
                <w:tcPr>
                  <w:tcW w:w="1690" w:type="pct"/>
                  <w:vAlign w:val="center"/>
                </w:tcPr>
                <w:p w14:paraId="6C91359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年产铝合金模板</w:t>
                  </w:r>
                  <w:r>
                    <w:rPr>
                      <w:color w:val="auto"/>
                      <w:spacing w:val="-3"/>
                      <w:highlight w:val="none"/>
                    </w:rPr>
                    <w:t>20</w:t>
                  </w:r>
                  <w:r>
                    <w:rPr>
                      <w:rFonts w:ascii="宋体" w:hAnsi="宋体" w:eastAsia="宋体" w:cs="宋体"/>
                      <w:color w:val="auto"/>
                      <w:spacing w:val="-3"/>
                      <w:highlight w:val="none"/>
                    </w:rPr>
                    <w:t>万立方米、翻新铝合金模板</w:t>
                  </w:r>
                  <w:r>
                    <w:rPr>
                      <w:color w:val="auto"/>
                      <w:spacing w:val="-3"/>
                      <w:highlight w:val="none"/>
                    </w:rPr>
                    <w:t>20</w:t>
                  </w:r>
                  <w:r>
                    <w:rPr>
                      <w:rFonts w:ascii="宋体" w:hAnsi="宋体" w:eastAsia="宋体" w:cs="宋体"/>
                      <w:color w:val="auto"/>
                      <w:spacing w:val="-4"/>
                      <w:highlight w:val="none"/>
                    </w:rPr>
                    <w:t>万立方米、</w:t>
                  </w:r>
                  <w:r>
                    <w:rPr>
                      <w:rFonts w:ascii="宋体" w:hAnsi="宋体" w:eastAsia="宋体" w:cs="宋体"/>
                      <w:color w:val="auto"/>
                      <w:spacing w:val="-2"/>
                      <w:highlight w:val="none"/>
                    </w:rPr>
                    <w:t>翻新背楞</w:t>
                  </w:r>
                  <w:r>
                    <w:rPr>
                      <w:color w:val="auto"/>
                      <w:spacing w:val="-2"/>
                      <w:highlight w:val="none"/>
                    </w:rPr>
                    <w:t>2000</w:t>
                  </w:r>
                  <w:r>
                    <w:rPr>
                      <w:rFonts w:ascii="宋体" w:hAnsi="宋体" w:eastAsia="宋体" w:cs="宋体"/>
                      <w:color w:val="auto"/>
                      <w:spacing w:val="-2"/>
                      <w:highlight w:val="none"/>
                    </w:rPr>
                    <w:t>吨、其他配套产品</w:t>
                  </w:r>
                  <w:r>
                    <w:rPr>
                      <w:color w:val="auto"/>
                      <w:spacing w:val="-2"/>
                      <w:highlight w:val="none"/>
                    </w:rPr>
                    <w:t>3000</w:t>
                  </w:r>
                  <w:r>
                    <w:rPr>
                      <w:rFonts w:ascii="宋体" w:hAnsi="宋体" w:eastAsia="宋体" w:cs="宋体"/>
                      <w:color w:val="auto"/>
                      <w:spacing w:val="-2"/>
                      <w:highlight w:val="none"/>
                    </w:rPr>
                    <w:t>吨</w:t>
                  </w:r>
                </w:p>
              </w:tc>
              <w:tc>
                <w:tcPr>
                  <w:tcW w:w="962" w:type="pct"/>
                  <w:vAlign w:val="center"/>
                </w:tcPr>
                <w:p w14:paraId="5E4D724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2024</w:t>
                  </w:r>
                  <w:r>
                    <w:rPr>
                      <w:rFonts w:ascii="宋体" w:hAnsi="宋体" w:eastAsia="宋体" w:cs="宋体"/>
                      <w:color w:val="auto"/>
                      <w:spacing w:val="-1"/>
                      <w:highlight w:val="none"/>
                    </w:rPr>
                    <w:t>〕</w:t>
                  </w:r>
                  <w:r>
                    <w:rPr>
                      <w:color w:val="auto"/>
                      <w:spacing w:val="-1"/>
                      <w:highlight w:val="none"/>
                    </w:rPr>
                    <w:t>34</w:t>
                  </w:r>
                  <w:r>
                    <w:rPr>
                      <w:rFonts w:ascii="宋体" w:hAnsi="宋体" w:eastAsia="宋体" w:cs="宋体"/>
                      <w:color w:val="auto"/>
                      <w:spacing w:val="-1"/>
                      <w:highlight w:val="none"/>
                    </w:rPr>
                    <w:t>号</w:t>
                  </w:r>
                </w:p>
              </w:tc>
            </w:tr>
            <w:tr w14:paraId="1C5EF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09BF07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50</w:t>
                  </w:r>
                </w:p>
              </w:tc>
              <w:tc>
                <w:tcPr>
                  <w:tcW w:w="854" w:type="pct"/>
                  <w:vAlign w:val="center"/>
                </w:tcPr>
                <w:p w14:paraId="63B3E2D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乐昌市安顺达管道天然气有</w:t>
                  </w:r>
                  <w:r>
                    <w:rPr>
                      <w:rFonts w:ascii="宋体" w:hAnsi="宋体" w:eastAsia="宋体" w:cs="宋体"/>
                      <w:color w:val="auto"/>
                      <w:spacing w:val="-5"/>
                      <w:sz w:val="21"/>
                      <w:szCs w:val="21"/>
                      <w:highlight w:val="none"/>
                    </w:rPr>
                    <w:t>限公司</w:t>
                  </w:r>
                </w:p>
              </w:tc>
              <w:tc>
                <w:tcPr>
                  <w:tcW w:w="283" w:type="pct"/>
                  <w:vAlign w:val="center"/>
                </w:tcPr>
                <w:p w14:paraId="3EB913B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9C242C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燃气生产和供应业</w:t>
                  </w:r>
                </w:p>
              </w:tc>
              <w:tc>
                <w:tcPr>
                  <w:tcW w:w="385" w:type="pct"/>
                  <w:vAlign w:val="center"/>
                </w:tcPr>
                <w:p w14:paraId="18F045F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20080</w:t>
                  </w:r>
                </w:p>
              </w:tc>
              <w:tc>
                <w:tcPr>
                  <w:tcW w:w="1690" w:type="pct"/>
                  <w:vAlign w:val="center"/>
                </w:tcPr>
                <w:p w14:paraId="7D736BA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8"/>
                      <w:highlight w:val="none"/>
                    </w:rPr>
                    <w:t>日供气量约</w:t>
                  </w:r>
                  <w:r>
                    <w:rPr>
                      <w:color w:val="auto"/>
                      <w:spacing w:val="-8"/>
                      <w:highlight w:val="none"/>
                    </w:rPr>
                    <w:t>15</w:t>
                  </w:r>
                  <w:r>
                    <w:rPr>
                      <w:rFonts w:ascii="宋体" w:hAnsi="宋体" w:eastAsia="宋体" w:cs="宋体"/>
                      <w:color w:val="auto"/>
                      <w:spacing w:val="-8"/>
                      <w:highlight w:val="none"/>
                    </w:rPr>
                    <w:t>万立方</w:t>
                  </w:r>
                </w:p>
              </w:tc>
              <w:tc>
                <w:tcPr>
                  <w:tcW w:w="962" w:type="pct"/>
                  <w:vAlign w:val="center"/>
                </w:tcPr>
                <w:p w14:paraId="3EDD279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乐环函</w:t>
                  </w:r>
                  <w:r>
                    <w:rPr>
                      <w:color w:val="auto"/>
                      <w:spacing w:val="-2"/>
                      <w:highlight w:val="none"/>
                    </w:rPr>
                    <w:t>[</w:t>
                  </w:r>
                  <w:r>
                    <w:rPr>
                      <w:color w:val="auto"/>
                      <w:highlight w:val="none"/>
                    </w:rPr>
                    <w:fldChar w:fldCharType="begin"/>
                  </w:r>
                  <w:r>
                    <w:rPr>
                      <w:color w:val="auto"/>
                      <w:highlight w:val="none"/>
                    </w:rPr>
                    <w:instrText xml:space="preserve"> HYPERLINK \l "bookmark242" </w:instrText>
                  </w:r>
                  <w:r>
                    <w:rPr>
                      <w:color w:val="auto"/>
                      <w:highlight w:val="none"/>
                    </w:rPr>
                    <w:fldChar w:fldCharType="separate"/>
                  </w:r>
                  <w:r>
                    <w:rPr>
                      <w:color w:val="auto"/>
                      <w:spacing w:val="-2"/>
                      <w:highlight w:val="none"/>
                    </w:rPr>
                    <w:t>2012</w:t>
                  </w:r>
                  <w:r>
                    <w:rPr>
                      <w:color w:val="auto"/>
                      <w:spacing w:val="-2"/>
                      <w:highlight w:val="none"/>
                    </w:rPr>
                    <w:fldChar w:fldCharType="end"/>
                  </w:r>
                  <w:r>
                    <w:rPr>
                      <w:color w:val="auto"/>
                      <w:spacing w:val="-2"/>
                      <w:highlight w:val="none"/>
                    </w:rPr>
                    <w:t>]53</w:t>
                  </w:r>
                  <w:r>
                    <w:rPr>
                      <w:rFonts w:ascii="宋体" w:hAnsi="宋体" w:eastAsia="宋体" w:cs="宋体"/>
                      <w:color w:val="auto"/>
                      <w:spacing w:val="-2"/>
                      <w:highlight w:val="none"/>
                    </w:rPr>
                    <w:t>号</w:t>
                  </w:r>
                </w:p>
              </w:tc>
            </w:tr>
            <w:tr w14:paraId="40BE38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26DA40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51</w:t>
                  </w:r>
                </w:p>
              </w:tc>
              <w:tc>
                <w:tcPr>
                  <w:tcW w:w="854" w:type="pct"/>
                  <w:vAlign w:val="center"/>
                </w:tcPr>
                <w:p w14:paraId="552CFC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广东利生源生物饲料有限公</w:t>
                  </w:r>
                  <w:r>
                    <w:rPr>
                      <w:rFonts w:ascii="宋体" w:hAnsi="宋体" w:eastAsia="宋体" w:cs="宋体"/>
                      <w:color w:val="auto"/>
                      <w:sz w:val="21"/>
                      <w:szCs w:val="21"/>
                      <w:highlight w:val="none"/>
                    </w:rPr>
                    <w:t>司</w:t>
                  </w:r>
                </w:p>
              </w:tc>
              <w:tc>
                <w:tcPr>
                  <w:tcW w:w="283" w:type="pct"/>
                  <w:vAlign w:val="center"/>
                </w:tcPr>
                <w:p w14:paraId="5E466A5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50862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农副食品加工业</w:t>
                  </w:r>
                </w:p>
              </w:tc>
              <w:tc>
                <w:tcPr>
                  <w:tcW w:w="385" w:type="pct"/>
                  <w:vAlign w:val="center"/>
                </w:tcPr>
                <w:p w14:paraId="0BCFCEC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10770</w:t>
                  </w:r>
                </w:p>
              </w:tc>
              <w:tc>
                <w:tcPr>
                  <w:tcW w:w="1690" w:type="pct"/>
                  <w:vAlign w:val="center"/>
                </w:tcPr>
                <w:p w14:paraId="6ACF957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年产优能乳</w:t>
                  </w:r>
                  <w:r>
                    <w:rPr>
                      <w:color w:val="auto"/>
                      <w:spacing w:val="-3"/>
                      <w:highlight w:val="none"/>
                    </w:rPr>
                    <w:t>10800</w:t>
                  </w:r>
                  <w:r>
                    <w:rPr>
                      <w:rFonts w:ascii="宋体" w:hAnsi="宋体" w:eastAsia="宋体" w:cs="宋体"/>
                      <w:color w:val="auto"/>
                      <w:spacing w:val="-3"/>
                      <w:highlight w:val="none"/>
                    </w:rPr>
                    <w:t>吨、利生宝</w:t>
                  </w:r>
                  <w:r>
                    <w:rPr>
                      <w:color w:val="auto"/>
                      <w:spacing w:val="-3"/>
                      <w:highlight w:val="none"/>
                    </w:rPr>
                    <w:t>3000</w:t>
                  </w:r>
                  <w:r>
                    <w:rPr>
                      <w:rFonts w:ascii="宋体" w:hAnsi="宋体" w:eastAsia="宋体" w:cs="宋体"/>
                      <w:color w:val="auto"/>
                      <w:spacing w:val="-3"/>
                      <w:highlight w:val="none"/>
                    </w:rPr>
                    <w:t>吨</w:t>
                  </w:r>
                </w:p>
              </w:tc>
              <w:tc>
                <w:tcPr>
                  <w:tcW w:w="962" w:type="pct"/>
                  <w:vAlign w:val="center"/>
                </w:tcPr>
                <w:p w14:paraId="1783C49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乐环函</w:t>
                  </w:r>
                  <w:r>
                    <w:rPr>
                      <w:color w:val="auto"/>
                      <w:spacing w:val="-3"/>
                      <w:highlight w:val="none"/>
                    </w:rPr>
                    <w:t>[</w:t>
                  </w:r>
                  <w:r>
                    <w:rPr>
                      <w:color w:val="auto"/>
                      <w:highlight w:val="none"/>
                    </w:rPr>
                    <w:fldChar w:fldCharType="begin"/>
                  </w:r>
                  <w:r>
                    <w:rPr>
                      <w:color w:val="auto"/>
                      <w:highlight w:val="none"/>
                    </w:rPr>
                    <w:instrText xml:space="preserve"> HYPERLINK \l "bookmark243" </w:instrText>
                  </w:r>
                  <w:r>
                    <w:rPr>
                      <w:color w:val="auto"/>
                      <w:highlight w:val="none"/>
                    </w:rPr>
                    <w:fldChar w:fldCharType="separate"/>
                  </w:r>
                  <w:r>
                    <w:rPr>
                      <w:color w:val="auto"/>
                      <w:spacing w:val="-3"/>
                      <w:highlight w:val="none"/>
                    </w:rPr>
                    <w:t>2011</w:t>
                  </w:r>
                  <w:r>
                    <w:rPr>
                      <w:color w:val="auto"/>
                      <w:spacing w:val="-3"/>
                      <w:highlight w:val="none"/>
                    </w:rPr>
                    <w:fldChar w:fldCharType="end"/>
                  </w:r>
                  <w:r>
                    <w:rPr>
                      <w:color w:val="auto"/>
                      <w:spacing w:val="-3"/>
                      <w:highlight w:val="none"/>
                    </w:rPr>
                    <w:t>]103</w:t>
                  </w:r>
                  <w:r>
                    <w:rPr>
                      <w:rFonts w:ascii="宋体" w:hAnsi="宋体" w:eastAsia="宋体" w:cs="宋体"/>
                      <w:color w:val="auto"/>
                      <w:spacing w:val="-3"/>
                      <w:highlight w:val="none"/>
                    </w:rPr>
                    <w:t>号</w:t>
                  </w:r>
                </w:p>
              </w:tc>
            </w:tr>
            <w:tr w14:paraId="167C8D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73BE79F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52</w:t>
                  </w:r>
                </w:p>
              </w:tc>
              <w:tc>
                <w:tcPr>
                  <w:tcW w:w="854" w:type="pct"/>
                  <w:vAlign w:val="center"/>
                </w:tcPr>
                <w:p w14:paraId="73E39C0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乐昌市自来水有限公司</w:t>
                  </w:r>
                </w:p>
              </w:tc>
              <w:tc>
                <w:tcPr>
                  <w:tcW w:w="283" w:type="pct"/>
                  <w:vAlign w:val="center"/>
                </w:tcPr>
                <w:p w14:paraId="10409EA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F75A75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6"/>
                      <w:sz w:val="21"/>
                      <w:szCs w:val="21"/>
                      <w:highlight w:val="none"/>
                    </w:rPr>
                    <w:t>自来水生产和供应</w:t>
                  </w:r>
                  <w:r>
                    <w:rPr>
                      <w:rFonts w:ascii="宋体" w:hAnsi="宋体" w:eastAsia="宋体" w:cs="宋体"/>
                      <w:color w:val="auto"/>
                      <w:sz w:val="21"/>
                      <w:szCs w:val="21"/>
                      <w:highlight w:val="none"/>
                    </w:rPr>
                    <w:t>业</w:t>
                  </w:r>
                </w:p>
              </w:tc>
              <w:tc>
                <w:tcPr>
                  <w:tcW w:w="385" w:type="pct"/>
                  <w:vAlign w:val="center"/>
                </w:tcPr>
                <w:p w14:paraId="75585DB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9303.8</w:t>
                  </w:r>
                </w:p>
              </w:tc>
              <w:tc>
                <w:tcPr>
                  <w:tcW w:w="1690" w:type="pct"/>
                  <w:vAlign w:val="center"/>
                </w:tcPr>
                <w:p w14:paraId="0B78EB5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加压泵站建设，供应水量</w:t>
                  </w:r>
                  <w:r>
                    <w:rPr>
                      <w:color w:val="auto"/>
                      <w:spacing w:val="-1"/>
                      <w:highlight w:val="none"/>
                    </w:rPr>
                    <w:t>5000</w:t>
                  </w:r>
                  <w:r>
                    <w:rPr>
                      <w:rFonts w:ascii="宋体" w:hAnsi="宋体" w:eastAsia="宋体" w:cs="宋体"/>
                      <w:color w:val="auto"/>
                      <w:spacing w:val="-1"/>
                      <w:highlight w:val="none"/>
                    </w:rPr>
                    <w:t>立方</w:t>
                  </w:r>
                </w:p>
              </w:tc>
              <w:tc>
                <w:tcPr>
                  <w:tcW w:w="962" w:type="pct"/>
                  <w:vAlign w:val="center"/>
                </w:tcPr>
                <w:p w14:paraId="060F6F1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乐环函</w:t>
                  </w:r>
                  <w:r>
                    <w:rPr>
                      <w:color w:val="auto"/>
                      <w:spacing w:val="-2"/>
                      <w:highlight w:val="none"/>
                    </w:rPr>
                    <w:t>[</w:t>
                  </w:r>
                  <w:r>
                    <w:rPr>
                      <w:color w:val="auto"/>
                      <w:highlight w:val="none"/>
                    </w:rPr>
                    <w:fldChar w:fldCharType="begin"/>
                  </w:r>
                  <w:r>
                    <w:rPr>
                      <w:color w:val="auto"/>
                      <w:highlight w:val="none"/>
                    </w:rPr>
                    <w:instrText xml:space="preserve"> HYPERLINK \l "bookmark244" </w:instrText>
                  </w:r>
                  <w:r>
                    <w:rPr>
                      <w:color w:val="auto"/>
                      <w:highlight w:val="none"/>
                    </w:rPr>
                    <w:fldChar w:fldCharType="separate"/>
                  </w:r>
                  <w:r>
                    <w:rPr>
                      <w:color w:val="auto"/>
                      <w:spacing w:val="-2"/>
                      <w:highlight w:val="none"/>
                    </w:rPr>
                    <w:t>2012</w:t>
                  </w:r>
                  <w:r>
                    <w:rPr>
                      <w:color w:val="auto"/>
                      <w:spacing w:val="-2"/>
                      <w:highlight w:val="none"/>
                    </w:rPr>
                    <w:fldChar w:fldCharType="end"/>
                  </w:r>
                  <w:r>
                    <w:rPr>
                      <w:color w:val="auto"/>
                      <w:spacing w:val="-2"/>
                      <w:highlight w:val="none"/>
                    </w:rPr>
                    <w:t>]103</w:t>
                  </w:r>
                  <w:r>
                    <w:rPr>
                      <w:rFonts w:ascii="宋体" w:hAnsi="宋体" w:eastAsia="宋体" w:cs="宋体"/>
                      <w:color w:val="auto"/>
                      <w:spacing w:val="-2"/>
                      <w:highlight w:val="none"/>
                    </w:rPr>
                    <w:t>号</w:t>
                  </w:r>
                </w:p>
              </w:tc>
            </w:tr>
            <w:tr w14:paraId="7EE4A4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7901BD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53</w:t>
                  </w:r>
                </w:p>
              </w:tc>
              <w:tc>
                <w:tcPr>
                  <w:tcW w:w="854" w:type="pct"/>
                  <w:vAlign w:val="center"/>
                </w:tcPr>
                <w:p w14:paraId="09843B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东莞东坑（乐昌）产业转移园</w:t>
                  </w:r>
                  <w:r>
                    <w:rPr>
                      <w:rFonts w:ascii="宋体" w:hAnsi="宋体" w:eastAsia="宋体" w:cs="宋体"/>
                      <w:color w:val="auto"/>
                      <w:spacing w:val="-2"/>
                      <w:sz w:val="21"/>
                      <w:szCs w:val="21"/>
                      <w:highlight w:val="none"/>
                    </w:rPr>
                    <w:t>污水处理厂</w:t>
                  </w:r>
                </w:p>
              </w:tc>
              <w:tc>
                <w:tcPr>
                  <w:tcW w:w="283" w:type="pct"/>
                  <w:vAlign w:val="center"/>
                </w:tcPr>
                <w:p w14:paraId="2938B3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55E31F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污水处理及其再生</w:t>
                  </w:r>
                  <w:r>
                    <w:rPr>
                      <w:rFonts w:ascii="宋体" w:hAnsi="宋体" w:eastAsia="宋体" w:cs="宋体"/>
                      <w:color w:val="auto"/>
                      <w:spacing w:val="-2"/>
                      <w:sz w:val="21"/>
                      <w:szCs w:val="21"/>
                      <w:highlight w:val="none"/>
                    </w:rPr>
                    <w:t>利用业</w:t>
                  </w:r>
                </w:p>
              </w:tc>
              <w:tc>
                <w:tcPr>
                  <w:tcW w:w="385" w:type="pct"/>
                  <w:vAlign w:val="center"/>
                </w:tcPr>
                <w:p w14:paraId="60971D9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15400</w:t>
                  </w:r>
                </w:p>
              </w:tc>
              <w:tc>
                <w:tcPr>
                  <w:tcW w:w="1690" w:type="pct"/>
                  <w:vAlign w:val="center"/>
                </w:tcPr>
                <w:p w14:paraId="41C8E85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rFonts w:ascii="宋体" w:hAnsi="宋体" w:eastAsia="宋体" w:cs="宋体"/>
                      <w:color w:val="auto"/>
                      <w:spacing w:val="-3"/>
                      <w:highlight w:val="none"/>
                    </w:rPr>
                    <w:t>处理水量</w:t>
                  </w:r>
                  <w:r>
                    <w:rPr>
                      <w:color w:val="auto"/>
                      <w:spacing w:val="-3"/>
                      <w:highlight w:val="none"/>
                    </w:rPr>
                    <w:t>10000</w:t>
                  </w:r>
                  <w:r>
                    <w:rPr>
                      <w:rFonts w:ascii="宋体" w:hAnsi="宋体" w:eastAsia="宋体" w:cs="宋体"/>
                      <w:color w:val="auto"/>
                      <w:spacing w:val="-3"/>
                      <w:highlight w:val="none"/>
                    </w:rPr>
                    <w:t>立方米</w:t>
                  </w:r>
                  <w:r>
                    <w:rPr>
                      <w:color w:val="auto"/>
                      <w:spacing w:val="-3"/>
                      <w:highlight w:val="none"/>
                    </w:rPr>
                    <w:t>/d</w:t>
                  </w:r>
                </w:p>
              </w:tc>
              <w:tc>
                <w:tcPr>
                  <w:tcW w:w="962" w:type="pct"/>
                  <w:vAlign w:val="center"/>
                </w:tcPr>
                <w:p w14:paraId="00125B3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乐环函</w:t>
                  </w:r>
                  <w:r>
                    <w:rPr>
                      <w:color w:val="auto"/>
                      <w:spacing w:val="-2"/>
                      <w:highlight w:val="none"/>
                    </w:rPr>
                    <w:t>[</w:t>
                  </w:r>
                  <w:r>
                    <w:rPr>
                      <w:color w:val="auto"/>
                      <w:highlight w:val="none"/>
                    </w:rPr>
                    <w:fldChar w:fldCharType="begin"/>
                  </w:r>
                  <w:r>
                    <w:rPr>
                      <w:color w:val="auto"/>
                      <w:highlight w:val="none"/>
                    </w:rPr>
                    <w:instrText xml:space="preserve"> HYPERLINK \l "bookmark245" </w:instrText>
                  </w:r>
                  <w:r>
                    <w:rPr>
                      <w:color w:val="auto"/>
                      <w:highlight w:val="none"/>
                    </w:rPr>
                    <w:fldChar w:fldCharType="separate"/>
                  </w:r>
                  <w:r>
                    <w:rPr>
                      <w:color w:val="auto"/>
                      <w:spacing w:val="-2"/>
                      <w:highlight w:val="none"/>
                    </w:rPr>
                    <w:t>2010</w:t>
                  </w:r>
                  <w:r>
                    <w:rPr>
                      <w:color w:val="auto"/>
                      <w:spacing w:val="-2"/>
                      <w:highlight w:val="none"/>
                    </w:rPr>
                    <w:fldChar w:fldCharType="end"/>
                  </w:r>
                  <w:r>
                    <w:rPr>
                      <w:color w:val="auto"/>
                      <w:spacing w:val="-2"/>
                      <w:highlight w:val="none"/>
                    </w:rPr>
                    <w:t>]107</w:t>
                  </w:r>
                  <w:r>
                    <w:rPr>
                      <w:rFonts w:ascii="宋体" w:hAnsi="宋体" w:eastAsia="宋体" w:cs="宋体"/>
                      <w:color w:val="auto"/>
                      <w:spacing w:val="-2"/>
                      <w:highlight w:val="none"/>
                    </w:rPr>
                    <w:t>号</w:t>
                  </w:r>
                </w:p>
              </w:tc>
            </w:tr>
            <w:tr w14:paraId="65524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7513772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54</w:t>
                  </w:r>
                </w:p>
              </w:tc>
              <w:tc>
                <w:tcPr>
                  <w:tcW w:w="854" w:type="pct"/>
                  <w:vAlign w:val="center"/>
                </w:tcPr>
                <w:p w14:paraId="26BF83A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乐昌市玉煌科技有限公司</w:t>
                  </w:r>
                </w:p>
              </w:tc>
              <w:tc>
                <w:tcPr>
                  <w:tcW w:w="283" w:type="pct"/>
                  <w:vAlign w:val="center"/>
                </w:tcPr>
                <w:p w14:paraId="11AA0A7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654A0D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241698E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15291.1</w:t>
                  </w:r>
                </w:p>
              </w:tc>
              <w:tc>
                <w:tcPr>
                  <w:tcW w:w="1690" w:type="pct"/>
                  <w:vAlign w:val="center"/>
                </w:tcPr>
                <w:p w14:paraId="37A920A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年产螺丝紧固件</w:t>
                  </w:r>
                  <w:r>
                    <w:rPr>
                      <w:color w:val="auto"/>
                      <w:spacing w:val="-2"/>
                      <w:highlight w:val="none"/>
                    </w:rPr>
                    <w:t>2000</w:t>
                  </w:r>
                  <w:r>
                    <w:rPr>
                      <w:rFonts w:ascii="宋体" w:hAnsi="宋体" w:eastAsia="宋体" w:cs="宋体"/>
                      <w:color w:val="auto"/>
                      <w:spacing w:val="-2"/>
                      <w:highlight w:val="none"/>
                    </w:rPr>
                    <w:t>吨</w:t>
                  </w:r>
                </w:p>
              </w:tc>
              <w:tc>
                <w:tcPr>
                  <w:tcW w:w="962" w:type="pct"/>
                  <w:vAlign w:val="center"/>
                </w:tcPr>
                <w:p w14:paraId="7740DAC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"bookmark246"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]54</w:t>
                  </w:r>
                  <w:r>
                    <w:rPr>
                      <w:rFonts w:ascii="宋体" w:hAnsi="宋体" w:eastAsia="宋体" w:cs="宋体"/>
                      <w:color w:val="auto"/>
                      <w:spacing w:val="-2"/>
                      <w:highlight w:val="none"/>
                    </w:rPr>
                    <w:t>号</w:t>
                  </w:r>
                </w:p>
              </w:tc>
            </w:tr>
            <w:tr w14:paraId="532293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242" w:type="pct"/>
                  <w:vAlign w:val="center"/>
                </w:tcPr>
                <w:p w14:paraId="7E870A4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55</w:t>
                  </w:r>
                </w:p>
              </w:tc>
              <w:tc>
                <w:tcPr>
                  <w:tcW w:w="854" w:type="pct"/>
                  <w:vAlign w:val="center"/>
                </w:tcPr>
                <w:p w14:paraId="5AFD4BB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广东科优精密机械制造有限</w:t>
                  </w:r>
                  <w:r>
                    <w:rPr>
                      <w:rFonts w:ascii="宋体" w:hAnsi="宋体" w:eastAsia="宋体" w:cs="宋体"/>
                      <w:color w:val="auto"/>
                      <w:spacing w:val="-4"/>
                      <w:sz w:val="21"/>
                      <w:szCs w:val="21"/>
                      <w:highlight w:val="none"/>
                    </w:rPr>
                    <w:t>公司</w:t>
                  </w:r>
                </w:p>
              </w:tc>
              <w:tc>
                <w:tcPr>
                  <w:tcW w:w="283" w:type="pct"/>
                  <w:vAlign w:val="center"/>
                </w:tcPr>
                <w:p w14:paraId="533D491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D3853C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通用设备制造业</w:t>
                  </w:r>
                </w:p>
              </w:tc>
              <w:tc>
                <w:tcPr>
                  <w:tcW w:w="385" w:type="pct"/>
                  <w:vAlign w:val="center"/>
                </w:tcPr>
                <w:p w14:paraId="6265F6B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12528.8</w:t>
                  </w:r>
                </w:p>
              </w:tc>
              <w:tc>
                <w:tcPr>
                  <w:tcW w:w="1690" w:type="pct"/>
                  <w:vAlign w:val="center"/>
                </w:tcPr>
                <w:p w14:paraId="014D82D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5"/>
                      <w:highlight w:val="none"/>
                    </w:rPr>
                    <w:t>年产电磁阀用汇流板</w:t>
                  </w:r>
                  <w:r>
                    <w:rPr>
                      <w:color w:val="auto"/>
                      <w:spacing w:val="-5"/>
                      <w:highlight w:val="none"/>
                    </w:rPr>
                    <w:t>5000</w:t>
                  </w:r>
                  <w:r>
                    <w:rPr>
                      <w:rFonts w:ascii="宋体" w:hAnsi="宋体" w:eastAsia="宋体" w:cs="宋体"/>
                      <w:color w:val="auto"/>
                      <w:spacing w:val="-5"/>
                      <w:highlight w:val="none"/>
                    </w:rPr>
                    <w:t>吨、精抽加工铝制品</w:t>
                  </w:r>
                  <w:r>
                    <w:rPr>
                      <w:color w:val="auto"/>
                      <w:spacing w:val="-5"/>
                      <w:highlight w:val="none"/>
                    </w:rPr>
                    <w:t>400</w:t>
                  </w:r>
                  <w:r>
                    <w:rPr>
                      <w:rFonts w:ascii="宋体" w:hAnsi="宋体" w:eastAsia="宋体" w:cs="宋体"/>
                      <w:color w:val="auto"/>
                      <w:spacing w:val="-5"/>
                      <w:highlight w:val="none"/>
                    </w:rPr>
                    <w:t>吨，表面</w:t>
                  </w:r>
                  <w:r>
                    <w:rPr>
                      <w:rFonts w:ascii="宋体" w:hAnsi="宋体" w:eastAsia="宋体" w:cs="宋体"/>
                      <w:color w:val="auto"/>
                      <w:spacing w:val="-3"/>
                      <w:highlight w:val="none"/>
                    </w:rPr>
                    <w:t>处理汇流板产品</w:t>
                  </w:r>
                  <w:r>
                    <w:rPr>
                      <w:color w:val="auto"/>
                      <w:spacing w:val="-3"/>
                      <w:highlight w:val="none"/>
                    </w:rPr>
                    <w:t>1800</w:t>
                  </w:r>
                  <w:r>
                    <w:rPr>
                      <w:rFonts w:ascii="宋体" w:hAnsi="宋体" w:eastAsia="宋体" w:cs="宋体"/>
                      <w:color w:val="auto"/>
                      <w:spacing w:val="-3"/>
                      <w:highlight w:val="none"/>
                    </w:rPr>
                    <w:t>吨</w:t>
                  </w:r>
                </w:p>
              </w:tc>
              <w:tc>
                <w:tcPr>
                  <w:tcW w:w="962" w:type="pct"/>
                  <w:vAlign w:val="center"/>
                </w:tcPr>
                <w:p w14:paraId="555D96D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"bookmark247"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]03</w:t>
                  </w:r>
                  <w:r>
                    <w:rPr>
                      <w:rFonts w:ascii="宋体" w:hAnsi="宋体" w:eastAsia="宋体" w:cs="宋体"/>
                      <w:color w:val="auto"/>
                      <w:spacing w:val="-2"/>
                      <w:highlight w:val="none"/>
                    </w:rPr>
                    <w:t>号、乐环审</w:t>
                  </w:r>
                  <w:r>
                    <w:rPr>
                      <w:color w:val="auto"/>
                      <w:spacing w:val="-6"/>
                      <w:highlight w:val="none"/>
                    </w:rPr>
                    <w:t>[</w:t>
                  </w:r>
                  <w:r>
                    <w:rPr>
                      <w:color w:val="auto"/>
                      <w:highlight w:val="none"/>
                    </w:rPr>
                    <w:fldChar w:fldCharType="begin"/>
                  </w:r>
                  <w:r>
                    <w:rPr>
                      <w:color w:val="auto"/>
                      <w:highlight w:val="none"/>
                    </w:rPr>
                    <w:instrText xml:space="preserve"> HYPERLINK \l "bookmark248" </w:instrText>
                  </w:r>
                  <w:r>
                    <w:rPr>
                      <w:color w:val="auto"/>
                      <w:highlight w:val="none"/>
                    </w:rPr>
                    <w:fldChar w:fldCharType="separate"/>
                  </w:r>
                  <w:r>
                    <w:rPr>
                      <w:color w:val="auto"/>
                      <w:spacing w:val="-6"/>
                      <w:highlight w:val="none"/>
                    </w:rPr>
                    <w:t>2018</w:t>
                  </w:r>
                  <w:r>
                    <w:rPr>
                      <w:color w:val="auto"/>
                      <w:spacing w:val="-6"/>
                      <w:highlight w:val="none"/>
                    </w:rPr>
                    <w:fldChar w:fldCharType="end"/>
                  </w:r>
                  <w:r>
                    <w:rPr>
                      <w:color w:val="auto"/>
                      <w:spacing w:val="-6"/>
                      <w:highlight w:val="none"/>
                    </w:rPr>
                    <w:t>]24</w:t>
                  </w:r>
                  <w:r>
                    <w:rPr>
                      <w:rFonts w:ascii="宋体" w:hAnsi="宋体" w:eastAsia="宋体" w:cs="宋体"/>
                      <w:color w:val="auto"/>
                      <w:spacing w:val="-6"/>
                      <w:highlight w:val="none"/>
                    </w:rPr>
                    <w:t>号、韶环乐审〔</w:t>
                  </w:r>
                  <w:r>
                    <w:rPr>
                      <w:color w:val="auto"/>
                      <w:spacing w:val="-6"/>
                      <w:highlight w:val="none"/>
                    </w:rPr>
                    <w:t>2024</w:t>
                  </w:r>
                  <w:r>
                    <w:rPr>
                      <w:rFonts w:ascii="宋体" w:hAnsi="宋体" w:eastAsia="宋体" w:cs="宋体"/>
                      <w:color w:val="auto"/>
                      <w:spacing w:val="-6"/>
                      <w:highlight w:val="none"/>
                    </w:rPr>
                    <w:t>〕</w:t>
                  </w:r>
                  <w:r>
                    <w:rPr>
                      <w:color w:val="auto"/>
                      <w:spacing w:val="-6"/>
                      <w:highlight w:val="none"/>
                    </w:rPr>
                    <w:t>04</w:t>
                  </w:r>
                  <w:r>
                    <w:rPr>
                      <w:rFonts w:ascii="宋体" w:hAnsi="宋体" w:eastAsia="宋体" w:cs="宋体"/>
                      <w:color w:val="auto"/>
                      <w:sz w:val="21"/>
                      <w:szCs w:val="21"/>
                      <w:highlight w:val="none"/>
                    </w:rPr>
                    <w:t>号</w:t>
                  </w:r>
                </w:p>
              </w:tc>
            </w:tr>
            <w:tr w14:paraId="2EA5C4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1A072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56</w:t>
                  </w:r>
                </w:p>
              </w:tc>
              <w:tc>
                <w:tcPr>
                  <w:tcW w:w="854" w:type="pct"/>
                  <w:vAlign w:val="center"/>
                </w:tcPr>
                <w:p w14:paraId="2F1B1C6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广东中博交通环保设备有限</w:t>
                  </w:r>
                  <w:r>
                    <w:rPr>
                      <w:rFonts w:ascii="宋体" w:hAnsi="宋体" w:eastAsia="宋体" w:cs="宋体"/>
                      <w:color w:val="auto"/>
                      <w:spacing w:val="-4"/>
                      <w:sz w:val="21"/>
                      <w:szCs w:val="21"/>
                      <w:highlight w:val="none"/>
                    </w:rPr>
                    <w:t>公司</w:t>
                  </w:r>
                </w:p>
              </w:tc>
              <w:tc>
                <w:tcPr>
                  <w:tcW w:w="283" w:type="pct"/>
                  <w:vAlign w:val="center"/>
                </w:tcPr>
                <w:p w14:paraId="32DF3B6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57B6DC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5E0635A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20059.4</w:t>
                  </w:r>
                </w:p>
              </w:tc>
              <w:tc>
                <w:tcPr>
                  <w:tcW w:w="1690" w:type="pct"/>
                  <w:vAlign w:val="center"/>
                </w:tcPr>
                <w:p w14:paraId="796E403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年加工生产交通环保材料</w:t>
                  </w:r>
                  <w:r>
                    <w:rPr>
                      <w:color w:val="auto"/>
                      <w:spacing w:val="-2"/>
                      <w:highlight w:val="none"/>
                    </w:rPr>
                    <w:t>50</w:t>
                  </w:r>
                  <w:r>
                    <w:rPr>
                      <w:rFonts w:ascii="宋体" w:hAnsi="宋体" w:eastAsia="宋体" w:cs="宋体"/>
                      <w:color w:val="auto"/>
                      <w:spacing w:val="-2"/>
                      <w:highlight w:val="none"/>
                    </w:rPr>
                    <w:t>万件</w:t>
                  </w:r>
                </w:p>
              </w:tc>
              <w:tc>
                <w:tcPr>
                  <w:tcW w:w="962" w:type="pct"/>
                  <w:vAlign w:val="center"/>
                </w:tcPr>
                <w:p w14:paraId="11800DD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"bookmark249"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]59</w:t>
                  </w:r>
                  <w:r>
                    <w:rPr>
                      <w:rFonts w:ascii="宋体" w:hAnsi="宋体" w:eastAsia="宋体" w:cs="宋体"/>
                      <w:color w:val="auto"/>
                      <w:spacing w:val="-2"/>
                      <w:highlight w:val="none"/>
                    </w:rPr>
                    <w:t>号</w:t>
                  </w:r>
                </w:p>
              </w:tc>
            </w:tr>
            <w:tr w14:paraId="27F8D3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D8AA57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57</w:t>
                  </w:r>
                </w:p>
              </w:tc>
              <w:tc>
                <w:tcPr>
                  <w:tcW w:w="854" w:type="pct"/>
                  <w:vAlign w:val="center"/>
                </w:tcPr>
                <w:p w14:paraId="5B30BD2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乐昌欧典高分子装饰材料有</w:t>
                  </w:r>
                  <w:r>
                    <w:rPr>
                      <w:rFonts w:ascii="宋体" w:hAnsi="宋体" w:eastAsia="宋体" w:cs="宋体"/>
                      <w:color w:val="auto"/>
                      <w:spacing w:val="-5"/>
                      <w:sz w:val="21"/>
                      <w:szCs w:val="21"/>
                      <w:highlight w:val="none"/>
                    </w:rPr>
                    <w:t>限公司</w:t>
                  </w:r>
                </w:p>
              </w:tc>
              <w:tc>
                <w:tcPr>
                  <w:tcW w:w="283" w:type="pct"/>
                  <w:vAlign w:val="center"/>
                </w:tcPr>
                <w:p w14:paraId="5D95017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10DB7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13560B4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8631.1</w:t>
                  </w:r>
                </w:p>
              </w:tc>
              <w:tc>
                <w:tcPr>
                  <w:tcW w:w="1690" w:type="pct"/>
                  <w:vAlign w:val="center"/>
                </w:tcPr>
                <w:p w14:paraId="47FABF9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w:t>
                  </w:r>
                  <w:r>
                    <w:rPr>
                      <w:color w:val="auto"/>
                      <w:spacing w:val="-1"/>
                      <w:highlight w:val="none"/>
                    </w:rPr>
                    <w:t>PVC</w:t>
                  </w:r>
                  <w:r>
                    <w:rPr>
                      <w:rFonts w:ascii="宋体" w:hAnsi="宋体" w:eastAsia="宋体" w:cs="宋体"/>
                      <w:color w:val="auto"/>
                      <w:spacing w:val="-1"/>
                      <w:highlight w:val="none"/>
                    </w:rPr>
                    <w:t>墙板</w:t>
                  </w:r>
                  <w:r>
                    <w:rPr>
                      <w:color w:val="auto"/>
                      <w:spacing w:val="-1"/>
                      <w:highlight w:val="none"/>
                    </w:rPr>
                    <w:t>300</w:t>
                  </w:r>
                  <w:r>
                    <w:rPr>
                      <w:rFonts w:ascii="宋体" w:hAnsi="宋体" w:eastAsia="宋体" w:cs="宋体"/>
                      <w:color w:val="auto"/>
                      <w:spacing w:val="-1"/>
                      <w:highlight w:val="none"/>
                    </w:rPr>
                    <w:t>万平方、</w:t>
                  </w:r>
                  <w:r>
                    <w:rPr>
                      <w:color w:val="auto"/>
                      <w:spacing w:val="-1"/>
                      <w:highlight w:val="none"/>
                    </w:rPr>
                    <w:t>PVC</w:t>
                  </w:r>
                  <w:r>
                    <w:rPr>
                      <w:rFonts w:ascii="宋体" w:hAnsi="宋体" w:eastAsia="宋体" w:cs="宋体"/>
                      <w:color w:val="auto"/>
                      <w:spacing w:val="-1"/>
                      <w:highlight w:val="none"/>
                    </w:rPr>
                    <w:t>墙板</w:t>
                  </w:r>
                  <w:r>
                    <w:rPr>
                      <w:rFonts w:ascii="宋体" w:hAnsi="宋体" w:eastAsia="宋体" w:cs="宋体"/>
                      <w:color w:val="auto"/>
                      <w:spacing w:val="-2"/>
                      <w:highlight w:val="none"/>
                    </w:rPr>
                    <w:t>配套线条约</w:t>
                  </w:r>
                  <w:r>
                    <w:rPr>
                      <w:color w:val="auto"/>
                      <w:spacing w:val="-2"/>
                      <w:highlight w:val="none"/>
                    </w:rPr>
                    <w:t>200</w:t>
                  </w:r>
                  <w:r>
                    <w:rPr>
                      <w:rFonts w:ascii="宋体" w:hAnsi="宋体" w:eastAsia="宋体" w:cs="宋体"/>
                      <w:color w:val="auto"/>
                      <w:spacing w:val="-2"/>
                      <w:highlight w:val="none"/>
                    </w:rPr>
                    <w:t>万米</w:t>
                  </w:r>
                </w:p>
              </w:tc>
              <w:tc>
                <w:tcPr>
                  <w:tcW w:w="962" w:type="pct"/>
                  <w:vAlign w:val="center"/>
                </w:tcPr>
                <w:p w14:paraId="381E336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"bookmark250" </w:instrText>
                  </w:r>
                  <w:r>
                    <w:rPr>
                      <w:color w:val="auto"/>
                      <w:highlight w:val="none"/>
                    </w:rPr>
                    <w:fldChar w:fldCharType="separate"/>
                  </w:r>
                  <w:r>
                    <w:rPr>
                      <w:color w:val="auto"/>
                      <w:spacing w:val="-2"/>
                      <w:highlight w:val="none"/>
                    </w:rPr>
                    <w:t>2019</w:t>
                  </w:r>
                  <w:r>
                    <w:rPr>
                      <w:color w:val="auto"/>
                      <w:spacing w:val="-2"/>
                      <w:highlight w:val="none"/>
                    </w:rPr>
                    <w:fldChar w:fldCharType="end"/>
                  </w:r>
                  <w:r>
                    <w:rPr>
                      <w:color w:val="auto"/>
                      <w:spacing w:val="-2"/>
                      <w:highlight w:val="none"/>
                    </w:rPr>
                    <w:t>]68</w:t>
                  </w:r>
                  <w:r>
                    <w:rPr>
                      <w:rFonts w:ascii="宋体" w:hAnsi="宋体" w:eastAsia="宋体" w:cs="宋体"/>
                      <w:color w:val="auto"/>
                      <w:spacing w:val="-2"/>
                      <w:highlight w:val="none"/>
                    </w:rPr>
                    <w:t>号</w:t>
                  </w:r>
                </w:p>
              </w:tc>
            </w:tr>
            <w:tr w14:paraId="5592C6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242" w:type="pct"/>
                  <w:vAlign w:val="center"/>
                </w:tcPr>
                <w:p w14:paraId="3A7B054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58</w:t>
                  </w:r>
                </w:p>
              </w:tc>
              <w:tc>
                <w:tcPr>
                  <w:tcW w:w="854" w:type="pct"/>
                  <w:vAlign w:val="center"/>
                </w:tcPr>
                <w:p w14:paraId="496615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韶关豪立再生资源利用有限</w:t>
                  </w:r>
                  <w:r>
                    <w:rPr>
                      <w:rFonts w:ascii="宋体" w:hAnsi="宋体" w:eastAsia="宋体" w:cs="宋体"/>
                      <w:color w:val="auto"/>
                      <w:spacing w:val="-4"/>
                      <w:sz w:val="21"/>
                      <w:szCs w:val="21"/>
                      <w:highlight w:val="none"/>
                    </w:rPr>
                    <w:t>公司</w:t>
                  </w:r>
                </w:p>
              </w:tc>
              <w:tc>
                <w:tcPr>
                  <w:tcW w:w="283" w:type="pct"/>
                  <w:vAlign w:val="center"/>
                </w:tcPr>
                <w:p w14:paraId="538FBCA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0242AC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非金属矿物制品业</w:t>
                  </w:r>
                </w:p>
              </w:tc>
              <w:tc>
                <w:tcPr>
                  <w:tcW w:w="385" w:type="pct"/>
                  <w:vAlign w:val="center"/>
                </w:tcPr>
                <w:p w14:paraId="094FCE1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17646</w:t>
                  </w:r>
                </w:p>
              </w:tc>
              <w:tc>
                <w:tcPr>
                  <w:tcW w:w="1690" w:type="pct"/>
                  <w:vAlign w:val="center"/>
                </w:tcPr>
                <w:p w14:paraId="3A6A564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年处理废金属</w:t>
                  </w:r>
                  <w:r>
                    <w:rPr>
                      <w:color w:val="auto"/>
                      <w:spacing w:val="-3"/>
                      <w:highlight w:val="none"/>
                    </w:rPr>
                    <w:t>79760</w:t>
                  </w:r>
                  <w:r>
                    <w:rPr>
                      <w:rFonts w:ascii="宋体" w:hAnsi="宋体" w:eastAsia="宋体" w:cs="宋体"/>
                      <w:color w:val="auto"/>
                      <w:spacing w:val="-3"/>
                      <w:highlight w:val="none"/>
                    </w:rPr>
                    <w:t>吨、废纸</w:t>
                  </w:r>
                  <w:r>
                    <w:rPr>
                      <w:color w:val="auto"/>
                      <w:spacing w:val="-3"/>
                      <w:highlight w:val="none"/>
                    </w:rPr>
                    <w:t>5982</w:t>
                  </w:r>
                  <w:r>
                    <w:rPr>
                      <w:rFonts w:ascii="宋体" w:hAnsi="宋体" w:eastAsia="宋体" w:cs="宋体"/>
                      <w:color w:val="auto"/>
                      <w:spacing w:val="-3"/>
                      <w:highlight w:val="none"/>
                    </w:rPr>
                    <w:t>吨、拆解设备</w:t>
                  </w:r>
                  <w:r>
                    <w:rPr>
                      <w:color w:val="auto"/>
                      <w:spacing w:val="-3"/>
                      <w:highlight w:val="none"/>
                    </w:rPr>
                    <w:t>20</w:t>
                  </w:r>
                  <w:r>
                    <w:rPr>
                      <w:color w:val="auto"/>
                      <w:spacing w:val="-4"/>
                      <w:highlight w:val="none"/>
                    </w:rPr>
                    <w:t>00</w:t>
                  </w:r>
                  <w:r>
                    <w:rPr>
                      <w:rFonts w:ascii="宋体" w:hAnsi="宋体" w:eastAsia="宋体" w:cs="宋体"/>
                      <w:color w:val="auto"/>
                      <w:spacing w:val="-4"/>
                      <w:highlight w:val="none"/>
                    </w:rPr>
                    <w:t>台，</w:t>
                  </w:r>
                  <w:r>
                    <w:rPr>
                      <w:rFonts w:ascii="宋体" w:hAnsi="宋体" w:eastAsia="宋体" w:cs="宋体"/>
                      <w:color w:val="auto"/>
                      <w:spacing w:val="-3"/>
                      <w:highlight w:val="none"/>
                    </w:rPr>
                    <w:t>年产再生玻璃</w:t>
                  </w:r>
                  <w:r>
                    <w:rPr>
                      <w:color w:val="auto"/>
                      <w:spacing w:val="-3"/>
                      <w:highlight w:val="none"/>
                    </w:rPr>
                    <w:t>11.4</w:t>
                  </w:r>
                  <w:r>
                    <w:rPr>
                      <w:rFonts w:ascii="宋体" w:hAnsi="宋体" w:eastAsia="宋体" w:cs="宋体"/>
                      <w:color w:val="auto"/>
                      <w:spacing w:val="-3"/>
                      <w:highlight w:val="none"/>
                    </w:rPr>
                    <w:t>万吨、玻璃纤维</w:t>
                  </w:r>
                  <w:r>
                    <w:rPr>
                      <w:color w:val="auto"/>
                      <w:spacing w:val="-3"/>
                      <w:highlight w:val="none"/>
                    </w:rPr>
                    <w:t>3</w:t>
                  </w:r>
                  <w:r>
                    <w:rPr>
                      <w:rFonts w:ascii="宋体" w:hAnsi="宋体" w:eastAsia="宋体" w:cs="宋体"/>
                      <w:color w:val="auto"/>
                      <w:spacing w:val="-3"/>
                      <w:highlight w:val="none"/>
                    </w:rPr>
                    <w:t>万吨、玻璃纤维增强塑</w:t>
                  </w:r>
                  <w:r>
                    <w:rPr>
                      <w:rFonts w:ascii="宋体" w:hAnsi="宋体" w:eastAsia="宋体" w:cs="宋体"/>
                      <w:color w:val="auto"/>
                      <w:spacing w:val="-2"/>
                      <w:highlight w:val="none"/>
                    </w:rPr>
                    <w:t>料制品</w:t>
                  </w:r>
                  <w:r>
                    <w:rPr>
                      <w:color w:val="auto"/>
                      <w:spacing w:val="-2"/>
                      <w:highlight w:val="none"/>
                    </w:rPr>
                    <w:t>7200</w:t>
                  </w:r>
                  <w:r>
                    <w:rPr>
                      <w:rFonts w:ascii="宋体" w:hAnsi="宋体" w:eastAsia="宋体" w:cs="宋体"/>
                      <w:color w:val="auto"/>
                      <w:spacing w:val="-2"/>
                      <w:highlight w:val="none"/>
                    </w:rPr>
                    <w:t>吨</w:t>
                  </w:r>
                </w:p>
              </w:tc>
              <w:tc>
                <w:tcPr>
                  <w:tcW w:w="962" w:type="pct"/>
                  <w:vAlign w:val="center"/>
                </w:tcPr>
                <w:p w14:paraId="7C5D8E5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"bookmark251"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]69</w:t>
                  </w:r>
                  <w:r>
                    <w:rPr>
                      <w:rFonts w:ascii="宋体" w:hAnsi="宋体" w:eastAsia="宋体" w:cs="宋体"/>
                      <w:color w:val="auto"/>
                      <w:spacing w:val="-2"/>
                      <w:highlight w:val="none"/>
                    </w:rPr>
                    <w:t>号、韶环乐审</w:t>
                  </w:r>
                  <w:r>
                    <w:rPr>
                      <w:rFonts w:ascii="宋体" w:hAnsi="宋体" w:eastAsia="宋体" w:cs="宋体"/>
                      <w:color w:val="auto"/>
                      <w:spacing w:val="-8"/>
                      <w:highlight w:val="none"/>
                    </w:rPr>
                    <w:t>〔</w:t>
                  </w:r>
                  <w:r>
                    <w:rPr>
                      <w:color w:val="auto"/>
                      <w:spacing w:val="-8"/>
                      <w:highlight w:val="none"/>
                    </w:rPr>
                    <w:t>2021</w:t>
                  </w:r>
                  <w:r>
                    <w:rPr>
                      <w:rFonts w:ascii="宋体" w:hAnsi="宋体" w:eastAsia="宋体" w:cs="宋体"/>
                      <w:color w:val="auto"/>
                      <w:spacing w:val="-8"/>
                      <w:highlight w:val="none"/>
                    </w:rPr>
                    <w:t>〕</w:t>
                  </w:r>
                  <w:r>
                    <w:rPr>
                      <w:color w:val="auto"/>
                      <w:spacing w:val="-8"/>
                      <w:highlight w:val="none"/>
                    </w:rPr>
                    <w:t>06</w:t>
                  </w:r>
                  <w:r>
                    <w:rPr>
                      <w:rFonts w:ascii="宋体" w:hAnsi="宋体" w:eastAsia="宋体" w:cs="宋体"/>
                      <w:color w:val="auto"/>
                      <w:spacing w:val="-8"/>
                      <w:highlight w:val="none"/>
                    </w:rPr>
                    <w:t>号、韶环乐审〔</w:t>
                  </w:r>
                  <w:r>
                    <w:rPr>
                      <w:color w:val="auto"/>
                      <w:spacing w:val="-8"/>
                      <w:highlight w:val="none"/>
                    </w:rPr>
                    <w:t>2023</w:t>
                  </w:r>
                  <w:r>
                    <w:rPr>
                      <w:rFonts w:ascii="宋体" w:hAnsi="宋体" w:eastAsia="宋体" w:cs="宋体"/>
                      <w:color w:val="auto"/>
                      <w:spacing w:val="-8"/>
                      <w:highlight w:val="none"/>
                    </w:rPr>
                    <w:t>〕</w:t>
                  </w:r>
                  <w:r>
                    <w:rPr>
                      <w:color w:val="auto"/>
                      <w:spacing w:val="-2"/>
                      <w:highlight w:val="none"/>
                    </w:rPr>
                    <w:t>23</w:t>
                  </w:r>
                  <w:r>
                    <w:rPr>
                      <w:rFonts w:ascii="宋体" w:hAnsi="宋体" w:eastAsia="宋体" w:cs="宋体"/>
                      <w:color w:val="auto"/>
                      <w:spacing w:val="-2"/>
                      <w:highlight w:val="none"/>
                    </w:rPr>
                    <w:t>号</w:t>
                  </w:r>
                </w:p>
              </w:tc>
            </w:tr>
            <w:tr w14:paraId="5729E0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FF82D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59</w:t>
                  </w:r>
                </w:p>
              </w:tc>
              <w:tc>
                <w:tcPr>
                  <w:tcW w:w="854" w:type="pct"/>
                  <w:vAlign w:val="center"/>
                </w:tcPr>
                <w:p w14:paraId="536DC0C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乐昌市优泰德电器有限公司</w:t>
                  </w:r>
                  <w:r>
                    <w:rPr>
                      <w:rFonts w:ascii="宋体" w:hAnsi="宋体" w:eastAsia="宋体" w:cs="宋体"/>
                      <w:color w:val="auto"/>
                      <w:spacing w:val="-2"/>
                      <w:sz w:val="21"/>
                      <w:szCs w:val="21"/>
                      <w:highlight w:val="none"/>
                    </w:rPr>
                    <w:t>（创业就业基地）</w:t>
                  </w:r>
                </w:p>
              </w:tc>
              <w:tc>
                <w:tcPr>
                  <w:tcW w:w="283" w:type="pct"/>
                  <w:vAlign w:val="center"/>
                </w:tcPr>
                <w:p w14:paraId="6648786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A5D45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6F66BC2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3504</w:t>
                  </w:r>
                </w:p>
              </w:tc>
              <w:tc>
                <w:tcPr>
                  <w:tcW w:w="1690" w:type="pct"/>
                  <w:vAlign w:val="center"/>
                </w:tcPr>
                <w:p w14:paraId="687DA07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年产塑料及五金制品</w:t>
                  </w:r>
                  <w:r>
                    <w:rPr>
                      <w:color w:val="auto"/>
                      <w:spacing w:val="-1"/>
                      <w:highlight w:val="none"/>
                    </w:rPr>
                    <w:t>280</w:t>
                  </w:r>
                  <w:r>
                    <w:rPr>
                      <w:rFonts w:ascii="宋体" w:hAnsi="宋体" w:eastAsia="宋体" w:cs="宋体"/>
                      <w:color w:val="auto"/>
                      <w:spacing w:val="-1"/>
                      <w:highlight w:val="none"/>
                    </w:rPr>
                    <w:t>万件</w:t>
                  </w:r>
                </w:p>
              </w:tc>
              <w:tc>
                <w:tcPr>
                  <w:tcW w:w="962" w:type="pct"/>
                  <w:vAlign w:val="center"/>
                </w:tcPr>
                <w:p w14:paraId="41846EF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28</w:t>
                  </w:r>
                  <w:r>
                    <w:rPr>
                      <w:rFonts w:ascii="宋体" w:hAnsi="宋体" w:eastAsia="宋体" w:cs="宋体"/>
                      <w:color w:val="auto"/>
                      <w:spacing w:val="-1"/>
                      <w:highlight w:val="none"/>
                    </w:rPr>
                    <w:t>号</w:t>
                  </w:r>
                </w:p>
              </w:tc>
            </w:tr>
            <w:tr w14:paraId="56829E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C48E4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60</w:t>
                  </w:r>
                </w:p>
              </w:tc>
              <w:tc>
                <w:tcPr>
                  <w:tcW w:w="854" w:type="pct"/>
                  <w:vAlign w:val="center"/>
                </w:tcPr>
                <w:p w14:paraId="3C5C3F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sz w:val="21"/>
                      <w:szCs w:val="21"/>
                      <w:highlight w:val="none"/>
                    </w:rPr>
                    <w:t>乐昌市优泰德电器有限公司</w:t>
                  </w:r>
                  <w:r>
                    <w:rPr>
                      <w:color w:val="auto"/>
                      <w:spacing w:val="-3"/>
                      <w:highlight w:val="none"/>
                    </w:rPr>
                    <w:t>(</w:t>
                  </w:r>
                  <w:r>
                    <w:rPr>
                      <w:rFonts w:ascii="宋体" w:hAnsi="宋体" w:eastAsia="宋体" w:cs="宋体"/>
                      <w:color w:val="auto"/>
                      <w:spacing w:val="-3"/>
                      <w:highlight w:val="none"/>
                    </w:rPr>
                    <w:t>金玲三路）</w:t>
                  </w:r>
                </w:p>
              </w:tc>
              <w:tc>
                <w:tcPr>
                  <w:tcW w:w="283" w:type="pct"/>
                  <w:vAlign w:val="center"/>
                </w:tcPr>
                <w:p w14:paraId="1E7EA1C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38D569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7CF4F6A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15173</w:t>
                  </w:r>
                </w:p>
              </w:tc>
              <w:tc>
                <w:tcPr>
                  <w:tcW w:w="1690" w:type="pct"/>
                  <w:vAlign w:val="center"/>
                </w:tcPr>
                <w:p w14:paraId="0DA4331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年产家用小电器（电吹风、直发器、卷发器等）</w:t>
                  </w:r>
                  <w:r>
                    <w:rPr>
                      <w:color w:val="auto"/>
                      <w:spacing w:val="-1"/>
                      <w:highlight w:val="none"/>
                    </w:rPr>
                    <w:t>250</w:t>
                  </w:r>
                  <w:r>
                    <w:rPr>
                      <w:rFonts w:ascii="宋体" w:hAnsi="宋体" w:eastAsia="宋体" w:cs="宋体"/>
                      <w:color w:val="auto"/>
                      <w:spacing w:val="-1"/>
                      <w:highlight w:val="none"/>
                    </w:rPr>
                    <w:t>万台</w:t>
                  </w:r>
                </w:p>
              </w:tc>
              <w:tc>
                <w:tcPr>
                  <w:tcW w:w="962" w:type="pct"/>
                  <w:vAlign w:val="center"/>
                </w:tcPr>
                <w:p w14:paraId="05027FE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40</w:t>
                  </w:r>
                  <w:r>
                    <w:rPr>
                      <w:rFonts w:ascii="宋体" w:hAnsi="宋体" w:eastAsia="宋体" w:cs="宋体"/>
                      <w:color w:val="auto"/>
                      <w:spacing w:val="-1"/>
                      <w:highlight w:val="none"/>
                    </w:rPr>
                    <w:t>号</w:t>
                  </w:r>
                </w:p>
              </w:tc>
            </w:tr>
            <w:tr w14:paraId="19686E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31BA13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61</w:t>
                  </w:r>
                </w:p>
              </w:tc>
              <w:tc>
                <w:tcPr>
                  <w:tcW w:w="854" w:type="pct"/>
                  <w:vAlign w:val="center"/>
                </w:tcPr>
                <w:p w14:paraId="01FFE78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广东昊奕智能科技有限公司</w:t>
                  </w:r>
                </w:p>
              </w:tc>
              <w:tc>
                <w:tcPr>
                  <w:tcW w:w="283" w:type="pct"/>
                  <w:vAlign w:val="center"/>
                </w:tcPr>
                <w:p w14:paraId="68300C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B34B7A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65E9FBB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9533.38</w:t>
                  </w:r>
                </w:p>
              </w:tc>
              <w:tc>
                <w:tcPr>
                  <w:tcW w:w="1690" w:type="pct"/>
                  <w:vAlign w:val="center"/>
                </w:tcPr>
                <w:p w14:paraId="5151276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年产不锈钢线材</w:t>
                  </w:r>
                  <w:r>
                    <w:rPr>
                      <w:color w:val="auto"/>
                      <w:spacing w:val="-2"/>
                      <w:highlight w:val="none"/>
                    </w:rPr>
                    <w:t>5000</w:t>
                  </w:r>
                  <w:r>
                    <w:rPr>
                      <w:rFonts w:ascii="宋体" w:hAnsi="宋体" w:eastAsia="宋体" w:cs="宋体"/>
                      <w:color w:val="auto"/>
                      <w:spacing w:val="-2"/>
                      <w:highlight w:val="none"/>
                    </w:rPr>
                    <w:t>吨</w:t>
                  </w:r>
                </w:p>
              </w:tc>
              <w:tc>
                <w:tcPr>
                  <w:tcW w:w="962" w:type="pct"/>
                  <w:vAlign w:val="center"/>
                </w:tcPr>
                <w:p w14:paraId="3C91FFC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01</w:t>
                  </w:r>
                  <w:r>
                    <w:rPr>
                      <w:rFonts w:ascii="宋体" w:hAnsi="宋体" w:eastAsia="宋体" w:cs="宋体"/>
                      <w:color w:val="auto"/>
                      <w:spacing w:val="-1"/>
                      <w:highlight w:val="none"/>
                    </w:rPr>
                    <w:t>号</w:t>
                  </w:r>
                </w:p>
              </w:tc>
            </w:tr>
            <w:tr w14:paraId="620673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23CDD00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62</w:t>
                  </w:r>
                </w:p>
              </w:tc>
              <w:tc>
                <w:tcPr>
                  <w:tcW w:w="854" w:type="pct"/>
                  <w:vAlign w:val="center"/>
                </w:tcPr>
                <w:p w14:paraId="6F7E166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三创复合材料</w:t>
                  </w:r>
                  <w:r>
                    <w:rPr>
                      <w:color w:val="auto"/>
                      <w:spacing w:val="-1"/>
                      <w:highlight w:val="none"/>
                    </w:rPr>
                    <w:t>(</w:t>
                  </w:r>
                  <w:r>
                    <w:rPr>
                      <w:rFonts w:ascii="宋体" w:hAnsi="宋体" w:eastAsia="宋体" w:cs="宋体"/>
                      <w:color w:val="auto"/>
                      <w:spacing w:val="-1"/>
                      <w:highlight w:val="none"/>
                    </w:rPr>
                    <w:t>乐昌</w:t>
                  </w:r>
                  <w:r>
                    <w:rPr>
                      <w:color w:val="auto"/>
                      <w:spacing w:val="-1"/>
                      <w:highlight w:val="none"/>
                    </w:rPr>
                    <w:t>)</w:t>
                  </w:r>
                  <w:r>
                    <w:rPr>
                      <w:rFonts w:ascii="宋体" w:hAnsi="宋体" w:eastAsia="宋体" w:cs="宋体"/>
                      <w:color w:val="auto"/>
                      <w:spacing w:val="-1"/>
                      <w:highlight w:val="none"/>
                    </w:rPr>
                    <w:t>有限公司</w:t>
                  </w:r>
                </w:p>
              </w:tc>
              <w:tc>
                <w:tcPr>
                  <w:tcW w:w="283" w:type="pct"/>
                  <w:vAlign w:val="center"/>
                </w:tcPr>
                <w:p w14:paraId="0434474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093926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非金属矿物制品业</w:t>
                  </w:r>
                </w:p>
              </w:tc>
              <w:tc>
                <w:tcPr>
                  <w:tcW w:w="385" w:type="pct"/>
                  <w:vAlign w:val="center"/>
                </w:tcPr>
                <w:p w14:paraId="715491B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25577.13</w:t>
                  </w:r>
                </w:p>
              </w:tc>
              <w:tc>
                <w:tcPr>
                  <w:tcW w:w="1690" w:type="pct"/>
                  <w:vAlign w:val="center"/>
                </w:tcPr>
                <w:p w14:paraId="4B593B6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年产玻璃纤维和碳素纤维复合材料制品</w:t>
                  </w:r>
                  <w:r>
                    <w:rPr>
                      <w:color w:val="auto"/>
                      <w:spacing w:val="-1"/>
                      <w:highlight w:val="none"/>
                    </w:rPr>
                    <w:t>6365</w:t>
                  </w:r>
                  <w:r>
                    <w:rPr>
                      <w:rFonts w:ascii="宋体" w:hAnsi="宋体" w:eastAsia="宋体" w:cs="宋体"/>
                      <w:color w:val="auto"/>
                      <w:spacing w:val="-1"/>
                      <w:highlight w:val="none"/>
                    </w:rPr>
                    <w:t>吨</w:t>
                  </w:r>
                </w:p>
              </w:tc>
              <w:tc>
                <w:tcPr>
                  <w:tcW w:w="962" w:type="pct"/>
                  <w:vAlign w:val="center"/>
                </w:tcPr>
                <w:p w14:paraId="0E45939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09</w:t>
                  </w:r>
                  <w:r>
                    <w:rPr>
                      <w:rFonts w:ascii="宋体" w:hAnsi="宋体" w:eastAsia="宋体" w:cs="宋体"/>
                      <w:color w:val="auto"/>
                      <w:spacing w:val="-1"/>
                      <w:highlight w:val="none"/>
                    </w:rPr>
                    <w:t>号</w:t>
                  </w:r>
                </w:p>
              </w:tc>
            </w:tr>
            <w:tr w14:paraId="2E8889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78A2D38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63</w:t>
                  </w:r>
                </w:p>
              </w:tc>
              <w:tc>
                <w:tcPr>
                  <w:tcW w:w="854" w:type="pct"/>
                  <w:vAlign w:val="center"/>
                </w:tcPr>
                <w:p w14:paraId="4245ED2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广东联丰科技有限公司</w:t>
                  </w:r>
                </w:p>
              </w:tc>
              <w:tc>
                <w:tcPr>
                  <w:tcW w:w="283" w:type="pct"/>
                  <w:vAlign w:val="center"/>
                </w:tcPr>
                <w:p w14:paraId="4650AE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AE7D6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6BE522D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11862.25</w:t>
                  </w:r>
                </w:p>
              </w:tc>
              <w:tc>
                <w:tcPr>
                  <w:tcW w:w="1690" w:type="pct"/>
                  <w:vAlign w:val="center"/>
                </w:tcPr>
                <w:p w14:paraId="3A2DC2B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7"/>
                      <w:highlight w:val="none"/>
                    </w:rPr>
                    <w:t>年产</w:t>
                  </w:r>
                  <w:r>
                    <w:rPr>
                      <w:color w:val="auto"/>
                      <w:spacing w:val="-7"/>
                      <w:highlight w:val="none"/>
                    </w:rPr>
                    <w:t>HDPE</w:t>
                  </w:r>
                  <w:r>
                    <w:rPr>
                      <w:rFonts w:ascii="宋体" w:hAnsi="宋体" w:eastAsia="宋体" w:cs="宋体"/>
                      <w:color w:val="auto"/>
                      <w:spacing w:val="-7"/>
                      <w:highlight w:val="none"/>
                    </w:rPr>
                    <w:t>双壁波纹管</w:t>
                  </w:r>
                  <w:r>
                    <w:rPr>
                      <w:color w:val="auto"/>
                      <w:spacing w:val="-7"/>
                      <w:highlight w:val="none"/>
                    </w:rPr>
                    <w:t>2800</w:t>
                  </w:r>
                  <w:r>
                    <w:rPr>
                      <w:rFonts w:ascii="宋体" w:hAnsi="宋体" w:eastAsia="宋体" w:cs="宋体"/>
                      <w:color w:val="auto"/>
                      <w:spacing w:val="-7"/>
                      <w:highlight w:val="none"/>
                    </w:rPr>
                    <w:t>吨、</w:t>
                  </w:r>
                  <w:r>
                    <w:rPr>
                      <w:color w:val="auto"/>
                      <w:spacing w:val="-7"/>
                      <w:highlight w:val="none"/>
                    </w:rPr>
                    <w:t>HDPE</w:t>
                  </w:r>
                  <w:r>
                    <w:rPr>
                      <w:rFonts w:ascii="宋体" w:hAnsi="宋体" w:eastAsia="宋体" w:cs="宋体"/>
                      <w:color w:val="auto"/>
                      <w:spacing w:val="-7"/>
                      <w:highlight w:val="none"/>
                    </w:rPr>
                    <w:t>缠绕管</w:t>
                  </w:r>
                  <w:r>
                    <w:rPr>
                      <w:color w:val="auto"/>
                      <w:spacing w:val="-7"/>
                      <w:highlight w:val="none"/>
                    </w:rPr>
                    <w:t>2350</w:t>
                  </w:r>
                  <w:r>
                    <w:rPr>
                      <w:rFonts w:ascii="宋体" w:hAnsi="宋体" w:eastAsia="宋体" w:cs="宋体"/>
                      <w:color w:val="auto"/>
                      <w:spacing w:val="-7"/>
                      <w:highlight w:val="none"/>
                    </w:rPr>
                    <w:t>吨、</w:t>
                  </w:r>
                  <w:r>
                    <w:rPr>
                      <w:color w:val="auto"/>
                      <w:spacing w:val="-7"/>
                      <w:highlight w:val="none"/>
                    </w:rPr>
                    <w:t>HDPE</w:t>
                  </w:r>
                  <w:r>
                    <w:rPr>
                      <w:rFonts w:ascii="宋体" w:hAnsi="宋体" w:eastAsia="宋体" w:cs="宋体"/>
                      <w:color w:val="auto"/>
                      <w:spacing w:val="-3"/>
                      <w:highlight w:val="none"/>
                    </w:rPr>
                    <w:t>供水管</w:t>
                  </w:r>
                  <w:r>
                    <w:rPr>
                      <w:color w:val="auto"/>
                      <w:spacing w:val="-3"/>
                      <w:highlight w:val="none"/>
                    </w:rPr>
                    <w:t>2580</w:t>
                  </w:r>
                  <w:r>
                    <w:rPr>
                      <w:rFonts w:ascii="宋体" w:hAnsi="宋体" w:eastAsia="宋体" w:cs="宋体"/>
                      <w:color w:val="auto"/>
                      <w:spacing w:val="-3"/>
                      <w:highlight w:val="none"/>
                    </w:rPr>
                    <w:t>吨、</w:t>
                  </w:r>
                  <w:r>
                    <w:rPr>
                      <w:color w:val="auto"/>
                      <w:spacing w:val="-3"/>
                      <w:highlight w:val="none"/>
                    </w:rPr>
                    <w:t>PVC</w:t>
                  </w:r>
                  <w:r>
                    <w:rPr>
                      <w:rFonts w:ascii="宋体" w:hAnsi="宋体" w:eastAsia="宋体" w:cs="宋体"/>
                      <w:color w:val="auto"/>
                      <w:spacing w:val="-3"/>
                      <w:highlight w:val="none"/>
                    </w:rPr>
                    <w:t>管</w:t>
                  </w:r>
                  <w:r>
                    <w:rPr>
                      <w:color w:val="auto"/>
                      <w:spacing w:val="-3"/>
                      <w:highlight w:val="none"/>
                    </w:rPr>
                    <w:t>2270</w:t>
                  </w:r>
                  <w:r>
                    <w:rPr>
                      <w:rFonts w:ascii="宋体" w:hAnsi="宋体" w:eastAsia="宋体" w:cs="宋体"/>
                      <w:color w:val="auto"/>
                      <w:spacing w:val="-3"/>
                      <w:highlight w:val="none"/>
                    </w:rPr>
                    <w:t>吨</w:t>
                  </w:r>
                </w:p>
              </w:tc>
              <w:tc>
                <w:tcPr>
                  <w:tcW w:w="962" w:type="pct"/>
                  <w:vAlign w:val="center"/>
                </w:tcPr>
                <w:p w14:paraId="573B8D0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03</w:t>
                  </w:r>
                  <w:r>
                    <w:rPr>
                      <w:rFonts w:ascii="宋体" w:hAnsi="宋体" w:eastAsia="宋体" w:cs="宋体"/>
                      <w:color w:val="auto"/>
                      <w:spacing w:val="-1"/>
                      <w:highlight w:val="none"/>
                    </w:rPr>
                    <w:t>号</w:t>
                  </w:r>
                </w:p>
              </w:tc>
            </w:tr>
            <w:tr w14:paraId="782384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678E848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64</w:t>
                  </w:r>
                </w:p>
              </w:tc>
              <w:tc>
                <w:tcPr>
                  <w:tcW w:w="854" w:type="pct"/>
                  <w:vAlign w:val="center"/>
                </w:tcPr>
                <w:p w14:paraId="3F34FD1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材通</w:t>
                  </w:r>
                  <w:r>
                    <w:rPr>
                      <w:color w:val="auto"/>
                      <w:spacing w:val="-1"/>
                      <w:highlight w:val="none"/>
                    </w:rPr>
                    <w:t>(</w:t>
                  </w:r>
                  <w:r>
                    <w:rPr>
                      <w:rFonts w:ascii="宋体" w:hAnsi="宋体" w:eastAsia="宋体" w:cs="宋体"/>
                      <w:color w:val="auto"/>
                      <w:spacing w:val="-1"/>
                      <w:highlight w:val="none"/>
                    </w:rPr>
                    <w:t>乐昌</w:t>
                  </w:r>
                  <w:r>
                    <w:rPr>
                      <w:color w:val="auto"/>
                      <w:spacing w:val="-1"/>
                      <w:highlight w:val="none"/>
                    </w:rPr>
                    <w:t>)</w:t>
                  </w:r>
                  <w:r>
                    <w:rPr>
                      <w:rFonts w:ascii="宋体" w:hAnsi="宋体" w:eastAsia="宋体" w:cs="宋体"/>
                      <w:color w:val="auto"/>
                      <w:spacing w:val="-1"/>
                      <w:highlight w:val="none"/>
                    </w:rPr>
                    <w:t>管业科技有限公司</w:t>
                  </w:r>
                </w:p>
              </w:tc>
              <w:tc>
                <w:tcPr>
                  <w:tcW w:w="283" w:type="pct"/>
                  <w:vAlign w:val="center"/>
                </w:tcPr>
                <w:p w14:paraId="6C4F539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372A8A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0AE94B4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47574.68</w:t>
                  </w:r>
                </w:p>
              </w:tc>
              <w:tc>
                <w:tcPr>
                  <w:tcW w:w="1690" w:type="pct"/>
                  <w:vAlign w:val="center"/>
                </w:tcPr>
                <w:p w14:paraId="1D71FA4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w:t>
                  </w:r>
                  <w:r>
                    <w:rPr>
                      <w:color w:val="auto"/>
                      <w:spacing w:val="-4"/>
                      <w:highlight w:val="none"/>
                    </w:rPr>
                    <w:t>PVC</w:t>
                  </w:r>
                  <w:r>
                    <w:rPr>
                      <w:rFonts w:ascii="宋体" w:hAnsi="宋体" w:eastAsia="宋体" w:cs="宋体"/>
                      <w:color w:val="auto"/>
                      <w:spacing w:val="-4"/>
                      <w:highlight w:val="none"/>
                    </w:rPr>
                    <w:t>管材</w:t>
                  </w:r>
                  <w:r>
                    <w:rPr>
                      <w:color w:val="auto"/>
                      <w:spacing w:val="-4"/>
                      <w:highlight w:val="none"/>
                    </w:rPr>
                    <w:t>16820</w:t>
                  </w:r>
                  <w:r>
                    <w:rPr>
                      <w:rFonts w:ascii="宋体" w:hAnsi="宋体" w:eastAsia="宋体" w:cs="宋体"/>
                      <w:color w:val="auto"/>
                      <w:spacing w:val="-4"/>
                      <w:highlight w:val="none"/>
                    </w:rPr>
                    <w:t>吨</w:t>
                  </w:r>
                </w:p>
              </w:tc>
              <w:tc>
                <w:tcPr>
                  <w:tcW w:w="962" w:type="pct"/>
                  <w:vAlign w:val="center"/>
                </w:tcPr>
                <w:p w14:paraId="3A79E3C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08</w:t>
                  </w:r>
                  <w:r>
                    <w:rPr>
                      <w:rFonts w:ascii="宋体" w:hAnsi="宋体" w:eastAsia="宋体" w:cs="宋体"/>
                      <w:color w:val="auto"/>
                      <w:spacing w:val="-1"/>
                      <w:highlight w:val="none"/>
                    </w:rPr>
                    <w:t>号</w:t>
                  </w:r>
                </w:p>
              </w:tc>
            </w:tr>
            <w:tr w14:paraId="4224AA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4CC3210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65</w:t>
                  </w:r>
                </w:p>
              </w:tc>
              <w:tc>
                <w:tcPr>
                  <w:tcW w:w="854" w:type="pct"/>
                  <w:vAlign w:val="center"/>
                </w:tcPr>
                <w:p w14:paraId="2B04D24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乐昌市鑫东穗汽车用品有限</w:t>
                  </w:r>
                  <w:r>
                    <w:rPr>
                      <w:rFonts w:ascii="宋体" w:hAnsi="宋体" w:eastAsia="宋体" w:cs="宋体"/>
                      <w:color w:val="auto"/>
                      <w:spacing w:val="-4"/>
                      <w:sz w:val="21"/>
                      <w:szCs w:val="21"/>
                      <w:highlight w:val="none"/>
                    </w:rPr>
                    <w:t>公司</w:t>
                  </w:r>
                </w:p>
              </w:tc>
              <w:tc>
                <w:tcPr>
                  <w:tcW w:w="283" w:type="pct"/>
                  <w:vAlign w:val="center"/>
                </w:tcPr>
                <w:p w14:paraId="474BA22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08A4D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汽车零部件及配件</w:t>
                  </w:r>
                  <w:r>
                    <w:rPr>
                      <w:rFonts w:ascii="宋体" w:hAnsi="宋体" w:eastAsia="宋体" w:cs="宋体"/>
                      <w:color w:val="auto"/>
                      <w:spacing w:val="-2"/>
                      <w:sz w:val="21"/>
                      <w:szCs w:val="21"/>
                      <w:highlight w:val="none"/>
                    </w:rPr>
                    <w:t>制造</w:t>
                  </w:r>
                </w:p>
              </w:tc>
              <w:tc>
                <w:tcPr>
                  <w:tcW w:w="385" w:type="pct"/>
                  <w:vAlign w:val="center"/>
                </w:tcPr>
                <w:p w14:paraId="085B3CF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17932.7</w:t>
                  </w:r>
                </w:p>
              </w:tc>
              <w:tc>
                <w:tcPr>
                  <w:tcW w:w="1690" w:type="pct"/>
                  <w:vAlign w:val="center"/>
                </w:tcPr>
                <w:p w14:paraId="3012EC4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年产汽车零配件</w:t>
                  </w:r>
                  <w:r>
                    <w:rPr>
                      <w:color w:val="auto"/>
                      <w:spacing w:val="-1"/>
                      <w:highlight w:val="none"/>
                    </w:rPr>
                    <w:t>30</w:t>
                  </w:r>
                  <w:r>
                    <w:rPr>
                      <w:rFonts w:ascii="宋体" w:hAnsi="宋体" w:eastAsia="宋体" w:cs="宋体"/>
                      <w:color w:val="auto"/>
                      <w:spacing w:val="-1"/>
                      <w:highlight w:val="none"/>
                    </w:rPr>
                    <w:t>万套</w:t>
                  </w:r>
                </w:p>
              </w:tc>
              <w:tc>
                <w:tcPr>
                  <w:tcW w:w="962" w:type="pct"/>
                  <w:vAlign w:val="center"/>
                </w:tcPr>
                <w:p w14:paraId="1CB48EF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02</w:t>
                  </w:r>
                  <w:r>
                    <w:rPr>
                      <w:rFonts w:ascii="宋体" w:hAnsi="宋体" w:eastAsia="宋体" w:cs="宋体"/>
                      <w:color w:val="auto"/>
                      <w:spacing w:val="-1"/>
                      <w:highlight w:val="none"/>
                    </w:rPr>
                    <w:t>号、韶环乐审</w:t>
                  </w:r>
                  <w:r>
                    <w:rPr>
                      <w:rFonts w:ascii="宋体" w:hAnsi="宋体" w:eastAsia="宋体" w:cs="宋体"/>
                      <w:color w:val="auto"/>
                      <w:spacing w:val="-4"/>
                      <w:highlight w:val="none"/>
                    </w:rPr>
                    <w:t>〔</w:t>
                  </w:r>
                  <w:r>
                    <w:rPr>
                      <w:color w:val="auto"/>
                      <w:spacing w:val="-4"/>
                      <w:highlight w:val="none"/>
                    </w:rPr>
                    <w:t>2024</w:t>
                  </w:r>
                  <w:r>
                    <w:rPr>
                      <w:rFonts w:ascii="宋体" w:hAnsi="宋体" w:eastAsia="宋体" w:cs="宋体"/>
                      <w:color w:val="auto"/>
                      <w:spacing w:val="-4"/>
                      <w:highlight w:val="none"/>
                    </w:rPr>
                    <w:t>〕</w:t>
                  </w:r>
                  <w:r>
                    <w:rPr>
                      <w:color w:val="auto"/>
                      <w:spacing w:val="-4"/>
                      <w:highlight w:val="none"/>
                    </w:rPr>
                    <w:t>23</w:t>
                  </w:r>
                  <w:r>
                    <w:rPr>
                      <w:rFonts w:ascii="宋体" w:hAnsi="宋体" w:eastAsia="宋体" w:cs="宋体"/>
                      <w:color w:val="auto"/>
                      <w:spacing w:val="-4"/>
                      <w:highlight w:val="none"/>
                    </w:rPr>
                    <w:t>号</w:t>
                  </w:r>
                </w:p>
              </w:tc>
            </w:tr>
            <w:tr w14:paraId="7A25D6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3FC9A22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66</w:t>
                  </w:r>
                </w:p>
              </w:tc>
              <w:tc>
                <w:tcPr>
                  <w:tcW w:w="854" w:type="pct"/>
                  <w:vAlign w:val="center"/>
                </w:tcPr>
                <w:p w14:paraId="594AA51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杨氏婴童用品</w:t>
                  </w:r>
                  <w:r>
                    <w:rPr>
                      <w:color w:val="auto"/>
                      <w:spacing w:val="-1"/>
                      <w:highlight w:val="none"/>
                    </w:rPr>
                    <w:t>(</w:t>
                  </w:r>
                  <w:r>
                    <w:rPr>
                      <w:rFonts w:ascii="宋体" w:hAnsi="宋体" w:eastAsia="宋体" w:cs="宋体"/>
                      <w:color w:val="auto"/>
                      <w:spacing w:val="-1"/>
                      <w:highlight w:val="none"/>
                    </w:rPr>
                    <w:t>广东</w:t>
                  </w:r>
                  <w:r>
                    <w:rPr>
                      <w:color w:val="auto"/>
                      <w:spacing w:val="-1"/>
                      <w:highlight w:val="none"/>
                    </w:rPr>
                    <w:t>)</w:t>
                  </w:r>
                  <w:r>
                    <w:rPr>
                      <w:rFonts w:ascii="宋体" w:hAnsi="宋体" w:eastAsia="宋体" w:cs="宋体"/>
                      <w:color w:val="auto"/>
                      <w:spacing w:val="-1"/>
                      <w:highlight w:val="none"/>
                    </w:rPr>
                    <w:t>有限公司</w:t>
                  </w:r>
                </w:p>
              </w:tc>
              <w:tc>
                <w:tcPr>
                  <w:tcW w:w="283" w:type="pct"/>
                  <w:vAlign w:val="center"/>
                </w:tcPr>
                <w:p w14:paraId="71DD40F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0DF2A6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4954509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20215.42</w:t>
                  </w:r>
                </w:p>
              </w:tc>
              <w:tc>
                <w:tcPr>
                  <w:tcW w:w="1690" w:type="pct"/>
                  <w:vAlign w:val="center"/>
                </w:tcPr>
                <w:p w14:paraId="2A5F635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年产奶瓶、水杯</w:t>
                  </w:r>
                  <w:r>
                    <w:rPr>
                      <w:color w:val="auto"/>
                      <w:spacing w:val="-1"/>
                      <w:highlight w:val="none"/>
                    </w:rPr>
                    <w:t>600</w:t>
                  </w:r>
                  <w:r>
                    <w:rPr>
                      <w:rFonts w:ascii="宋体" w:hAnsi="宋体" w:eastAsia="宋体" w:cs="宋体"/>
                      <w:color w:val="auto"/>
                      <w:spacing w:val="-1"/>
                      <w:highlight w:val="none"/>
                    </w:rPr>
                    <w:t>万件</w:t>
                  </w:r>
                </w:p>
              </w:tc>
              <w:tc>
                <w:tcPr>
                  <w:tcW w:w="962" w:type="pct"/>
                  <w:vAlign w:val="center"/>
                </w:tcPr>
                <w:p w14:paraId="2908DFC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06</w:t>
                  </w:r>
                  <w:r>
                    <w:rPr>
                      <w:rFonts w:ascii="宋体" w:hAnsi="宋体" w:eastAsia="宋体" w:cs="宋体"/>
                      <w:color w:val="auto"/>
                      <w:spacing w:val="-1"/>
                      <w:highlight w:val="none"/>
                    </w:rPr>
                    <w:t>号</w:t>
                  </w:r>
                </w:p>
              </w:tc>
            </w:tr>
            <w:tr w14:paraId="731FC3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3243C6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67</w:t>
                  </w:r>
                </w:p>
              </w:tc>
              <w:tc>
                <w:tcPr>
                  <w:tcW w:w="854" w:type="pct"/>
                  <w:vAlign w:val="center"/>
                </w:tcPr>
                <w:p w14:paraId="12E985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广东邦嘉硅胶科技有限公司</w:t>
                  </w:r>
                </w:p>
              </w:tc>
              <w:tc>
                <w:tcPr>
                  <w:tcW w:w="283" w:type="pct"/>
                  <w:vAlign w:val="center"/>
                </w:tcPr>
                <w:p w14:paraId="1B7718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3EDC77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156CF4A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36000</w:t>
                  </w:r>
                </w:p>
              </w:tc>
              <w:tc>
                <w:tcPr>
                  <w:tcW w:w="1690" w:type="pct"/>
                  <w:vAlign w:val="center"/>
                </w:tcPr>
                <w:p w14:paraId="41E469E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5"/>
                      <w:highlight w:val="none"/>
                    </w:rPr>
                    <w:t>年产固体硅胶</w:t>
                  </w:r>
                  <w:r>
                    <w:rPr>
                      <w:color w:val="auto"/>
                      <w:spacing w:val="-5"/>
                      <w:highlight w:val="none"/>
                    </w:rPr>
                    <w:t>300</w:t>
                  </w:r>
                  <w:r>
                    <w:rPr>
                      <w:rFonts w:ascii="宋体" w:hAnsi="宋体" w:eastAsia="宋体" w:cs="宋体"/>
                      <w:color w:val="auto"/>
                      <w:spacing w:val="-5"/>
                      <w:highlight w:val="none"/>
                    </w:rPr>
                    <w:t>吨、注塑件</w:t>
                  </w:r>
                  <w:r>
                    <w:rPr>
                      <w:color w:val="auto"/>
                      <w:spacing w:val="-5"/>
                      <w:highlight w:val="none"/>
                    </w:rPr>
                    <w:t>300</w:t>
                  </w:r>
                  <w:r>
                    <w:rPr>
                      <w:rFonts w:ascii="宋体" w:hAnsi="宋体" w:eastAsia="宋体" w:cs="宋体"/>
                      <w:color w:val="auto"/>
                      <w:spacing w:val="-5"/>
                      <w:highlight w:val="none"/>
                    </w:rPr>
                    <w:t>万件、硅胶件（奶嘴）</w:t>
                  </w:r>
                  <w:r>
                    <w:rPr>
                      <w:color w:val="auto"/>
                      <w:spacing w:val="-5"/>
                      <w:highlight w:val="none"/>
                    </w:rPr>
                    <w:t>100</w:t>
                  </w:r>
                  <w:r>
                    <w:rPr>
                      <w:rFonts w:ascii="宋体" w:hAnsi="宋体" w:eastAsia="宋体" w:cs="宋体"/>
                      <w:color w:val="auto"/>
                      <w:spacing w:val="-2"/>
                      <w:highlight w:val="none"/>
                    </w:rPr>
                    <w:t>万个、玻璃奶瓶</w:t>
                  </w:r>
                  <w:r>
                    <w:rPr>
                      <w:color w:val="auto"/>
                      <w:spacing w:val="-2"/>
                      <w:highlight w:val="none"/>
                    </w:rPr>
                    <w:t>100</w:t>
                  </w:r>
                  <w:r>
                    <w:rPr>
                      <w:rFonts w:ascii="宋体" w:hAnsi="宋体" w:eastAsia="宋体" w:cs="宋体"/>
                      <w:color w:val="auto"/>
                      <w:spacing w:val="-2"/>
                      <w:highlight w:val="none"/>
                    </w:rPr>
                    <w:t>万个、硅胶护层产品</w:t>
                  </w:r>
                  <w:r>
                    <w:rPr>
                      <w:color w:val="auto"/>
                      <w:spacing w:val="-2"/>
                      <w:highlight w:val="none"/>
                    </w:rPr>
                    <w:t>100</w:t>
                  </w:r>
                  <w:r>
                    <w:rPr>
                      <w:rFonts w:ascii="宋体" w:hAnsi="宋体" w:eastAsia="宋体" w:cs="宋体"/>
                      <w:color w:val="auto"/>
                      <w:spacing w:val="-3"/>
                      <w:highlight w:val="none"/>
                    </w:rPr>
                    <w:t>万件</w:t>
                  </w:r>
                </w:p>
              </w:tc>
              <w:tc>
                <w:tcPr>
                  <w:tcW w:w="962" w:type="pct"/>
                  <w:vAlign w:val="center"/>
                </w:tcPr>
                <w:p w14:paraId="42CD0EF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韶关乐审〔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03</w:t>
                  </w:r>
                  <w:r>
                    <w:rPr>
                      <w:rFonts w:ascii="宋体" w:hAnsi="宋体" w:eastAsia="宋体" w:cs="宋体"/>
                      <w:color w:val="auto"/>
                      <w:spacing w:val="-1"/>
                      <w:highlight w:val="none"/>
                    </w:rPr>
                    <w:t>号</w:t>
                  </w:r>
                </w:p>
              </w:tc>
            </w:tr>
            <w:tr w14:paraId="508C7F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C4598D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68</w:t>
                  </w:r>
                </w:p>
              </w:tc>
              <w:tc>
                <w:tcPr>
                  <w:tcW w:w="854" w:type="pct"/>
                  <w:vAlign w:val="center"/>
                </w:tcPr>
                <w:p w14:paraId="735B912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广东奕宸汽车科技有限公司</w:t>
                  </w:r>
                </w:p>
              </w:tc>
              <w:tc>
                <w:tcPr>
                  <w:tcW w:w="283" w:type="pct"/>
                  <w:vAlign w:val="center"/>
                </w:tcPr>
                <w:p w14:paraId="3CBD80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435607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汽车零部件及配件</w:t>
                  </w:r>
                  <w:r>
                    <w:rPr>
                      <w:rFonts w:ascii="宋体" w:hAnsi="宋体" w:eastAsia="宋体" w:cs="宋体"/>
                      <w:color w:val="auto"/>
                      <w:spacing w:val="-2"/>
                      <w:sz w:val="21"/>
                      <w:szCs w:val="21"/>
                      <w:highlight w:val="none"/>
                    </w:rPr>
                    <w:t>制造</w:t>
                  </w:r>
                </w:p>
              </w:tc>
              <w:tc>
                <w:tcPr>
                  <w:tcW w:w="385" w:type="pct"/>
                  <w:vAlign w:val="center"/>
                </w:tcPr>
                <w:p w14:paraId="447DB00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33915.52</w:t>
                  </w:r>
                </w:p>
              </w:tc>
              <w:tc>
                <w:tcPr>
                  <w:tcW w:w="1690" w:type="pct"/>
                  <w:vAlign w:val="center"/>
                </w:tcPr>
                <w:p w14:paraId="395F383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年产汽车散热器</w:t>
                  </w:r>
                  <w:r>
                    <w:rPr>
                      <w:color w:val="auto"/>
                      <w:spacing w:val="-1"/>
                      <w:highlight w:val="none"/>
                    </w:rPr>
                    <w:t>50</w:t>
                  </w:r>
                  <w:r>
                    <w:rPr>
                      <w:rFonts w:ascii="宋体" w:hAnsi="宋体" w:eastAsia="宋体" w:cs="宋体"/>
                      <w:color w:val="auto"/>
                      <w:spacing w:val="-1"/>
                      <w:highlight w:val="none"/>
                    </w:rPr>
                    <w:t>万件</w:t>
                  </w:r>
                </w:p>
              </w:tc>
              <w:tc>
                <w:tcPr>
                  <w:tcW w:w="962" w:type="pct"/>
                  <w:vAlign w:val="center"/>
                </w:tcPr>
                <w:p w14:paraId="0EFA40E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2022</w:t>
                  </w:r>
                  <w:r>
                    <w:rPr>
                      <w:rFonts w:ascii="宋体" w:hAnsi="宋体" w:eastAsia="宋体" w:cs="宋体"/>
                      <w:color w:val="auto"/>
                      <w:spacing w:val="-1"/>
                      <w:highlight w:val="none"/>
                    </w:rPr>
                    <w:t>〕</w:t>
                  </w:r>
                  <w:r>
                    <w:rPr>
                      <w:color w:val="auto"/>
                      <w:spacing w:val="-1"/>
                      <w:highlight w:val="none"/>
                    </w:rPr>
                    <w:t>28</w:t>
                  </w:r>
                  <w:r>
                    <w:rPr>
                      <w:rFonts w:ascii="宋体" w:hAnsi="宋体" w:eastAsia="宋体" w:cs="宋体"/>
                      <w:color w:val="auto"/>
                      <w:spacing w:val="-1"/>
                      <w:highlight w:val="none"/>
                    </w:rPr>
                    <w:t>号</w:t>
                  </w:r>
                </w:p>
              </w:tc>
            </w:tr>
            <w:tr w14:paraId="64DF8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516302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69</w:t>
                  </w:r>
                </w:p>
              </w:tc>
              <w:tc>
                <w:tcPr>
                  <w:tcW w:w="854" w:type="pct"/>
                  <w:vAlign w:val="center"/>
                </w:tcPr>
                <w:p w14:paraId="6C6D35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广东熙诚环保科技有限公司</w:t>
                  </w:r>
                </w:p>
              </w:tc>
              <w:tc>
                <w:tcPr>
                  <w:tcW w:w="283" w:type="pct"/>
                  <w:vAlign w:val="center"/>
                </w:tcPr>
                <w:p w14:paraId="20C979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EC6C8E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691AA73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13335</w:t>
                  </w:r>
                </w:p>
              </w:tc>
              <w:tc>
                <w:tcPr>
                  <w:tcW w:w="1690" w:type="pct"/>
                  <w:vAlign w:val="center"/>
                </w:tcPr>
                <w:p w14:paraId="091DF6D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年产</w:t>
                  </w:r>
                  <w:r>
                    <w:rPr>
                      <w:color w:val="auto"/>
                      <w:spacing w:val="-4"/>
                      <w:highlight w:val="none"/>
                    </w:rPr>
                    <w:t>PP</w:t>
                  </w:r>
                  <w:r>
                    <w:rPr>
                      <w:rFonts w:ascii="宋体" w:hAnsi="宋体" w:eastAsia="宋体" w:cs="宋体"/>
                      <w:color w:val="auto"/>
                      <w:spacing w:val="-4"/>
                      <w:highlight w:val="none"/>
                    </w:rPr>
                    <w:t>喷淋塔</w:t>
                  </w:r>
                  <w:r>
                    <w:rPr>
                      <w:color w:val="auto"/>
                      <w:spacing w:val="-4"/>
                      <w:highlight w:val="none"/>
                    </w:rPr>
                    <w:t>500</w:t>
                  </w:r>
                  <w:r>
                    <w:rPr>
                      <w:rFonts w:ascii="宋体" w:hAnsi="宋体" w:eastAsia="宋体" w:cs="宋体"/>
                      <w:color w:val="auto"/>
                      <w:spacing w:val="-4"/>
                      <w:highlight w:val="none"/>
                    </w:rPr>
                    <w:t>台、</w:t>
                  </w:r>
                  <w:r>
                    <w:rPr>
                      <w:color w:val="auto"/>
                      <w:spacing w:val="-4"/>
                      <w:highlight w:val="none"/>
                    </w:rPr>
                    <w:t>PP</w:t>
                  </w:r>
                  <w:r>
                    <w:rPr>
                      <w:rFonts w:ascii="宋体" w:hAnsi="宋体" w:eastAsia="宋体" w:cs="宋体"/>
                      <w:color w:val="auto"/>
                      <w:spacing w:val="-4"/>
                      <w:highlight w:val="none"/>
                    </w:rPr>
                    <w:t>活性炭吸附箱</w:t>
                  </w:r>
                  <w:r>
                    <w:rPr>
                      <w:color w:val="auto"/>
                      <w:spacing w:val="-4"/>
                      <w:highlight w:val="none"/>
                    </w:rPr>
                    <w:t>500</w:t>
                  </w:r>
                  <w:r>
                    <w:rPr>
                      <w:rFonts w:ascii="宋体" w:hAnsi="宋体" w:eastAsia="宋体" w:cs="宋体"/>
                      <w:color w:val="auto"/>
                      <w:spacing w:val="-4"/>
                      <w:highlight w:val="none"/>
                    </w:rPr>
                    <w:t>台</w:t>
                  </w:r>
                </w:p>
              </w:tc>
              <w:tc>
                <w:tcPr>
                  <w:tcW w:w="962" w:type="pct"/>
                  <w:vAlign w:val="center"/>
                </w:tcPr>
                <w:p w14:paraId="6CB54DA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09</w:t>
                  </w:r>
                  <w:r>
                    <w:rPr>
                      <w:rFonts w:ascii="宋体" w:hAnsi="宋体" w:eastAsia="宋体" w:cs="宋体"/>
                      <w:color w:val="auto"/>
                      <w:spacing w:val="-1"/>
                      <w:highlight w:val="none"/>
                    </w:rPr>
                    <w:t>号</w:t>
                  </w:r>
                </w:p>
              </w:tc>
            </w:tr>
            <w:tr w14:paraId="37458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29CCA82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70</w:t>
                  </w:r>
                </w:p>
              </w:tc>
              <w:tc>
                <w:tcPr>
                  <w:tcW w:w="854" w:type="pct"/>
                  <w:vAlign w:val="center"/>
                </w:tcPr>
                <w:p w14:paraId="7D0CBF7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韶关市盛源优贝橡塑制品有</w:t>
                  </w:r>
                  <w:r>
                    <w:rPr>
                      <w:rFonts w:ascii="宋体" w:hAnsi="宋体" w:eastAsia="宋体" w:cs="宋体"/>
                      <w:color w:val="auto"/>
                      <w:spacing w:val="-5"/>
                      <w:sz w:val="21"/>
                      <w:szCs w:val="21"/>
                      <w:highlight w:val="none"/>
                    </w:rPr>
                    <w:t>限公司</w:t>
                  </w:r>
                </w:p>
              </w:tc>
              <w:tc>
                <w:tcPr>
                  <w:tcW w:w="283" w:type="pct"/>
                  <w:vAlign w:val="center"/>
                </w:tcPr>
                <w:p w14:paraId="6A64C0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63030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1F32F69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6664</w:t>
                  </w:r>
                </w:p>
              </w:tc>
              <w:tc>
                <w:tcPr>
                  <w:tcW w:w="1690" w:type="pct"/>
                  <w:vAlign w:val="center"/>
                </w:tcPr>
                <w:p w14:paraId="3D74828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年产硅胶件</w:t>
                  </w:r>
                  <w:r>
                    <w:rPr>
                      <w:color w:val="auto"/>
                      <w:spacing w:val="-2"/>
                      <w:highlight w:val="none"/>
                    </w:rPr>
                    <w:t>330</w:t>
                  </w:r>
                  <w:r>
                    <w:rPr>
                      <w:rFonts w:ascii="宋体" w:hAnsi="宋体" w:eastAsia="宋体" w:cs="宋体"/>
                      <w:color w:val="auto"/>
                      <w:spacing w:val="-2"/>
                      <w:highlight w:val="none"/>
                    </w:rPr>
                    <w:t>万个、注塑件</w:t>
                  </w:r>
                  <w:r>
                    <w:rPr>
                      <w:color w:val="auto"/>
                      <w:spacing w:val="-2"/>
                      <w:highlight w:val="none"/>
                    </w:rPr>
                    <w:t>200</w:t>
                  </w:r>
                  <w:r>
                    <w:rPr>
                      <w:rFonts w:ascii="宋体" w:hAnsi="宋体" w:eastAsia="宋体" w:cs="宋体"/>
                      <w:color w:val="auto"/>
                      <w:spacing w:val="-2"/>
                      <w:highlight w:val="none"/>
                    </w:rPr>
                    <w:t>万个、吹瓶件</w:t>
                  </w:r>
                  <w:r>
                    <w:rPr>
                      <w:color w:val="auto"/>
                      <w:spacing w:val="-2"/>
                      <w:highlight w:val="none"/>
                    </w:rPr>
                    <w:t>602</w:t>
                  </w:r>
                  <w:r>
                    <w:rPr>
                      <w:rFonts w:ascii="宋体" w:hAnsi="宋体" w:eastAsia="宋体" w:cs="宋体"/>
                      <w:color w:val="auto"/>
                      <w:spacing w:val="-2"/>
                      <w:highlight w:val="none"/>
                    </w:rPr>
                    <w:t>万个</w:t>
                  </w:r>
                </w:p>
              </w:tc>
              <w:tc>
                <w:tcPr>
                  <w:tcW w:w="962" w:type="pct"/>
                  <w:vAlign w:val="center"/>
                </w:tcPr>
                <w:p w14:paraId="4ACF0A3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韶关乐审〔</w:t>
                  </w:r>
                  <w:r>
                    <w:rPr>
                      <w:color w:val="auto"/>
                      <w:spacing w:val="-1"/>
                      <w:highlight w:val="none"/>
                    </w:rPr>
                    <w:t>2022</w:t>
                  </w:r>
                  <w:r>
                    <w:rPr>
                      <w:rFonts w:ascii="宋体" w:hAnsi="宋体" w:eastAsia="宋体" w:cs="宋体"/>
                      <w:color w:val="auto"/>
                      <w:spacing w:val="-1"/>
                      <w:highlight w:val="none"/>
                    </w:rPr>
                    <w:t>〕</w:t>
                  </w:r>
                  <w:r>
                    <w:rPr>
                      <w:color w:val="auto"/>
                      <w:spacing w:val="-1"/>
                      <w:highlight w:val="none"/>
                    </w:rPr>
                    <w:t>33</w:t>
                  </w:r>
                  <w:r>
                    <w:rPr>
                      <w:rFonts w:ascii="宋体" w:hAnsi="宋体" w:eastAsia="宋体" w:cs="宋体"/>
                      <w:color w:val="auto"/>
                      <w:spacing w:val="-1"/>
                      <w:highlight w:val="none"/>
                    </w:rPr>
                    <w:t>号</w:t>
                  </w:r>
                </w:p>
              </w:tc>
            </w:tr>
            <w:tr w14:paraId="7EC4B8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3360A89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71</w:t>
                  </w:r>
                </w:p>
              </w:tc>
              <w:tc>
                <w:tcPr>
                  <w:tcW w:w="854" w:type="pct"/>
                  <w:vAlign w:val="center"/>
                </w:tcPr>
                <w:p w14:paraId="0B56ED5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韶关市南源铜材有限公司</w:t>
                  </w:r>
                </w:p>
              </w:tc>
              <w:tc>
                <w:tcPr>
                  <w:tcW w:w="283" w:type="pct"/>
                  <w:vAlign w:val="center"/>
                </w:tcPr>
                <w:p w14:paraId="6644CFE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BA0037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02E521B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44981.3</w:t>
                  </w:r>
                </w:p>
              </w:tc>
              <w:tc>
                <w:tcPr>
                  <w:tcW w:w="1690" w:type="pct"/>
                  <w:vAlign w:val="center"/>
                </w:tcPr>
                <w:p w14:paraId="724FD51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年产含铅黄铜棒</w:t>
                  </w:r>
                  <w:r>
                    <w:rPr>
                      <w:color w:val="auto"/>
                      <w:spacing w:val="-3"/>
                      <w:highlight w:val="none"/>
                    </w:rPr>
                    <w:t>18000</w:t>
                  </w:r>
                  <w:r>
                    <w:rPr>
                      <w:rFonts w:ascii="宋体" w:hAnsi="宋体" w:eastAsia="宋体" w:cs="宋体"/>
                      <w:color w:val="auto"/>
                      <w:spacing w:val="-3"/>
                      <w:highlight w:val="none"/>
                    </w:rPr>
                    <w:t>吨、无铅黄铜棒</w:t>
                  </w:r>
                  <w:r>
                    <w:rPr>
                      <w:color w:val="auto"/>
                      <w:spacing w:val="-3"/>
                      <w:highlight w:val="none"/>
                    </w:rPr>
                    <w:t>12000</w:t>
                  </w:r>
                  <w:r>
                    <w:rPr>
                      <w:rFonts w:ascii="宋体" w:hAnsi="宋体" w:eastAsia="宋体" w:cs="宋体"/>
                      <w:color w:val="auto"/>
                      <w:spacing w:val="-3"/>
                      <w:highlight w:val="none"/>
                    </w:rPr>
                    <w:t>吨</w:t>
                  </w:r>
                </w:p>
              </w:tc>
              <w:tc>
                <w:tcPr>
                  <w:tcW w:w="962" w:type="pct"/>
                  <w:vAlign w:val="center"/>
                </w:tcPr>
                <w:p w14:paraId="6AED230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21</w:t>
                  </w:r>
                  <w:r>
                    <w:rPr>
                      <w:rFonts w:ascii="宋体" w:hAnsi="宋体" w:eastAsia="宋体" w:cs="宋体"/>
                      <w:color w:val="auto"/>
                      <w:spacing w:val="-1"/>
                      <w:highlight w:val="none"/>
                    </w:rPr>
                    <w:t>号</w:t>
                  </w:r>
                </w:p>
              </w:tc>
            </w:tr>
            <w:tr w14:paraId="678EDD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D8517F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72</w:t>
                  </w:r>
                </w:p>
              </w:tc>
              <w:tc>
                <w:tcPr>
                  <w:tcW w:w="854" w:type="pct"/>
                  <w:vAlign w:val="center"/>
                </w:tcPr>
                <w:p w14:paraId="1A4AF34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6"/>
                      <w:sz w:val="21"/>
                      <w:szCs w:val="21"/>
                      <w:highlight w:val="none"/>
                    </w:rPr>
                    <w:t>碧宏自动化（广东）有限责任</w:t>
                  </w:r>
                  <w:r>
                    <w:rPr>
                      <w:rFonts w:ascii="宋体" w:hAnsi="宋体" w:eastAsia="宋体" w:cs="宋体"/>
                      <w:color w:val="auto"/>
                      <w:spacing w:val="-4"/>
                      <w:sz w:val="21"/>
                      <w:szCs w:val="21"/>
                      <w:highlight w:val="none"/>
                    </w:rPr>
                    <w:t>公司</w:t>
                  </w:r>
                </w:p>
              </w:tc>
              <w:tc>
                <w:tcPr>
                  <w:tcW w:w="283" w:type="pct"/>
                  <w:vAlign w:val="center"/>
                </w:tcPr>
                <w:p w14:paraId="05443F9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06E098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5"/>
                      <w:sz w:val="21"/>
                      <w:szCs w:val="21"/>
                      <w:highlight w:val="none"/>
                    </w:rPr>
                    <w:t>通用设备制造业、</w:t>
                  </w:r>
                  <w:r>
                    <w:rPr>
                      <w:rFonts w:ascii="宋体" w:hAnsi="宋体" w:eastAsia="宋体" w:cs="宋体"/>
                      <w:color w:val="auto"/>
                      <w:spacing w:val="-1"/>
                      <w:sz w:val="21"/>
                      <w:szCs w:val="21"/>
                      <w:highlight w:val="none"/>
                    </w:rPr>
                    <w:t>专用设备制造业</w:t>
                  </w:r>
                </w:p>
              </w:tc>
              <w:tc>
                <w:tcPr>
                  <w:tcW w:w="385" w:type="pct"/>
                  <w:vAlign w:val="center"/>
                </w:tcPr>
                <w:p w14:paraId="7D1737F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31172.2</w:t>
                  </w:r>
                </w:p>
              </w:tc>
              <w:tc>
                <w:tcPr>
                  <w:tcW w:w="1690" w:type="pct"/>
                  <w:vAlign w:val="center"/>
                </w:tcPr>
                <w:p w14:paraId="472BB0A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8"/>
                      <w:highlight w:val="none"/>
                    </w:rPr>
                    <w:t>年产椭圆印花机</w:t>
                  </w:r>
                  <w:r>
                    <w:rPr>
                      <w:color w:val="auto"/>
                      <w:spacing w:val="-8"/>
                      <w:highlight w:val="none"/>
                    </w:rPr>
                    <w:t>500</w:t>
                  </w:r>
                  <w:r>
                    <w:rPr>
                      <w:rFonts w:ascii="宋体" w:hAnsi="宋体" w:eastAsia="宋体" w:cs="宋体"/>
                      <w:color w:val="auto"/>
                      <w:spacing w:val="-8"/>
                      <w:highlight w:val="none"/>
                    </w:rPr>
                    <w:t>台、数码印花机</w:t>
                  </w:r>
                  <w:r>
                    <w:rPr>
                      <w:color w:val="auto"/>
                      <w:spacing w:val="-8"/>
                      <w:highlight w:val="none"/>
                    </w:rPr>
                    <w:t>100</w:t>
                  </w:r>
                  <w:r>
                    <w:rPr>
                      <w:rFonts w:ascii="宋体" w:hAnsi="宋体" w:eastAsia="宋体" w:cs="宋体"/>
                      <w:color w:val="auto"/>
                      <w:spacing w:val="-8"/>
                      <w:highlight w:val="none"/>
                    </w:rPr>
                    <w:t>台、拉网机</w:t>
                  </w:r>
                  <w:r>
                    <w:rPr>
                      <w:color w:val="auto"/>
                      <w:spacing w:val="-8"/>
                      <w:highlight w:val="none"/>
                    </w:rPr>
                    <w:t>100</w:t>
                  </w:r>
                  <w:r>
                    <w:rPr>
                      <w:rFonts w:ascii="宋体" w:hAnsi="宋体" w:eastAsia="宋体" w:cs="宋体"/>
                      <w:color w:val="auto"/>
                      <w:spacing w:val="-8"/>
                      <w:highlight w:val="none"/>
                    </w:rPr>
                    <w:t>台、</w:t>
                  </w:r>
                  <w:r>
                    <w:rPr>
                      <w:rFonts w:ascii="宋体" w:hAnsi="宋体" w:eastAsia="宋体" w:cs="宋体"/>
                      <w:color w:val="auto"/>
                      <w:spacing w:val="-2"/>
                      <w:highlight w:val="none"/>
                    </w:rPr>
                    <w:t>激光切割机</w:t>
                  </w:r>
                  <w:r>
                    <w:rPr>
                      <w:color w:val="auto"/>
                      <w:spacing w:val="-2"/>
                      <w:highlight w:val="none"/>
                    </w:rPr>
                    <w:t>300</w:t>
                  </w:r>
                  <w:r>
                    <w:rPr>
                      <w:rFonts w:ascii="宋体" w:hAnsi="宋体" w:eastAsia="宋体" w:cs="宋体"/>
                      <w:color w:val="auto"/>
                      <w:spacing w:val="-2"/>
                      <w:highlight w:val="none"/>
                    </w:rPr>
                    <w:t>台</w:t>
                  </w:r>
                </w:p>
              </w:tc>
              <w:tc>
                <w:tcPr>
                  <w:tcW w:w="962" w:type="pct"/>
                  <w:vAlign w:val="center"/>
                </w:tcPr>
                <w:p w14:paraId="191878A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10</w:t>
                  </w:r>
                  <w:r>
                    <w:rPr>
                      <w:rFonts w:ascii="宋体" w:hAnsi="宋体" w:eastAsia="宋体" w:cs="宋体"/>
                      <w:color w:val="auto"/>
                      <w:spacing w:val="-1"/>
                      <w:highlight w:val="none"/>
                    </w:rPr>
                    <w:t>号</w:t>
                  </w:r>
                </w:p>
              </w:tc>
            </w:tr>
            <w:tr w14:paraId="2B217A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3E53FB5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73</w:t>
                  </w:r>
                </w:p>
              </w:tc>
              <w:tc>
                <w:tcPr>
                  <w:tcW w:w="854" w:type="pct"/>
                  <w:vAlign w:val="center"/>
                </w:tcPr>
                <w:p w14:paraId="1F0703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广东冠益灯饰有限公司</w:t>
                  </w:r>
                </w:p>
              </w:tc>
              <w:tc>
                <w:tcPr>
                  <w:tcW w:w="283" w:type="pct"/>
                  <w:vAlign w:val="center"/>
                </w:tcPr>
                <w:p w14:paraId="1152BE5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2E5AD9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电气机械和器材制</w:t>
                  </w:r>
                  <w:r>
                    <w:rPr>
                      <w:rFonts w:ascii="宋体" w:hAnsi="宋体" w:eastAsia="宋体" w:cs="宋体"/>
                      <w:color w:val="auto"/>
                      <w:spacing w:val="-2"/>
                      <w:sz w:val="21"/>
                      <w:szCs w:val="21"/>
                      <w:highlight w:val="none"/>
                    </w:rPr>
                    <w:t>造业</w:t>
                  </w:r>
                </w:p>
              </w:tc>
              <w:tc>
                <w:tcPr>
                  <w:tcW w:w="385" w:type="pct"/>
                  <w:vAlign w:val="center"/>
                </w:tcPr>
                <w:p w14:paraId="73AB776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13333.4</w:t>
                  </w:r>
                </w:p>
              </w:tc>
              <w:tc>
                <w:tcPr>
                  <w:tcW w:w="1690" w:type="pct"/>
                  <w:vAlign w:val="center"/>
                </w:tcPr>
                <w:p w14:paraId="14BE238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年产灯串</w:t>
                  </w:r>
                  <w:r>
                    <w:rPr>
                      <w:color w:val="auto"/>
                      <w:spacing w:val="-3"/>
                      <w:highlight w:val="none"/>
                    </w:rPr>
                    <w:t>200</w:t>
                  </w:r>
                  <w:r>
                    <w:rPr>
                      <w:rFonts w:ascii="宋体" w:hAnsi="宋体" w:eastAsia="宋体" w:cs="宋体"/>
                      <w:color w:val="auto"/>
                      <w:spacing w:val="-3"/>
                      <w:highlight w:val="none"/>
                    </w:rPr>
                    <w:t>万套</w:t>
                  </w:r>
                </w:p>
              </w:tc>
              <w:tc>
                <w:tcPr>
                  <w:tcW w:w="962" w:type="pct"/>
                  <w:vAlign w:val="center"/>
                </w:tcPr>
                <w:p w14:paraId="0ADD5F1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2024</w:t>
                  </w:r>
                  <w:r>
                    <w:rPr>
                      <w:rFonts w:ascii="宋体" w:hAnsi="宋体" w:eastAsia="宋体" w:cs="宋体"/>
                      <w:color w:val="auto"/>
                      <w:spacing w:val="-1"/>
                      <w:highlight w:val="none"/>
                    </w:rPr>
                    <w:t>〕</w:t>
                  </w:r>
                  <w:r>
                    <w:rPr>
                      <w:color w:val="auto"/>
                      <w:spacing w:val="-1"/>
                      <w:highlight w:val="none"/>
                    </w:rPr>
                    <w:t>06</w:t>
                  </w:r>
                  <w:r>
                    <w:rPr>
                      <w:rFonts w:ascii="宋体" w:hAnsi="宋体" w:eastAsia="宋体" w:cs="宋体"/>
                      <w:color w:val="auto"/>
                      <w:spacing w:val="-1"/>
                      <w:highlight w:val="none"/>
                    </w:rPr>
                    <w:t>号</w:t>
                  </w:r>
                </w:p>
              </w:tc>
            </w:tr>
            <w:tr w14:paraId="18405D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2AF42C7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74</w:t>
                  </w:r>
                </w:p>
              </w:tc>
              <w:tc>
                <w:tcPr>
                  <w:tcW w:w="854" w:type="pct"/>
                  <w:vAlign w:val="center"/>
                </w:tcPr>
                <w:p w14:paraId="1DCEB66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韶关三和磁材电子有限公司</w:t>
                  </w:r>
                </w:p>
              </w:tc>
              <w:tc>
                <w:tcPr>
                  <w:tcW w:w="283" w:type="pct"/>
                  <w:vAlign w:val="center"/>
                </w:tcPr>
                <w:p w14:paraId="07E655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7EA6B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计算机、通信和其他电子设备制造业</w:t>
                  </w:r>
                </w:p>
              </w:tc>
              <w:tc>
                <w:tcPr>
                  <w:tcW w:w="385" w:type="pct"/>
                  <w:vAlign w:val="center"/>
                </w:tcPr>
                <w:p w14:paraId="4F7832A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27014.09</w:t>
                  </w:r>
                </w:p>
              </w:tc>
              <w:tc>
                <w:tcPr>
                  <w:tcW w:w="1690" w:type="pct"/>
                  <w:vAlign w:val="center"/>
                </w:tcPr>
                <w:p w14:paraId="51C004C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年产干法铁氧体磁铁</w:t>
                  </w:r>
                  <w:r>
                    <w:rPr>
                      <w:color w:val="auto"/>
                      <w:spacing w:val="-3"/>
                      <w:highlight w:val="none"/>
                    </w:rPr>
                    <w:t>10</w:t>
                  </w:r>
                  <w:r>
                    <w:rPr>
                      <w:rFonts w:ascii="宋体" w:hAnsi="宋体" w:eastAsia="宋体" w:cs="宋体"/>
                      <w:color w:val="auto"/>
                      <w:spacing w:val="-3"/>
                      <w:highlight w:val="none"/>
                    </w:rPr>
                    <w:t>亿个</w:t>
                  </w:r>
                </w:p>
              </w:tc>
              <w:tc>
                <w:tcPr>
                  <w:tcW w:w="962" w:type="pct"/>
                  <w:vAlign w:val="center"/>
                </w:tcPr>
                <w:p w14:paraId="5088A6F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06</w:t>
                  </w:r>
                  <w:r>
                    <w:rPr>
                      <w:rFonts w:ascii="宋体" w:hAnsi="宋体" w:eastAsia="宋体" w:cs="宋体"/>
                      <w:color w:val="auto"/>
                      <w:spacing w:val="-1"/>
                      <w:highlight w:val="none"/>
                    </w:rPr>
                    <w:t>号</w:t>
                  </w:r>
                </w:p>
              </w:tc>
            </w:tr>
            <w:tr w14:paraId="2A5561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F0CE3D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75</w:t>
                  </w:r>
                </w:p>
              </w:tc>
              <w:tc>
                <w:tcPr>
                  <w:tcW w:w="854" w:type="pct"/>
                  <w:vAlign w:val="center"/>
                </w:tcPr>
                <w:p w14:paraId="5CC765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广东立恒新材料科技有限公</w:t>
                  </w:r>
                  <w:r>
                    <w:rPr>
                      <w:rFonts w:ascii="宋体" w:hAnsi="宋体" w:eastAsia="宋体" w:cs="宋体"/>
                      <w:color w:val="auto"/>
                      <w:sz w:val="21"/>
                      <w:szCs w:val="21"/>
                      <w:highlight w:val="none"/>
                    </w:rPr>
                    <w:t>司</w:t>
                  </w:r>
                </w:p>
              </w:tc>
              <w:tc>
                <w:tcPr>
                  <w:tcW w:w="283" w:type="pct"/>
                  <w:vAlign w:val="center"/>
                </w:tcPr>
                <w:p w14:paraId="1C8D286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5744C5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17A79BF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9333</w:t>
                  </w:r>
                </w:p>
              </w:tc>
              <w:tc>
                <w:tcPr>
                  <w:tcW w:w="1690" w:type="pct"/>
                  <w:vAlign w:val="center"/>
                </w:tcPr>
                <w:p w14:paraId="24992C0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年产改性塑料</w:t>
                  </w:r>
                  <w:r>
                    <w:rPr>
                      <w:color w:val="auto"/>
                      <w:spacing w:val="-2"/>
                      <w:highlight w:val="none"/>
                    </w:rPr>
                    <w:t>8000</w:t>
                  </w:r>
                  <w:r>
                    <w:rPr>
                      <w:rFonts w:ascii="宋体" w:hAnsi="宋体" w:eastAsia="宋体" w:cs="宋体"/>
                      <w:color w:val="auto"/>
                      <w:spacing w:val="-2"/>
                      <w:highlight w:val="none"/>
                    </w:rPr>
                    <w:t>吨</w:t>
                  </w:r>
                </w:p>
              </w:tc>
              <w:tc>
                <w:tcPr>
                  <w:tcW w:w="962" w:type="pct"/>
                  <w:vAlign w:val="center"/>
                </w:tcPr>
                <w:p w14:paraId="536AEC9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"bookmark252"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]60</w:t>
                  </w:r>
                  <w:r>
                    <w:rPr>
                      <w:rFonts w:ascii="宋体" w:hAnsi="宋体" w:eastAsia="宋体" w:cs="宋体"/>
                      <w:color w:val="auto"/>
                      <w:spacing w:val="-2"/>
                      <w:highlight w:val="none"/>
                    </w:rPr>
                    <w:t>号</w:t>
                  </w:r>
                </w:p>
              </w:tc>
            </w:tr>
            <w:tr w14:paraId="0CA859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F3D6A5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76</w:t>
                  </w:r>
                </w:p>
              </w:tc>
              <w:tc>
                <w:tcPr>
                  <w:tcW w:w="854" w:type="pct"/>
                  <w:vAlign w:val="center"/>
                </w:tcPr>
                <w:p w14:paraId="5DFC1E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乐昌市赫尔龙体育用品有限</w:t>
                  </w:r>
                  <w:r>
                    <w:rPr>
                      <w:rFonts w:ascii="宋体" w:hAnsi="宋体" w:eastAsia="宋体" w:cs="宋体"/>
                      <w:color w:val="auto"/>
                      <w:spacing w:val="-4"/>
                      <w:sz w:val="21"/>
                      <w:szCs w:val="21"/>
                      <w:highlight w:val="none"/>
                    </w:rPr>
                    <w:t>公司</w:t>
                  </w:r>
                </w:p>
              </w:tc>
              <w:tc>
                <w:tcPr>
                  <w:tcW w:w="283" w:type="pct"/>
                  <w:vAlign w:val="center"/>
                </w:tcPr>
                <w:p w14:paraId="1A51226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E92986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纺织业</w:t>
                  </w:r>
                </w:p>
              </w:tc>
              <w:tc>
                <w:tcPr>
                  <w:tcW w:w="385" w:type="pct"/>
                  <w:vAlign w:val="center"/>
                </w:tcPr>
                <w:p w14:paraId="24ABBDE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14604.85</w:t>
                  </w:r>
                </w:p>
              </w:tc>
              <w:tc>
                <w:tcPr>
                  <w:tcW w:w="1690" w:type="pct"/>
                  <w:vAlign w:val="center"/>
                </w:tcPr>
                <w:p w14:paraId="41A227B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年产运动服等运动产品</w:t>
                  </w:r>
                  <w:r>
                    <w:rPr>
                      <w:color w:val="auto"/>
                      <w:spacing w:val="-3"/>
                      <w:highlight w:val="none"/>
                    </w:rPr>
                    <w:t>100</w:t>
                  </w:r>
                  <w:r>
                    <w:rPr>
                      <w:rFonts w:ascii="宋体" w:hAnsi="宋体" w:eastAsia="宋体" w:cs="宋体"/>
                      <w:color w:val="auto"/>
                      <w:spacing w:val="-3"/>
                      <w:highlight w:val="none"/>
                    </w:rPr>
                    <w:t>万件</w:t>
                  </w:r>
                </w:p>
              </w:tc>
              <w:tc>
                <w:tcPr>
                  <w:tcW w:w="962" w:type="pct"/>
                  <w:vAlign w:val="center"/>
                </w:tcPr>
                <w:p w14:paraId="17D14E0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21</w:t>
                  </w:r>
                  <w:r>
                    <w:rPr>
                      <w:rFonts w:ascii="宋体" w:hAnsi="宋体" w:eastAsia="宋体" w:cs="宋体"/>
                      <w:color w:val="auto"/>
                      <w:spacing w:val="-1"/>
                      <w:highlight w:val="none"/>
                    </w:rPr>
                    <w:t>号</w:t>
                  </w:r>
                </w:p>
              </w:tc>
            </w:tr>
            <w:tr w14:paraId="0E1996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7" w:hRule="atLeast"/>
                <w:jc w:val="center"/>
              </w:trPr>
              <w:tc>
                <w:tcPr>
                  <w:tcW w:w="242" w:type="pct"/>
                  <w:vAlign w:val="center"/>
                </w:tcPr>
                <w:p w14:paraId="37B7FA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77</w:t>
                  </w:r>
                </w:p>
              </w:tc>
              <w:tc>
                <w:tcPr>
                  <w:tcW w:w="854" w:type="pct"/>
                  <w:vAlign w:val="center"/>
                </w:tcPr>
                <w:p w14:paraId="5C7BB7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广东省合高复合材料有限公</w:t>
                  </w:r>
                  <w:r>
                    <w:rPr>
                      <w:rFonts w:ascii="宋体" w:hAnsi="宋体" w:eastAsia="宋体" w:cs="宋体"/>
                      <w:color w:val="auto"/>
                      <w:sz w:val="21"/>
                      <w:szCs w:val="21"/>
                      <w:highlight w:val="none"/>
                    </w:rPr>
                    <w:t>司</w:t>
                  </w:r>
                </w:p>
              </w:tc>
              <w:tc>
                <w:tcPr>
                  <w:tcW w:w="283" w:type="pct"/>
                  <w:vAlign w:val="center"/>
                </w:tcPr>
                <w:p w14:paraId="4972E7E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313C8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非金属矿物制品业</w:t>
                  </w:r>
                </w:p>
              </w:tc>
              <w:tc>
                <w:tcPr>
                  <w:tcW w:w="385" w:type="pct"/>
                  <w:vAlign w:val="center"/>
                </w:tcPr>
                <w:p w14:paraId="24979E7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27017.8</w:t>
                  </w:r>
                </w:p>
              </w:tc>
              <w:tc>
                <w:tcPr>
                  <w:tcW w:w="1690" w:type="pct"/>
                  <w:vAlign w:val="center"/>
                </w:tcPr>
                <w:p w14:paraId="2DB3444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5"/>
                      <w:highlight w:val="none"/>
                    </w:rPr>
                    <w:t>年产玻璃纤维板材</w:t>
                  </w:r>
                  <w:r>
                    <w:rPr>
                      <w:color w:val="auto"/>
                      <w:spacing w:val="-5"/>
                      <w:highlight w:val="none"/>
                    </w:rPr>
                    <w:t>1</w:t>
                  </w:r>
                  <w:r>
                    <w:rPr>
                      <w:rFonts w:ascii="宋体" w:hAnsi="宋体" w:eastAsia="宋体" w:cs="宋体"/>
                      <w:color w:val="auto"/>
                      <w:spacing w:val="-5"/>
                      <w:highlight w:val="none"/>
                    </w:rPr>
                    <w:t>万吨、玻璃钢拉挤制品</w:t>
                  </w:r>
                  <w:r>
                    <w:rPr>
                      <w:color w:val="auto"/>
                      <w:spacing w:val="-5"/>
                      <w:highlight w:val="none"/>
                    </w:rPr>
                    <w:t>4500</w:t>
                  </w:r>
                  <w:r>
                    <w:rPr>
                      <w:rFonts w:ascii="宋体" w:hAnsi="宋体" w:eastAsia="宋体" w:cs="宋体"/>
                      <w:color w:val="auto"/>
                      <w:spacing w:val="-5"/>
                      <w:highlight w:val="none"/>
                    </w:rPr>
                    <w:t>吨、缠绕制</w:t>
                  </w:r>
                  <w:r>
                    <w:rPr>
                      <w:rFonts w:ascii="宋体" w:hAnsi="宋体" w:eastAsia="宋体" w:cs="宋体"/>
                      <w:color w:val="auto"/>
                      <w:spacing w:val="-4"/>
                      <w:highlight w:val="none"/>
                    </w:rPr>
                    <w:t>品、</w:t>
                  </w:r>
                  <w:r>
                    <w:rPr>
                      <w:color w:val="auto"/>
                      <w:spacing w:val="-4"/>
                      <w:highlight w:val="none"/>
                    </w:rPr>
                    <w:t>SMC</w:t>
                  </w:r>
                  <w:r>
                    <w:rPr>
                      <w:rFonts w:ascii="宋体" w:hAnsi="宋体" w:eastAsia="宋体" w:cs="宋体"/>
                      <w:color w:val="auto"/>
                      <w:spacing w:val="-4"/>
                      <w:highlight w:val="none"/>
                    </w:rPr>
                    <w:t>模压及玻璃纤维热塑板以及制品各</w:t>
                  </w:r>
                  <w:r>
                    <w:rPr>
                      <w:color w:val="auto"/>
                      <w:spacing w:val="-4"/>
                      <w:highlight w:val="none"/>
                    </w:rPr>
                    <w:t>500</w:t>
                  </w:r>
                  <w:r>
                    <w:rPr>
                      <w:rFonts w:ascii="宋体" w:hAnsi="宋体" w:eastAsia="宋体" w:cs="宋体"/>
                      <w:color w:val="auto"/>
                      <w:spacing w:val="-4"/>
                      <w:highlight w:val="none"/>
                    </w:rPr>
                    <w:t>吨、玻璃钢</w:t>
                  </w:r>
                  <w:r>
                    <w:rPr>
                      <w:rFonts w:ascii="宋体" w:hAnsi="宋体" w:eastAsia="宋体" w:cs="宋体"/>
                      <w:color w:val="auto"/>
                      <w:highlight w:val="none"/>
                    </w:rPr>
                    <w:t>格栅</w:t>
                  </w:r>
                  <w:r>
                    <w:rPr>
                      <w:color w:val="auto"/>
                      <w:highlight w:val="none"/>
                    </w:rPr>
                    <w:t>5000</w:t>
                  </w:r>
                  <w:r>
                    <w:rPr>
                      <w:rFonts w:ascii="宋体" w:hAnsi="宋体" w:eastAsia="宋体" w:cs="宋体"/>
                      <w:color w:val="auto"/>
                      <w:highlight w:val="none"/>
                    </w:rPr>
                    <w:t>吨、碳纤维制品及彩色胶衣各</w:t>
                  </w:r>
                  <w:r>
                    <w:rPr>
                      <w:color w:val="auto"/>
                      <w:highlight w:val="none"/>
                    </w:rPr>
                    <w:t>200</w:t>
                  </w:r>
                  <w:r>
                    <w:rPr>
                      <w:rFonts w:ascii="宋体" w:hAnsi="宋体" w:eastAsia="宋体" w:cs="宋体"/>
                      <w:color w:val="auto"/>
                      <w:highlight w:val="none"/>
                    </w:rPr>
                    <w:t>吨、玻璃钢夹</w:t>
                  </w:r>
                  <w:r>
                    <w:rPr>
                      <w:rFonts w:ascii="宋体" w:hAnsi="宋体" w:eastAsia="宋体" w:cs="宋体"/>
                      <w:color w:val="auto"/>
                      <w:spacing w:val="-4"/>
                      <w:highlight w:val="none"/>
                    </w:rPr>
                    <w:t>芯板</w:t>
                  </w:r>
                  <w:r>
                    <w:rPr>
                      <w:color w:val="auto"/>
                      <w:spacing w:val="-4"/>
                      <w:highlight w:val="none"/>
                    </w:rPr>
                    <w:t>2700</w:t>
                  </w:r>
                  <w:r>
                    <w:rPr>
                      <w:rFonts w:ascii="宋体" w:hAnsi="宋体" w:eastAsia="宋体" w:cs="宋体"/>
                      <w:color w:val="auto"/>
                      <w:spacing w:val="-4"/>
                      <w:highlight w:val="none"/>
                    </w:rPr>
                    <w:t>吨、</w:t>
                  </w:r>
                  <w:r>
                    <w:rPr>
                      <w:color w:val="auto"/>
                      <w:spacing w:val="-4"/>
                      <w:highlight w:val="none"/>
                    </w:rPr>
                    <w:t>RTM</w:t>
                  </w:r>
                  <w:r>
                    <w:rPr>
                      <w:rFonts w:ascii="宋体" w:hAnsi="宋体" w:eastAsia="宋体" w:cs="宋体"/>
                      <w:color w:val="auto"/>
                      <w:spacing w:val="-4"/>
                      <w:highlight w:val="none"/>
                    </w:rPr>
                    <w:t>制品</w:t>
                  </w:r>
                  <w:r>
                    <w:rPr>
                      <w:color w:val="auto"/>
                      <w:spacing w:val="-4"/>
                      <w:highlight w:val="none"/>
                    </w:rPr>
                    <w:t>100</w:t>
                  </w:r>
                  <w:r>
                    <w:rPr>
                      <w:rFonts w:ascii="宋体" w:hAnsi="宋体" w:eastAsia="宋体" w:cs="宋体"/>
                      <w:color w:val="auto"/>
                      <w:spacing w:val="-4"/>
                      <w:highlight w:val="none"/>
                    </w:rPr>
                    <w:t>吨</w:t>
                  </w:r>
                </w:p>
              </w:tc>
              <w:tc>
                <w:tcPr>
                  <w:tcW w:w="962" w:type="pct"/>
                  <w:vAlign w:val="center"/>
                </w:tcPr>
                <w:p w14:paraId="0AB784C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20</w:t>
                  </w:r>
                  <w:r>
                    <w:rPr>
                      <w:rFonts w:ascii="宋体" w:hAnsi="宋体" w:eastAsia="宋体" w:cs="宋体"/>
                      <w:color w:val="auto"/>
                      <w:spacing w:val="-1"/>
                      <w:highlight w:val="none"/>
                    </w:rPr>
                    <w:t>号</w:t>
                  </w:r>
                </w:p>
              </w:tc>
            </w:tr>
            <w:tr w14:paraId="03461C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C30381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78</w:t>
                  </w:r>
                </w:p>
              </w:tc>
              <w:tc>
                <w:tcPr>
                  <w:tcW w:w="854" w:type="pct"/>
                  <w:vAlign w:val="center"/>
                </w:tcPr>
                <w:p w14:paraId="5B14990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同向（乐昌）精密机械有限公</w:t>
                  </w:r>
                  <w:r>
                    <w:rPr>
                      <w:rFonts w:ascii="宋体" w:hAnsi="宋体" w:eastAsia="宋体" w:cs="宋体"/>
                      <w:color w:val="auto"/>
                      <w:sz w:val="21"/>
                      <w:szCs w:val="21"/>
                      <w:highlight w:val="none"/>
                    </w:rPr>
                    <w:t>司</w:t>
                  </w:r>
                </w:p>
              </w:tc>
              <w:tc>
                <w:tcPr>
                  <w:tcW w:w="283" w:type="pct"/>
                  <w:vAlign w:val="center"/>
                </w:tcPr>
                <w:p w14:paraId="563B1E8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15527DD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通用设备制造业</w:t>
                  </w:r>
                </w:p>
              </w:tc>
              <w:tc>
                <w:tcPr>
                  <w:tcW w:w="385" w:type="pct"/>
                  <w:vAlign w:val="center"/>
                </w:tcPr>
                <w:p w14:paraId="64741D0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52810.91</w:t>
                  </w:r>
                </w:p>
              </w:tc>
              <w:tc>
                <w:tcPr>
                  <w:tcW w:w="1690" w:type="pct"/>
                  <w:vAlign w:val="center"/>
                </w:tcPr>
                <w:p w14:paraId="28BEF9D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z w:val="21"/>
                      <w:szCs w:val="21"/>
                      <w:highlight w:val="none"/>
                    </w:rPr>
                    <w:t>年产登机桥、环保水箱、压力机械、建筑自动化设</w:t>
                  </w:r>
                  <w:r>
                    <w:rPr>
                      <w:rFonts w:ascii="宋体" w:hAnsi="宋体" w:eastAsia="宋体" w:cs="宋体"/>
                      <w:color w:val="auto"/>
                      <w:spacing w:val="-1"/>
                      <w:sz w:val="21"/>
                      <w:szCs w:val="21"/>
                      <w:highlight w:val="none"/>
                    </w:rPr>
                    <w:t>备、加工</w:t>
                  </w:r>
                  <w:r>
                    <w:rPr>
                      <w:rFonts w:ascii="宋体" w:hAnsi="宋体" w:eastAsia="宋体" w:cs="宋体"/>
                      <w:color w:val="auto"/>
                      <w:spacing w:val="-3"/>
                      <w:highlight w:val="none"/>
                    </w:rPr>
                    <w:t>中心设备。压铸机等合计</w:t>
                  </w:r>
                  <w:r>
                    <w:rPr>
                      <w:color w:val="auto"/>
                      <w:spacing w:val="-3"/>
                      <w:highlight w:val="none"/>
                    </w:rPr>
                    <w:t>3350</w:t>
                  </w:r>
                  <w:r>
                    <w:rPr>
                      <w:rFonts w:ascii="宋体" w:hAnsi="宋体" w:eastAsia="宋体" w:cs="宋体"/>
                      <w:color w:val="auto"/>
                      <w:spacing w:val="-3"/>
                      <w:highlight w:val="none"/>
                    </w:rPr>
                    <w:t>套（台）</w:t>
                  </w:r>
                </w:p>
              </w:tc>
              <w:tc>
                <w:tcPr>
                  <w:tcW w:w="962" w:type="pct"/>
                  <w:vAlign w:val="center"/>
                </w:tcPr>
                <w:p w14:paraId="692EF9C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16</w:t>
                  </w:r>
                  <w:r>
                    <w:rPr>
                      <w:rFonts w:ascii="宋体" w:hAnsi="宋体" w:eastAsia="宋体" w:cs="宋体"/>
                      <w:color w:val="auto"/>
                      <w:spacing w:val="-1"/>
                      <w:highlight w:val="none"/>
                    </w:rPr>
                    <w:t>号</w:t>
                  </w:r>
                </w:p>
              </w:tc>
            </w:tr>
            <w:tr w14:paraId="43B92C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E4000D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79</w:t>
                  </w:r>
                </w:p>
              </w:tc>
              <w:tc>
                <w:tcPr>
                  <w:tcW w:w="854" w:type="pct"/>
                  <w:vAlign w:val="center"/>
                </w:tcPr>
                <w:p w14:paraId="77AF852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乐昌市信达实业有限公司</w:t>
                  </w:r>
                </w:p>
              </w:tc>
              <w:tc>
                <w:tcPr>
                  <w:tcW w:w="283" w:type="pct"/>
                  <w:vAlign w:val="center"/>
                </w:tcPr>
                <w:p w14:paraId="146BF43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1022DE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文教、工美、体育和娱乐用品制造业</w:t>
                  </w:r>
                </w:p>
              </w:tc>
              <w:tc>
                <w:tcPr>
                  <w:tcW w:w="385" w:type="pct"/>
                  <w:vAlign w:val="center"/>
                </w:tcPr>
                <w:p w14:paraId="281C824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20000</w:t>
                  </w:r>
                </w:p>
              </w:tc>
              <w:tc>
                <w:tcPr>
                  <w:tcW w:w="1690" w:type="pct"/>
                  <w:vAlign w:val="center"/>
                </w:tcPr>
                <w:p w14:paraId="7ED9CE9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5"/>
                      <w:highlight w:val="none"/>
                    </w:rPr>
                    <w:t>年产滑板</w:t>
                  </w:r>
                  <w:r>
                    <w:rPr>
                      <w:color w:val="auto"/>
                      <w:spacing w:val="-5"/>
                      <w:highlight w:val="none"/>
                    </w:rPr>
                    <w:t>100</w:t>
                  </w:r>
                  <w:r>
                    <w:rPr>
                      <w:rFonts w:ascii="宋体" w:hAnsi="宋体" w:eastAsia="宋体" w:cs="宋体"/>
                      <w:color w:val="auto"/>
                      <w:spacing w:val="-5"/>
                      <w:highlight w:val="none"/>
                    </w:rPr>
                    <w:t>万台</w:t>
                  </w:r>
                </w:p>
              </w:tc>
              <w:tc>
                <w:tcPr>
                  <w:tcW w:w="962" w:type="pct"/>
                  <w:vAlign w:val="center"/>
                </w:tcPr>
                <w:p w14:paraId="36DF983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09</w:t>
                  </w:r>
                  <w:r>
                    <w:rPr>
                      <w:rFonts w:ascii="宋体" w:hAnsi="宋体" w:eastAsia="宋体" w:cs="宋体"/>
                      <w:color w:val="auto"/>
                      <w:spacing w:val="-1"/>
                      <w:highlight w:val="none"/>
                    </w:rPr>
                    <w:t>号</w:t>
                  </w:r>
                </w:p>
              </w:tc>
            </w:tr>
            <w:tr w14:paraId="723507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84152E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80</w:t>
                  </w:r>
                </w:p>
              </w:tc>
              <w:tc>
                <w:tcPr>
                  <w:tcW w:w="854" w:type="pct"/>
                  <w:vAlign w:val="center"/>
                </w:tcPr>
                <w:p w14:paraId="67ABA8E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广东威柏乐器制造有限公司</w:t>
                  </w:r>
                </w:p>
              </w:tc>
              <w:tc>
                <w:tcPr>
                  <w:tcW w:w="283" w:type="pct"/>
                  <w:vAlign w:val="center"/>
                </w:tcPr>
                <w:p w14:paraId="7C7EEA7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9AC79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文教、工美、体育和娱乐用品制造业</w:t>
                  </w:r>
                </w:p>
              </w:tc>
              <w:tc>
                <w:tcPr>
                  <w:tcW w:w="385" w:type="pct"/>
                  <w:vAlign w:val="center"/>
                </w:tcPr>
                <w:p w14:paraId="60E20AF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43586.57</w:t>
                  </w:r>
                </w:p>
              </w:tc>
              <w:tc>
                <w:tcPr>
                  <w:tcW w:w="1690" w:type="pct"/>
                  <w:vAlign w:val="center"/>
                </w:tcPr>
                <w:p w14:paraId="5BCD8B7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年产电吉他</w:t>
                  </w:r>
                  <w:r>
                    <w:rPr>
                      <w:color w:val="auto"/>
                      <w:spacing w:val="-2"/>
                      <w:highlight w:val="none"/>
                    </w:rPr>
                    <w:t>35</w:t>
                  </w:r>
                  <w:r>
                    <w:rPr>
                      <w:rFonts w:ascii="宋体" w:hAnsi="宋体" w:eastAsia="宋体" w:cs="宋体"/>
                      <w:color w:val="auto"/>
                      <w:spacing w:val="-2"/>
                      <w:highlight w:val="none"/>
                    </w:rPr>
                    <w:t>万把、木吉他</w:t>
                  </w:r>
                  <w:r>
                    <w:rPr>
                      <w:color w:val="auto"/>
                      <w:spacing w:val="-2"/>
                      <w:highlight w:val="none"/>
                    </w:rPr>
                    <w:t>15</w:t>
                  </w:r>
                  <w:r>
                    <w:rPr>
                      <w:rFonts w:ascii="宋体" w:hAnsi="宋体" w:eastAsia="宋体" w:cs="宋体"/>
                      <w:color w:val="auto"/>
                      <w:spacing w:val="-2"/>
                      <w:highlight w:val="none"/>
                    </w:rPr>
                    <w:t>万把</w:t>
                  </w:r>
                </w:p>
              </w:tc>
              <w:tc>
                <w:tcPr>
                  <w:tcW w:w="962" w:type="pct"/>
                  <w:vAlign w:val="center"/>
                </w:tcPr>
                <w:p w14:paraId="063E273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韶环乐审〔</w:t>
                  </w:r>
                  <w:r>
                    <w:rPr>
                      <w:color w:val="auto"/>
                      <w:spacing w:val="-2"/>
                      <w:highlight w:val="none"/>
                    </w:rPr>
                    <w:t>2025</w:t>
                  </w:r>
                  <w:r>
                    <w:rPr>
                      <w:rFonts w:ascii="宋体" w:hAnsi="宋体" w:eastAsia="宋体" w:cs="宋体"/>
                      <w:color w:val="auto"/>
                      <w:spacing w:val="-2"/>
                      <w:highlight w:val="none"/>
                    </w:rPr>
                    <w:t>〕</w:t>
                  </w:r>
                  <w:r>
                    <w:rPr>
                      <w:color w:val="auto"/>
                      <w:spacing w:val="-2"/>
                      <w:highlight w:val="none"/>
                    </w:rPr>
                    <w:t>02</w:t>
                  </w:r>
                  <w:r>
                    <w:rPr>
                      <w:rFonts w:ascii="宋体" w:hAnsi="宋体" w:eastAsia="宋体" w:cs="宋体"/>
                      <w:color w:val="auto"/>
                      <w:spacing w:val="-2"/>
                      <w:highlight w:val="none"/>
                    </w:rPr>
                    <w:t>号、韶环乐</w:t>
                  </w:r>
                  <w:r>
                    <w:rPr>
                      <w:rFonts w:ascii="宋体" w:hAnsi="宋体" w:eastAsia="宋体" w:cs="宋体"/>
                      <w:color w:val="auto"/>
                      <w:spacing w:val="-1"/>
                      <w:highlight w:val="none"/>
                    </w:rPr>
                    <w:t>审〔</w:t>
                  </w:r>
                  <w:r>
                    <w:rPr>
                      <w:color w:val="auto"/>
                      <w:spacing w:val="-1"/>
                      <w:highlight w:val="none"/>
                    </w:rPr>
                    <w:t>2026</w:t>
                  </w:r>
                  <w:r>
                    <w:rPr>
                      <w:rFonts w:ascii="宋体" w:hAnsi="宋体" w:eastAsia="宋体" w:cs="宋体"/>
                      <w:color w:val="auto"/>
                      <w:spacing w:val="-1"/>
                      <w:highlight w:val="none"/>
                    </w:rPr>
                    <w:t>〕</w:t>
                  </w:r>
                  <w:r>
                    <w:rPr>
                      <w:color w:val="auto"/>
                      <w:spacing w:val="-1"/>
                      <w:highlight w:val="none"/>
                    </w:rPr>
                    <w:t>03</w:t>
                  </w:r>
                  <w:r>
                    <w:rPr>
                      <w:rFonts w:ascii="宋体" w:hAnsi="宋体" w:eastAsia="宋体" w:cs="宋体"/>
                      <w:color w:val="auto"/>
                      <w:spacing w:val="-1"/>
                      <w:highlight w:val="none"/>
                    </w:rPr>
                    <w:t>号</w:t>
                  </w:r>
                </w:p>
              </w:tc>
            </w:tr>
            <w:tr w14:paraId="6E535C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686727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81</w:t>
                  </w:r>
                </w:p>
              </w:tc>
              <w:tc>
                <w:tcPr>
                  <w:tcW w:w="854" w:type="pct"/>
                  <w:vAlign w:val="center"/>
                </w:tcPr>
                <w:p w14:paraId="3A552EE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广东维创兴电子科技有限公</w:t>
                  </w:r>
                  <w:r>
                    <w:rPr>
                      <w:rFonts w:ascii="宋体" w:hAnsi="宋体" w:eastAsia="宋体" w:cs="宋体"/>
                      <w:color w:val="auto"/>
                      <w:sz w:val="21"/>
                      <w:szCs w:val="21"/>
                      <w:highlight w:val="none"/>
                    </w:rPr>
                    <w:t>司</w:t>
                  </w:r>
                </w:p>
              </w:tc>
              <w:tc>
                <w:tcPr>
                  <w:tcW w:w="283" w:type="pct"/>
                  <w:vAlign w:val="center"/>
                </w:tcPr>
                <w:p w14:paraId="7A8AD0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F0659D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计算机、通信和其他电子设备制造业</w:t>
                  </w:r>
                </w:p>
              </w:tc>
              <w:tc>
                <w:tcPr>
                  <w:tcW w:w="385" w:type="pct"/>
                  <w:vAlign w:val="center"/>
                </w:tcPr>
                <w:p w14:paraId="6724412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3925.74</w:t>
                  </w:r>
                </w:p>
              </w:tc>
              <w:tc>
                <w:tcPr>
                  <w:tcW w:w="1690" w:type="pct"/>
                  <w:vAlign w:val="center"/>
                </w:tcPr>
                <w:p w14:paraId="02D8FEC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年产触摸屏</w:t>
                  </w:r>
                  <w:r>
                    <w:rPr>
                      <w:color w:val="auto"/>
                      <w:spacing w:val="-3"/>
                      <w:highlight w:val="none"/>
                    </w:rPr>
                    <w:t>100</w:t>
                  </w:r>
                  <w:r>
                    <w:rPr>
                      <w:rFonts w:ascii="宋体" w:hAnsi="宋体" w:eastAsia="宋体" w:cs="宋体"/>
                      <w:color w:val="auto"/>
                      <w:spacing w:val="-3"/>
                      <w:highlight w:val="none"/>
                    </w:rPr>
                    <w:t>万片</w:t>
                  </w:r>
                </w:p>
              </w:tc>
              <w:tc>
                <w:tcPr>
                  <w:tcW w:w="962" w:type="pct"/>
                  <w:vAlign w:val="center"/>
                </w:tcPr>
                <w:p w14:paraId="2CB784F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20</w:t>
                  </w:r>
                  <w:r>
                    <w:rPr>
                      <w:rFonts w:ascii="宋体" w:hAnsi="宋体" w:eastAsia="宋体" w:cs="宋体"/>
                      <w:color w:val="auto"/>
                      <w:spacing w:val="-1"/>
                      <w:highlight w:val="none"/>
                    </w:rPr>
                    <w:t>号</w:t>
                  </w:r>
                </w:p>
              </w:tc>
            </w:tr>
            <w:tr w14:paraId="29D556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242" w:type="pct"/>
                  <w:vAlign w:val="center"/>
                </w:tcPr>
                <w:p w14:paraId="6764D43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82</w:t>
                  </w:r>
                </w:p>
              </w:tc>
              <w:tc>
                <w:tcPr>
                  <w:tcW w:w="854" w:type="pct"/>
                  <w:vAlign w:val="center"/>
                </w:tcPr>
                <w:p w14:paraId="691AA7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韶关金利达塑料制品有限公</w:t>
                  </w:r>
                  <w:r>
                    <w:rPr>
                      <w:rFonts w:ascii="宋体" w:hAnsi="宋体" w:eastAsia="宋体" w:cs="宋体"/>
                      <w:color w:val="auto"/>
                      <w:sz w:val="21"/>
                      <w:szCs w:val="21"/>
                      <w:highlight w:val="none"/>
                    </w:rPr>
                    <w:t>司</w:t>
                  </w:r>
                </w:p>
              </w:tc>
              <w:tc>
                <w:tcPr>
                  <w:tcW w:w="283" w:type="pct"/>
                  <w:vAlign w:val="center"/>
                </w:tcPr>
                <w:p w14:paraId="1A167C7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F2699A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橡胶和塑料制品业、废弃资源综合</w:t>
                  </w:r>
                  <w:r>
                    <w:rPr>
                      <w:rFonts w:ascii="宋体" w:hAnsi="宋体" w:eastAsia="宋体" w:cs="宋体"/>
                      <w:color w:val="auto"/>
                      <w:spacing w:val="-2"/>
                      <w:sz w:val="21"/>
                      <w:szCs w:val="21"/>
                      <w:highlight w:val="none"/>
                    </w:rPr>
                    <w:t>利用业</w:t>
                  </w:r>
                </w:p>
              </w:tc>
              <w:tc>
                <w:tcPr>
                  <w:tcW w:w="385" w:type="pct"/>
                  <w:vAlign w:val="center"/>
                </w:tcPr>
                <w:p w14:paraId="456CFD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18748.8</w:t>
                  </w:r>
                </w:p>
              </w:tc>
              <w:tc>
                <w:tcPr>
                  <w:tcW w:w="1690" w:type="pct"/>
                  <w:vAlign w:val="center"/>
                </w:tcPr>
                <w:p w14:paraId="391F149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年产再生塑胶颗粒</w:t>
                  </w:r>
                  <w:r>
                    <w:rPr>
                      <w:color w:val="auto"/>
                      <w:spacing w:val="-2"/>
                      <w:highlight w:val="none"/>
                    </w:rPr>
                    <w:t>3000</w:t>
                  </w:r>
                  <w:r>
                    <w:rPr>
                      <w:rFonts w:ascii="宋体" w:hAnsi="宋体" w:eastAsia="宋体" w:cs="宋体"/>
                      <w:color w:val="auto"/>
                      <w:spacing w:val="-2"/>
                      <w:highlight w:val="none"/>
                    </w:rPr>
                    <w:t>吨</w:t>
                  </w:r>
                </w:p>
              </w:tc>
              <w:tc>
                <w:tcPr>
                  <w:tcW w:w="962" w:type="pct"/>
                  <w:vAlign w:val="center"/>
                </w:tcPr>
                <w:p w14:paraId="19F9BEE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13</w:t>
                  </w:r>
                  <w:r>
                    <w:rPr>
                      <w:rFonts w:ascii="宋体" w:hAnsi="宋体" w:eastAsia="宋体" w:cs="宋体"/>
                      <w:color w:val="auto"/>
                      <w:spacing w:val="-1"/>
                      <w:highlight w:val="none"/>
                    </w:rPr>
                    <w:t>号</w:t>
                  </w:r>
                </w:p>
              </w:tc>
            </w:tr>
            <w:tr w14:paraId="630D4B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52714DD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83</w:t>
                  </w:r>
                </w:p>
              </w:tc>
              <w:tc>
                <w:tcPr>
                  <w:tcW w:w="854" w:type="pct"/>
                  <w:vAlign w:val="center"/>
                </w:tcPr>
                <w:p w14:paraId="6632F0B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广东铭洋应急消防器材有限</w:t>
                  </w:r>
                  <w:r>
                    <w:rPr>
                      <w:rFonts w:ascii="宋体" w:hAnsi="宋体" w:eastAsia="宋体" w:cs="宋体"/>
                      <w:color w:val="auto"/>
                      <w:spacing w:val="-4"/>
                      <w:sz w:val="21"/>
                      <w:szCs w:val="21"/>
                      <w:highlight w:val="none"/>
                    </w:rPr>
                    <w:t>公司</w:t>
                  </w:r>
                </w:p>
              </w:tc>
              <w:tc>
                <w:tcPr>
                  <w:tcW w:w="283" w:type="pct"/>
                  <w:vAlign w:val="center"/>
                </w:tcPr>
                <w:p w14:paraId="641F5DE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64E9718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专用设备制造业</w:t>
                  </w:r>
                </w:p>
              </w:tc>
              <w:tc>
                <w:tcPr>
                  <w:tcW w:w="385" w:type="pct"/>
                  <w:vAlign w:val="center"/>
                </w:tcPr>
                <w:p w14:paraId="48BE6FE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9850</w:t>
                  </w:r>
                </w:p>
              </w:tc>
              <w:tc>
                <w:tcPr>
                  <w:tcW w:w="1690" w:type="pct"/>
                  <w:vAlign w:val="center"/>
                </w:tcPr>
                <w:p w14:paraId="00AF1DB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年产过滤式消防自救呼吸器</w:t>
                  </w:r>
                  <w:r>
                    <w:rPr>
                      <w:color w:val="auto"/>
                      <w:spacing w:val="-2"/>
                      <w:highlight w:val="none"/>
                    </w:rPr>
                    <w:t>750</w:t>
                  </w:r>
                  <w:r>
                    <w:rPr>
                      <w:rFonts w:ascii="宋体" w:hAnsi="宋体" w:eastAsia="宋体" w:cs="宋体"/>
                      <w:color w:val="auto"/>
                      <w:spacing w:val="-2"/>
                      <w:highlight w:val="none"/>
                    </w:rPr>
                    <w:t>万具，配套催化剂</w:t>
                  </w:r>
                  <w:r>
                    <w:rPr>
                      <w:color w:val="auto"/>
                      <w:spacing w:val="-2"/>
                      <w:highlight w:val="none"/>
                    </w:rPr>
                    <w:t>720</w:t>
                  </w:r>
                  <w:r>
                    <w:rPr>
                      <w:rFonts w:ascii="宋体" w:hAnsi="宋体" w:eastAsia="宋体" w:cs="宋体"/>
                      <w:color w:val="auto"/>
                      <w:spacing w:val="-2"/>
                      <w:highlight w:val="none"/>
                    </w:rPr>
                    <w:t>吨，</w:t>
                  </w:r>
                  <w:r>
                    <w:rPr>
                      <w:rFonts w:ascii="宋体" w:hAnsi="宋体" w:eastAsia="宋体" w:cs="宋体"/>
                      <w:color w:val="auto"/>
                      <w:spacing w:val="-4"/>
                      <w:highlight w:val="none"/>
                    </w:rPr>
                    <w:t>卡加拉特剂</w:t>
                  </w:r>
                  <w:r>
                    <w:rPr>
                      <w:color w:val="auto"/>
                      <w:spacing w:val="-4"/>
                      <w:highlight w:val="none"/>
                    </w:rPr>
                    <w:t>1080</w:t>
                  </w:r>
                  <w:r>
                    <w:rPr>
                      <w:rFonts w:ascii="宋体" w:hAnsi="宋体" w:eastAsia="宋体" w:cs="宋体"/>
                      <w:color w:val="auto"/>
                      <w:spacing w:val="-4"/>
                      <w:highlight w:val="none"/>
                    </w:rPr>
                    <w:t>吨</w:t>
                  </w:r>
                </w:p>
              </w:tc>
              <w:tc>
                <w:tcPr>
                  <w:tcW w:w="962" w:type="pct"/>
                  <w:vAlign w:val="center"/>
                </w:tcPr>
                <w:p w14:paraId="671ED8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韶环审〔</w:t>
                  </w:r>
                  <w:r>
                    <w:rPr>
                      <w:color w:val="auto"/>
                      <w:highlight w:val="none"/>
                    </w:rPr>
                    <w:t>2025</w:t>
                  </w:r>
                  <w:r>
                    <w:rPr>
                      <w:rFonts w:ascii="宋体" w:hAnsi="宋体" w:eastAsia="宋体" w:cs="宋体"/>
                      <w:color w:val="auto"/>
                      <w:highlight w:val="none"/>
                    </w:rPr>
                    <w:t>〕</w:t>
                  </w:r>
                  <w:r>
                    <w:rPr>
                      <w:color w:val="auto"/>
                      <w:highlight w:val="none"/>
                    </w:rPr>
                    <w:t>24</w:t>
                  </w:r>
                  <w:r>
                    <w:rPr>
                      <w:rFonts w:ascii="宋体" w:hAnsi="宋体" w:eastAsia="宋体" w:cs="宋体"/>
                      <w:color w:val="auto"/>
                      <w:highlight w:val="none"/>
                    </w:rPr>
                    <w:t>号</w:t>
                  </w:r>
                </w:p>
              </w:tc>
            </w:tr>
            <w:tr w14:paraId="2FA6D9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45E6AFC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序号</w:t>
                  </w:r>
                </w:p>
              </w:tc>
              <w:tc>
                <w:tcPr>
                  <w:tcW w:w="854" w:type="pct"/>
                  <w:vAlign w:val="center"/>
                </w:tcPr>
                <w:p w14:paraId="774F14D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企业名称</w:t>
                  </w:r>
                </w:p>
              </w:tc>
              <w:tc>
                <w:tcPr>
                  <w:tcW w:w="283" w:type="pct"/>
                  <w:vAlign w:val="center"/>
                </w:tcPr>
                <w:p w14:paraId="46E8E7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建设情</w:t>
                  </w:r>
                  <w:r>
                    <w:rPr>
                      <w:rFonts w:ascii="宋体" w:hAnsi="宋体" w:eastAsia="宋体" w:cs="宋体"/>
                      <w:color w:val="auto"/>
                      <w:sz w:val="21"/>
                      <w:szCs w:val="21"/>
                      <w:highlight w:val="none"/>
                    </w:rPr>
                    <w:t>况</w:t>
                  </w:r>
                </w:p>
              </w:tc>
              <w:tc>
                <w:tcPr>
                  <w:tcW w:w="579" w:type="pct"/>
                  <w:vAlign w:val="center"/>
                </w:tcPr>
                <w:p w14:paraId="30E9400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产业类型</w:t>
                  </w:r>
                </w:p>
              </w:tc>
              <w:tc>
                <w:tcPr>
                  <w:tcW w:w="385" w:type="pct"/>
                  <w:vAlign w:val="center"/>
                </w:tcPr>
                <w:p w14:paraId="3F00F97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1"/>
                      <w:sz w:val="21"/>
                      <w:szCs w:val="21"/>
                      <w:highlight w:val="none"/>
                    </w:rPr>
                    <w:t>占地面积</w:t>
                  </w:r>
                  <w:r>
                    <w:rPr>
                      <w:rFonts w:ascii="宋体" w:hAnsi="宋体" w:eastAsia="宋体" w:cs="宋体"/>
                      <w:color w:val="auto"/>
                      <w:spacing w:val="-6"/>
                      <w:sz w:val="21"/>
                      <w:szCs w:val="21"/>
                      <w:highlight w:val="none"/>
                    </w:rPr>
                    <w:t>（平方米）</w:t>
                  </w:r>
                </w:p>
              </w:tc>
              <w:tc>
                <w:tcPr>
                  <w:tcW w:w="1690" w:type="pct"/>
                  <w:vAlign w:val="center"/>
                </w:tcPr>
                <w:p w14:paraId="567810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主要产品及规模</w:t>
                  </w:r>
                </w:p>
              </w:tc>
              <w:tc>
                <w:tcPr>
                  <w:tcW w:w="962" w:type="pct"/>
                  <w:vAlign w:val="center"/>
                </w:tcPr>
                <w:p w14:paraId="1C899B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环评批复</w:t>
                  </w:r>
                </w:p>
              </w:tc>
            </w:tr>
            <w:tr w14:paraId="468B8C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242" w:type="pct"/>
                  <w:vAlign w:val="center"/>
                </w:tcPr>
                <w:p w14:paraId="20B4B02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84</w:t>
                  </w:r>
                </w:p>
              </w:tc>
              <w:tc>
                <w:tcPr>
                  <w:tcW w:w="854" w:type="pct"/>
                  <w:vAlign w:val="center"/>
                </w:tcPr>
                <w:p w14:paraId="6E3D24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韶关市建兴新材料科技有限</w:t>
                  </w:r>
                  <w:r>
                    <w:rPr>
                      <w:rFonts w:ascii="宋体" w:hAnsi="宋体" w:eastAsia="宋体" w:cs="宋体"/>
                      <w:color w:val="auto"/>
                      <w:spacing w:val="-4"/>
                      <w:sz w:val="21"/>
                      <w:szCs w:val="21"/>
                      <w:highlight w:val="none"/>
                    </w:rPr>
                    <w:t>公司</w:t>
                  </w:r>
                </w:p>
              </w:tc>
              <w:tc>
                <w:tcPr>
                  <w:tcW w:w="283" w:type="pct"/>
                  <w:vAlign w:val="center"/>
                </w:tcPr>
                <w:p w14:paraId="05E56C4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1CB2875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非金属矿采选业</w:t>
                  </w:r>
                </w:p>
              </w:tc>
              <w:tc>
                <w:tcPr>
                  <w:tcW w:w="385" w:type="pct"/>
                  <w:vAlign w:val="center"/>
                </w:tcPr>
                <w:p w14:paraId="4AF621E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33562.6</w:t>
                  </w:r>
                </w:p>
              </w:tc>
              <w:tc>
                <w:tcPr>
                  <w:tcW w:w="1690" w:type="pct"/>
                  <w:vAlign w:val="center"/>
                </w:tcPr>
                <w:p w14:paraId="6E3504E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年产堂石精矿</w:t>
                  </w:r>
                  <w:r>
                    <w:rPr>
                      <w:color w:val="auto"/>
                      <w:spacing w:val="-2"/>
                      <w:highlight w:val="none"/>
                    </w:rPr>
                    <w:t>5</w:t>
                  </w:r>
                  <w:r>
                    <w:rPr>
                      <w:rFonts w:ascii="宋体" w:hAnsi="宋体" w:eastAsia="宋体" w:cs="宋体"/>
                      <w:color w:val="auto"/>
                      <w:spacing w:val="-2"/>
                      <w:highlight w:val="none"/>
                    </w:rPr>
                    <w:t>万吨</w:t>
                  </w:r>
                </w:p>
              </w:tc>
              <w:tc>
                <w:tcPr>
                  <w:tcW w:w="962" w:type="pct"/>
                  <w:vAlign w:val="center"/>
                </w:tcPr>
                <w:p w14:paraId="3C1C388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韶环乐审〔</w:t>
                  </w:r>
                  <w:r>
                    <w:rPr>
                      <w:color w:val="auto"/>
                      <w:highlight w:val="none"/>
                    </w:rPr>
                    <w:t>2025</w:t>
                  </w:r>
                  <w:r>
                    <w:rPr>
                      <w:rFonts w:ascii="宋体" w:hAnsi="宋体" w:eastAsia="宋体" w:cs="宋体"/>
                      <w:color w:val="auto"/>
                      <w:highlight w:val="none"/>
                    </w:rPr>
                    <w:t>〕</w:t>
                  </w:r>
                  <w:r>
                    <w:rPr>
                      <w:color w:val="auto"/>
                      <w:highlight w:val="none"/>
                    </w:rPr>
                    <w:t>14</w:t>
                  </w:r>
                  <w:r>
                    <w:rPr>
                      <w:rFonts w:ascii="宋体" w:hAnsi="宋体" w:eastAsia="宋体" w:cs="宋体"/>
                      <w:color w:val="auto"/>
                      <w:highlight w:val="none"/>
                    </w:rPr>
                    <w:t>号</w:t>
                  </w:r>
                </w:p>
              </w:tc>
            </w:tr>
            <w:tr w14:paraId="1698D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00AE5C7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85</w:t>
                  </w:r>
                </w:p>
              </w:tc>
              <w:tc>
                <w:tcPr>
                  <w:tcW w:w="854" w:type="pct"/>
                  <w:vAlign w:val="center"/>
                </w:tcPr>
                <w:p w14:paraId="7F36590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韶关市泳金构造机械有限公</w:t>
                  </w:r>
                  <w:r>
                    <w:rPr>
                      <w:rFonts w:ascii="宋体" w:hAnsi="宋体" w:eastAsia="宋体" w:cs="宋体"/>
                      <w:color w:val="auto"/>
                      <w:sz w:val="21"/>
                      <w:szCs w:val="21"/>
                      <w:highlight w:val="none"/>
                    </w:rPr>
                    <w:t>司</w:t>
                  </w:r>
                </w:p>
              </w:tc>
              <w:tc>
                <w:tcPr>
                  <w:tcW w:w="283" w:type="pct"/>
                  <w:vAlign w:val="center"/>
                </w:tcPr>
                <w:p w14:paraId="57F398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48154FA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3C40CF8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20477.32</w:t>
                  </w:r>
                </w:p>
              </w:tc>
              <w:tc>
                <w:tcPr>
                  <w:tcW w:w="1690" w:type="pct"/>
                  <w:vAlign w:val="center"/>
                </w:tcPr>
                <w:p w14:paraId="45D617F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年产钢结构成品</w:t>
                  </w:r>
                  <w:r>
                    <w:rPr>
                      <w:color w:val="auto"/>
                      <w:spacing w:val="-2"/>
                      <w:highlight w:val="none"/>
                    </w:rPr>
                    <w:t>1.3</w:t>
                  </w:r>
                  <w:r>
                    <w:rPr>
                      <w:rFonts w:ascii="宋体" w:hAnsi="宋体" w:eastAsia="宋体" w:cs="宋体"/>
                      <w:color w:val="auto"/>
                      <w:spacing w:val="-2"/>
                      <w:highlight w:val="none"/>
                    </w:rPr>
                    <w:t>万吨</w:t>
                  </w:r>
                </w:p>
              </w:tc>
              <w:tc>
                <w:tcPr>
                  <w:tcW w:w="962" w:type="pct"/>
                  <w:vAlign w:val="center"/>
                </w:tcPr>
                <w:p w14:paraId="16148DE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05</w:t>
                  </w:r>
                  <w:r>
                    <w:rPr>
                      <w:rFonts w:ascii="宋体" w:hAnsi="宋体" w:eastAsia="宋体" w:cs="宋体"/>
                      <w:color w:val="auto"/>
                      <w:spacing w:val="-1"/>
                      <w:highlight w:val="none"/>
                    </w:rPr>
                    <w:t>号</w:t>
                  </w:r>
                </w:p>
              </w:tc>
            </w:tr>
            <w:tr w14:paraId="2F375B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1494A2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86</w:t>
                  </w:r>
                </w:p>
              </w:tc>
              <w:tc>
                <w:tcPr>
                  <w:tcW w:w="854" w:type="pct"/>
                  <w:vAlign w:val="center"/>
                </w:tcPr>
                <w:p w14:paraId="6B72B2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广东欣汇复合材料有限公司</w:t>
                  </w:r>
                </w:p>
              </w:tc>
              <w:tc>
                <w:tcPr>
                  <w:tcW w:w="283" w:type="pct"/>
                  <w:vAlign w:val="center"/>
                </w:tcPr>
                <w:p w14:paraId="5EAF052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4B921C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非金属矿物制品业</w:t>
                  </w:r>
                </w:p>
              </w:tc>
              <w:tc>
                <w:tcPr>
                  <w:tcW w:w="385" w:type="pct"/>
                  <w:vAlign w:val="center"/>
                </w:tcPr>
                <w:p w14:paraId="0B3BFD4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29024.94</w:t>
                  </w:r>
                </w:p>
              </w:tc>
              <w:tc>
                <w:tcPr>
                  <w:tcW w:w="1690" w:type="pct"/>
                  <w:vAlign w:val="center"/>
                </w:tcPr>
                <w:p w14:paraId="78EB0CE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年产玻璃纤维增强塑料制品</w:t>
                  </w:r>
                  <w:r>
                    <w:rPr>
                      <w:color w:val="auto"/>
                      <w:spacing w:val="-3"/>
                      <w:highlight w:val="none"/>
                    </w:rPr>
                    <w:t>7200</w:t>
                  </w:r>
                  <w:r>
                    <w:rPr>
                      <w:rFonts w:ascii="宋体" w:hAnsi="宋体" w:eastAsia="宋体" w:cs="宋体"/>
                      <w:color w:val="auto"/>
                      <w:spacing w:val="-3"/>
                      <w:highlight w:val="none"/>
                    </w:rPr>
                    <w:t>吨、玻纤布</w:t>
                  </w:r>
                  <w:r>
                    <w:rPr>
                      <w:color w:val="auto"/>
                      <w:spacing w:val="-3"/>
                      <w:highlight w:val="none"/>
                    </w:rPr>
                    <w:t>1200</w:t>
                  </w:r>
                  <w:r>
                    <w:rPr>
                      <w:rFonts w:ascii="宋体" w:hAnsi="宋体" w:eastAsia="宋体" w:cs="宋体"/>
                      <w:color w:val="auto"/>
                      <w:spacing w:val="-3"/>
                      <w:highlight w:val="none"/>
                    </w:rPr>
                    <w:t>吨、生活</w:t>
                  </w:r>
                  <w:r>
                    <w:rPr>
                      <w:rFonts w:ascii="宋体" w:hAnsi="宋体" w:eastAsia="宋体" w:cs="宋体"/>
                      <w:color w:val="auto"/>
                      <w:spacing w:val="-4"/>
                      <w:highlight w:val="none"/>
                    </w:rPr>
                    <w:t>用品</w:t>
                  </w:r>
                  <w:r>
                    <w:rPr>
                      <w:color w:val="auto"/>
                      <w:spacing w:val="-4"/>
                      <w:highlight w:val="none"/>
                    </w:rPr>
                    <w:t>3500</w:t>
                  </w:r>
                  <w:r>
                    <w:rPr>
                      <w:rFonts w:ascii="宋体" w:hAnsi="宋体" w:eastAsia="宋体" w:cs="宋体"/>
                      <w:color w:val="auto"/>
                      <w:spacing w:val="-4"/>
                      <w:highlight w:val="none"/>
                    </w:rPr>
                    <w:t>吨、塑料配件</w:t>
                  </w:r>
                  <w:r>
                    <w:rPr>
                      <w:color w:val="auto"/>
                      <w:spacing w:val="-4"/>
                      <w:highlight w:val="none"/>
                    </w:rPr>
                    <w:t>15</w:t>
                  </w:r>
                  <w:r>
                    <w:rPr>
                      <w:rFonts w:ascii="宋体" w:hAnsi="宋体" w:eastAsia="宋体" w:cs="宋体"/>
                      <w:color w:val="auto"/>
                      <w:spacing w:val="-4"/>
                      <w:highlight w:val="none"/>
                    </w:rPr>
                    <w:t>吨</w:t>
                  </w:r>
                </w:p>
              </w:tc>
              <w:tc>
                <w:tcPr>
                  <w:tcW w:w="962" w:type="pct"/>
                  <w:vAlign w:val="center"/>
                </w:tcPr>
                <w:p w14:paraId="3ABF896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2024</w:t>
                  </w:r>
                  <w:r>
                    <w:rPr>
                      <w:rFonts w:ascii="宋体" w:hAnsi="宋体" w:eastAsia="宋体" w:cs="宋体"/>
                      <w:color w:val="auto"/>
                      <w:spacing w:val="-1"/>
                      <w:highlight w:val="none"/>
                    </w:rPr>
                    <w:t>〕</w:t>
                  </w:r>
                  <w:r>
                    <w:rPr>
                      <w:color w:val="auto"/>
                      <w:spacing w:val="-1"/>
                      <w:highlight w:val="none"/>
                    </w:rPr>
                    <w:t>26</w:t>
                  </w:r>
                  <w:r>
                    <w:rPr>
                      <w:rFonts w:ascii="宋体" w:hAnsi="宋体" w:eastAsia="宋体" w:cs="宋体"/>
                      <w:color w:val="auto"/>
                      <w:spacing w:val="-1"/>
                      <w:highlight w:val="none"/>
                    </w:rPr>
                    <w:t>号</w:t>
                  </w:r>
                </w:p>
              </w:tc>
            </w:tr>
            <w:tr w14:paraId="36D6C4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04C015C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87</w:t>
                  </w:r>
                </w:p>
              </w:tc>
              <w:tc>
                <w:tcPr>
                  <w:tcW w:w="854" w:type="pct"/>
                  <w:vAlign w:val="center"/>
                </w:tcPr>
                <w:p w14:paraId="400AB7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乐昌市鑫盛塑业有限公司</w:t>
                  </w:r>
                </w:p>
              </w:tc>
              <w:tc>
                <w:tcPr>
                  <w:tcW w:w="283" w:type="pct"/>
                  <w:vAlign w:val="center"/>
                </w:tcPr>
                <w:p w14:paraId="312A9BD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2554772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0A80795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1182.71</w:t>
                  </w:r>
                </w:p>
              </w:tc>
              <w:tc>
                <w:tcPr>
                  <w:tcW w:w="1690" w:type="pct"/>
                  <w:vAlign w:val="center"/>
                </w:tcPr>
                <w:p w14:paraId="6913310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年产编织袋</w:t>
                  </w:r>
                  <w:r>
                    <w:rPr>
                      <w:color w:val="auto"/>
                      <w:spacing w:val="-2"/>
                      <w:highlight w:val="none"/>
                    </w:rPr>
                    <w:t>5000</w:t>
                  </w:r>
                  <w:r>
                    <w:rPr>
                      <w:rFonts w:ascii="宋体" w:hAnsi="宋体" w:eastAsia="宋体" w:cs="宋体"/>
                      <w:color w:val="auto"/>
                      <w:spacing w:val="-2"/>
                      <w:highlight w:val="none"/>
                    </w:rPr>
                    <w:t>吨</w:t>
                  </w:r>
                </w:p>
              </w:tc>
              <w:tc>
                <w:tcPr>
                  <w:tcW w:w="962" w:type="pct"/>
                  <w:vAlign w:val="center"/>
                </w:tcPr>
                <w:p w14:paraId="66AF33F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"bookmark253"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]21</w:t>
                  </w:r>
                  <w:r>
                    <w:rPr>
                      <w:rFonts w:ascii="宋体" w:hAnsi="宋体" w:eastAsia="宋体" w:cs="宋体"/>
                      <w:color w:val="auto"/>
                      <w:spacing w:val="-2"/>
                      <w:highlight w:val="none"/>
                    </w:rPr>
                    <w:t>号</w:t>
                  </w:r>
                </w:p>
              </w:tc>
            </w:tr>
            <w:tr w14:paraId="679EF8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2D5190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88</w:t>
                  </w:r>
                </w:p>
              </w:tc>
              <w:tc>
                <w:tcPr>
                  <w:tcW w:w="854" w:type="pct"/>
                  <w:vAlign w:val="center"/>
                </w:tcPr>
                <w:p w14:paraId="270A37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广东金康新材料有限公司</w:t>
                  </w:r>
                </w:p>
              </w:tc>
              <w:tc>
                <w:tcPr>
                  <w:tcW w:w="283" w:type="pct"/>
                  <w:vAlign w:val="center"/>
                </w:tcPr>
                <w:p w14:paraId="7CEB9E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1767CE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化学原料和化学制</w:t>
                  </w:r>
                  <w:r>
                    <w:rPr>
                      <w:rFonts w:ascii="宋体" w:hAnsi="宋体" w:eastAsia="宋体" w:cs="宋体"/>
                      <w:color w:val="auto"/>
                      <w:spacing w:val="-6"/>
                      <w:sz w:val="21"/>
                      <w:szCs w:val="21"/>
                      <w:highlight w:val="none"/>
                    </w:rPr>
                    <w:t>品制造业</w:t>
                  </w:r>
                </w:p>
              </w:tc>
              <w:tc>
                <w:tcPr>
                  <w:tcW w:w="385" w:type="pct"/>
                  <w:vAlign w:val="center"/>
                </w:tcPr>
                <w:p w14:paraId="29BEFBF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11260.7</w:t>
                  </w:r>
                </w:p>
              </w:tc>
              <w:tc>
                <w:tcPr>
                  <w:tcW w:w="1690" w:type="pct"/>
                  <w:vAlign w:val="center"/>
                </w:tcPr>
                <w:p w14:paraId="7BB23A5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PVC</w:t>
                  </w:r>
                  <w:r>
                    <w:rPr>
                      <w:rFonts w:ascii="宋体" w:hAnsi="宋体" w:eastAsia="宋体" w:cs="宋体"/>
                      <w:color w:val="auto"/>
                      <w:spacing w:val="-2"/>
                      <w:highlight w:val="none"/>
                    </w:rPr>
                    <w:t>稳定剂</w:t>
                  </w:r>
                  <w:r>
                    <w:rPr>
                      <w:color w:val="auto"/>
                      <w:spacing w:val="-2"/>
                      <w:highlight w:val="none"/>
                    </w:rPr>
                    <w:t>3600</w:t>
                  </w:r>
                  <w:r>
                    <w:rPr>
                      <w:rFonts w:ascii="宋体" w:hAnsi="宋体" w:eastAsia="宋体" w:cs="宋体"/>
                      <w:color w:val="auto"/>
                      <w:spacing w:val="-2"/>
                      <w:highlight w:val="none"/>
                    </w:rPr>
                    <w:t>吨、助剂</w:t>
                  </w:r>
                  <w:r>
                    <w:rPr>
                      <w:color w:val="auto"/>
                      <w:spacing w:val="-2"/>
                      <w:highlight w:val="none"/>
                    </w:rPr>
                    <w:t>2400</w:t>
                  </w:r>
                  <w:r>
                    <w:rPr>
                      <w:rFonts w:ascii="宋体" w:hAnsi="宋体" w:eastAsia="宋体" w:cs="宋体"/>
                      <w:color w:val="auto"/>
                      <w:spacing w:val="-2"/>
                      <w:highlight w:val="none"/>
                    </w:rPr>
                    <w:t>吨</w:t>
                  </w:r>
                </w:p>
              </w:tc>
              <w:tc>
                <w:tcPr>
                  <w:tcW w:w="962" w:type="pct"/>
                  <w:vAlign w:val="center"/>
                </w:tcPr>
                <w:p w14:paraId="6E3ADF0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10</w:t>
                  </w:r>
                  <w:r>
                    <w:rPr>
                      <w:rFonts w:ascii="宋体" w:hAnsi="宋体" w:eastAsia="宋体" w:cs="宋体"/>
                      <w:color w:val="auto"/>
                      <w:spacing w:val="-1"/>
                      <w:highlight w:val="none"/>
                    </w:rPr>
                    <w:t>号</w:t>
                  </w:r>
                </w:p>
              </w:tc>
            </w:tr>
            <w:tr w14:paraId="57D00A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7694FA1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89</w:t>
                  </w:r>
                </w:p>
              </w:tc>
              <w:tc>
                <w:tcPr>
                  <w:tcW w:w="854" w:type="pct"/>
                  <w:vAlign w:val="center"/>
                </w:tcPr>
                <w:p w14:paraId="6235E4D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韶关市恒琦耐磨材料有限公</w:t>
                  </w:r>
                  <w:r>
                    <w:rPr>
                      <w:rFonts w:ascii="宋体" w:hAnsi="宋体" w:eastAsia="宋体" w:cs="宋体"/>
                      <w:color w:val="auto"/>
                      <w:sz w:val="21"/>
                      <w:szCs w:val="21"/>
                      <w:highlight w:val="none"/>
                    </w:rPr>
                    <w:t>司</w:t>
                  </w:r>
                </w:p>
              </w:tc>
              <w:tc>
                <w:tcPr>
                  <w:tcW w:w="283" w:type="pct"/>
                  <w:vAlign w:val="center"/>
                </w:tcPr>
                <w:p w14:paraId="699328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1DA3D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5FAAE8E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2200</w:t>
                  </w:r>
                </w:p>
              </w:tc>
              <w:tc>
                <w:tcPr>
                  <w:tcW w:w="1690" w:type="pct"/>
                  <w:vAlign w:val="center"/>
                </w:tcPr>
                <w:p w14:paraId="2B2F876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年产耐磨钢球</w:t>
                  </w:r>
                  <w:r>
                    <w:rPr>
                      <w:color w:val="auto"/>
                      <w:spacing w:val="-3"/>
                      <w:highlight w:val="none"/>
                    </w:rPr>
                    <w:t>1</w:t>
                  </w:r>
                  <w:r>
                    <w:rPr>
                      <w:rFonts w:ascii="宋体" w:hAnsi="宋体" w:eastAsia="宋体" w:cs="宋体"/>
                      <w:color w:val="auto"/>
                      <w:spacing w:val="-3"/>
                      <w:highlight w:val="none"/>
                    </w:rPr>
                    <w:t>万吨</w:t>
                  </w:r>
                </w:p>
              </w:tc>
              <w:tc>
                <w:tcPr>
                  <w:tcW w:w="962" w:type="pct"/>
                  <w:vAlign w:val="center"/>
                </w:tcPr>
                <w:p w14:paraId="7F50985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26</w:t>
                  </w:r>
                  <w:r>
                    <w:rPr>
                      <w:rFonts w:ascii="宋体" w:hAnsi="宋体" w:eastAsia="宋体" w:cs="宋体"/>
                      <w:color w:val="auto"/>
                      <w:spacing w:val="-1"/>
                      <w:highlight w:val="none"/>
                    </w:rPr>
                    <w:t>号</w:t>
                  </w:r>
                </w:p>
              </w:tc>
            </w:tr>
            <w:tr w14:paraId="6C7608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242" w:type="pct"/>
                  <w:vAlign w:val="center"/>
                </w:tcPr>
                <w:p w14:paraId="2871C40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90</w:t>
                  </w:r>
                </w:p>
              </w:tc>
              <w:tc>
                <w:tcPr>
                  <w:tcW w:w="854" w:type="pct"/>
                  <w:vAlign w:val="center"/>
                </w:tcPr>
                <w:p w14:paraId="0FAAA6F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乐昌市永成智能厨房设备制造有限公司</w:t>
                  </w:r>
                </w:p>
              </w:tc>
              <w:tc>
                <w:tcPr>
                  <w:tcW w:w="283" w:type="pct"/>
                  <w:vAlign w:val="center"/>
                </w:tcPr>
                <w:p w14:paraId="04EB70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74A79D2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通用设备制造业</w:t>
                  </w:r>
                </w:p>
              </w:tc>
              <w:tc>
                <w:tcPr>
                  <w:tcW w:w="385" w:type="pct"/>
                  <w:vAlign w:val="center"/>
                </w:tcPr>
                <w:p w14:paraId="2241A82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33333.33</w:t>
                  </w:r>
                </w:p>
              </w:tc>
              <w:tc>
                <w:tcPr>
                  <w:tcW w:w="1690" w:type="pct"/>
                  <w:vAlign w:val="center"/>
                </w:tcPr>
                <w:p w14:paraId="26A32F3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z w:val="21"/>
                      <w:szCs w:val="21"/>
                      <w:highlight w:val="none"/>
                    </w:rPr>
                    <w:t>年产锅炉具类、蒸炉具类、工作台类、层架类、</w:t>
                  </w:r>
                  <w:r>
                    <w:rPr>
                      <w:rFonts w:ascii="宋体" w:hAnsi="宋体" w:eastAsia="宋体" w:cs="宋体"/>
                      <w:color w:val="auto"/>
                      <w:spacing w:val="-1"/>
                      <w:sz w:val="21"/>
                      <w:szCs w:val="21"/>
                      <w:highlight w:val="none"/>
                    </w:rPr>
                    <w:t>星盆类、柜</w:t>
                  </w:r>
                  <w:r>
                    <w:rPr>
                      <w:rFonts w:ascii="宋体" w:hAnsi="宋体" w:eastAsia="宋体" w:cs="宋体"/>
                      <w:color w:val="auto"/>
                      <w:sz w:val="21"/>
                      <w:szCs w:val="21"/>
                      <w:highlight w:val="none"/>
                    </w:rPr>
                    <w:t>式类、消毒柜类、备餐类、餐车类、餐台类</w:t>
                  </w:r>
                  <w:r>
                    <w:rPr>
                      <w:rFonts w:ascii="宋体" w:hAnsi="宋体" w:eastAsia="宋体" w:cs="宋体"/>
                      <w:color w:val="auto"/>
                      <w:spacing w:val="-1"/>
                      <w:sz w:val="21"/>
                      <w:szCs w:val="21"/>
                      <w:highlight w:val="none"/>
                    </w:rPr>
                    <w:t>、西餐类、环保</w:t>
                  </w:r>
                  <w:r>
                    <w:rPr>
                      <w:rFonts w:ascii="宋体" w:hAnsi="宋体" w:eastAsia="宋体" w:cs="宋体"/>
                      <w:color w:val="auto"/>
                      <w:spacing w:val="-4"/>
                      <w:highlight w:val="none"/>
                    </w:rPr>
                    <w:t>设备类</w:t>
                  </w:r>
                  <w:r>
                    <w:rPr>
                      <w:color w:val="auto"/>
                      <w:spacing w:val="-4"/>
                      <w:highlight w:val="none"/>
                    </w:rPr>
                    <w:t>12570</w:t>
                  </w:r>
                  <w:r>
                    <w:rPr>
                      <w:rFonts w:ascii="宋体" w:hAnsi="宋体" w:eastAsia="宋体" w:cs="宋体"/>
                      <w:color w:val="auto"/>
                      <w:spacing w:val="-4"/>
                      <w:highlight w:val="none"/>
                    </w:rPr>
                    <w:t>台</w:t>
                  </w:r>
                </w:p>
              </w:tc>
              <w:tc>
                <w:tcPr>
                  <w:tcW w:w="962" w:type="pct"/>
                  <w:vAlign w:val="center"/>
                </w:tcPr>
                <w:p w14:paraId="3D84A27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"bookmark254"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]41</w:t>
                  </w:r>
                  <w:r>
                    <w:rPr>
                      <w:rFonts w:ascii="宋体" w:hAnsi="宋体" w:eastAsia="宋体" w:cs="宋体"/>
                      <w:color w:val="auto"/>
                      <w:spacing w:val="-2"/>
                      <w:highlight w:val="none"/>
                    </w:rPr>
                    <w:t>号</w:t>
                  </w:r>
                </w:p>
              </w:tc>
            </w:tr>
            <w:tr w14:paraId="7AF0F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0801A4B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91</w:t>
                  </w:r>
                </w:p>
              </w:tc>
              <w:tc>
                <w:tcPr>
                  <w:tcW w:w="854" w:type="pct"/>
                  <w:vAlign w:val="center"/>
                </w:tcPr>
                <w:p w14:paraId="3FD707A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广东润昕新材料有限公司</w:t>
                  </w:r>
                </w:p>
              </w:tc>
              <w:tc>
                <w:tcPr>
                  <w:tcW w:w="283" w:type="pct"/>
                  <w:vAlign w:val="center"/>
                </w:tcPr>
                <w:p w14:paraId="4A7827E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0DD6012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0F97969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34905.44</w:t>
                  </w:r>
                </w:p>
              </w:tc>
              <w:tc>
                <w:tcPr>
                  <w:tcW w:w="1690" w:type="pct"/>
                  <w:vAlign w:val="center"/>
                </w:tcPr>
                <w:p w14:paraId="430DDF7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年加工铝卷原料</w:t>
                  </w:r>
                  <w:r>
                    <w:rPr>
                      <w:color w:val="auto"/>
                      <w:spacing w:val="-3"/>
                      <w:highlight w:val="none"/>
                    </w:rPr>
                    <w:t>100</w:t>
                  </w:r>
                  <w:r>
                    <w:rPr>
                      <w:rFonts w:ascii="宋体" w:hAnsi="宋体" w:eastAsia="宋体" w:cs="宋体"/>
                      <w:color w:val="auto"/>
                      <w:spacing w:val="-3"/>
                      <w:highlight w:val="none"/>
                    </w:rPr>
                    <w:t>万平方米</w:t>
                  </w:r>
                </w:p>
              </w:tc>
              <w:tc>
                <w:tcPr>
                  <w:tcW w:w="962" w:type="pct"/>
                  <w:vAlign w:val="center"/>
                </w:tcPr>
                <w:p w14:paraId="52D974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21</w:t>
                  </w:r>
                  <w:r>
                    <w:rPr>
                      <w:rFonts w:ascii="宋体" w:hAnsi="宋体" w:eastAsia="宋体" w:cs="宋体"/>
                      <w:color w:val="auto"/>
                      <w:spacing w:val="-1"/>
                      <w:highlight w:val="none"/>
                    </w:rPr>
                    <w:t>号</w:t>
                  </w:r>
                </w:p>
              </w:tc>
            </w:tr>
            <w:tr w14:paraId="0E4994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53B5152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92</w:t>
                  </w:r>
                </w:p>
              </w:tc>
              <w:tc>
                <w:tcPr>
                  <w:tcW w:w="854" w:type="pct"/>
                  <w:vAlign w:val="center"/>
                </w:tcPr>
                <w:p w14:paraId="0F2FE63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6"/>
                      <w:sz w:val="21"/>
                      <w:szCs w:val="21"/>
                      <w:highlight w:val="none"/>
                    </w:rPr>
                    <w:t>筑能（韶关）精工制造有限公</w:t>
                  </w:r>
                  <w:r>
                    <w:rPr>
                      <w:rFonts w:ascii="宋体" w:hAnsi="宋体" w:eastAsia="宋体" w:cs="宋体"/>
                      <w:color w:val="auto"/>
                      <w:sz w:val="21"/>
                      <w:szCs w:val="21"/>
                      <w:highlight w:val="none"/>
                    </w:rPr>
                    <w:t>司</w:t>
                  </w:r>
                </w:p>
              </w:tc>
              <w:tc>
                <w:tcPr>
                  <w:tcW w:w="283" w:type="pct"/>
                  <w:vAlign w:val="center"/>
                </w:tcPr>
                <w:p w14:paraId="11EA96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2992422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6D93A60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36212.64</w:t>
                  </w:r>
                </w:p>
              </w:tc>
              <w:tc>
                <w:tcPr>
                  <w:tcW w:w="1690" w:type="pct"/>
                  <w:vAlign w:val="center"/>
                </w:tcPr>
                <w:p w14:paraId="77B588B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年加工铝卷原料</w:t>
                  </w:r>
                  <w:r>
                    <w:rPr>
                      <w:color w:val="auto"/>
                      <w:spacing w:val="-3"/>
                      <w:highlight w:val="none"/>
                    </w:rPr>
                    <w:t>150</w:t>
                  </w:r>
                  <w:r>
                    <w:rPr>
                      <w:rFonts w:ascii="宋体" w:hAnsi="宋体" w:eastAsia="宋体" w:cs="宋体"/>
                      <w:color w:val="auto"/>
                      <w:spacing w:val="-3"/>
                      <w:highlight w:val="none"/>
                    </w:rPr>
                    <w:t>万平方米</w:t>
                  </w:r>
                </w:p>
              </w:tc>
              <w:tc>
                <w:tcPr>
                  <w:tcW w:w="962" w:type="pct"/>
                  <w:vAlign w:val="center"/>
                </w:tcPr>
                <w:p w14:paraId="3AF1520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19</w:t>
                  </w:r>
                  <w:r>
                    <w:rPr>
                      <w:rFonts w:ascii="宋体" w:hAnsi="宋体" w:eastAsia="宋体" w:cs="宋体"/>
                      <w:color w:val="auto"/>
                      <w:spacing w:val="-1"/>
                      <w:highlight w:val="none"/>
                    </w:rPr>
                    <w:t>号</w:t>
                  </w:r>
                </w:p>
              </w:tc>
            </w:tr>
            <w:tr w14:paraId="7B75B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1683394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93</w:t>
                  </w:r>
                </w:p>
              </w:tc>
              <w:tc>
                <w:tcPr>
                  <w:tcW w:w="854" w:type="pct"/>
                  <w:vAlign w:val="center"/>
                </w:tcPr>
                <w:p w14:paraId="26FD170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美伦建材（韶关）有限公司</w:t>
                  </w:r>
                </w:p>
              </w:tc>
              <w:tc>
                <w:tcPr>
                  <w:tcW w:w="283" w:type="pct"/>
                  <w:vAlign w:val="center"/>
                </w:tcPr>
                <w:p w14:paraId="4801FBF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73EF0D0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7C8DD37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54969.22</w:t>
                  </w:r>
                </w:p>
              </w:tc>
              <w:tc>
                <w:tcPr>
                  <w:tcW w:w="1690" w:type="pct"/>
                  <w:vAlign w:val="center"/>
                </w:tcPr>
                <w:p w14:paraId="6B10616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年加工铝卷原料</w:t>
                  </w:r>
                  <w:r>
                    <w:rPr>
                      <w:color w:val="auto"/>
                      <w:spacing w:val="-1"/>
                      <w:highlight w:val="none"/>
                    </w:rPr>
                    <w:t>200</w:t>
                  </w:r>
                  <w:r>
                    <w:rPr>
                      <w:rFonts w:ascii="宋体" w:hAnsi="宋体" w:eastAsia="宋体" w:cs="宋体"/>
                      <w:color w:val="auto"/>
                      <w:spacing w:val="-1"/>
                      <w:highlight w:val="none"/>
                    </w:rPr>
                    <w:t>万平方米</w:t>
                  </w:r>
                </w:p>
              </w:tc>
              <w:tc>
                <w:tcPr>
                  <w:tcW w:w="962" w:type="pct"/>
                  <w:vAlign w:val="center"/>
                </w:tcPr>
                <w:p w14:paraId="0216B53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08</w:t>
                  </w:r>
                  <w:r>
                    <w:rPr>
                      <w:rFonts w:ascii="宋体" w:hAnsi="宋体" w:eastAsia="宋体" w:cs="宋体"/>
                      <w:color w:val="auto"/>
                      <w:spacing w:val="-1"/>
                      <w:highlight w:val="none"/>
                    </w:rPr>
                    <w:t>号</w:t>
                  </w:r>
                </w:p>
              </w:tc>
            </w:tr>
            <w:tr w14:paraId="7BC4D6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1E8A694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94</w:t>
                  </w:r>
                </w:p>
              </w:tc>
              <w:tc>
                <w:tcPr>
                  <w:tcW w:w="854" w:type="pct"/>
                  <w:vAlign w:val="center"/>
                </w:tcPr>
                <w:p w14:paraId="73DE046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中荣印刷（韶关）有限公司</w:t>
                  </w:r>
                </w:p>
              </w:tc>
              <w:tc>
                <w:tcPr>
                  <w:tcW w:w="283" w:type="pct"/>
                  <w:vAlign w:val="center"/>
                </w:tcPr>
                <w:p w14:paraId="03836E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53A9BF1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造纸和纸制品业</w:t>
                  </w:r>
                </w:p>
              </w:tc>
              <w:tc>
                <w:tcPr>
                  <w:tcW w:w="385" w:type="pct"/>
                  <w:vAlign w:val="center"/>
                </w:tcPr>
                <w:p w14:paraId="120784F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3227.65</w:t>
                  </w:r>
                </w:p>
              </w:tc>
              <w:tc>
                <w:tcPr>
                  <w:tcW w:w="1690" w:type="pct"/>
                  <w:vAlign w:val="center"/>
                </w:tcPr>
                <w:p w14:paraId="2432995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年产彩盒</w:t>
                  </w:r>
                  <w:r>
                    <w:rPr>
                      <w:color w:val="auto"/>
                      <w:spacing w:val="-3"/>
                      <w:highlight w:val="none"/>
                    </w:rPr>
                    <w:t>500</w:t>
                  </w:r>
                  <w:r>
                    <w:rPr>
                      <w:rFonts w:ascii="宋体" w:hAnsi="宋体" w:eastAsia="宋体" w:cs="宋体"/>
                      <w:color w:val="auto"/>
                      <w:spacing w:val="-3"/>
                      <w:highlight w:val="none"/>
                    </w:rPr>
                    <w:t>万个、礼盒</w:t>
                  </w:r>
                  <w:r>
                    <w:rPr>
                      <w:color w:val="auto"/>
                      <w:spacing w:val="-3"/>
                      <w:highlight w:val="none"/>
                    </w:rPr>
                    <w:t>50</w:t>
                  </w:r>
                  <w:r>
                    <w:rPr>
                      <w:rFonts w:ascii="宋体" w:hAnsi="宋体" w:eastAsia="宋体" w:cs="宋体"/>
                      <w:color w:val="auto"/>
                      <w:spacing w:val="-3"/>
                      <w:highlight w:val="none"/>
                    </w:rPr>
                    <w:t>万个、卡类</w:t>
                  </w:r>
                  <w:r>
                    <w:rPr>
                      <w:color w:val="auto"/>
                      <w:spacing w:val="-3"/>
                      <w:highlight w:val="none"/>
                    </w:rPr>
                    <w:t>500</w:t>
                  </w:r>
                  <w:r>
                    <w:rPr>
                      <w:rFonts w:ascii="宋体" w:hAnsi="宋体" w:eastAsia="宋体" w:cs="宋体"/>
                      <w:color w:val="auto"/>
                      <w:spacing w:val="-3"/>
                      <w:highlight w:val="none"/>
                    </w:rPr>
                    <w:t>万张</w:t>
                  </w:r>
                </w:p>
              </w:tc>
              <w:tc>
                <w:tcPr>
                  <w:tcW w:w="962" w:type="pct"/>
                  <w:vAlign w:val="center"/>
                </w:tcPr>
                <w:p w14:paraId="175B98B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2024</w:t>
                  </w:r>
                  <w:r>
                    <w:rPr>
                      <w:rFonts w:ascii="宋体" w:hAnsi="宋体" w:eastAsia="宋体" w:cs="宋体"/>
                      <w:color w:val="auto"/>
                      <w:spacing w:val="-1"/>
                      <w:highlight w:val="none"/>
                    </w:rPr>
                    <w:t>〕</w:t>
                  </w:r>
                  <w:r>
                    <w:rPr>
                      <w:color w:val="auto"/>
                      <w:spacing w:val="-1"/>
                      <w:highlight w:val="none"/>
                    </w:rPr>
                    <w:t>24</w:t>
                  </w:r>
                  <w:r>
                    <w:rPr>
                      <w:rFonts w:ascii="宋体" w:hAnsi="宋体" w:eastAsia="宋体" w:cs="宋体"/>
                      <w:color w:val="auto"/>
                      <w:spacing w:val="-1"/>
                      <w:highlight w:val="none"/>
                    </w:rPr>
                    <w:t>号</w:t>
                  </w:r>
                </w:p>
              </w:tc>
            </w:tr>
            <w:tr w14:paraId="4215B2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6230842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95</w:t>
                  </w:r>
                </w:p>
              </w:tc>
              <w:tc>
                <w:tcPr>
                  <w:tcW w:w="854" w:type="pct"/>
                  <w:vAlign w:val="center"/>
                </w:tcPr>
                <w:p w14:paraId="0BEAE5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廓鑫建材（韶关）有限公司</w:t>
                  </w:r>
                </w:p>
              </w:tc>
              <w:tc>
                <w:tcPr>
                  <w:tcW w:w="283" w:type="pct"/>
                  <w:vAlign w:val="center"/>
                </w:tcPr>
                <w:p w14:paraId="4484696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51C5EE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1B91AB0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33373.03</w:t>
                  </w:r>
                </w:p>
              </w:tc>
              <w:tc>
                <w:tcPr>
                  <w:tcW w:w="1690" w:type="pct"/>
                  <w:vAlign w:val="center"/>
                </w:tcPr>
                <w:p w14:paraId="15BFE5A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年产钣金件</w:t>
                  </w:r>
                  <w:r>
                    <w:rPr>
                      <w:color w:val="auto"/>
                      <w:spacing w:val="-3"/>
                      <w:highlight w:val="none"/>
                    </w:rPr>
                    <w:t>8100</w:t>
                  </w:r>
                  <w:r>
                    <w:rPr>
                      <w:rFonts w:ascii="宋体" w:hAnsi="宋体" w:eastAsia="宋体" w:cs="宋体"/>
                      <w:color w:val="auto"/>
                      <w:spacing w:val="-3"/>
                      <w:highlight w:val="none"/>
                    </w:rPr>
                    <w:t>吨</w:t>
                  </w:r>
                </w:p>
              </w:tc>
              <w:tc>
                <w:tcPr>
                  <w:tcW w:w="962" w:type="pct"/>
                  <w:vAlign w:val="center"/>
                </w:tcPr>
                <w:p w14:paraId="6091748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25</w:t>
                  </w:r>
                  <w:r>
                    <w:rPr>
                      <w:rFonts w:ascii="宋体" w:hAnsi="宋体" w:eastAsia="宋体" w:cs="宋体"/>
                      <w:color w:val="auto"/>
                      <w:spacing w:val="-1"/>
                      <w:highlight w:val="none"/>
                    </w:rPr>
                    <w:t>号</w:t>
                  </w:r>
                </w:p>
              </w:tc>
            </w:tr>
            <w:tr w14:paraId="79DCAE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5C2BCFA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96</w:t>
                  </w:r>
                </w:p>
              </w:tc>
              <w:tc>
                <w:tcPr>
                  <w:tcW w:w="854" w:type="pct"/>
                  <w:vAlign w:val="center"/>
                </w:tcPr>
                <w:p w14:paraId="5EB78B1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广东三筑金属制品有限公司</w:t>
                  </w:r>
                </w:p>
              </w:tc>
              <w:tc>
                <w:tcPr>
                  <w:tcW w:w="283" w:type="pct"/>
                  <w:vAlign w:val="center"/>
                </w:tcPr>
                <w:p w14:paraId="75C29ED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4F1C9D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57A4A83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54139.29</w:t>
                  </w:r>
                </w:p>
              </w:tc>
              <w:tc>
                <w:tcPr>
                  <w:tcW w:w="1690" w:type="pct"/>
                  <w:vAlign w:val="center"/>
                </w:tcPr>
                <w:p w14:paraId="192E84A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年产各类板及其他铝制品</w:t>
                  </w:r>
                  <w:r>
                    <w:rPr>
                      <w:color w:val="auto"/>
                      <w:spacing w:val="-2"/>
                      <w:highlight w:val="none"/>
                    </w:rPr>
                    <w:t>110</w:t>
                  </w:r>
                  <w:r>
                    <w:rPr>
                      <w:rFonts w:ascii="宋体" w:hAnsi="宋体" w:eastAsia="宋体" w:cs="宋体"/>
                      <w:color w:val="auto"/>
                      <w:spacing w:val="-2"/>
                      <w:highlight w:val="none"/>
                    </w:rPr>
                    <w:t>万平方米</w:t>
                  </w:r>
                </w:p>
              </w:tc>
              <w:tc>
                <w:tcPr>
                  <w:tcW w:w="962" w:type="pct"/>
                  <w:vAlign w:val="center"/>
                </w:tcPr>
                <w:p w14:paraId="2BDD090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24</w:t>
                  </w:r>
                  <w:r>
                    <w:rPr>
                      <w:rFonts w:ascii="宋体" w:hAnsi="宋体" w:eastAsia="宋体" w:cs="宋体"/>
                      <w:color w:val="auto"/>
                      <w:spacing w:val="-1"/>
                      <w:highlight w:val="none"/>
                    </w:rPr>
                    <w:t>号</w:t>
                  </w:r>
                </w:p>
              </w:tc>
            </w:tr>
            <w:tr w14:paraId="3B5A2B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94705B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97</w:t>
                  </w:r>
                </w:p>
              </w:tc>
              <w:tc>
                <w:tcPr>
                  <w:tcW w:w="854" w:type="pct"/>
                  <w:vAlign w:val="center"/>
                </w:tcPr>
                <w:p w14:paraId="1B036ED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广东启健净水设备有限公司</w:t>
                  </w:r>
                </w:p>
              </w:tc>
              <w:tc>
                <w:tcPr>
                  <w:tcW w:w="283" w:type="pct"/>
                  <w:vAlign w:val="center"/>
                </w:tcPr>
                <w:p w14:paraId="317ABD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0"/>
                      <w:sz w:val="21"/>
                      <w:szCs w:val="21"/>
                      <w:highlight w:val="none"/>
                    </w:rPr>
                    <w:t>已批未</w:t>
                  </w:r>
                  <w:r>
                    <w:rPr>
                      <w:rFonts w:ascii="宋体" w:hAnsi="宋体" w:eastAsia="宋体" w:cs="宋体"/>
                      <w:color w:val="auto"/>
                      <w:sz w:val="21"/>
                      <w:szCs w:val="21"/>
                      <w:highlight w:val="none"/>
                    </w:rPr>
                    <w:t>建</w:t>
                  </w:r>
                </w:p>
              </w:tc>
              <w:tc>
                <w:tcPr>
                  <w:tcW w:w="579" w:type="pct"/>
                  <w:vAlign w:val="center"/>
                </w:tcPr>
                <w:p w14:paraId="46A7CB5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家具制造业</w:t>
                  </w:r>
                </w:p>
              </w:tc>
              <w:tc>
                <w:tcPr>
                  <w:tcW w:w="385" w:type="pct"/>
                  <w:vAlign w:val="center"/>
                </w:tcPr>
                <w:p w14:paraId="7EB2B08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9598</w:t>
                  </w:r>
                </w:p>
              </w:tc>
              <w:tc>
                <w:tcPr>
                  <w:tcW w:w="1690" w:type="pct"/>
                  <w:vAlign w:val="center"/>
                </w:tcPr>
                <w:p w14:paraId="3BB0D3B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年产直沸水壶机、饮水机、直饮水机、净水器、</w:t>
                  </w:r>
                  <w:r>
                    <w:rPr>
                      <w:rFonts w:ascii="宋体" w:hAnsi="宋体" w:eastAsia="宋体" w:cs="宋体"/>
                      <w:color w:val="auto"/>
                      <w:spacing w:val="-1"/>
                      <w:highlight w:val="none"/>
                    </w:rPr>
                    <w:t>纯水机等净</w:t>
                  </w:r>
                  <w:r>
                    <w:rPr>
                      <w:rFonts w:ascii="宋体" w:hAnsi="宋体" w:eastAsia="宋体" w:cs="宋体"/>
                      <w:color w:val="auto"/>
                      <w:spacing w:val="-2"/>
                      <w:highlight w:val="none"/>
                    </w:rPr>
                    <w:t>水设备</w:t>
                  </w:r>
                  <w:r>
                    <w:rPr>
                      <w:color w:val="auto"/>
                      <w:spacing w:val="-2"/>
                      <w:highlight w:val="none"/>
                    </w:rPr>
                    <w:t>120</w:t>
                  </w:r>
                  <w:r>
                    <w:rPr>
                      <w:rFonts w:ascii="宋体" w:hAnsi="宋体" w:eastAsia="宋体" w:cs="宋体"/>
                      <w:color w:val="auto"/>
                      <w:spacing w:val="-2"/>
                      <w:highlight w:val="none"/>
                    </w:rPr>
                    <w:t>万台、饮用水机配件、净水机配件</w:t>
                  </w:r>
                  <w:r>
                    <w:rPr>
                      <w:color w:val="auto"/>
                      <w:spacing w:val="-2"/>
                      <w:highlight w:val="none"/>
                    </w:rPr>
                    <w:t>150</w:t>
                  </w:r>
                  <w:r>
                    <w:rPr>
                      <w:rFonts w:ascii="宋体" w:hAnsi="宋体" w:eastAsia="宋体" w:cs="宋体"/>
                      <w:color w:val="auto"/>
                      <w:spacing w:val="-2"/>
                      <w:highlight w:val="none"/>
                    </w:rPr>
                    <w:t>万件</w:t>
                  </w:r>
                </w:p>
              </w:tc>
              <w:tc>
                <w:tcPr>
                  <w:tcW w:w="962" w:type="pct"/>
                  <w:vAlign w:val="center"/>
                </w:tcPr>
                <w:p w14:paraId="638A9BA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42</w:t>
                  </w:r>
                  <w:r>
                    <w:rPr>
                      <w:rFonts w:ascii="宋体" w:hAnsi="宋体" w:eastAsia="宋体" w:cs="宋体"/>
                      <w:color w:val="auto"/>
                      <w:spacing w:val="-1"/>
                      <w:highlight w:val="none"/>
                    </w:rPr>
                    <w:t>号</w:t>
                  </w:r>
                </w:p>
              </w:tc>
            </w:tr>
            <w:tr w14:paraId="4ED91E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687284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98</w:t>
                  </w:r>
                </w:p>
              </w:tc>
              <w:tc>
                <w:tcPr>
                  <w:tcW w:w="854" w:type="pct"/>
                  <w:vAlign w:val="center"/>
                </w:tcPr>
                <w:p w14:paraId="15587D4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乐昌产业园工业固体废弃物</w:t>
                  </w:r>
                  <w:r>
                    <w:rPr>
                      <w:rFonts w:ascii="宋体" w:hAnsi="宋体" w:eastAsia="宋体" w:cs="宋体"/>
                      <w:color w:val="auto"/>
                      <w:spacing w:val="-2"/>
                      <w:sz w:val="21"/>
                      <w:szCs w:val="21"/>
                      <w:highlight w:val="none"/>
                    </w:rPr>
                    <w:t>设施补短板项目</w:t>
                  </w:r>
                </w:p>
              </w:tc>
              <w:tc>
                <w:tcPr>
                  <w:tcW w:w="283" w:type="pct"/>
                  <w:vAlign w:val="center"/>
                </w:tcPr>
                <w:p w14:paraId="05EA46F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0"/>
                      <w:sz w:val="21"/>
                      <w:szCs w:val="21"/>
                      <w:highlight w:val="none"/>
                    </w:rPr>
                    <w:t>已批未</w:t>
                  </w:r>
                  <w:r>
                    <w:rPr>
                      <w:rFonts w:ascii="宋体" w:hAnsi="宋体" w:eastAsia="宋体" w:cs="宋体"/>
                      <w:color w:val="auto"/>
                      <w:sz w:val="21"/>
                      <w:szCs w:val="21"/>
                      <w:highlight w:val="none"/>
                    </w:rPr>
                    <w:t>建</w:t>
                  </w:r>
                </w:p>
              </w:tc>
              <w:tc>
                <w:tcPr>
                  <w:tcW w:w="579" w:type="pct"/>
                  <w:vAlign w:val="center"/>
                </w:tcPr>
                <w:p w14:paraId="5598A6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装卸搬运和仓储业</w:t>
                  </w:r>
                </w:p>
              </w:tc>
              <w:tc>
                <w:tcPr>
                  <w:tcW w:w="385" w:type="pct"/>
                  <w:vAlign w:val="center"/>
                </w:tcPr>
                <w:p w14:paraId="312F41F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4000</w:t>
                  </w:r>
                </w:p>
              </w:tc>
              <w:tc>
                <w:tcPr>
                  <w:tcW w:w="1690" w:type="pct"/>
                  <w:vAlign w:val="center"/>
                </w:tcPr>
                <w:p w14:paraId="0D6EC77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3"/>
                      <w:highlight w:val="none"/>
                    </w:rPr>
                    <w:t>年收集危险废物</w:t>
                  </w:r>
                  <w:r>
                    <w:rPr>
                      <w:color w:val="auto"/>
                      <w:spacing w:val="-3"/>
                      <w:highlight w:val="none"/>
                    </w:rPr>
                    <w:t>2806</w:t>
                  </w:r>
                  <w:r>
                    <w:rPr>
                      <w:rFonts w:ascii="宋体" w:hAnsi="宋体" w:eastAsia="宋体" w:cs="宋体"/>
                      <w:color w:val="auto"/>
                      <w:spacing w:val="-3"/>
                      <w:highlight w:val="none"/>
                    </w:rPr>
                    <w:t>吨，一般固体废物</w:t>
                  </w:r>
                  <w:r>
                    <w:rPr>
                      <w:color w:val="auto"/>
                      <w:spacing w:val="-3"/>
                      <w:highlight w:val="none"/>
                    </w:rPr>
                    <w:t>8.5</w:t>
                  </w:r>
                  <w:r>
                    <w:rPr>
                      <w:rFonts w:ascii="宋体" w:hAnsi="宋体" w:eastAsia="宋体" w:cs="宋体"/>
                      <w:color w:val="auto"/>
                      <w:spacing w:val="-3"/>
                      <w:highlight w:val="none"/>
                    </w:rPr>
                    <w:t>万吨。</w:t>
                  </w:r>
                </w:p>
              </w:tc>
              <w:tc>
                <w:tcPr>
                  <w:tcW w:w="962" w:type="pct"/>
                  <w:vAlign w:val="center"/>
                </w:tcPr>
                <w:p w14:paraId="54D5404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2023</w:t>
                  </w:r>
                  <w:r>
                    <w:rPr>
                      <w:rFonts w:ascii="宋体" w:hAnsi="宋体" w:eastAsia="宋体" w:cs="宋体"/>
                      <w:color w:val="auto"/>
                      <w:spacing w:val="-1"/>
                      <w:highlight w:val="none"/>
                    </w:rPr>
                    <w:t>〕</w:t>
                  </w:r>
                  <w:r>
                    <w:rPr>
                      <w:color w:val="auto"/>
                      <w:spacing w:val="-1"/>
                      <w:highlight w:val="none"/>
                    </w:rPr>
                    <w:t>05</w:t>
                  </w:r>
                  <w:r>
                    <w:rPr>
                      <w:rFonts w:ascii="宋体" w:hAnsi="宋体" w:eastAsia="宋体" w:cs="宋体"/>
                      <w:color w:val="auto"/>
                      <w:spacing w:val="-1"/>
                      <w:highlight w:val="none"/>
                    </w:rPr>
                    <w:t>号</w:t>
                  </w:r>
                </w:p>
              </w:tc>
            </w:tr>
            <w:tr w14:paraId="79B015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242" w:type="pct"/>
                  <w:vAlign w:val="center"/>
                </w:tcPr>
                <w:p w14:paraId="55DA49E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99</w:t>
                  </w:r>
                </w:p>
              </w:tc>
              <w:tc>
                <w:tcPr>
                  <w:tcW w:w="854" w:type="pct"/>
                  <w:vAlign w:val="center"/>
                </w:tcPr>
                <w:p w14:paraId="22D2D5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乐昌市鑫盛威塑胶新材料科</w:t>
                  </w:r>
                  <w:r>
                    <w:rPr>
                      <w:rFonts w:ascii="宋体" w:hAnsi="宋体" w:eastAsia="宋体" w:cs="宋体"/>
                      <w:color w:val="auto"/>
                      <w:spacing w:val="-2"/>
                      <w:sz w:val="21"/>
                      <w:szCs w:val="21"/>
                      <w:highlight w:val="none"/>
                    </w:rPr>
                    <w:t>技有限公司</w:t>
                  </w:r>
                </w:p>
              </w:tc>
              <w:tc>
                <w:tcPr>
                  <w:tcW w:w="283" w:type="pct"/>
                  <w:vAlign w:val="center"/>
                </w:tcPr>
                <w:p w14:paraId="554C03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0"/>
                      <w:sz w:val="21"/>
                      <w:szCs w:val="21"/>
                      <w:highlight w:val="none"/>
                    </w:rPr>
                    <w:t>已批未</w:t>
                  </w:r>
                  <w:r>
                    <w:rPr>
                      <w:rFonts w:ascii="宋体" w:hAnsi="宋体" w:eastAsia="宋体" w:cs="宋体"/>
                      <w:color w:val="auto"/>
                      <w:sz w:val="21"/>
                      <w:szCs w:val="21"/>
                      <w:highlight w:val="none"/>
                    </w:rPr>
                    <w:t>建</w:t>
                  </w:r>
                </w:p>
              </w:tc>
              <w:tc>
                <w:tcPr>
                  <w:tcW w:w="579" w:type="pct"/>
                  <w:vAlign w:val="center"/>
                </w:tcPr>
                <w:p w14:paraId="6476D2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橡胶和塑料制品业、非金属矿物制</w:t>
                  </w:r>
                  <w:r>
                    <w:rPr>
                      <w:rFonts w:ascii="宋体" w:hAnsi="宋体" w:eastAsia="宋体" w:cs="宋体"/>
                      <w:color w:val="auto"/>
                      <w:spacing w:val="-6"/>
                      <w:sz w:val="21"/>
                      <w:szCs w:val="21"/>
                      <w:highlight w:val="none"/>
                    </w:rPr>
                    <w:t>品业</w:t>
                  </w:r>
                </w:p>
              </w:tc>
              <w:tc>
                <w:tcPr>
                  <w:tcW w:w="385" w:type="pct"/>
                  <w:vAlign w:val="center"/>
                </w:tcPr>
                <w:p w14:paraId="0FA9A17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8000</w:t>
                  </w:r>
                </w:p>
              </w:tc>
              <w:tc>
                <w:tcPr>
                  <w:tcW w:w="1690" w:type="pct"/>
                  <w:vAlign w:val="center"/>
                </w:tcPr>
                <w:p w14:paraId="2DF25DF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w:t>
                  </w:r>
                  <w:r>
                    <w:rPr>
                      <w:color w:val="auto"/>
                      <w:spacing w:val="-1"/>
                      <w:highlight w:val="none"/>
                    </w:rPr>
                    <w:t>PVC</w:t>
                  </w:r>
                  <w:r>
                    <w:rPr>
                      <w:rFonts w:ascii="宋体" w:hAnsi="宋体" w:eastAsia="宋体" w:cs="宋体"/>
                      <w:color w:val="auto"/>
                      <w:spacing w:val="-1"/>
                      <w:highlight w:val="none"/>
                    </w:rPr>
                    <w:t>膜</w:t>
                  </w:r>
                  <w:r>
                    <w:rPr>
                      <w:color w:val="auto"/>
                      <w:spacing w:val="-1"/>
                      <w:highlight w:val="none"/>
                    </w:rPr>
                    <w:t>2600</w:t>
                  </w:r>
                  <w:r>
                    <w:rPr>
                      <w:rFonts w:ascii="宋体" w:hAnsi="宋体" w:eastAsia="宋体" w:cs="宋体"/>
                      <w:color w:val="auto"/>
                      <w:spacing w:val="-1"/>
                      <w:highlight w:val="none"/>
                    </w:rPr>
                    <w:t>吨、</w:t>
                  </w:r>
                  <w:r>
                    <w:rPr>
                      <w:color w:val="auto"/>
                      <w:spacing w:val="-1"/>
                      <w:highlight w:val="none"/>
                    </w:rPr>
                    <w:t>PU</w:t>
                  </w:r>
                  <w:r>
                    <w:rPr>
                      <w:rFonts w:ascii="宋体" w:hAnsi="宋体" w:eastAsia="宋体" w:cs="宋体"/>
                      <w:color w:val="auto"/>
                      <w:spacing w:val="-1"/>
                      <w:highlight w:val="none"/>
                    </w:rPr>
                    <w:t>膜</w:t>
                  </w:r>
                  <w:r>
                    <w:rPr>
                      <w:color w:val="auto"/>
                      <w:spacing w:val="-1"/>
                      <w:highlight w:val="none"/>
                    </w:rPr>
                    <w:t>500</w:t>
                  </w:r>
                  <w:r>
                    <w:rPr>
                      <w:rFonts w:ascii="宋体" w:hAnsi="宋体" w:eastAsia="宋体" w:cs="宋体"/>
                      <w:color w:val="auto"/>
                      <w:spacing w:val="-1"/>
                      <w:highlight w:val="none"/>
                    </w:rPr>
                    <w:t>吨、人造石墨</w:t>
                  </w:r>
                  <w:r>
                    <w:rPr>
                      <w:color w:val="auto"/>
                      <w:spacing w:val="-1"/>
                      <w:highlight w:val="none"/>
                    </w:rPr>
                    <w:t>2</w:t>
                  </w:r>
                  <w:r>
                    <w:rPr>
                      <w:rFonts w:ascii="宋体" w:hAnsi="宋体" w:eastAsia="宋体" w:cs="宋体"/>
                      <w:color w:val="auto"/>
                      <w:spacing w:val="-1"/>
                      <w:highlight w:val="none"/>
                    </w:rPr>
                    <w:t>万吨</w:t>
                  </w:r>
                </w:p>
              </w:tc>
              <w:tc>
                <w:tcPr>
                  <w:tcW w:w="962" w:type="pct"/>
                  <w:vAlign w:val="center"/>
                </w:tcPr>
                <w:p w14:paraId="678D510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"bookmark255" </w:instrText>
                  </w:r>
                  <w:r>
                    <w:rPr>
                      <w:color w:val="auto"/>
                      <w:highlight w:val="none"/>
                    </w:rPr>
                    <w:fldChar w:fldCharType="separate"/>
                  </w:r>
                  <w:r>
                    <w:rPr>
                      <w:color w:val="auto"/>
                      <w:spacing w:val="-2"/>
                      <w:highlight w:val="none"/>
                    </w:rPr>
                    <w:t>2017</w:t>
                  </w:r>
                  <w:r>
                    <w:rPr>
                      <w:color w:val="auto"/>
                      <w:spacing w:val="-2"/>
                      <w:highlight w:val="none"/>
                    </w:rPr>
                    <w:fldChar w:fldCharType="end"/>
                  </w:r>
                  <w:r>
                    <w:rPr>
                      <w:color w:val="auto"/>
                      <w:spacing w:val="-2"/>
                      <w:highlight w:val="none"/>
                    </w:rPr>
                    <w:t>]81</w:t>
                  </w:r>
                  <w:r>
                    <w:rPr>
                      <w:rFonts w:ascii="宋体" w:hAnsi="宋体" w:eastAsia="宋体" w:cs="宋体"/>
                      <w:color w:val="auto"/>
                      <w:spacing w:val="-2"/>
                      <w:highlight w:val="none"/>
                    </w:rPr>
                    <w:t>号、韶环乐审</w:t>
                  </w:r>
                  <w:r>
                    <w:rPr>
                      <w:color w:val="auto"/>
                      <w:spacing w:val="-2"/>
                      <w:highlight w:val="none"/>
                    </w:rPr>
                    <w:t>[</w:t>
                  </w:r>
                  <w:r>
                    <w:rPr>
                      <w:color w:val="auto"/>
                      <w:highlight w:val="none"/>
                    </w:rPr>
                    <w:fldChar w:fldCharType="begin"/>
                  </w:r>
                  <w:r>
                    <w:rPr>
                      <w:color w:val="auto"/>
                      <w:highlight w:val="none"/>
                    </w:rPr>
                    <w:instrText xml:space="preserve"> HYPERLINK \l "bookmark256" </w:instrText>
                  </w:r>
                  <w:r>
                    <w:rPr>
                      <w:color w:val="auto"/>
                      <w:highlight w:val="none"/>
                    </w:rPr>
                    <w:fldChar w:fldCharType="separate"/>
                  </w:r>
                  <w:r>
                    <w:rPr>
                      <w:color w:val="auto"/>
                      <w:spacing w:val="-2"/>
                      <w:highlight w:val="none"/>
                    </w:rPr>
                    <w:t>2023</w:t>
                  </w:r>
                  <w:r>
                    <w:rPr>
                      <w:color w:val="auto"/>
                      <w:spacing w:val="-2"/>
                      <w:highlight w:val="none"/>
                    </w:rPr>
                    <w:fldChar w:fldCharType="end"/>
                  </w:r>
                  <w:r>
                    <w:rPr>
                      <w:color w:val="auto"/>
                      <w:spacing w:val="-2"/>
                      <w:highlight w:val="none"/>
                    </w:rPr>
                    <w:t>]32</w:t>
                  </w:r>
                  <w:r>
                    <w:rPr>
                      <w:rFonts w:ascii="宋体" w:hAnsi="宋体" w:eastAsia="宋体" w:cs="宋体"/>
                      <w:color w:val="auto"/>
                      <w:spacing w:val="-2"/>
                      <w:highlight w:val="none"/>
                    </w:rPr>
                    <w:t>号</w:t>
                  </w:r>
                </w:p>
              </w:tc>
            </w:tr>
            <w:tr w14:paraId="5CAE62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A38E60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100</w:t>
                  </w:r>
                </w:p>
              </w:tc>
              <w:tc>
                <w:tcPr>
                  <w:tcW w:w="854" w:type="pct"/>
                  <w:vAlign w:val="center"/>
                </w:tcPr>
                <w:p w14:paraId="40A009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乐昌市众诚塑㬵制品有限公</w:t>
                  </w:r>
                  <w:r>
                    <w:rPr>
                      <w:rFonts w:ascii="宋体" w:hAnsi="宋体" w:eastAsia="宋体" w:cs="宋体"/>
                      <w:color w:val="auto"/>
                      <w:sz w:val="21"/>
                      <w:szCs w:val="21"/>
                      <w:highlight w:val="none"/>
                    </w:rPr>
                    <w:t>司</w:t>
                  </w:r>
                </w:p>
              </w:tc>
              <w:tc>
                <w:tcPr>
                  <w:tcW w:w="283" w:type="pct"/>
                  <w:vAlign w:val="center"/>
                </w:tcPr>
                <w:p w14:paraId="436364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6"/>
                      <w:sz w:val="21"/>
                      <w:szCs w:val="21"/>
                      <w:highlight w:val="none"/>
                    </w:rPr>
                    <w:t>已批未</w:t>
                  </w:r>
                  <w:r>
                    <w:rPr>
                      <w:rFonts w:ascii="宋体" w:hAnsi="宋体" w:eastAsia="宋体" w:cs="宋体"/>
                      <w:color w:val="auto"/>
                      <w:sz w:val="21"/>
                      <w:szCs w:val="21"/>
                      <w:highlight w:val="none"/>
                    </w:rPr>
                    <w:t>建</w:t>
                  </w:r>
                </w:p>
              </w:tc>
              <w:tc>
                <w:tcPr>
                  <w:tcW w:w="579" w:type="pct"/>
                  <w:vAlign w:val="center"/>
                </w:tcPr>
                <w:p w14:paraId="4614051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04C42BC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12419.5</w:t>
                  </w:r>
                </w:p>
              </w:tc>
              <w:tc>
                <w:tcPr>
                  <w:tcW w:w="1690" w:type="pct"/>
                  <w:vAlign w:val="center"/>
                </w:tcPr>
                <w:p w14:paraId="7B64D9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PU</w:t>
                  </w:r>
                  <w:r>
                    <w:rPr>
                      <w:rFonts w:ascii="宋体" w:hAnsi="宋体" w:eastAsia="宋体" w:cs="宋体"/>
                      <w:color w:val="auto"/>
                      <w:spacing w:val="-2"/>
                      <w:highlight w:val="none"/>
                    </w:rPr>
                    <w:t>装饰线条</w:t>
                  </w:r>
                  <w:r>
                    <w:rPr>
                      <w:color w:val="auto"/>
                      <w:spacing w:val="-2"/>
                      <w:highlight w:val="none"/>
                    </w:rPr>
                    <w:t>1300</w:t>
                  </w:r>
                  <w:r>
                    <w:rPr>
                      <w:rFonts w:ascii="宋体" w:hAnsi="宋体" w:eastAsia="宋体" w:cs="宋体"/>
                      <w:color w:val="auto"/>
                      <w:spacing w:val="-2"/>
                      <w:highlight w:val="none"/>
                    </w:rPr>
                    <w:t>吨、聚氨酯装饰制品</w:t>
                  </w:r>
                  <w:r>
                    <w:rPr>
                      <w:color w:val="auto"/>
                      <w:spacing w:val="-2"/>
                      <w:highlight w:val="none"/>
                    </w:rPr>
                    <w:t>2</w:t>
                  </w:r>
                  <w:r>
                    <w:rPr>
                      <w:color w:val="auto"/>
                      <w:spacing w:val="-3"/>
                      <w:highlight w:val="none"/>
                    </w:rPr>
                    <w:t>00</w:t>
                  </w:r>
                  <w:r>
                    <w:rPr>
                      <w:rFonts w:ascii="宋体" w:hAnsi="宋体" w:eastAsia="宋体" w:cs="宋体"/>
                      <w:color w:val="auto"/>
                      <w:spacing w:val="-3"/>
                      <w:highlight w:val="none"/>
                    </w:rPr>
                    <w:t>吨</w:t>
                  </w:r>
                </w:p>
              </w:tc>
              <w:tc>
                <w:tcPr>
                  <w:tcW w:w="962" w:type="pct"/>
                  <w:vAlign w:val="center"/>
                </w:tcPr>
                <w:p w14:paraId="6A43689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乐环审</w:t>
                  </w:r>
                  <w:r>
                    <w:rPr>
                      <w:color w:val="auto"/>
                      <w:spacing w:val="-4"/>
                      <w:highlight w:val="none"/>
                    </w:rPr>
                    <w:t>[</w:t>
                  </w:r>
                  <w:r>
                    <w:rPr>
                      <w:color w:val="auto"/>
                      <w:highlight w:val="none"/>
                    </w:rPr>
                    <w:fldChar w:fldCharType="begin"/>
                  </w:r>
                  <w:r>
                    <w:rPr>
                      <w:color w:val="auto"/>
                      <w:highlight w:val="none"/>
                    </w:rPr>
                    <w:instrText xml:space="preserve"> HYPERLINK \l "bookmark257" </w:instrText>
                  </w:r>
                  <w:r>
                    <w:rPr>
                      <w:color w:val="auto"/>
                      <w:highlight w:val="none"/>
                    </w:rPr>
                    <w:fldChar w:fldCharType="separate"/>
                  </w:r>
                  <w:r>
                    <w:rPr>
                      <w:color w:val="auto"/>
                      <w:spacing w:val="-4"/>
                      <w:highlight w:val="none"/>
                    </w:rPr>
                    <w:t>2018</w:t>
                  </w:r>
                  <w:r>
                    <w:rPr>
                      <w:color w:val="auto"/>
                      <w:spacing w:val="-4"/>
                      <w:highlight w:val="none"/>
                    </w:rPr>
                    <w:fldChar w:fldCharType="end"/>
                  </w:r>
                  <w:r>
                    <w:rPr>
                      <w:color w:val="auto"/>
                      <w:spacing w:val="-4"/>
                      <w:highlight w:val="none"/>
                    </w:rPr>
                    <w:t>]15</w:t>
                  </w:r>
                  <w:r>
                    <w:rPr>
                      <w:rFonts w:ascii="宋体" w:hAnsi="宋体" w:eastAsia="宋体" w:cs="宋体"/>
                      <w:color w:val="auto"/>
                      <w:spacing w:val="-4"/>
                      <w:highlight w:val="none"/>
                    </w:rPr>
                    <w:t>号</w:t>
                  </w:r>
                </w:p>
              </w:tc>
            </w:tr>
            <w:tr w14:paraId="4C03B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242" w:type="pct"/>
                  <w:vAlign w:val="center"/>
                </w:tcPr>
                <w:p w14:paraId="6FB3AF7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101</w:t>
                  </w:r>
                </w:p>
              </w:tc>
              <w:tc>
                <w:tcPr>
                  <w:tcW w:w="854" w:type="pct"/>
                  <w:vAlign w:val="center"/>
                </w:tcPr>
                <w:p w14:paraId="3BA68CE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韶关盖邦建材有限公司</w:t>
                  </w:r>
                </w:p>
              </w:tc>
              <w:tc>
                <w:tcPr>
                  <w:tcW w:w="283" w:type="pct"/>
                  <w:vAlign w:val="center"/>
                </w:tcPr>
                <w:p w14:paraId="7689D1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6"/>
                      <w:sz w:val="21"/>
                      <w:szCs w:val="21"/>
                      <w:highlight w:val="none"/>
                    </w:rPr>
                    <w:t>已批未</w:t>
                  </w:r>
                  <w:r>
                    <w:rPr>
                      <w:rFonts w:ascii="宋体" w:hAnsi="宋体" w:eastAsia="宋体" w:cs="宋体"/>
                      <w:color w:val="auto"/>
                      <w:sz w:val="21"/>
                      <w:szCs w:val="21"/>
                      <w:highlight w:val="none"/>
                    </w:rPr>
                    <w:t>建</w:t>
                  </w:r>
                </w:p>
              </w:tc>
              <w:tc>
                <w:tcPr>
                  <w:tcW w:w="579" w:type="pct"/>
                  <w:vAlign w:val="center"/>
                </w:tcPr>
                <w:p w14:paraId="409C254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23A93E7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10000</w:t>
                  </w:r>
                </w:p>
              </w:tc>
              <w:tc>
                <w:tcPr>
                  <w:tcW w:w="1690" w:type="pct"/>
                  <w:vAlign w:val="center"/>
                </w:tcPr>
                <w:p w14:paraId="4FD4CCB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w:t>
                  </w:r>
                  <w:r>
                    <w:rPr>
                      <w:color w:val="auto"/>
                      <w:spacing w:val="-1"/>
                      <w:highlight w:val="none"/>
                    </w:rPr>
                    <w:t>6000</w:t>
                  </w:r>
                  <w:r>
                    <w:rPr>
                      <w:rFonts w:ascii="宋体" w:hAnsi="宋体" w:eastAsia="宋体" w:cs="宋体"/>
                      <w:color w:val="auto"/>
                      <w:spacing w:val="-1"/>
                      <w:highlight w:val="none"/>
                    </w:rPr>
                    <w:t>个不锈钢井盖、排水沟盖板</w:t>
                  </w:r>
                </w:p>
              </w:tc>
              <w:tc>
                <w:tcPr>
                  <w:tcW w:w="962" w:type="pct"/>
                  <w:vAlign w:val="center"/>
                </w:tcPr>
                <w:p w14:paraId="35FA03A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2019</w:t>
                  </w:r>
                  <w:r>
                    <w:rPr>
                      <w:rFonts w:ascii="宋体" w:hAnsi="宋体" w:eastAsia="宋体" w:cs="宋体"/>
                      <w:color w:val="auto"/>
                      <w:spacing w:val="-1"/>
                      <w:highlight w:val="none"/>
                    </w:rPr>
                    <w:t>〕</w:t>
                  </w:r>
                  <w:r>
                    <w:rPr>
                      <w:color w:val="auto"/>
                      <w:spacing w:val="-1"/>
                      <w:highlight w:val="none"/>
                    </w:rPr>
                    <w:t>33</w:t>
                  </w:r>
                  <w:r>
                    <w:rPr>
                      <w:rFonts w:ascii="宋体" w:hAnsi="宋体" w:eastAsia="宋体" w:cs="宋体"/>
                      <w:color w:val="auto"/>
                      <w:spacing w:val="-1"/>
                      <w:highlight w:val="none"/>
                    </w:rPr>
                    <w:t>号</w:t>
                  </w:r>
                </w:p>
              </w:tc>
            </w:tr>
            <w:tr w14:paraId="769E18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72D2BEF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102</w:t>
                  </w:r>
                </w:p>
              </w:tc>
              <w:tc>
                <w:tcPr>
                  <w:tcW w:w="854" w:type="pct"/>
                  <w:vAlign w:val="center"/>
                </w:tcPr>
                <w:p w14:paraId="654349B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广东力齐铝模科技有限公司</w:t>
                  </w:r>
                </w:p>
              </w:tc>
              <w:tc>
                <w:tcPr>
                  <w:tcW w:w="283" w:type="pct"/>
                  <w:vAlign w:val="center"/>
                </w:tcPr>
                <w:p w14:paraId="1D8ED45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停产</w:t>
                  </w:r>
                </w:p>
              </w:tc>
              <w:tc>
                <w:tcPr>
                  <w:tcW w:w="579" w:type="pct"/>
                  <w:vAlign w:val="center"/>
                </w:tcPr>
                <w:p w14:paraId="13303B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2AE3DD4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32404.8</w:t>
                  </w:r>
                </w:p>
              </w:tc>
              <w:tc>
                <w:tcPr>
                  <w:tcW w:w="1690" w:type="pct"/>
                  <w:vAlign w:val="center"/>
                </w:tcPr>
                <w:p w14:paraId="66F8973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年产铝合金建筑模板</w:t>
                  </w:r>
                  <w:r>
                    <w:rPr>
                      <w:color w:val="auto"/>
                      <w:spacing w:val="-1"/>
                      <w:highlight w:val="none"/>
                    </w:rPr>
                    <w:t>24</w:t>
                  </w:r>
                  <w:r>
                    <w:rPr>
                      <w:rFonts w:ascii="宋体" w:hAnsi="宋体" w:eastAsia="宋体" w:cs="宋体"/>
                      <w:color w:val="auto"/>
                      <w:spacing w:val="-1"/>
                      <w:highlight w:val="none"/>
                    </w:rPr>
                    <w:t>万平方米，年处理结构件</w:t>
                  </w:r>
                  <w:r>
                    <w:rPr>
                      <w:color w:val="auto"/>
                      <w:spacing w:val="-1"/>
                      <w:highlight w:val="none"/>
                    </w:rPr>
                    <w:t>6630</w:t>
                  </w:r>
                  <w:r>
                    <w:rPr>
                      <w:rFonts w:ascii="宋体" w:hAnsi="宋体" w:eastAsia="宋体" w:cs="宋体"/>
                      <w:color w:val="auto"/>
                      <w:spacing w:val="-1"/>
                      <w:highlight w:val="none"/>
                    </w:rPr>
                    <w:t>吨</w:t>
                  </w:r>
                </w:p>
              </w:tc>
              <w:tc>
                <w:tcPr>
                  <w:tcW w:w="962" w:type="pct"/>
                  <w:vAlign w:val="center"/>
                </w:tcPr>
                <w:p w14:paraId="30BEC38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乐环审〔</w:t>
                  </w:r>
                  <w:r>
                    <w:rPr>
                      <w:color w:val="auto"/>
                      <w:spacing w:val="-1"/>
                      <w:highlight w:val="none"/>
                    </w:rPr>
                    <w:t>2020</w:t>
                  </w:r>
                  <w:r>
                    <w:rPr>
                      <w:rFonts w:ascii="宋体" w:hAnsi="宋体" w:eastAsia="宋体" w:cs="宋体"/>
                      <w:color w:val="auto"/>
                      <w:spacing w:val="-1"/>
                      <w:highlight w:val="none"/>
                    </w:rPr>
                    <w:t>〕</w:t>
                  </w:r>
                  <w:r>
                    <w:rPr>
                      <w:color w:val="auto"/>
                      <w:spacing w:val="-1"/>
                      <w:highlight w:val="none"/>
                    </w:rPr>
                    <w:t>31</w:t>
                  </w:r>
                  <w:r>
                    <w:rPr>
                      <w:rFonts w:ascii="宋体" w:hAnsi="宋体" w:eastAsia="宋体" w:cs="宋体"/>
                      <w:color w:val="auto"/>
                      <w:spacing w:val="-1"/>
                      <w:highlight w:val="none"/>
                    </w:rPr>
                    <w:t>号、韶环乐审</w:t>
                  </w:r>
                  <w:r>
                    <w:rPr>
                      <w:rFonts w:ascii="宋体" w:hAnsi="宋体" w:eastAsia="宋体" w:cs="宋体"/>
                      <w:color w:val="auto"/>
                      <w:spacing w:val="-4"/>
                      <w:highlight w:val="none"/>
                    </w:rPr>
                    <w:t>〔</w:t>
                  </w:r>
                  <w:r>
                    <w:rPr>
                      <w:color w:val="auto"/>
                      <w:spacing w:val="-4"/>
                      <w:highlight w:val="none"/>
                    </w:rPr>
                    <w:t>2022</w:t>
                  </w:r>
                  <w:r>
                    <w:rPr>
                      <w:rFonts w:ascii="宋体" w:hAnsi="宋体" w:eastAsia="宋体" w:cs="宋体"/>
                      <w:color w:val="auto"/>
                      <w:spacing w:val="-4"/>
                      <w:highlight w:val="none"/>
                    </w:rPr>
                    <w:t>〕</w:t>
                  </w:r>
                  <w:r>
                    <w:rPr>
                      <w:color w:val="auto"/>
                      <w:spacing w:val="-4"/>
                      <w:highlight w:val="none"/>
                    </w:rPr>
                    <w:t>08</w:t>
                  </w:r>
                  <w:r>
                    <w:rPr>
                      <w:rFonts w:ascii="宋体" w:hAnsi="宋体" w:eastAsia="宋体" w:cs="宋体"/>
                      <w:color w:val="auto"/>
                      <w:spacing w:val="-4"/>
                      <w:highlight w:val="none"/>
                    </w:rPr>
                    <w:t>号</w:t>
                  </w:r>
                </w:p>
              </w:tc>
            </w:tr>
            <w:tr w14:paraId="180DE6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2" w:hRule="atLeast"/>
                <w:jc w:val="center"/>
              </w:trPr>
              <w:tc>
                <w:tcPr>
                  <w:tcW w:w="242" w:type="pct"/>
                  <w:vAlign w:val="center"/>
                </w:tcPr>
                <w:p w14:paraId="4215D4A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103</w:t>
                  </w:r>
                </w:p>
              </w:tc>
              <w:tc>
                <w:tcPr>
                  <w:tcW w:w="854" w:type="pct"/>
                  <w:vAlign w:val="center"/>
                </w:tcPr>
                <w:p w14:paraId="188E78F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乐昌市吉焱实业有限公司</w:t>
                  </w:r>
                </w:p>
              </w:tc>
              <w:tc>
                <w:tcPr>
                  <w:tcW w:w="283" w:type="pct"/>
                  <w:vAlign w:val="center"/>
                </w:tcPr>
                <w:p w14:paraId="34345F6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停产</w:t>
                  </w:r>
                </w:p>
              </w:tc>
              <w:tc>
                <w:tcPr>
                  <w:tcW w:w="579" w:type="pct"/>
                  <w:vAlign w:val="center"/>
                </w:tcPr>
                <w:p w14:paraId="591BCD6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388AC47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24875.4</w:t>
                  </w:r>
                </w:p>
              </w:tc>
              <w:tc>
                <w:tcPr>
                  <w:tcW w:w="1690" w:type="pct"/>
                  <w:vAlign w:val="center"/>
                </w:tcPr>
                <w:p w14:paraId="77B5A90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PU</w:t>
                  </w:r>
                  <w:r>
                    <w:rPr>
                      <w:rFonts w:ascii="宋体" w:hAnsi="宋体" w:eastAsia="宋体" w:cs="宋体"/>
                      <w:color w:val="auto"/>
                      <w:spacing w:val="-2"/>
                      <w:highlight w:val="none"/>
                    </w:rPr>
                    <w:t>装饰线条</w:t>
                  </w:r>
                  <w:r>
                    <w:rPr>
                      <w:color w:val="auto"/>
                      <w:spacing w:val="-2"/>
                      <w:highlight w:val="none"/>
                    </w:rPr>
                    <w:t>1500</w:t>
                  </w:r>
                  <w:r>
                    <w:rPr>
                      <w:rFonts w:ascii="宋体" w:hAnsi="宋体" w:eastAsia="宋体" w:cs="宋体"/>
                      <w:color w:val="auto"/>
                      <w:spacing w:val="-2"/>
                      <w:highlight w:val="none"/>
                    </w:rPr>
                    <w:t>吨、聚氨酯装饰制品</w:t>
                  </w:r>
                  <w:r>
                    <w:rPr>
                      <w:color w:val="auto"/>
                      <w:spacing w:val="-2"/>
                      <w:highlight w:val="none"/>
                    </w:rPr>
                    <w:t>2</w:t>
                  </w:r>
                  <w:r>
                    <w:rPr>
                      <w:color w:val="auto"/>
                      <w:spacing w:val="-3"/>
                      <w:highlight w:val="none"/>
                    </w:rPr>
                    <w:t>50</w:t>
                  </w:r>
                  <w:r>
                    <w:rPr>
                      <w:rFonts w:ascii="宋体" w:hAnsi="宋体" w:eastAsia="宋体" w:cs="宋体"/>
                      <w:color w:val="auto"/>
                      <w:spacing w:val="-3"/>
                      <w:highlight w:val="none"/>
                    </w:rPr>
                    <w:t>吨</w:t>
                  </w:r>
                </w:p>
              </w:tc>
              <w:tc>
                <w:tcPr>
                  <w:tcW w:w="962" w:type="pct"/>
                  <w:vAlign w:val="center"/>
                </w:tcPr>
                <w:p w14:paraId="0506CF4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4"/>
                      <w:highlight w:val="none"/>
                    </w:rPr>
                    <w:t>乐环审</w:t>
                  </w:r>
                  <w:r>
                    <w:rPr>
                      <w:color w:val="auto"/>
                      <w:spacing w:val="-4"/>
                      <w:highlight w:val="none"/>
                    </w:rPr>
                    <w:t>[</w:t>
                  </w:r>
                  <w:r>
                    <w:rPr>
                      <w:color w:val="auto"/>
                      <w:highlight w:val="none"/>
                    </w:rPr>
                    <w:fldChar w:fldCharType="begin"/>
                  </w:r>
                  <w:r>
                    <w:rPr>
                      <w:color w:val="auto"/>
                      <w:highlight w:val="none"/>
                    </w:rPr>
                    <w:instrText xml:space="preserve"> HYPERLINK \l "bookmark258" </w:instrText>
                  </w:r>
                  <w:r>
                    <w:rPr>
                      <w:color w:val="auto"/>
                      <w:highlight w:val="none"/>
                    </w:rPr>
                    <w:fldChar w:fldCharType="separate"/>
                  </w:r>
                  <w:r>
                    <w:rPr>
                      <w:color w:val="auto"/>
                      <w:spacing w:val="-4"/>
                      <w:highlight w:val="none"/>
                    </w:rPr>
                    <w:t>2018</w:t>
                  </w:r>
                  <w:r>
                    <w:rPr>
                      <w:color w:val="auto"/>
                      <w:spacing w:val="-4"/>
                      <w:highlight w:val="none"/>
                    </w:rPr>
                    <w:fldChar w:fldCharType="end"/>
                  </w:r>
                  <w:r>
                    <w:rPr>
                      <w:color w:val="auto"/>
                      <w:spacing w:val="-4"/>
                      <w:highlight w:val="none"/>
                    </w:rPr>
                    <w:t>]14</w:t>
                  </w:r>
                  <w:r>
                    <w:rPr>
                      <w:rFonts w:ascii="宋体" w:hAnsi="宋体" w:eastAsia="宋体" w:cs="宋体"/>
                      <w:color w:val="auto"/>
                      <w:spacing w:val="-4"/>
                      <w:highlight w:val="none"/>
                    </w:rPr>
                    <w:t>号</w:t>
                  </w:r>
                </w:p>
              </w:tc>
            </w:tr>
            <w:tr w14:paraId="108270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49654F2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104</w:t>
                  </w:r>
                </w:p>
              </w:tc>
              <w:tc>
                <w:tcPr>
                  <w:tcW w:w="854" w:type="pct"/>
                  <w:vAlign w:val="center"/>
                </w:tcPr>
                <w:p w14:paraId="7570F5B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广东省嘉上实业有限公司</w:t>
                  </w:r>
                </w:p>
              </w:tc>
              <w:tc>
                <w:tcPr>
                  <w:tcW w:w="283" w:type="pct"/>
                  <w:vAlign w:val="center"/>
                </w:tcPr>
                <w:p w14:paraId="26B422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停产</w:t>
                  </w:r>
                </w:p>
              </w:tc>
              <w:tc>
                <w:tcPr>
                  <w:tcW w:w="579" w:type="pct"/>
                  <w:vAlign w:val="center"/>
                </w:tcPr>
                <w:p w14:paraId="4E28CAD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6CC3FB7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12926.42</w:t>
                  </w:r>
                </w:p>
              </w:tc>
              <w:tc>
                <w:tcPr>
                  <w:tcW w:w="1690" w:type="pct"/>
                  <w:vAlign w:val="center"/>
                </w:tcPr>
                <w:p w14:paraId="0865C9C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年产塑胶桶</w:t>
                  </w:r>
                  <w:r>
                    <w:rPr>
                      <w:color w:val="auto"/>
                      <w:spacing w:val="-1"/>
                      <w:highlight w:val="none"/>
                    </w:rPr>
                    <w:t>500</w:t>
                  </w:r>
                  <w:r>
                    <w:rPr>
                      <w:rFonts w:ascii="宋体" w:hAnsi="宋体" w:eastAsia="宋体" w:cs="宋体"/>
                      <w:color w:val="auto"/>
                      <w:spacing w:val="-1"/>
                      <w:highlight w:val="none"/>
                    </w:rPr>
                    <w:t>万个</w:t>
                  </w:r>
                </w:p>
              </w:tc>
              <w:tc>
                <w:tcPr>
                  <w:tcW w:w="962" w:type="pct"/>
                  <w:vAlign w:val="center"/>
                </w:tcPr>
                <w:p w14:paraId="42D9D77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highlight w:val="none"/>
                    </w:rPr>
                    <w:t>韶环乐审</w:t>
                  </w:r>
                  <w:r>
                    <w:rPr>
                      <w:color w:val="auto"/>
                      <w:highlight w:val="none"/>
                    </w:rPr>
                    <w:t>[</w:t>
                  </w:r>
                  <w:r>
                    <w:rPr>
                      <w:color w:val="auto"/>
                      <w:highlight w:val="none"/>
                    </w:rPr>
                    <w:fldChar w:fldCharType="begin"/>
                  </w:r>
                  <w:r>
                    <w:rPr>
                      <w:color w:val="auto"/>
                      <w:highlight w:val="none"/>
                    </w:rPr>
                    <w:instrText xml:space="preserve"> HYPERLINK \l "bookmark259" </w:instrText>
                  </w:r>
                  <w:r>
                    <w:rPr>
                      <w:color w:val="auto"/>
                      <w:highlight w:val="none"/>
                    </w:rPr>
                    <w:fldChar w:fldCharType="separate"/>
                  </w:r>
                  <w:r>
                    <w:rPr>
                      <w:color w:val="auto"/>
                      <w:highlight w:val="none"/>
                    </w:rPr>
                    <w:t>2022</w:t>
                  </w:r>
                  <w:r>
                    <w:rPr>
                      <w:color w:val="auto"/>
                      <w:highlight w:val="none"/>
                    </w:rPr>
                    <w:fldChar w:fldCharType="end"/>
                  </w:r>
                  <w:r>
                    <w:rPr>
                      <w:color w:val="auto"/>
                      <w:highlight w:val="none"/>
                    </w:rPr>
                    <w:t>]21</w:t>
                  </w:r>
                  <w:r>
                    <w:rPr>
                      <w:rFonts w:ascii="宋体" w:hAnsi="宋体" w:eastAsia="宋体" w:cs="宋体"/>
                      <w:color w:val="auto"/>
                      <w:highlight w:val="none"/>
                    </w:rPr>
                    <w:t>号</w:t>
                  </w:r>
                </w:p>
              </w:tc>
            </w:tr>
            <w:tr w14:paraId="1BE66B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 w:hRule="atLeast"/>
                <w:jc w:val="center"/>
              </w:trPr>
              <w:tc>
                <w:tcPr>
                  <w:tcW w:w="242" w:type="pct"/>
                  <w:vAlign w:val="center"/>
                </w:tcPr>
                <w:p w14:paraId="0D7C81B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105</w:t>
                  </w:r>
                </w:p>
              </w:tc>
              <w:tc>
                <w:tcPr>
                  <w:tcW w:w="854" w:type="pct"/>
                  <w:vAlign w:val="center"/>
                </w:tcPr>
                <w:p w14:paraId="16518A6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溢拓新能源</w:t>
                  </w:r>
                  <w:r>
                    <w:rPr>
                      <w:color w:val="auto"/>
                      <w:spacing w:val="-1"/>
                      <w:highlight w:val="none"/>
                    </w:rPr>
                    <w:t>(</w:t>
                  </w:r>
                  <w:r>
                    <w:rPr>
                      <w:rFonts w:ascii="宋体" w:hAnsi="宋体" w:eastAsia="宋体" w:cs="宋体"/>
                      <w:color w:val="auto"/>
                      <w:spacing w:val="-1"/>
                      <w:highlight w:val="none"/>
                    </w:rPr>
                    <w:t>广东</w:t>
                  </w:r>
                  <w:r>
                    <w:rPr>
                      <w:color w:val="auto"/>
                      <w:spacing w:val="-1"/>
                      <w:highlight w:val="none"/>
                    </w:rPr>
                    <w:t>)</w:t>
                  </w:r>
                  <w:r>
                    <w:rPr>
                      <w:rFonts w:ascii="宋体" w:hAnsi="宋体" w:eastAsia="宋体" w:cs="宋体"/>
                      <w:color w:val="auto"/>
                      <w:spacing w:val="-1"/>
                      <w:highlight w:val="none"/>
                    </w:rPr>
                    <w:t>有限公司</w:t>
                  </w:r>
                </w:p>
              </w:tc>
              <w:tc>
                <w:tcPr>
                  <w:tcW w:w="283" w:type="pct"/>
                  <w:vAlign w:val="center"/>
                </w:tcPr>
                <w:p w14:paraId="3D823A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停产</w:t>
                  </w:r>
                </w:p>
              </w:tc>
              <w:tc>
                <w:tcPr>
                  <w:tcW w:w="579" w:type="pct"/>
                  <w:vAlign w:val="center"/>
                </w:tcPr>
                <w:p w14:paraId="64C1C4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电气机械和器材制</w:t>
                  </w:r>
                  <w:r>
                    <w:rPr>
                      <w:rFonts w:ascii="宋体" w:hAnsi="宋体" w:eastAsia="宋体" w:cs="宋体"/>
                      <w:color w:val="auto"/>
                      <w:spacing w:val="-2"/>
                      <w:sz w:val="21"/>
                      <w:szCs w:val="21"/>
                      <w:highlight w:val="none"/>
                    </w:rPr>
                    <w:t>造业</w:t>
                  </w:r>
                </w:p>
              </w:tc>
              <w:tc>
                <w:tcPr>
                  <w:tcW w:w="385" w:type="pct"/>
                  <w:vAlign w:val="center"/>
                </w:tcPr>
                <w:p w14:paraId="0ED56AA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11000</w:t>
                  </w:r>
                </w:p>
              </w:tc>
              <w:tc>
                <w:tcPr>
                  <w:tcW w:w="1690" w:type="pct"/>
                  <w:vAlign w:val="center"/>
                </w:tcPr>
                <w:p w14:paraId="45B01BC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300</w:t>
                  </w:r>
                  <w:r>
                    <w:rPr>
                      <w:rFonts w:ascii="宋体" w:hAnsi="宋体" w:eastAsia="宋体" w:cs="宋体"/>
                      <w:color w:val="auto"/>
                      <w:spacing w:val="-2"/>
                      <w:highlight w:val="none"/>
                    </w:rPr>
                    <w:t>万件星空灯、</w:t>
                  </w:r>
                  <w:r>
                    <w:rPr>
                      <w:color w:val="auto"/>
                      <w:spacing w:val="-2"/>
                      <w:highlight w:val="none"/>
                    </w:rPr>
                    <w:t>20</w:t>
                  </w:r>
                  <w:r>
                    <w:rPr>
                      <w:rFonts w:ascii="宋体" w:hAnsi="宋体" w:eastAsia="宋体" w:cs="宋体"/>
                      <w:color w:val="auto"/>
                      <w:spacing w:val="-2"/>
                      <w:highlight w:val="none"/>
                    </w:rPr>
                    <w:t>万件防触电排插、</w:t>
                  </w:r>
                  <w:r>
                    <w:rPr>
                      <w:color w:val="auto"/>
                      <w:spacing w:val="-2"/>
                      <w:highlight w:val="none"/>
                    </w:rPr>
                    <w:t>12</w:t>
                  </w:r>
                  <w:r>
                    <w:rPr>
                      <w:rFonts w:ascii="宋体" w:hAnsi="宋体" w:eastAsia="宋体" w:cs="宋体"/>
                      <w:color w:val="auto"/>
                      <w:spacing w:val="-2"/>
                      <w:highlight w:val="none"/>
                    </w:rPr>
                    <w:t>万件擦窗机</w:t>
                  </w:r>
                </w:p>
              </w:tc>
              <w:tc>
                <w:tcPr>
                  <w:tcW w:w="962" w:type="pct"/>
                  <w:vAlign w:val="center"/>
                </w:tcPr>
                <w:p w14:paraId="764130D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韶环乐审〔</w:t>
                  </w:r>
                  <w:r>
                    <w:rPr>
                      <w:color w:val="auto"/>
                      <w:spacing w:val="-2"/>
                      <w:highlight w:val="none"/>
                    </w:rPr>
                    <w:t>2025</w:t>
                  </w:r>
                  <w:r>
                    <w:rPr>
                      <w:rFonts w:ascii="宋体" w:hAnsi="宋体" w:eastAsia="宋体" w:cs="宋体"/>
                      <w:color w:val="auto"/>
                      <w:spacing w:val="-2"/>
                      <w:highlight w:val="none"/>
                    </w:rPr>
                    <w:t>〕</w:t>
                  </w:r>
                  <w:r>
                    <w:rPr>
                      <w:color w:val="auto"/>
                      <w:spacing w:val="-2"/>
                      <w:highlight w:val="none"/>
                    </w:rPr>
                    <w:t>11</w:t>
                  </w:r>
                  <w:r>
                    <w:rPr>
                      <w:rFonts w:ascii="宋体" w:hAnsi="宋体" w:eastAsia="宋体" w:cs="宋体"/>
                      <w:color w:val="auto"/>
                      <w:spacing w:val="-2"/>
                      <w:highlight w:val="none"/>
                    </w:rPr>
                    <w:t>号</w:t>
                  </w:r>
                </w:p>
              </w:tc>
            </w:tr>
            <w:tr w14:paraId="1B2A01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00D033B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106</w:t>
                  </w:r>
                </w:p>
              </w:tc>
              <w:tc>
                <w:tcPr>
                  <w:tcW w:w="854" w:type="pct"/>
                  <w:vAlign w:val="center"/>
                </w:tcPr>
                <w:p w14:paraId="1BDB514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乐昌皓强科技有限公司</w:t>
                  </w:r>
                </w:p>
              </w:tc>
              <w:tc>
                <w:tcPr>
                  <w:tcW w:w="283" w:type="pct"/>
                  <w:vAlign w:val="center"/>
                </w:tcPr>
                <w:p w14:paraId="4C45FC4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停产</w:t>
                  </w:r>
                </w:p>
              </w:tc>
              <w:tc>
                <w:tcPr>
                  <w:tcW w:w="579" w:type="pct"/>
                  <w:vAlign w:val="center"/>
                </w:tcPr>
                <w:p w14:paraId="1FBDBA1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橡胶和塑料制品业</w:t>
                  </w:r>
                </w:p>
              </w:tc>
              <w:tc>
                <w:tcPr>
                  <w:tcW w:w="385" w:type="pct"/>
                  <w:vAlign w:val="center"/>
                </w:tcPr>
                <w:p w14:paraId="17300C9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9600</w:t>
                  </w:r>
                </w:p>
              </w:tc>
              <w:tc>
                <w:tcPr>
                  <w:tcW w:w="1690" w:type="pct"/>
                  <w:vAlign w:val="center"/>
                </w:tcPr>
                <w:p w14:paraId="6FD579C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w:t>
                  </w:r>
                  <w:r>
                    <w:rPr>
                      <w:color w:val="auto"/>
                      <w:spacing w:val="-2"/>
                      <w:highlight w:val="none"/>
                    </w:rPr>
                    <w:t>106</w:t>
                  </w:r>
                  <w:r>
                    <w:rPr>
                      <w:rFonts w:ascii="宋体" w:hAnsi="宋体" w:eastAsia="宋体" w:cs="宋体"/>
                      <w:color w:val="auto"/>
                      <w:spacing w:val="-2"/>
                      <w:highlight w:val="none"/>
                    </w:rPr>
                    <w:t>万平方米新型先进复合建筑塑料</w:t>
                  </w:r>
                  <w:r>
                    <w:rPr>
                      <w:rFonts w:ascii="宋体" w:hAnsi="宋体" w:eastAsia="宋体" w:cs="宋体"/>
                      <w:color w:val="auto"/>
                      <w:spacing w:val="-3"/>
                      <w:highlight w:val="none"/>
                    </w:rPr>
                    <w:t>模板</w:t>
                  </w:r>
                </w:p>
              </w:tc>
              <w:tc>
                <w:tcPr>
                  <w:tcW w:w="962" w:type="pct"/>
                  <w:vAlign w:val="center"/>
                </w:tcPr>
                <w:p w14:paraId="53AB912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2022</w:t>
                  </w:r>
                  <w:r>
                    <w:rPr>
                      <w:rFonts w:ascii="宋体" w:hAnsi="宋体" w:eastAsia="宋体" w:cs="宋体"/>
                      <w:color w:val="auto"/>
                      <w:spacing w:val="-1"/>
                      <w:highlight w:val="none"/>
                    </w:rPr>
                    <w:t>〕</w:t>
                  </w:r>
                  <w:r>
                    <w:rPr>
                      <w:color w:val="auto"/>
                      <w:spacing w:val="-1"/>
                      <w:highlight w:val="none"/>
                    </w:rPr>
                    <w:t>02</w:t>
                  </w:r>
                  <w:r>
                    <w:rPr>
                      <w:rFonts w:ascii="宋体" w:hAnsi="宋体" w:eastAsia="宋体" w:cs="宋体"/>
                      <w:color w:val="auto"/>
                      <w:spacing w:val="-1"/>
                      <w:highlight w:val="none"/>
                    </w:rPr>
                    <w:t>号</w:t>
                  </w:r>
                </w:p>
              </w:tc>
            </w:tr>
            <w:tr w14:paraId="7980B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A75239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107</w:t>
                  </w:r>
                </w:p>
              </w:tc>
              <w:tc>
                <w:tcPr>
                  <w:tcW w:w="854" w:type="pct"/>
                  <w:vAlign w:val="center"/>
                </w:tcPr>
                <w:p w14:paraId="1A16104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乐昌市保利发矿山机械配件</w:t>
                  </w:r>
                  <w:r>
                    <w:rPr>
                      <w:rFonts w:ascii="宋体" w:hAnsi="宋体" w:eastAsia="宋体" w:cs="宋体"/>
                      <w:color w:val="auto"/>
                      <w:spacing w:val="-2"/>
                      <w:sz w:val="21"/>
                      <w:szCs w:val="21"/>
                      <w:highlight w:val="none"/>
                    </w:rPr>
                    <w:t>有限公司</w:t>
                  </w:r>
                </w:p>
              </w:tc>
              <w:tc>
                <w:tcPr>
                  <w:tcW w:w="283" w:type="pct"/>
                  <w:vAlign w:val="center"/>
                </w:tcPr>
                <w:p w14:paraId="42CE7EC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停产</w:t>
                  </w:r>
                </w:p>
              </w:tc>
              <w:tc>
                <w:tcPr>
                  <w:tcW w:w="579" w:type="pct"/>
                  <w:vAlign w:val="center"/>
                </w:tcPr>
                <w:p w14:paraId="3F54086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04CDD48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4050</w:t>
                  </w:r>
                </w:p>
              </w:tc>
              <w:tc>
                <w:tcPr>
                  <w:tcW w:w="1690" w:type="pct"/>
                  <w:vAlign w:val="center"/>
                </w:tcPr>
                <w:p w14:paraId="3D1C7EA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年产破碎机边板</w:t>
                  </w:r>
                  <w:r>
                    <w:rPr>
                      <w:color w:val="auto"/>
                      <w:spacing w:val="-2"/>
                      <w:highlight w:val="none"/>
                    </w:rPr>
                    <w:t>3000</w:t>
                  </w:r>
                  <w:r>
                    <w:rPr>
                      <w:rFonts w:ascii="宋体" w:hAnsi="宋体" w:eastAsia="宋体" w:cs="宋体"/>
                      <w:color w:val="auto"/>
                      <w:spacing w:val="-2"/>
                      <w:highlight w:val="none"/>
                    </w:rPr>
                    <w:t>吨、锤头</w:t>
                  </w:r>
                  <w:r>
                    <w:rPr>
                      <w:color w:val="auto"/>
                      <w:spacing w:val="-2"/>
                      <w:highlight w:val="none"/>
                    </w:rPr>
                    <w:t>2000</w:t>
                  </w:r>
                  <w:r>
                    <w:rPr>
                      <w:rFonts w:ascii="宋体" w:hAnsi="宋体" w:eastAsia="宋体" w:cs="宋体"/>
                      <w:color w:val="auto"/>
                      <w:spacing w:val="-2"/>
                      <w:highlight w:val="none"/>
                    </w:rPr>
                    <w:t>吨</w:t>
                  </w:r>
                  <w:r>
                    <w:rPr>
                      <w:rFonts w:ascii="宋体" w:hAnsi="宋体" w:eastAsia="宋体" w:cs="宋体"/>
                      <w:color w:val="auto"/>
                      <w:spacing w:val="-3"/>
                      <w:highlight w:val="none"/>
                    </w:rPr>
                    <w:t>、配件</w:t>
                  </w:r>
                  <w:r>
                    <w:rPr>
                      <w:color w:val="auto"/>
                      <w:spacing w:val="-3"/>
                      <w:highlight w:val="none"/>
                    </w:rPr>
                    <w:t>5000</w:t>
                  </w:r>
                  <w:r>
                    <w:rPr>
                      <w:rFonts w:ascii="宋体" w:hAnsi="宋体" w:eastAsia="宋体" w:cs="宋体"/>
                      <w:color w:val="auto"/>
                      <w:spacing w:val="-3"/>
                      <w:highlight w:val="none"/>
                    </w:rPr>
                    <w:t>吨</w:t>
                  </w:r>
                </w:p>
              </w:tc>
              <w:tc>
                <w:tcPr>
                  <w:tcW w:w="962" w:type="pct"/>
                  <w:vAlign w:val="center"/>
                </w:tcPr>
                <w:p w14:paraId="2E49AE5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乐环审</w:t>
                  </w:r>
                  <w:r>
                    <w:rPr>
                      <w:color w:val="auto"/>
                      <w:spacing w:val="-2"/>
                      <w:highlight w:val="none"/>
                    </w:rPr>
                    <w:t>[</w:t>
                  </w:r>
                  <w:r>
                    <w:rPr>
                      <w:color w:val="auto"/>
                      <w:highlight w:val="none"/>
                    </w:rPr>
                    <w:fldChar w:fldCharType="begin"/>
                  </w:r>
                  <w:r>
                    <w:rPr>
                      <w:color w:val="auto"/>
                      <w:highlight w:val="none"/>
                    </w:rPr>
                    <w:instrText xml:space="preserve"> HYPERLINK \l "bookmark260" </w:instrText>
                  </w:r>
                  <w:r>
                    <w:rPr>
                      <w:color w:val="auto"/>
                      <w:highlight w:val="none"/>
                    </w:rPr>
                    <w:fldChar w:fldCharType="separate"/>
                  </w:r>
                  <w:r>
                    <w:rPr>
                      <w:color w:val="auto"/>
                      <w:spacing w:val="-2"/>
                      <w:highlight w:val="none"/>
                    </w:rPr>
                    <w:t>2018</w:t>
                  </w:r>
                  <w:r>
                    <w:rPr>
                      <w:color w:val="auto"/>
                      <w:spacing w:val="-2"/>
                      <w:highlight w:val="none"/>
                    </w:rPr>
                    <w:fldChar w:fldCharType="end"/>
                  </w:r>
                  <w:r>
                    <w:rPr>
                      <w:color w:val="auto"/>
                      <w:spacing w:val="-2"/>
                      <w:highlight w:val="none"/>
                    </w:rPr>
                    <w:t>]29</w:t>
                  </w:r>
                  <w:r>
                    <w:rPr>
                      <w:rFonts w:ascii="宋体" w:hAnsi="宋体" w:eastAsia="宋体" w:cs="宋体"/>
                      <w:color w:val="auto"/>
                      <w:spacing w:val="-2"/>
                      <w:highlight w:val="none"/>
                    </w:rPr>
                    <w:t>号、韶环乐审</w:t>
                  </w:r>
                  <w:r>
                    <w:rPr>
                      <w:color w:val="auto"/>
                      <w:spacing w:val="-5"/>
                      <w:highlight w:val="none"/>
                    </w:rPr>
                    <w:t>[</w:t>
                  </w:r>
                  <w:r>
                    <w:rPr>
                      <w:color w:val="auto"/>
                      <w:highlight w:val="none"/>
                    </w:rPr>
                    <w:fldChar w:fldCharType="begin"/>
                  </w:r>
                  <w:r>
                    <w:rPr>
                      <w:color w:val="auto"/>
                      <w:highlight w:val="none"/>
                    </w:rPr>
                    <w:instrText xml:space="preserve"> HYPERLINK \l "bookmark261" </w:instrText>
                  </w:r>
                  <w:r>
                    <w:rPr>
                      <w:color w:val="auto"/>
                      <w:highlight w:val="none"/>
                    </w:rPr>
                    <w:fldChar w:fldCharType="separate"/>
                  </w:r>
                  <w:r>
                    <w:rPr>
                      <w:color w:val="auto"/>
                      <w:spacing w:val="-5"/>
                      <w:highlight w:val="none"/>
                    </w:rPr>
                    <w:t>2022</w:t>
                  </w:r>
                  <w:r>
                    <w:rPr>
                      <w:color w:val="auto"/>
                      <w:spacing w:val="-5"/>
                      <w:highlight w:val="none"/>
                    </w:rPr>
                    <w:fldChar w:fldCharType="end"/>
                  </w:r>
                  <w:r>
                    <w:rPr>
                      <w:color w:val="auto"/>
                      <w:spacing w:val="-5"/>
                      <w:highlight w:val="none"/>
                    </w:rPr>
                    <w:t>]16</w:t>
                  </w:r>
                  <w:r>
                    <w:rPr>
                      <w:rFonts w:ascii="宋体" w:hAnsi="宋体" w:eastAsia="宋体" w:cs="宋体"/>
                      <w:color w:val="auto"/>
                      <w:spacing w:val="-5"/>
                      <w:highlight w:val="none"/>
                    </w:rPr>
                    <w:t>号</w:t>
                  </w:r>
                </w:p>
              </w:tc>
            </w:tr>
            <w:tr w14:paraId="0008AE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636A59C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108</w:t>
                  </w:r>
                </w:p>
              </w:tc>
              <w:tc>
                <w:tcPr>
                  <w:tcW w:w="854" w:type="pct"/>
                  <w:vAlign w:val="center"/>
                </w:tcPr>
                <w:p w14:paraId="2F84660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乐昌市第二污水处理厂</w:t>
                  </w:r>
                </w:p>
              </w:tc>
              <w:tc>
                <w:tcPr>
                  <w:tcW w:w="283" w:type="pct"/>
                  <w:vAlign w:val="center"/>
                </w:tcPr>
                <w:p w14:paraId="35BBA68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4F665D5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污水处理及其再生</w:t>
                  </w:r>
                  <w:r>
                    <w:rPr>
                      <w:rFonts w:ascii="宋体" w:hAnsi="宋体" w:eastAsia="宋体" w:cs="宋体"/>
                      <w:color w:val="auto"/>
                      <w:spacing w:val="-2"/>
                      <w:sz w:val="21"/>
                      <w:szCs w:val="21"/>
                      <w:highlight w:val="none"/>
                    </w:rPr>
                    <w:t>利用业</w:t>
                  </w:r>
                </w:p>
              </w:tc>
              <w:tc>
                <w:tcPr>
                  <w:tcW w:w="385" w:type="pct"/>
                  <w:vAlign w:val="center"/>
                </w:tcPr>
                <w:p w14:paraId="0374794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56850</w:t>
                  </w:r>
                </w:p>
              </w:tc>
              <w:tc>
                <w:tcPr>
                  <w:tcW w:w="1690" w:type="pct"/>
                  <w:vAlign w:val="center"/>
                </w:tcPr>
                <w:p w14:paraId="649FFF7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处理量</w:t>
                  </w:r>
                  <w:r>
                    <w:rPr>
                      <w:color w:val="auto"/>
                      <w:spacing w:val="-2"/>
                      <w:highlight w:val="none"/>
                    </w:rPr>
                    <w:t>30000</w:t>
                  </w:r>
                  <w:r>
                    <w:rPr>
                      <w:rFonts w:ascii="宋体" w:hAnsi="宋体" w:eastAsia="宋体" w:cs="宋体"/>
                      <w:color w:val="auto"/>
                      <w:spacing w:val="-2"/>
                      <w:highlight w:val="none"/>
                    </w:rPr>
                    <w:t>立方米</w:t>
                  </w:r>
                  <w:r>
                    <w:rPr>
                      <w:color w:val="auto"/>
                      <w:spacing w:val="-2"/>
                      <w:highlight w:val="none"/>
                    </w:rPr>
                    <w:t>/</w:t>
                  </w:r>
                  <w:r>
                    <w:rPr>
                      <w:rFonts w:ascii="宋体" w:hAnsi="宋体" w:eastAsia="宋体" w:cs="宋体"/>
                      <w:color w:val="auto"/>
                      <w:spacing w:val="-2"/>
                      <w:highlight w:val="none"/>
                    </w:rPr>
                    <w:t>天</w:t>
                  </w:r>
                </w:p>
              </w:tc>
              <w:tc>
                <w:tcPr>
                  <w:tcW w:w="962" w:type="pct"/>
                  <w:vAlign w:val="center"/>
                </w:tcPr>
                <w:p w14:paraId="3C86195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2021</w:t>
                  </w:r>
                  <w:r>
                    <w:rPr>
                      <w:rFonts w:ascii="宋体" w:hAnsi="宋体" w:eastAsia="宋体" w:cs="宋体"/>
                      <w:color w:val="auto"/>
                      <w:spacing w:val="-1"/>
                      <w:highlight w:val="none"/>
                    </w:rPr>
                    <w:t>〕</w:t>
                  </w:r>
                  <w:r>
                    <w:rPr>
                      <w:color w:val="auto"/>
                      <w:spacing w:val="-1"/>
                      <w:highlight w:val="none"/>
                    </w:rPr>
                    <w:t>07</w:t>
                  </w:r>
                  <w:r>
                    <w:rPr>
                      <w:rFonts w:ascii="宋体" w:hAnsi="宋体" w:eastAsia="宋体" w:cs="宋体"/>
                      <w:color w:val="auto"/>
                      <w:spacing w:val="-1"/>
                      <w:highlight w:val="none"/>
                    </w:rPr>
                    <w:t>号</w:t>
                  </w:r>
                </w:p>
              </w:tc>
            </w:tr>
            <w:tr w14:paraId="04D89F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2D255A7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109</w:t>
                  </w:r>
                </w:p>
              </w:tc>
              <w:tc>
                <w:tcPr>
                  <w:tcW w:w="854" w:type="pct"/>
                  <w:vAlign w:val="center"/>
                </w:tcPr>
                <w:p w14:paraId="51A9A4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乐昌市芬乐制衣有限公司</w:t>
                  </w:r>
                </w:p>
              </w:tc>
              <w:tc>
                <w:tcPr>
                  <w:tcW w:w="283" w:type="pct"/>
                  <w:vAlign w:val="center"/>
                </w:tcPr>
                <w:p w14:paraId="2B6CD7A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1CC68A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纺织业</w:t>
                  </w:r>
                </w:p>
              </w:tc>
              <w:tc>
                <w:tcPr>
                  <w:tcW w:w="385" w:type="pct"/>
                  <w:vAlign w:val="center"/>
                </w:tcPr>
                <w:p w14:paraId="77313BA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40000</w:t>
                  </w:r>
                </w:p>
              </w:tc>
              <w:tc>
                <w:tcPr>
                  <w:tcW w:w="1690" w:type="pct"/>
                  <w:vAlign w:val="center"/>
                </w:tcPr>
                <w:p w14:paraId="70EDF71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服装、内衣裤、卫生用品类（纸内裤）、纺织品、第二类医疗</w:t>
                  </w:r>
                  <w:r>
                    <w:rPr>
                      <w:rFonts w:ascii="宋体" w:hAnsi="宋体" w:eastAsia="宋体" w:cs="宋体"/>
                      <w:color w:val="auto"/>
                      <w:spacing w:val="-6"/>
                      <w:sz w:val="21"/>
                      <w:szCs w:val="21"/>
                      <w:highlight w:val="none"/>
                    </w:rPr>
                    <w:t>器械（医用口罩、防护服）、日用罩（非医用）</w:t>
                  </w:r>
                </w:p>
              </w:tc>
              <w:tc>
                <w:tcPr>
                  <w:tcW w:w="962" w:type="pct"/>
                  <w:vAlign w:val="center"/>
                </w:tcPr>
                <w:p w14:paraId="546B182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202044028100000158</w:t>
                  </w:r>
                </w:p>
              </w:tc>
            </w:tr>
            <w:tr w14:paraId="06AF4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242" w:type="pct"/>
                  <w:vAlign w:val="center"/>
                </w:tcPr>
                <w:p w14:paraId="3CCCBD7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0"/>
                      <w:highlight w:val="none"/>
                    </w:rPr>
                    <w:t>110</w:t>
                  </w:r>
                </w:p>
              </w:tc>
              <w:tc>
                <w:tcPr>
                  <w:tcW w:w="854" w:type="pct"/>
                  <w:vAlign w:val="center"/>
                </w:tcPr>
                <w:p w14:paraId="6469DDA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乐昌市瑞昊机械厂</w:t>
                  </w:r>
                </w:p>
              </w:tc>
              <w:tc>
                <w:tcPr>
                  <w:tcW w:w="283" w:type="pct"/>
                  <w:vAlign w:val="center"/>
                </w:tcPr>
                <w:p w14:paraId="7785E8B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237BF5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3B3A0B5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600</w:t>
                  </w:r>
                </w:p>
              </w:tc>
              <w:tc>
                <w:tcPr>
                  <w:tcW w:w="1690" w:type="pct"/>
                  <w:vAlign w:val="center"/>
                </w:tcPr>
                <w:p w14:paraId="1B91787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年加工金属机械零部件</w:t>
                  </w:r>
                  <w:r>
                    <w:rPr>
                      <w:color w:val="auto"/>
                      <w:spacing w:val="-2"/>
                      <w:highlight w:val="none"/>
                    </w:rPr>
                    <w:t>360</w:t>
                  </w:r>
                  <w:r>
                    <w:rPr>
                      <w:rFonts w:ascii="宋体" w:hAnsi="宋体" w:eastAsia="宋体" w:cs="宋体"/>
                      <w:color w:val="auto"/>
                      <w:spacing w:val="-2"/>
                      <w:highlight w:val="none"/>
                    </w:rPr>
                    <w:t>吨</w:t>
                  </w:r>
                </w:p>
              </w:tc>
              <w:tc>
                <w:tcPr>
                  <w:tcW w:w="962" w:type="pct"/>
                  <w:vAlign w:val="center"/>
                </w:tcPr>
                <w:p w14:paraId="4D8A247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201744028100000317</w:t>
                  </w:r>
                </w:p>
              </w:tc>
            </w:tr>
            <w:tr w14:paraId="7C5D8E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CFE8FA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9"/>
                      <w:highlight w:val="none"/>
                    </w:rPr>
                    <w:t>111</w:t>
                  </w:r>
                </w:p>
              </w:tc>
              <w:tc>
                <w:tcPr>
                  <w:tcW w:w="854" w:type="pct"/>
                  <w:vAlign w:val="center"/>
                </w:tcPr>
                <w:p w14:paraId="1480D3F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广东创睿极光光电有限公司</w:t>
                  </w:r>
                </w:p>
              </w:tc>
              <w:tc>
                <w:tcPr>
                  <w:tcW w:w="283" w:type="pct"/>
                  <w:vAlign w:val="center"/>
                </w:tcPr>
                <w:p w14:paraId="2399EA0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348BA48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计算机、通信和其他电子设备制造业</w:t>
                  </w:r>
                </w:p>
              </w:tc>
              <w:tc>
                <w:tcPr>
                  <w:tcW w:w="385" w:type="pct"/>
                  <w:vAlign w:val="center"/>
                </w:tcPr>
                <w:p w14:paraId="1198C67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1735</w:t>
                  </w:r>
                </w:p>
              </w:tc>
              <w:tc>
                <w:tcPr>
                  <w:tcW w:w="1690" w:type="pct"/>
                  <w:vAlign w:val="center"/>
                </w:tcPr>
                <w:p w14:paraId="3A2BD4F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年产约</w:t>
                  </w:r>
                  <w:r>
                    <w:rPr>
                      <w:color w:val="auto"/>
                      <w:spacing w:val="-2"/>
                      <w:highlight w:val="none"/>
                    </w:rPr>
                    <w:t>2000</w:t>
                  </w:r>
                  <w:r>
                    <w:rPr>
                      <w:rFonts w:ascii="宋体" w:hAnsi="宋体" w:eastAsia="宋体" w:cs="宋体"/>
                      <w:color w:val="auto"/>
                      <w:spacing w:val="-2"/>
                      <w:highlight w:val="none"/>
                    </w:rPr>
                    <w:t>万条</w:t>
                  </w:r>
                  <w:r>
                    <w:rPr>
                      <w:color w:val="auto"/>
                      <w:spacing w:val="-2"/>
                      <w:highlight w:val="none"/>
                    </w:rPr>
                    <w:t>LED</w:t>
                  </w:r>
                  <w:r>
                    <w:rPr>
                      <w:rFonts w:ascii="宋体" w:hAnsi="宋体" w:eastAsia="宋体" w:cs="宋体"/>
                      <w:color w:val="auto"/>
                      <w:spacing w:val="-2"/>
                      <w:highlight w:val="none"/>
                    </w:rPr>
                    <w:t>灯条</w:t>
                  </w:r>
                </w:p>
              </w:tc>
              <w:tc>
                <w:tcPr>
                  <w:tcW w:w="962" w:type="pct"/>
                  <w:vAlign w:val="center"/>
                </w:tcPr>
                <w:p w14:paraId="77A9DDD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201944028100000140</w:t>
                  </w:r>
                </w:p>
              </w:tc>
            </w:tr>
            <w:tr w14:paraId="614702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0" w:hRule="atLeast"/>
                <w:jc w:val="center"/>
              </w:trPr>
              <w:tc>
                <w:tcPr>
                  <w:tcW w:w="242" w:type="pct"/>
                  <w:vAlign w:val="center"/>
                </w:tcPr>
                <w:p w14:paraId="15459C3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0"/>
                      <w:highlight w:val="none"/>
                    </w:rPr>
                    <w:t>112</w:t>
                  </w:r>
                </w:p>
              </w:tc>
              <w:tc>
                <w:tcPr>
                  <w:tcW w:w="854" w:type="pct"/>
                  <w:vAlign w:val="center"/>
                </w:tcPr>
                <w:p w14:paraId="5D97F90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昇翰科技（广东）有限公司</w:t>
                  </w:r>
                </w:p>
              </w:tc>
              <w:tc>
                <w:tcPr>
                  <w:tcW w:w="283" w:type="pct"/>
                  <w:vAlign w:val="center"/>
                </w:tcPr>
                <w:p w14:paraId="6E3FBFE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8"/>
                      <w:sz w:val="21"/>
                      <w:szCs w:val="21"/>
                      <w:highlight w:val="none"/>
                    </w:rPr>
                    <w:t>已建</w:t>
                  </w:r>
                </w:p>
              </w:tc>
              <w:tc>
                <w:tcPr>
                  <w:tcW w:w="579" w:type="pct"/>
                  <w:vAlign w:val="center"/>
                </w:tcPr>
                <w:p w14:paraId="0BC819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75866BF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1700</w:t>
                  </w:r>
                </w:p>
              </w:tc>
              <w:tc>
                <w:tcPr>
                  <w:tcW w:w="1690" w:type="pct"/>
                  <w:vAlign w:val="center"/>
                </w:tcPr>
                <w:p w14:paraId="3EA6A26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z w:val="21"/>
                      <w:szCs w:val="21"/>
                      <w:highlight w:val="none"/>
                    </w:rPr>
                    <w:t>生产加工滚珠螺母、滚珠丝杆、梯形螺母、梯形</w:t>
                  </w:r>
                  <w:r>
                    <w:rPr>
                      <w:rFonts w:ascii="宋体" w:hAnsi="宋体" w:eastAsia="宋体" w:cs="宋体"/>
                      <w:color w:val="auto"/>
                      <w:spacing w:val="-1"/>
                      <w:sz w:val="21"/>
                      <w:szCs w:val="21"/>
                      <w:highlight w:val="none"/>
                    </w:rPr>
                    <w:t>丝杆、传动</w:t>
                  </w:r>
                  <w:r>
                    <w:rPr>
                      <w:rFonts w:ascii="宋体" w:hAnsi="宋体" w:eastAsia="宋体" w:cs="宋体"/>
                      <w:color w:val="auto"/>
                      <w:sz w:val="21"/>
                      <w:szCs w:val="21"/>
                      <w:highlight w:val="none"/>
                    </w:rPr>
                    <w:t>元件、直线导轨、直线滑块、自动化机械设备、</w:t>
                  </w:r>
                  <w:r>
                    <w:rPr>
                      <w:rFonts w:ascii="宋体" w:hAnsi="宋体" w:eastAsia="宋体" w:cs="宋体"/>
                      <w:color w:val="auto"/>
                      <w:spacing w:val="-1"/>
                      <w:sz w:val="21"/>
                      <w:szCs w:val="21"/>
                      <w:highlight w:val="none"/>
                    </w:rPr>
                    <w:t>电子元件、</w:t>
                  </w:r>
                  <w:r>
                    <w:rPr>
                      <w:rFonts w:ascii="宋体" w:hAnsi="宋体" w:eastAsia="宋体" w:cs="宋体"/>
                      <w:color w:val="auto"/>
                      <w:spacing w:val="-2"/>
                      <w:sz w:val="21"/>
                      <w:szCs w:val="21"/>
                      <w:highlight w:val="none"/>
                    </w:rPr>
                    <w:t>电子材料、五金材料、自动化软硬件、电子产品。</w:t>
                  </w:r>
                </w:p>
              </w:tc>
              <w:tc>
                <w:tcPr>
                  <w:tcW w:w="962" w:type="pct"/>
                  <w:vAlign w:val="center"/>
                </w:tcPr>
                <w:p w14:paraId="531B29B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202044028100000048</w:t>
                  </w:r>
                </w:p>
              </w:tc>
            </w:tr>
            <w:tr w14:paraId="02E4A5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242" w:type="pct"/>
                  <w:vAlign w:val="center"/>
                </w:tcPr>
                <w:p w14:paraId="334248F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0"/>
                      <w:highlight w:val="none"/>
                    </w:rPr>
                    <w:t>113</w:t>
                  </w:r>
                </w:p>
              </w:tc>
              <w:tc>
                <w:tcPr>
                  <w:tcW w:w="854" w:type="pct"/>
                  <w:vAlign w:val="center"/>
                </w:tcPr>
                <w:p w14:paraId="0B3EA6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广东运南新材料有限公司</w:t>
                  </w:r>
                </w:p>
              </w:tc>
              <w:tc>
                <w:tcPr>
                  <w:tcW w:w="283" w:type="pct"/>
                  <w:vAlign w:val="center"/>
                </w:tcPr>
                <w:p w14:paraId="26F7638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5D3D609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废弃资源综合利用</w:t>
                  </w:r>
                  <w:r>
                    <w:rPr>
                      <w:rFonts w:ascii="宋体" w:hAnsi="宋体" w:eastAsia="宋体" w:cs="宋体"/>
                      <w:color w:val="auto"/>
                      <w:sz w:val="21"/>
                      <w:szCs w:val="21"/>
                      <w:highlight w:val="none"/>
                    </w:rPr>
                    <w:t>业</w:t>
                  </w:r>
                </w:p>
              </w:tc>
              <w:tc>
                <w:tcPr>
                  <w:tcW w:w="385" w:type="pct"/>
                  <w:vAlign w:val="center"/>
                </w:tcPr>
                <w:p w14:paraId="278A477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37346.12</w:t>
                  </w:r>
                </w:p>
              </w:tc>
              <w:tc>
                <w:tcPr>
                  <w:tcW w:w="1690" w:type="pct"/>
                  <w:vAlign w:val="center"/>
                </w:tcPr>
                <w:p w14:paraId="091184E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年产破碎料</w:t>
                  </w:r>
                  <w:r>
                    <w:rPr>
                      <w:color w:val="auto"/>
                      <w:spacing w:val="-1"/>
                      <w:highlight w:val="none"/>
                    </w:rPr>
                    <w:t>7.1</w:t>
                  </w:r>
                  <w:r>
                    <w:rPr>
                      <w:rFonts w:ascii="宋体" w:hAnsi="宋体" w:eastAsia="宋体" w:cs="宋体"/>
                      <w:color w:val="auto"/>
                      <w:spacing w:val="-1"/>
                      <w:highlight w:val="none"/>
                    </w:rPr>
                    <w:t>万吨</w:t>
                  </w:r>
                </w:p>
              </w:tc>
              <w:tc>
                <w:tcPr>
                  <w:tcW w:w="962" w:type="pct"/>
                  <w:vAlign w:val="center"/>
                </w:tcPr>
                <w:p w14:paraId="2256F8D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2026</w:t>
                  </w:r>
                  <w:r>
                    <w:rPr>
                      <w:rFonts w:ascii="宋体" w:hAnsi="宋体" w:eastAsia="宋体" w:cs="宋体"/>
                      <w:color w:val="auto"/>
                      <w:spacing w:val="-1"/>
                      <w:highlight w:val="none"/>
                    </w:rPr>
                    <w:t>〕</w:t>
                  </w:r>
                  <w:r>
                    <w:rPr>
                      <w:color w:val="auto"/>
                      <w:spacing w:val="-1"/>
                      <w:highlight w:val="none"/>
                    </w:rPr>
                    <w:t>05</w:t>
                  </w:r>
                  <w:r>
                    <w:rPr>
                      <w:rFonts w:ascii="宋体" w:hAnsi="宋体" w:eastAsia="宋体" w:cs="宋体"/>
                      <w:color w:val="auto"/>
                      <w:spacing w:val="-1"/>
                      <w:highlight w:val="none"/>
                    </w:rPr>
                    <w:t>号</w:t>
                  </w:r>
                </w:p>
              </w:tc>
            </w:tr>
            <w:tr w14:paraId="581AEB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42" w:type="pct"/>
                  <w:vAlign w:val="center"/>
                </w:tcPr>
                <w:p w14:paraId="263319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0"/>
                      <w:highlight w:val="none"/>
                    </w:rPr>
                    <w:t>114</w:t>
                  </w:r>
                </w:p>
              </w:tc>
              <w:tc>
                <w:tcPr>
                  <w:tcW w:w="854" w:type="pct"/>
                  <w:vAlign w:val="center"/>
                </w:tcPr>
                <w:p w14:paraId="41A0A99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韶关九为新材料有限公司</w:t>
                  </w:r>
                </w:p>
              </w:tc>
              <w:tc>
                <w:tcPr>
                  <w:tcW w:w="283" w:type="pct"/>
                  <w:vAlign w:val="center"/>
                </w:tcPr>
                <w:p w14:paraId="3DFD33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在建</w:t>
                  </w:r>
                </w:p>
              </w:tc>
              <w:tc>
                <w:tcPr>
                  <w:tcW w:w="579" w:type="pct"/>
                  <w:vAlign w:val="center"/>
                </w:tcPr>
                <w:p w14:paraId="7B3633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金属制品业</w:t>
                  </w:r>
                </w:p>
              </w:tc>
              <w:tc>
                <w:tcPr>
                  <w:tcW w:w="385" w:type="pct"/>
                  <w:vAlign w:val="center"/>
                </w:tcPr>
                <w:p w14:paraId="021D22A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52810.91</w:t>
                  </w:r>
                </w:p>
              </w:tc>
              <w:tc>
                <w:tcPr>
                  <w:tcW w:w="1690" w:type="pct"/>
                  <w:vAlign w:val="center"/>
                </w:tcPr>
                <w:p w14:paraId="0E0A5D1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2"/>
                      <w:highlight w:val="none"/>
                    </w:rPr>
                    <w:t>年产铝模板</w:t>
                  </w:r>
                  <w:r>
                    <w:rPr>
                      <w:color w:val="auto"/>
                      <w:spacing w:val="-2"/>
                      <w:highlight w:val="none"/>
                    </w:rPr>
                    <w:t>50</w:t>
                  </w:r>
                  <w:r>
                    <w:rPr>
                      <w:rFonts w:ascii="宋体" w:hAnsi="宋体" w:eastAsia="宋体" w:cs="宋体"/>
                      <w:color w:val="auto"/>
                      <w:spacing w:val="-2"/>
                      <w:highlight w:val="none"/>
                    </w:rPr>
                    <w:t>万平方米</w:t>
                  </w:r>
                </w:p>
              </w:tc>
              <w:tc>
                <w:tcPr>
                  <w:tcW w:w="962" w:type="pct"/>
                  <w:vAlign w:val="center"/>
                </w:tcPr>
                <w:p w14:paraId="686AFDF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韶环乐审〔</w:t>
                  </w:r>
                  <w:r>
                    <w:rPr>
                      <w:color w:val="auto"/>
                      <w:spacing w:val="-1"/>
                      <w:highlight w:val="none"/>
                    </w:rPr>
                    <w:t>2025</w:t>
                  </w:r>
                  <w:r>
                    <w:rPr>
                      <w:rFonts w:ascii="宋体" w:hAnsi="宋体" w:eastAsia="宋体" w:cs="宋体"/>
                      <w:color w:val="auto"/>
                      <w:spacing w:val="-1"/>
                      <w:highlight w:val="none"/>
                    </w:rPr>
                    <w:t>〕</w:t>
                  </w:r>
                  <w:r>
                    <w:rPr>
                      <w:color w:val="auto"/>
                      <w:spacing w:val="-1"/>
                      <w:highlight w:val="none"/>
                    </w:rPr>
                    <w:t>26</w:t>
                  </w:r>
                  <w:r>
                    <w:rPr>
                      <w:rFonts w:ascii="宋体" w:hAnsi="宋体" w:eastAsia="宋体" w:cs="宋体"/>
                      <w:color w:val="auto"/>
                      <w:spacing w:val="-1"/>
                      <w:highlight w:val="none"/>
                    </w:rPr>
                    <w:t>号</w:t>
                  </w:r>
                </w:p>
              </w:tc>
            </w:tr>
          </w:tbl>
          <w:p w14:paraId="09B65AEA">
            <w:pPr>
              <w:pStyle w:val="106"/>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规划区现状废水排放统计表  单位：t/a</w:t>
            </w:r>
          </w:p>
          <w:tbl>
            <w:tblPr>
              <w:tblStyle w:val="115"/>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6"/>
              <w:gridCol w:w="890"/>
              <w:gridCol w:w="974"/>
              <w:gridCol w:w="813"/>
              <w:gridCol w:w="869"/>
              <w:gridCol w:w="860"/>
              <w:gridCol w:w="960"/>
              <w:gridCol w:w="944"/>
              <w:gridCol w:w="987"/>
              <w:gridCol w:w="1050"/>
            </w:tblGrid>
            <w:tr w14:paraId="104629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4412" w:type="pct"/>
                  <w:gridSpan w:val="9"/>
                  <w:vAlign w:val="center"/>
                </w:tcPr>
                <w:p w14:paraId="5D6B0EF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城东片区</w:t>
                  </w:r>
                </w:p>
              </w:tc>
              <w:tc>
                <w:tcPr>
                  <w:tcW w:w="587" w:type="pct"/>
                  <w:vAlign w:val="center"/>
                </w:tcPr>
                <w:p w14:paraId="7E406A0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城南片区</w:t>
                  </w:r>
                </w:p>
              </w:tc>
            </w:tr>
            <w:tr w14:paraId="47D55E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Merge w:val="restart"/>
                  <w:tcBorders>
                    <w:bottom w:val="nil"/>
                  </w:tcBorders>
                  <w:vAlign w:val="center"/>
                </w:tcPr>
                <w:p w14:paraId="0D74D8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水污染物</w:t>
                  </w:r>
                </w:p>
              </w:tc>
              <w:tc>
                <w:tcPr>
                  <w:tcW w:w="829" w:type="pct"/>
                  <w:gridSpan w:val="2"/>
                  <w:vAlign w:val="center"/>
                </w:tcPr>
                <w:p w14:paraId="3438A66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已建企业</w:t>
                  </w:r>
                </w:p>
              </w:tc>
              <w:tc>
                <w:tcPr>
                  <w:tcW w:w="950" w:type="pct"/>
                  <w:gridSpan w:val="2"/>
                  <w:vAlign w:val="center"/>
                </w:tcPr>
                <w:p w14:paraId="68B9D5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在建企业</w:t>
                  </w:r>
                </w:p>
              </w:tc>
              <w:tc>
                <w:tcPr>
                  <w:tcW w:w="1024" w:type="pct"/>
                  <w:gridSpan w:val="2"/>
                  <w:vAlign w:val="center"/>
                </w:tcPr>
                <w:p w14:paraId="19A35B6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停产</w:t>
                  </w:r>
                  <w:r>
                    <w:rPr>
                      <w:color w:val="auto"/>
                      <w:spacing w:val="-1"/>
                      <w:highlight w:val="none"/>
                    </w:rPr>
                    <w:t>/</w:t>
                  </w:r>
                  <w:r>
                    <w:rPr>
                      <w:rFonts w:ascii="宋体" w:hAnsi="宋体" w:eastAsia="宋体" w:cs="宋体"/>
                      <w:color w:val="auto"/>
                      <w:spacing w:val="-1"/>
                      <w:highlight w:val="none"/>
                    </w:rPr>
                    <w:t>已批未建</w:t>
                  </w:r>
                </w:p>
              </w:tc>
              <w:tc>
                <w:tcPr>
                  <w:tcW w:w="530" w:type="pct"/>
                  <w:vAlign w:val="center"/>
                </w:tcPr>
                <w:p w14:paraId="12364E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居住区居民</w:t>
                  </w:r>
                </w:p>
              </w:tc>
              <w:tc>
                <w:tcPr>
                  <w:tcW w:w="550" w:type="pct"/>
                  <w:vMerge w:val="restart"/>
                  <w:tcBorders>
                    <w:bottom w:val="nil"/>
                  </w:tcBorders>
                  <w:vAlign w:val="center"/>
                </w:tcPr>
                <w:p w14:paraId="709604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合计</w:t>
                  </w:r>
                </w:p>
              </w:tc>
              <w:tc>
                <w:tcPr>
                  <w:tcW w:w="587" w:type="pct"/>
                  <w:vAlign w:val="center"/>
                </w:tcPr>
                <w:p w14:paraId="3EC22C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已建企业</w:t>
                  </w:r>
                </w:p>
              </w:tc>
            </w:tr>
            <w:tr w14:paraId="0A910C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Merge w:val="continue"/>
                  <w:tcBorders>
                    <w:top w:val="nil"/>
                  </w:tcBorders>
                  <w:vAlign w:val="center"/>
                </w:tcPr>
                <w:p w14:paraId="5E8BD5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401" w:type="pct"/>
                  <w:vAlign w:val="center"/>
                </w:tcPr>
                <w:p w14:paraId="702DAD6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生活污水</w:t>
                  </w:r>
                </w:p>
              </w:tc>
              <w:tc>
                <w:tcPr>
                  <w:tcW w:w="428" w:type="pct"/>
                  <w:vAlign w:val="center"/>
                </w:tcPr>
                <w:p w14:paraId="3ABE1E3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生产废水</w:t>
                  </w:r>
                </w:p>
              </w:tc>
              <w:tc>
                <w:tcPr>
                  <w:tcW w:w="460" w:type="pct"/>
                  <w:vAlign w:val="center"/>
                </w:tcPr>
                <w:p w14:paraId="4723DF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生活污水</w:t>
                  </w:r>
                </w:p>
              </w:tc>
              <w:tc>
                <w:tcPr>
                  <w:tcW w:w="490" w:type="pct"/>
                  <w:vAlign w:val="center"/>
                </w:tcPr>
                <w:p w14:paraId="39F7DA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生产废水</w:t>
                  </w:r>
                </w:p>
              </w:tc>
              <w:tc>
                <w:tcPr>
                  <w:tcW w:w="485" w:type="pct"/>
                  <w:vAlign w:val="center"/>
                </w:tcPr>
                <w:p w14:paraId="13A5DF8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生活污水</w:t>
                  </w:r>
                </w:p>
              </w:tc>
              <w:tc>
                <w:tcPr>
                  <w:tcW w:w="539" w:type="pct"/>
                  <w:vAlign w:val="center"/>
                </w:tcPr>
                <w:p w14:paraId="3FC762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生产废水</w:t>
                  </w:r>
                </w:p>
              </w:tc>
              <w:tc>
                <w:tcPr>
                  <w:tcW w:w="530" w:type="pct"/>
                  <w:vAlign w:val="center"/>
                </w:tcPr>
                <w:p w14:paraId="17D0D9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生活污水</w:t>
                  </w:r>
                </w:p>
              </w:tc>
              <w:tc>
                <w:tcPr>
                  <w:tcW w:w="550" w:type="pct"/>
                  <w:vMerge w:val="continue"/>
                  <w:tcBorders>
                    <w:top w:val="nil"/>
                  </w:tcBorders>
                  <w:vAlign w:val="center"/>
                </w:tcPr>
                <w:p w14:paraId="57E2CD8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587" w:type="pct"/>
                  <w:vAlign w:val="center"/>
                </w:tcPr>
                <w:p w14:paraId="171910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生活污水</w:t>
                  </w:r>
                </w:p>
              </w:tc>
            </w:tr>
            <w:tr w14:paraId="3C932E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7EE757F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排放量（</w:t>
                  </w:r>
                  <w:r>
                    <w:rPr>
                      <w:color w:val="auto"/>
                      <w:spacing w:val="-1"/>
                      <w:highlight w:val="none"/>
                    </w:rPr>
                    <w:t>t/a</w:t>
                  </w:r>
                  <w:r>
                    <w:rPr>
                      <w:rFonts w:ascii="宋体" w:hAnsi="宋体" w:eastAsia="宋体" w:cs="宋体"/>
                      <w:color w:val="auto"/>
                      <w:spacing w:val="-1"/>
                      <w:highlight w:val="none"/>
                    </w:rPr>
                    <w:t>）</w:t>
                  </w:r>
                </w:p>
              </w:tc>
              <w:tc>
                <w:tcPr>
                  <w:tcW w:w="401" w:type="pct"/>
                  <w:vAlign w:val="center"/>
                </w:tcPr>
                <w:p w14:paraId="3871ABA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322195.82</w:t>
                  </w:r>
                </w:p>
              </w:tc>
              <w:tc>
                <w:tcPr>
                  <w:tcW w:w="428" w:type="pct"/>
                  <w:vAlign w:val="center"/>
                </w:tcPr>
                <w:p w14:paraId="66FB849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190685.821</w:t>
                  </w:r>
                </w:p>
              </w:tc>
              <w:tc>
                <w:tcPr>
                  <w:tcW w:w="460" w:type="pct"/>
                  <w:vAlign w:val="center"/>
                </w:tcPr>
                <w:p w14:paraId="6E28850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41835.5</w:t>
                  </w:r>
                </w:p>
              </w:tc>
              <w:tc>
                <w:tcPr>
                  <w:tcW w:w="490" w:type="pct"/>
                  <w:vAlign w:val="center"/>
                </w:tcPr>
                <w:p w14:paraId="09CEB12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59469.24</w:t>
                  </w:r>
                </w:p>
              </w:tc>
              <w:tc>
                <w:tcPr>
                  <w:tcW w:w="485" w:type="pct"/>
                  <w:vAlign w:val="center"/>
                </w:tcPr>
                <w:p w14:paraId="670D624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21084</w:t>
                  </w:r>
                </w:p>
              </w:tc>
              <w:tc>
                <w:tcPr>
                  <w:tcW w:w="539" w:type="pct"/>
                  <w:vAlign w:val="center"/>
                </w:tcPr>
                <w:p w14:paraId="6C47E4E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6422.36</w:t>
                  </w:r>
                </w:p>
              </w:tc>
              <w:tc>
                <w:tcPr>
                  <w:tcW w:w="530" w:type="pct"/>
                  <w:vAlign w:val="center"/>
                </w:tcPr>
                <w:p w14:paraId="40E311D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117274.5</w:t>
                  </w:r>
                </w:p>
              </w:tc>
              <w:tc>
                <w:tcPr>
                  <w:tcW w:w="550" w:type="pct"/>
                  <w:vAlign w:val="center"/>
                </w:tcPr>
                <w:p w14:paraId="092B957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758967.24</w:t>
                  </w:r>
                </w:p>
              </w:tc>
              <w:tc>
                <w:tcPr>
                  <w:tcW w:w="587" w:type="pct"/>
                  <w:vAlign w:val="center"/>
                </w:tcPr>
                <w:p w14:paraId="33BE3C3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705.6</w:t>
                  </w:r>
                </w:p>
              </w:tc>
            </w:tr>
            <w:tr w14:paraId="6CDE97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26" w:type="pct"/>
                  <w:vAlign w:val="center"/>
                </w:tcPr>
                <w:p w14:paraId="5C232B4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排放量（</w:t>
                  </w:r>
                  <w:r>
                    <w:rPr>
                      <w:color w:val="auto"/>
                      <w:spacing w:val="-1"/>
                      <w:highlight w:val="none"/>
                    </w:rPr>
                    <w:t>t/d</w:t>
                  </w:r>
                  <w:r>
                    <w:rPr>
                      <w:rFonts w:ascii="宋体" w:hAnsi="宋体" w:eastAsia="宋体" w:cs="宋体"/>
                      <w:color w:val="auto"/>
                      <w:spacing w:val="-1"/>
                      <w:highlight w:val="none"/>
                    </w:rPr>
                    <w:t>）</w:t>
                  </w:r>
                </w:p>
              </w:tc>
              <w:tc>
                <w:tcPr>
                  <w:tcW w:w="401" w:type="pct"/>
                  <w:vAlign w:val="center"/>
                </w:tcPr>
                <w:p w14:paraId="0E2FFB4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1073.99</w:t>
                  </w:r>
                </w:p>
              </w:tc>
              <w:tc>
                <w:tcPr>
                  <w:tcW w:w="428" w:type="pct"/>
                  <w:vAlign w:val="center"/>
                </w:tcPr>
                <w:p w14:paraId="45D66D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635.62</w:t>
                  </w:r>
                </w:p>
              </w:tc>
              <w:tc>
                <w:tcPr>
                  <w:tcW w:w="460" w:type="pct"/>
                  <w:vAlign w:val="center"/>
                </w:tcPr>
                <w:p w14:paraId="55E70DE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139.45</w:t>
                  </w:r>
                </w:p>
              </w:tc>
              <w:tc>
                <w:tcPr>
                  <w:tcW w:w="490" w:type="pct"/>
                  <w:vAlign w:val="center"/>
                </w:tcPr>
                <w:p w14:paraId="6772E18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198.23</w:t>
                  </w:r>
                </w:p>
              </w:tc>
              <w:tc>
                <w:tcPr>
                  <w:tcW w:w="485" w:type="pct"/>
                  <w:vAlign w:val="center"/>
                </w:tcPr>
                <w:p w14:paraId="5E3C062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70.28</w:t>
                  </w:r>
                </w:p>
              </w:tc>
              <w:tc>
                <w:tcPr>
                  <w:tcW w:w="539" w:type="pct"/>
                  <w:vAlign w:val="center"/>
                </w:tcPr>
                <w:p w14:paraId="70B1D63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21.41</w:t>
                  </w:r>
                </w:p>
              </w:tc>
              <w:tc>
                <w:tcPr>
                  <w:tcW w:w="530" w:type="pct"/>
                  <w:vAlign w:val="center"/>
                </w:tcPr>
                <w:p w14:paraId="6CB8BA4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321.30</w:t>
                  </w:r>
                </w:p>
              </w:tc>
              <w:tc>
                <w:tcPr>
                  <w:tcW w:w="550" w:type="pct"/>
                  <w:vAlign w:val="center"/>
                </w:tcPr>
                <w:p w14:paraId="1B0407F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2460.28</w:t>
                  </w:r>
                </w:p>
              </w:tc>
              <w:tc>
                <w:tcPr>
                  <w:tcW w:w="587" w:type="pct"/>
                  <w:vAlign w:val="center"/>
                </w:tcPr>
                <w:p w14:paraId="45E7732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1.93</w:t>
                  </w:r>
                </w:p>
              </w:tc>
            </w:tr>
            <w:tr w14:paraId="431B35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26" w:type="pct"/>
                  <w:vAlign w:val="center"/>
                </w:tcPr>
                <w:p w14:paraId="58745F2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COD</w:t>
                  </w:r>
                </w:p>
              </w:tc>
              <w:tc>
                <w:tcPr>
                  <w:tcW w:w="401" w:type="pct"/>
                  <w:vAlign w:val="center"/>
                </w:tcPr>
                <w:p w14:paraId="7B07D6A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12.89</w:t>
                  </w:r>
                </w:p>
              </w:tc>
              <w:tc>
                <w:tcPr>
                  <w:tcW w:w="428" w:type="pct"/>
                  <w:vAlign w:val="center"/>
                </w:tcPr>
                <w:p w14:paraId="785B959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7.63</w:t>
                  </w:r>
                </w:p>
              </w:tc>
              <w:tc>
                <w:tcPr>
                  <w:tcW w:w="460" w:type="pct"/>
                  <w:vAlign w:val="center"/>
                </w:tcPr>
                <w:p w14:paraId="68B7EDD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1.67</w:t>
                  </w:r>
                </w:p>
              </w:tc>
              <w:tc>
                <w:tcPr>
                  <w:tcW w:w="490" w:type="pct"/>
                  <w:vAlign w:val="center"/>
                </w:tcPr>
                <w:p w14:paraId="577E895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2.38</w:t>
                  </w:r>
                </w:p>
              </w:tc>
              <w:tc>
                <w:tcPr>
                  <w:tcW w:w="485" w:type="pct"/>
                  <w:vAlign w:val="center"/>
                </w:tcPr>
                <w:p w14:paraId="063E843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0.84</w:t>
                  </w:r>
                </w:p>
              </w:tc>
              <w:tc>
                <w:tcPr>
                  <w:tcW w:w="539" w:type="pct"/>
                  <w:vAlign w:val="center"/>
                </w:tcPr>
                <w:p w14:paraId="198106D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0.26</w:t>
                  </w:r>
                </w:p>
              </w:tc>
              <w:tc>
                <w:tcPr>
                  <w:tcW w:w="530" w:type="pct"/>
                  <w:vAlign w:val="center"/>
                </w:tcPr>
                <w:p w14:paraId="3C26211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4.69</w:t>
                  </w:r>
                </w:p>
              </w:tc>
              <w:tc>
                <w:tcPr>
                  <w:tcW w:w="550" w:type="pct"/>
                  <w:vAlign w:val="center"/>
                </w:tcPr>
                <w:p w14:paraId="220083E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30.36</w:t>
                  </w:r>
                </w:p>
              </w:tc>
              <w:tc>
                <w:tcPr>
                  <w:tcW w:w="587" w:type="pct"/>
                  <w:vAlign w:val="center"/>
                </w:tcPr>
                <w:p w14:paraId="3D65667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0.03</w:t>
                  </w:r>
                </w:p>
              </w:tc>
            </w:tr>
            <w:tr w14:paraId="7C8280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526" w:type="pct"/>
                  <w:vAlign w:val="center"/>
                </w:tcPr>
                <w:p w14:paraId="2CA1346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13"/>
                      <w:szCs w:val="13"/>
                      <w:highlight w:val="none"/>
                    </w:rPr>
                  </w:pPr>
                  <w:r>
                    <w:rPr>
                      <w:color w:val="auto"/>
                      <w:highlight w:val="none"/>
                    </w:rPr>
                    <w:t>BOD</w:t>
                  </w:r>
                  <w:r>
                    <w:rPr>
                      <w:color w:val="auto"/>
                      <w:spacing w:val="3"/>
                      <w:position w:val="-1"/>
                      <w:sz w:val="13"/>
                      <w:szCs w:val="13"/>
                      <w:highlight w:val="none"/>
                    </w:rPr>
                    <w:t>5</w:t>
                  </w:r>
                </w:p>
              </w:tc>
              <w:tc>
                <w:tcPr>
                  <w:tcW w:w="401" w:type="pct"/>
                  <w:vAlign w:val="center"/>
                </w:tcPr>
                <w:p w14:paraId="4E83AE0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3.22</w:t>
                  </w:r>
                </w:p>
              </w:tc>
              <w:tc>
                <w:tcPr>
                  <w:tcW w:w="428" w:type="pct"/>
                  <w:vAlign w:val="center"/>
                </w:tcPr>
                <w:p w14:paraId="0313B0F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1.91</w:t>
                  </w:r>
                </w:p>
              </w:tc>
              <w:tc>
                <w:tcPr>
                  <w:tcW w:w="460" w:type="pct"/>
                  <w:vAlign w:val="center"/>
                </w:tcPr>
                <w:p w14:paraId="4F9530B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0.42</w:t>
                  </w:r>
                </w:p>
              </w:tc>
              <w:tc>
                <w:tcPr>
                  <w:tcW w:w="490" w:type="pct"/>
                  <w:vAlign w:val="center"/>
                </w:tcPr>
                <w:p w14:paraId="47DA8D4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0.59</w:t>
                  </w:r>
                </w:p>
              </w:tc>
              <w:tc>
                <w:tcPr>
                  <w:tcW w:w="485" w:type="pct"/>
                  <w:vAlign w:val="center"/>
                </w:tcPr>
                <w:p w14:paraId="68F8FEF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0.21</w:t>
                  </w:r>
                </w:p>
              </w:tc>
              <w:tc>
                <w:tcPr>
                  <w:tcW w:w="539" w:type="pct"/>
                  <w:vAlign w:val="center"/>
                </w:tcPr>
                <w:p w14:paraId="68E10B0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0.06</w:t>
                  </w:r>
                </w:p>
              </w:tc>
              <w:tc>
                <w:tcPr>
                  <w:tcW w:w="530" w:type="pct"/>
                  <w:vAlign w:val="center"/>
                </w:tcPr>
                <w:p w14:paraId="1AA021A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1.17</w:t>
                  </w:r>
                </w:p>
              </w:tc>
              <w:tc>
                <w:tcPr>
                  <w:tcW w:w="550" w:type="pct"/>
                  <w:vAlign w:val="center"/>
                </w:tcPr>
                <w:p w14:paraId="72E47CD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7.59</w:t>
                  </w:r>
                </w:p>
              </w:tc>
              <w:tc>
                <w:tcPr>
                  <w:tcW w:w="587" w:type="pct"/>
                  <w:vAlign w:val="center"/>
                </w:tcPr>
                <w:p w14:paraId="03A7F76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0.01</w:t>
                  </w:r>
                </w:p>
              </w:tc>
            </w:tr>
            <w:tr w14:paraId="57AC47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6DA1CE1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SS</w:t>
                  </w:r>
                </w:p>
              </w:tc>
              <w:tc>
                <w:tcPr>
                  <w:tcW w:w="401" w:type="pct"/>
                  <w:vAlign w:val="center"/>
                </w:tcPr>
                <w:p w14:paraId="5825519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3.22</w:t>
                  </w:r>
                </w:p>
              </w:tc>
              <w:tc>
                <w:tcPr>
                  <w:tcW w:w="428" w:type="pct"/>
                  <w:vAlign w:val="center"/>
                </w:tcPr>
                <w:p w14:paraId="5505764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1.91</w:t>
                  </w:r>
                </w:p>
              </w:tc>
              <w:tc>
                <w:tcPr>
                  <w:tcW w:w="460" w:type="pct"/>
                  <w:vAlign w:val="center"/>
                </w:tcPr>
                <w:p w14:paraId="5564C60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0.42</w:t>
                  </w:r>
                </w:p>
              </w:tc>
              <w:tc>
                <w:tcPr>
                  <w:tcW w:w="490" w:type="pct"/>
                  <w:vAlign w:val="center"/>
                </w:tcPr>
                <w:p w14:paraId="63F464A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0.59</w:t>
                  </w:r>
                </w:p>
              </w:tc>
              <w:tc>
                <w:tcPr>
                  <w:tcW w:w="485" w:type="pct"/>
                  <w:vAlign w:val="center"/>
                </w:tcPr>
                <w:p w14:paraId="02FC68B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0.21</w:t>
                  </w:r>
                </w:p>
              </w:tc>
              <w:tc>
                <w:tcPr>
                  <w:tcW w:w="539" w:type="pct"/>
                  <w:vAlign w:val="center"/>
                </w:tcPr>
                <w:p w14:paraId="5176FEB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0.06</w:t>
                  </w:r>
                </w:p>
              </w:tc>
              <w:tc>
                <w:tcPr>
                  <w:tcW w:w="530" w:type="pct"/>
                  <w:vAlign w:val="center"/>
                </w:tcPr>
                <w:p w14:paraId="16487CA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1.17</w:t>
                  </w:r>
                </w:p>
              </w:tc>
              <w:tc>
                <w:tcPr>
                  <w:tcW w:w="550" w:type="pct"/>
                  <w:vAlign w:val="center"/>
                </w:tcPr>
                <w:p w14:paraId="08B5C82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7.59</w:t>
                  </w:r>
                </w:p>
              </w:tc>
              <w:tc>
                <w:tcPr>
                  <w:tcW w:w="587" w:type="pct"/>
                  <w:vAlign w:val="center"/>
                </w:tcPr>
                <w:p w14:paraId="071F460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0.01</w:t>
                  </w:r>
                </w:p>
              </w:tc>
            </w:tr>
            <w:tr w14:paraId="09E8FD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543161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氨氮</w:t>
                  </w:r>
                </w:p>
              </w:tc>
              <w:tc>
                <w:tcPr>
                  <w:tcW w:w="401" w:type="pct"/>
                  <w:vAlign w:val="center"/>
                </w:tcPr>
                <w:p w14:paraId="438CEE7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1.61</w:t>
                  </w:r>
                </w:p>
              </w:tc>
              <w:tc>
                <w:tcPr>
                  <w:tcW w:w="428" w:type="pct"/>
                  <w:vAlign w:val="center"/>
                </w:tcPr>
                <w:p w14:paraId="124CDF5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0.95</w:t>
                  </w:r>
                </w:p>
              </w:tc>
              <w:tc>
                <w:tcPr>
                  <w:tcW w:w="460" w:type="pct"/>
                  <w:vAlign w:val="center"/>
                </w:tcPr>
                <w:p w14:paraId="7D9E487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0.21</w:t>
                  </w:r>
                </w:p>
              </w:tc>
              <w:tc>
                <w:tcPr>
                  <w:tcW w:w="490" w:type="pct"/>
                  <w:vAlign w:val="center"/>
                </w:tcPr>
                <w:p w14:paraId="7788D66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0.30</w:t>
                  </w:r>
                </w:p>
              </w:tc>
              <w:tc>
                <w:tcPr>
                  <w:tcW w:w="485" w:type="pct"/>
                  <w:vAlign w:val="center"/>
                </w:tcPr>
                <w:p w14:paraId="1B02434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0.11</w:t>
                  </w:r>
                </w:p>
              </w:tc>
              <w:tc>
                <w:tcPr>
                  <w:tcW w:w="539" w:type="pct"/>
                  <w:vAlign w:val="center"/>
                </w:tcPr>
                <w:p w14:paraId="2A29C38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0.03</w:t>
                  </w:r>
                </w:p>
              </w:tc>
              <w:tc>
                <w:tcPr>
                  <w:tcW w:w="530" w:type="pct"/>
                  <w:vAlign w:val="center"/>
                </w:tcPr>
                <w:p w14:paraId="6CEAE70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0.59</w:t>
                  </w:r>
                </w:p>
              </w:tc>
              <w:tc>
                <w:tcPr>
                  <w:tcW w:w="550" w:type="pct"/>
                  <w:vAlign w:val="center"/>
                </w:tcPr>
                <w:p w14:paraId="0AAFB33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3.79</w:t>
                  </w:r>
                </w:p>
              </w:tc>
              <w:tc>
                <w:tcPr>
                  <w:tcW w:w="587" w:type="pct"/>
                  <w:vAlign w:val="center"/>
                </w:tcPr>
                <w:p w14:paraId="714F6B0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0.004</w:t>
                  </w:r>
                </w:p>
              </w:tc>
            </w:tr>
            <w:tr w14:paraId="48175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626AA2A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总磷</w:t>
                  </w:r>
                </w:p>
              </w:tc>
              <w:tc>
                <w:tcPr>
                  <w:tcW w:w="401" w:type="pct"/>
                  <w:vAlign w:val="center"/>
                </w:tcPr>
                <w:p w14:paraId="48CD2EE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0.16</w:t>
                  </w:r>
                </w:p>
              </w:tc>
              <w:tc>
                <w:tcPr>
                  <w:tcW w:w="428" w:type="pct"/>
                  <w:vAlign w:val="center"/>
                </w:tcPr>
                <w:p w14:paraId="0CDAF1C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0.10</w:t>
                  </w:r>
                </w:p>
              </w:tc>
              <w:tc>
                <w:tcPr>
                  <w:tcW w:w="460" w:type="pct"/>
                  <w:vAlign w:val="center"/>
                </w:tcPr>
                <w:p w14:paraId="1462C52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0.02</w:t>
                  </w:r>
                </w:p>
              </w:tc>
              <w:tc>
                <w:tcPr>
                  <w:tcW w:w="490" w:type="pct"/>
                  <w:vAlign w:val="center"/>
                </w:tcPr>
                <w:p w14:paraId="0463DD6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0.03</w:t>
                  </w:r>
                </w:p>
              </w:tc>
              <w:tc>
                <w:tcPr>
                  <w:tcW w:w="485" w:type="pct"/>
                  <w:vAlign w:val="center"/>
                </w:tcPr>
                <w:p w14:paraId="321EEC9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0.01</w:t>
                  </w:r>
                </w:p>
              </w:tc>
              <w:tc>
                <w:tcPr>
                  <w:tcW w:w="539" w:type="pct"/>
                  <w:vAlign w:val="center"/>
                </w:tcPr>
                <w:p w14:paraId="1B4533B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0.003</w:t>
                  </w:r>
                </w:p>
              </w:tc>
              <w:tc>
                <w:tcPr>
                  <w:tcW w:w="530" w:type="pct"/>
                  <w:vAlign w:val="center"/>
                </w:tcPr>
                <w:p w14:paraId="48B6149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0.06</w:t>
                  </w:r>
                </w:p>
              </w:tc>
              <w:tc>
                <w:tcPr>
                  <w:tcW w:w="550" w:type="pct"/>
                  <w:vAlign w:val="center"/>
                </w:tcPr>
                <w:p w14:paraId="4E1277A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0.38</w:t>
                  </w:r>
                </w:p>
              </w:tc>
              <w:tc>
                <w:tcPr>
                  <w:tcW w:w="587" w:type="pct"/>
                  <w:vAlign w:val="center"/>
                </w:tcPr>
                <w:p w14:paraId="57CB668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0.0004</w:t>
                  </w:r>
                </w:p>
              </w:tc>
            </w:tr>
            <w:tr w14:paraId="69759C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795099C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石油类</w:t>
                  </w:r>
                </w:p>
              </w:tc>
              <w:tc>
                <w:tcPr>
                  <w:tcW w:w="401" w:type="pct"/>
                  <w:vAlign w:val="center"/>
                </w:tcPr>
                <w:p w14:paraId="04B2D20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0.32</w:t>
                  </w:r>
                </w:p>
              </w:tc>
              <w:tc>
                <w:tcPr>
                  <w:tcW w:w="428" w:type="pct"/>
                  <w:vAlign w:val="center"/>
                </w:tcPr>
                <w:p w14:paraId="0E89A0B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0.19</w:t>
                  </w:r>
                </w:p>
              </w:tc>
              <w:tc>
                <w:tcPr>
                  <w:tcW w:w="460" w:type="pct"/>
                  <w:vAlign w:val="center"/>
                </w:tcPr>
                <w:p w14:paraId="1DF7B3C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0.042</w:t>
                  </w:r>
                </w:p>
              </w:tc>
              <w:tc>
                <w:tcPr>
                  <w:tcW w:w="490" w:type="pct"/>
                  <w:vAlign w:val="center"/>
                </w:tcPr>
                <w:p w14:paraId="7750919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0.059</w:t>
                  </w:r>
                </w:p>
              </w:tc>
              <w:tc>
                <w:tcPr>
                  <w:tcW w:w="485" w:type="pct"/>
                  <w:vAlign w:val="center"/>
                </w:tcPr>
                <w:p w14:paraId="0647C29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0.021</w:t>
                  </w:r>
                </w:p>
              </w:tc>
              <w:tc>
                <w:tcPr>
                  <w:tcW w:w="539" w:type="pct"/>
                  <w:vAlign w:val="center"/>
                </w:tcPr>
                <w:p w14:paraId="01CF998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0.006</w:t>
                  </w:r>
                </w:p>
              </w:tc>
              <w:tc>
                <w:tcPr>
                  <w:tcW w:w="530" w:type="pct"/>
                  <w:vAlign w:val="center"/>
                </w:tcPr>
                <w:p w14:paraId="013DEC2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0.117</w:t>
                  </w:r>
                </w:p>
              </w:tc>
              <w:tc>
                <w:tcPr>
                  <w:tcW w:w="550" w:type="pct"/>
                  <w:vAlign w:val="center"/>
                </w:tcPr>
                <w:p w14:paraId="36E8F42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0.76</w:t>
                  </w:r>
                </w:p>
              </w:tc>
              <w:tc>
                <w:tcPr>
                  <w:tcW w:w="587" w:type="pct"/>
                  <w:vAlign w:val="center"/>
                </w:tcPr>
                <w:p w14:paraId="2E23BE7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0.001</w:t>
                  </w:r>
                </w:p>
              </w:tc>
            </w:tr>
            <w:tr w14:paraId="6254C1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26" w:type="pct"/>
                  <w:vAlign w:val="center"/>
                </w:tcPr>
                <w:p w14:paraId="1F833B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硫酸盐</w:t>
                  </w:r>
                </w:p>
              </w:tc>
              <w:tc>
                <w:tcPr>
                  <w:tcW w:w="401" w:type="pct"/>
                  <w:vAlign w:val="center"/>
                </w:tcPr>
                <w:p w14:paraId="72A564C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28" w:type="pct"/>
                  <w:vAlign w:val="center"/>
                </w:tcPr>
                <w:p w14:paraId="3A8D5C2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38.56</w:t>
                  </w:r>
                </w:p>
              </w:tc>
              <w:tc>
                <w:tcPr>
                  <w:tcW w:w="460" w:type="pct"/>
                  <w:vAlign w:val="center"/>
                </w:tcPr>
                <w:p w14:paraId="4137A73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90" w:type="pct"/>
                  <w:vAlign w:val="center"/>
                </w:tcPr>
                <w:p w14:paraId="27EA9AF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85" w:type="pct"/>
                  <w:vAlign w:val="center"/>
                </w:tcPr>
                <w:p w14:paraId="1B17581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9" w:type="pct"/>
                  <w:vAlign w:val="center"/>
                </w:tcPr>
                <w:p w14:paraId="41B2F0A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0" w:type="pct"/>
                  <w:vAlign w:val="center"/>
                </w:tcPr>
                <w:p w14:paraId="035B7E6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50" w:type="pct"/>
                  <w:vAlign w:val="center"/>
                </w:tcPr>
                <w:p w14:paraId="69B8B70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38.56</w:t>
                  </w:r>
                </w:p>
              </w:tc>
              <w:tc>
                <w:tcPr>
                  <w:tcW w:w="587" w:type="pct"/>
                  <w:vAlign w:val="center"/>
                </w:tcPr>
                <w:p w14:paraId="79A4264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r>
            <w:tr w14:paraId="3FAF94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26" w:type="pct"/>
                  <w:vAlign w:val="center"/>
                </w:tcPr>
                <w:p w14:paraId="21C7008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氟化物</w:t>
                  </w:r>
                </w:p>
              </w:tc>
              <w:tc>
                <w:tcPr>
                  <w:tcW w:w="401" w:type="pct"/>
                  <w:vAlign w:val="center"/>
                </w:tcPr>
                <w:p w14:paraId="164ECB5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28" w:type="pct"/>
                  <w:vAlign w:val="center"/>
                </w:tcPr>
                <w:p w14:paraId="0143601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0.093</w:t>
                  </w:r>
                </w:p>
              </w:tc>
              <w:tc>
                <w:tcPr>
                  <w:tcW w:w="460" w:type="pct"/>
                  <w:vAlign w:val="center"/>
                </w:tcPr>
                <w:p w14:paraId="08B7DD3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90" w:type="pct"/>
                  <w:vAlign w:val="center"/>
                </w:tcPr>
                <w:p w14:paraId="3A9F1C5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0.074</w:t>
                  </w:r>
                </w:p>
              </w:tc>
              <w:tc>
                <w:tcPr>
                  <w:tcW w:w="485" w:type="pct"/>
                  <w:vAlign w:val="center"/>
                </w:tcPr>
                <w:p w14:paraId="1618FC6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9" w:type="pct"/>
                  <w:vAlign w:val="center"/>
                </w:tcPr>
                <w:p w14:paraId="01DD014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0" w:type="pct"/>
                  <w:vAlign w:val="center"/>
                </w:tcPr>
                <w:p w14:paraId="17CDC05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50" w:type="pct"/>
                  <w:vAlign w:val="center"/>
                </w:tcPr>
                <w:p w14:paraId="6F9E44E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0.167</w:t>
                  </w:r>
                </w:p>
              </w:tc>
              <w:tc>
                <w:tcPr>
                  <w:tcW w:w="587" w:type="pct"/>
                  <w:vAlign w:val="center"/>
                </w:tcPr>
                <w:p w14:paraId="34C2B20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r>
            <w:tr w14:paraId="70CC98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26" w:type="pct"/>
                  <w:vAlign w:val="center"/>
                </w:tcPr>
                <w:p w14:paraId="3BD782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总锰</w:t>
                  </w:r>
                </w:p>
              </w:tc>
              <w:tc>
                <w:tcPr>
                  <w:tcW w:w="401" w:type="pct"/>
                  <w:vAlign w:val="center"/>
                </w:tcPr>
                <w:p w14:paraId="227542B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28" w:type="pct"/>
                  <w:vAlign w:val="center"/>
                </w:tcPr>
                <w:p w14:paraId="03C7202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0.079</w:t>
                  </w:r>
                </w:p>
              </w:tc>
              <w:tc>
                <w:tcPr>
                  <w:tcW w:w="460" w:type="pct"/>
                  <w:vAlign w:val="center"/>
                </w:tcPr>
                <w:p w14:paraId="2BF58E3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90" w:type="pct"/>
                  <w:vAlign w:val="center"/>
                </w:tcPr>
                <w:p w14:paraId="32B310E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85" w:type="pct"/>
                  <w:vAlign w:val="center"/>
                </w:tcPr>
                <w:p w14:paraId="5F58F34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9" w:type="pct"/>
                  <w:vAlign w:val="center"/>
                </w:tcPr>
                <w:p w14:paraId="766AEAB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0" w:type="pct"/>
                  <w:vAlign w:val="center"/>
                </w:tcPr>
                <w:p w14:paraId="62D26AE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50" w:type="pct"/>
                  <w:vAlign w:val="center"/>
                </w:tcPr>
                <w:p w14:paraId="1D1722B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0.079</w:t>
                  </w:r>
                </w:p>
              </w:tc>
              <w:tc>
                <w:tcPr>
                  <w:tcW w:w="587" w:type="pct"/>
                  <w:vAlign w:val="center"/>
                </w:tcPr>
                <w:p w14:paraId="17E1338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r>
            <w:tr w14:paraId="6ABCCA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0FA712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总铜</w:t>
                  </w:r>
                </w:p>
              </w:tc>
              <w:tc>
                <w:tcPr>
                  <w:tcW w:w="401" w:type="pct"/>
                  <w:vAlign w:val="center"/>
                </w:tcPr>
                <w:p w14:paraId="1FE4624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28" w:type="pct"/>
                  <w:vAlign w:val="center"/>
                </w:tcPr>
                <w:p w14:paraId="7A09AE2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0.042</w:t>
                  </w:r>
                </w:p>
              </w:tc>
              <w:tc>
                <w:tcPr>
                  <w:tcW w:w="460" w:type="pct"/>
                  <w:vAlign w:val="center"/>
                </w:tcPr>
                <w:p w14:paraId="7B718FE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90" w:type="pct"/>
                  <w:vAlign w:val="center"/>
                </w:tcPr>
                <w:p w14:paraId="012EF10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85" w:type="pct"/>
                  <w:vAlign w:val="center"/>
                </w:tcPr>
                <w:p w14:paraId="325FE56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9" w:type="pct"/>
                  <w:vAlign w:val="center"/>
                </w:tcPr>
                <w:p w14:paraId="5FF5627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0" w:type="pct"/>
                  <w:vAlign w:val="center"/>
                </w:tcPr>
                <w:p w14:paraId="04CF620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50" w:type="pct"/>
                  <w:vAlign w:val="center"/>
                </w:tcPr>
                <w:p w14:paraId="539BC04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0.042</w:t>
                  </w:r>
                </w:p>
              </w:tc>
              <w:tc>
                <w:tcPr>
                  <w:tcW w:w="587" w:type="pct"/>
                  <w:vAlign w:val="center"/>
                </w:tcPr>
                <w:p w14:paraId="7B7AD74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r>
            <w:tr w14:paraId="692DDE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526" w:type="pct"/>
                  <w:vAlign w:val="center"/>
                </w:tcPr>
                <w:p w14:paraId="77ED72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4"/>
                      <w:sz w:val="21"/>
                      <w:szCs w:val="21"/>
                      <w:highlight w:val="none"/>
                    </w:rPr>
                    <w:t>阴离子表面活</w:t>
                  </w:r>
                  <w:r>
                    <w:rPr>
                      <w:rFonts w:ascii="宋体" w:hAnsi="宋体" w:eastAsia="宋体" w:cs="宋体"/>
                      <w:color w:val="auto"/>
                      <w:spacing w:val="-3"/>
                      <w:sz w:val="21"/>
                      <w:szCs w:val="21"/>
                      <w:highlight w:val="none"/>
                    </w:rPr>
                    <w:t>性剂</w:t>
                  </w:r>
                </w:p>
              </w:tc>
              <w:tc>
                <w:tcPr>
                  <w:tcW w:w="401" w:type="pct"/>
                  <w:vAlign w:val="center"/>
                </w:tcPr>
                <w:p w14:paraId="4C43E97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28" w:type="pct"/>
                  <w:vAlign w:val="center"/>
                </w:tcPr>
                <w:p w14:paraId="38F1B76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0.001</w:t>
                  </w:r>
                </w:p>
              </w:tc>
              <w:tc>
                <w:tcPr>
                  <w:tcW w:w="460" w:type="pct"/>
                  <w:vAlign w:val="center"/>
                </w:tcPr>
                <w:p w14:paraId="7EAAC05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490" w:type="pct"/>
                  <w:vAlign w:val="center"/>
                </w:tcPr>
                <w:p w14:paraId="43EC462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0.137</w:t>
                  </w:r>
                </w:p>
              </w:tc>
              <w:tc>
                <w:tcPr>
                  <w:tcW w:w="485" w:type="pct"/>
                  <w:vAlign w:val="center"/>
                </w:tcPr>
                <w:p w14:paraId="08D0E13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9" w:type="pct"/>
                  <w:vAlign w:val="center"/>
                </w:tcPr>
                <w:p w14:paraId="3FA4FA0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30" w:type="pct"/>
                  <w:vAlign w:val="center"/>
                </w:tcPr>
                <w:p w14:paraId="1365271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c>
                <w:tcPr>
                  <w:tcW w:w="550" w:type="pct"/>
                  <w:vAlign w:val="center"/>
                </w:tcPr>
                <w:p w14:paraId="7532C94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0.138</w:t>
                  </w:r>
                </w:p>
              </w:tc>
              <w:tc>
                <w:tcPr>
                  <w:tcW w:w="587" w:type="pct"/>
                  <w:vAlign w:val="center"/>
                </w:tcPr>
                <w:p w14:paraId="2BA9E63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position w:val="-2"/>
                      <w:highlight w:val="none"/>
                    </w:rPr>
                    <w:t>——</w:t>
                  </w:r>
                </w:p>
              </w:tc>
            </w:tr>
          </w:tbl>
          <w:p w14:paraId="61144011">
            <w:pPr>
              <w:pStyle w:val="106"/>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大气污染物排放量统计表  单位：t/a</w:t>
            </w:r>
          </w:p>
          <w:tbl>
            <w:tblPr>
              <w:tblStyle w:val="115"/>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77"/>
              <w:gridCol w:w="1426"/>
              <w:gridCol w:w="1274"/>
              <w:gridCol w:w="1385"/>
              <w:gridCol w:w="1537"/>
              <w:gridCol w:w="1305"/>
              <w:gridCol w:w="1379"/>
            </w:tblGrid>
            <w:tr w14:paraId="7D79BC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257" w:type="pct"/>
                  <w:gridSpan w:val="6"/>
                  <w:vAlign w:val="center"/>
                </w:tcPr>
                <w:p w14:paraId="46219F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城东片区</w:t>
                  </w:r>
                </w:p>
              </w:tc>
              <w:tc>
                <w:tcPr>
                  <w:tcW w:w="742" w:type="pct"/>
                  <w:vAlign w:val="center"/>
                </w:tcPr>
                <w:p w14:paraId="2ED26FB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城南片区</w:t>
                  </w:r>
                </w:p>
              </w:tc>
            </w:tr>
            <w:tr w14:paraId="6428A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26" w:type="pct"/>
                  <w:vAlign w:val="center"/>
                </w:tcPr>
                <w:p w14:paraId="60CB8A9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污染物</w:t>
                  </w:r>
                </w:p>
              </w:tc>
              <w:tc>
                <w:tcPr>
                  <w:tcW w:w="767" w:type="pct"/>
                  <w:vAlign w:val="center"/>
                </w:tcPr>
                <w:p w14:paraId="25B679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排放方式</w:t>
                  </w:r>
                </w:p>
              </w:tc>
              <w:tc>
                <w:tcPr>
                  <w:tcW w:w="686" w:type="pct"/>
                  <w:vAlign w:val="center"/>
                </w:tcPr>
                <w:p w14:paraId="1190EE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已建企业</w:t>
                  </w:r>
                </w:p>
              </w:tc>
              <w:tc>
                <w:tcPr>
                  <w:tcW w:w="746" w:type="pct"/>
                  <w:vAlign w:val="center"/>
                </w:tcPr>
                <w:p w14:paraId="2C0593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在建企业</w:t>
                  </w:r>
                </w:p>
              </w:tc>
              <w:tc>
                <w:tcPr>
                  <w:tcW w:w="828" w:type="pct"/>
                  <w:vAlign w:val="center"/>
                </w:tcPr>
                <w:p w14:paraId="7AC25F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停产</w:t>
                  </w:r>
                  <w:r>
                    <w:rPr>
                      <w:color w:val="auto"/>
                      <w:spacing w:val="-1"/>
                      <w:highlight w:val="none"/>
                    </w:rPr>
                    <w:t>/</w:t>
                  </w:r>
                  <w:r>
                    <w:rPr>
                      <w:rFonts w:ascii="宋体" w:hAnsi="宋体" w:eastAsia="宋体" w:cs="宋体"/>
                      <w:color w:val="auto"/>
                      <w:spacing w:val="-1"/>
                      <w:highlight w:val="none"/>
                    </w:rPr>
                    <w:t>已批未</w:t>
                  </w:r>
                  <w:r>
                    <w:rPr>
                      <w:rFonts w:ascii="宋体" w:hAnsi="宋体" w:eastAsia="宋体" w:cs="宋体"/>
                      <w:color w:val="auto"/>
                      <w:highlight w:val="none"/>
                    </w:rPr>
                    <w:t>建</w:t>
                  </w:r>
                </w:p>
              </w:tc>
              <w:tc>
                <w:tcPr>
                  <w:tcW w:w="702" w:type="pct"/>
                  <w:vAlign w:val="center"/>
                </w:tcPr>
                <w:p w14:paraId="2928CF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合计</w:t>
                  </w:r>
                </w:p>
              </w:tc>
              <w:tc>
                <w:tcPr>
                  <w:tcW w:w="742" w:type="pct"/>
                  <w:vAlign w:val="center"/>
                </w:tcPr>
                <w:p w14:paraId="51B972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已建企业</w:t>
                  </w:r>
                </w:p>
              </w:tc>
            </w:tr>
            <w:tr w14:paraId="0BBE37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000" w:type="pct"/>
                  <w:gridSpan w:val="7"/>
                  <w:vAlign w:val="center"/>
                </w:tcPr>
                <w:p w14:paraId="2C62E36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燃料废气</w:t>
                  </w:r>
                </w:p>
              </w:tc>
            </w:tr>
            <w:tr w14:paraId="3418A3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526" w:type="pct"/>
                  <w:vAlign w:val="center"/>
                </w:tcPr>
                <w:p w14:paraId="3C2AA52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13"/>
                      <w:szCs w:val="13"/>
                      <w:highlight w:val="none"/>
                    </w:rPr>
                  </w:pPr>
                  <w:r>
                    <w:rPr>
                      <w:color w:val="auto"/>
                      <w:spacing w:val="-3"/>
                      <w:highlight w:val="none"/>
                    </w:rPr>
                    <w:t>SO</w:t>
                  </w:r>
                  <w:r>
                    <w:rPr>
                      <w:color w:val="auto"/>
                      <w:spacing w:val="-3"/>
                      <w:position w:val="-1"/>
                      <w:sz w:val="13"/>
                      <w:szCs w:val="13"/>
                      <w:highlight w:val="none"/>
                    </w:rPr>
                    <w:t>2</w:t>
                  </w:r>
                </w:p>
              </w:tc>
              <w:tc>
                <w:tcPr>
                  <w:tcW w:w="767" w:type="pct"/>
                  <w:vAlign w:val="center"/>
                </w:tcPr>
                <w:p w14:paraId="3B5E65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有组织</w:t>
                  </w:r>
                </w:p>
              </w:tc>
              <w:tc>
                <w:tcPr>
                  <w:tcW w:w="686" w:type="pct"/>
                  <w:vAlign w:val="center"/>
                </w:tcPr>
                <w:p w14:paraId="20F2A82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1.34</w:t>
                  </w:r>
                </w:p>
              </w:tc>
              <w:tc>
                <w:tcPr>
                  <w:tcW w:w="746" w:type="pct"/>
                  <w:vAlign w:val="center"/>
                </w:tcPr>
                <w:p w14:paraId="3451D5E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0.09</w:t>
                  </w:r>
                </w:p>
              </w:tc>
              <w:tc>
                <w:tcPr>
                  <w:tcW w:w="828" w:type="pct"/>
                  <w:vAlign w:val="center"/>
                </w:tcPr>
                <w:p w14:paraId="3F90169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0.01</w:t>
                  </w:r>
                </w:p>
              </w:tc>
              <w:tc>
                <w:tcPr>
                  <w:tcW w:w="702" w:type="pct"/>
                  <w:vAlign w:val="center"/>
                </w:tcPr>
                <w:p w14:paraId="263E723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6"/>
                      <w:highlight w:val="none"/>
                    </w:rPr>
                    <w:t>1.44</w:t>
                  </w:r>
                </w:p>
              </w:tc>
              <w:tc>
                <w:tcPr>
                  <w:tcW w:w="742" w:type="pct"/>
                  <w:vAlign w:val="center"/>
                </w:tcPr>
                <w:p w14:paraId="3721097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7EC25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26" w:type="pct"/>
                  <w:vAlign w:val="center"/>
                </w:tcPr>
                <w:p w14:paraId="3D8C1EE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NOx</w:t>
                  </w:r>
                </w:p>
              </w:tc>
              <w:tc>
                <w:tcPr>
                  <w:tcW w:w="767" w:type="pct"/>
                  <w:vAlign w:val="center"/>
                </w:tcPr>
                <w:p w14:paraId="00368A4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有组织</w:t>
                  </w:r>
                </w:p>
              </w:tc>
              <w:tc>
                <w:tcPr>
                  <w:tcW w:w="686" w:type="pct"/>
                  <w:vAlign w:val="center"/>
                </w:tcPr>
                <w:p w14:paraId="791E4E0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14.11</w:t>
                  </w:r>
                </w:p>
              </w:tc>
              <w:tc>
                <w:tcPr>
                  <w:tcW w:w="746" w:type="pct"/>
                  <w:vAlign w:val="center"/>
                </w:tcPr>
                <w:p w14:paraId="5002A2B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0.58</w:t>
                  </w:r>
                </w:p>
              </w:tc>
              <w:tc>
                <w:tcPr>
                  <w:tcW w:w="828" w:type="pct"/>
                  <w:vAlign w:val="center"/>
                </w:tcPr>
                <w:p w14:paraId="17B3A99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0.09</w:t>
                  </w:r>
                </w:p>
              </w:tc>
              <w:tc>
                <w:tcPr>
                  <w:tcW w:w="702" w:type="pct"/>
                  <w:vAlign w:val="center"/>
                </w:tcPr>
                <w:p w14:paraId="2C3D1B8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14.78</w:t>
                  </w:r>
                </w:p>
              </w:tc>
              <w:tc>
                <w:tcPr>
                  <w:tcW w:w="742" w:type="pct"/>
                  <w:vAlign w:val="center"/>
                </w:tcPr>
                <w:p w14:paraId="2E6EAE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7D16E1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Align w:val="center"/>
                </w:tcPr>
                <w:p w14:paraId="168743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烟尘</w:t>
                  </w:r>
                </w:p>
              </w:tc>
              <w:tc>
                <w:tcPr>
                  <w:tcW w:w="767" w:type="pct"/>
                  <w:vAlign w:val="center"/>
                </w:tcPr>
                <w:p w14:paraId="3D36CF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有组织</w:t>
                  </w:r>
                </w:p>
              </w:tc>
              <w:tc>
                <w:tcPr>
                  <w:tcW w:w="686" w:type="pct"/>
                  <w:vAlign w:val="center"/>
                </w:tcPr>
                <w:p w14:paraId="4022D5A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1.93</w:t>
                  </w:r>
                </w:p>
              </w:tc>
              <w:tc>
                <w:tcPr>
                  <w:tcW w:w="746" w:type="pct"/>
                  <w:vAlign w:val="center"/>
                </w:tcPr>
                <w:p w14:paraId="6659567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0.12</w:t>
                  </w:r>
                </w:p>
              </w:tc>
              <w:tc>
                <w:tcPr>
                  <w:tcW w:w="828" w:type="pct"/>
                  <w:vAlign w:val="center"/>
                </w:tcPr>
                <w:p w14:paraId="18DC53C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0.003</w:t>
                  </w:r>
                </w:p>
              </w:tc>
              <w:tc>
                <w:tcPr>
                  <w:tcW w:w="702" w:type="pct"/>
                  <w:vAlign w:val="center"/>
                </w:tcPr>
                <w:p w14:paraId="1F7741D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2.06</w:t>
                  </w:r>
                </w:p>
              </w:tc>
              <w:tc>
                <w:tcPr>
                  <w:tcW w:w="742" w:type="pct"/>
                  <w:vAlign w:val="center"/>
                </w:tcPr>
                <w:p w14:paraId="548B96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0F247F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000" w:type="pct"/>
                  <w:gridSpan w:val="7"/>
                  <w:vAlign w:val="center"/>
                </w:tcPr>
                <w:p w14:paraId="09D9F2B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工艺废气</w:t>
                  </w:r>
                </w:p>
              </w:tc>
            </w:tr>
            <w:tr w14:paraId="06BE99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26" w:type="pct"/>
                  <w:vAlign w:val="center"/>
                </w:tcPr>
                <w:p w14:paraId="5CAFEC8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NOx</w:t>
                  </w:r>
                </w:p>
              </w:tc>
              <w:tc>
                <w:tcPr>
                  <w:tcW w:w="767" w:type="pct"/>
                  <w:vAlign w:val="center"/>
                </w:tcPr>
                <w:p w14:paraId="5A31594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有组织</w:t>
                  </w:r>
                </w:p>
              </w:tc>
              <w:tc>
                <w:tcPr>
                  <w:tcW w:w="686" w:type="pct"/>
                  <w:vAlign w:val="center"/>
                </w:tcPr>
                <w:p w14:paraId="7A48919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2.77</w:t>
                  </w:r>
                </w:p>
              </w:tc>
              <w:tc>
                <w:tcPr>
                  <w:tcW w:w="746" w:type="pct"/>
                  <w:vAlign w:val="center"/>
                </w:tcPr>
                <w:p w14:paraId="22BD0AB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5BA90AD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68B0698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2.77</w:t>
                  </w:r>
                </w:p>
              </w:tc>
              <w:tc>
                <w:tcPr>
                  <w:tcW w:w="742" w:type="pct"/>
                  <w:vAlign w:val="center"/>
                </w:tcPr>
                <w:p w14:paraId="5442097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5D4B23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Merge w:val="restart"/>
                  <w:tcBorders>
                    <w:bottom w:val="nil"/>
                  </w:tcBorders>
                  <w:vAlign w:val="center"/>
                </w:tcPr>
                <w:p w14:paraId="018A1CB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VOCs</w:t>
                  </w:r>
                  <w:r>
                    <w:rPr>
                      <w:color w:val="auto"/>
                      <w:spacing w:val="1"/>
                      <w:highlight w:val="none"/>
                    </w:rPr>
                    <w:t>/</w:t>
                  </w:r>
                </w:p>
                <w:p w14:paraId="1351C4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非甲烷</w:t>
                  </w:r>
                </w:p>
                <w:p w14:paraId="2066C4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总烃</w:t>
                  </w:r>
                </w:p>
              </w:tc>
              <w:tc>
                <w:tcPr>
                  <w:tcW w:w="767" w:type="pct"/>
                  <w:vAlign w:val="center"/>
                </w:tcPr>
                <w:p w14:paraId="6F9151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有组织</w:t>
                  </w:r>
                </w:p>
              </w:tc>
              <w:tc>
                <w:tcPr>
                  <w:tcW w:w="686" w:type="pct"/>
                  <w:vAlign w:val="center"/>
                </w:tcPr>
                <w:p w14:paraId="572599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34.40</w:t>
                  </w:r>
                </w:p>
              </w:tc>
              <w:tc>
                <w:tcPr>
                  <w:tcW w:w="746" w:type="pct"/>
                  <w:vAlign w:val="center"/>
                </w:tcPr>
                <w:p w14:paraId="2FF4C56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0.72</w:t>
                  </w:r>
                </w:p>
              </w:tc>
              <w:tc>
                <w:tcPr>
                  <w:tcW w:w="828" w:type="pct"/>
                  <w:vAlign w:val="center"/>
                </w:tcPr>
                <w:p w14:paraId="778CFDC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8.60</w:t>
                  </w:r>
                </w:p>
              </w:tc>
              <w:tc>
                <w:tcPr>
                  <w:tcW w:w="702" w:type="pct"/>
                  <w:vAlign w:val="center"/>
                </w:tcPr>
                <w:p w14:paraId="102A86E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43.72</w:t>
                  </w:r>
                </w:p>
              </w:tc>
              <w:tc>
                <w:tcPr>
                  <w:tcW w:w="742" w:type="pct"/>
                  <w:vAlign w:val="center"/>
                </w:tcPr>
                <w:p w14:paraId="2F9B33F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0A0A9B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26" w:type="pct"/>
                  <w:vMerge w:val="continue"/>
                  <w:tcBorders>
                    <w:top w:val="nil"/>
                    <w:bottom w:val="nil"/>
                  </w:tcBorders>
                  <w:vAlign w:val="center"/>
                </w:tcPr>
                <w:p w14:paraId="2A0E8ED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767" w:type="pct"/>
                  <w:vAlign w:val="center"/>
                </w:tcPr>
                <w:p w14:paraId="790E50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无组织</w:t>
                  </w:r>
                </w:p>
              </w:tc>
              <w:tc>
                <w:tcPr>
                  <w:tcW w:w="686" w:type="pct"/>
                  <w:vAlign w:val="center"/>
                </w:tcPr>
                <w:p w14:paraId="6D56B95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34.08</w:t>
                  </w:r>
                </w:p>
              </w:tc>
              <w:tc>
                <w:tcPr>
                  <w:tcW w:w="746" w:type="pct"/>
                  <w:vAlign w:val="center"/>
                </w:tcPr>
                <w:p w14:paraId="34BFE19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2.70</w:t>
                  </w:r>
                </w:p>
              </w:tc>
              <w:tc>
                <w:tcPr>
                  <w:tcW w:w="828" w:type="pct"/>
                  <w:vAlign w:val="center"/>
                </w:tcPr>
                <w:p w14:paraId="768113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6.46</w:t>
                  </w:r>
                </w:p>
              </w:tc>
              <w:tc>
                <w:tcPr>
                  <w:tcW w:w="702" w:type="pct"/>
                  <w:vAlign w:val="center"/>
                </w:tcPr>
                <w:p w14:paraId="26A8399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43.24</w:t>
                  </w:r>
                </w:p>
              </w:tc>
              <w:tc>
                <w:tcPr>
                  <w:tcW w:w="742" w:type="pct"/>
                  <w:vAlign w:val="center"/>
                </w:tcPr>
                <w:p w14:paraId="4A728C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59758A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26" w:type="pct"/>
                  <w:vMerge w:val="continue"/>
                  <w:tcBorders>
                    <w:top w:val="nil"/>
                  </w:tcBorders>
                  <w:vAlign w:val="center"/>
                </w:tcPr>
                <w:p w14:paraId="6C249F4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767" w:type="pct"/>
                  <w:vAlign w:val="center"/>
                </w:tcPr>
                <w:p w14:paraId="2107E5F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小计</w:t>
                  </w:r>
                </w:p>
              </w:tc>
              <w:tc>
                <w:tcPr>
                  <w:tcW w:w="686" w:type="pct"/>
                  <w:vAlign w:val="center"/>
                </w:tcPr>
                <w:p w14:paraId="0EBE782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68.48</w:t>
                  </w:r>
                </w:p>
              </w:tc>
              <w:tc>
                <w:tcPr>
                  <w:tcW w:w="746" w:type="pct"/>
                  <w:vAlign w:val="center"/>
                </w:tcPr>
                <w:p w14:paraId="4B8DBA1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3.43</w:t>
                  </w:r>
                </w:p>
              </w:tc>
              <w:tc>
                <w:tcPr>
                  <w:tcW w:w="828" w:type="pct"/>
                  <w:vAlign w:val="center"/>
                </w:tcPr>
                <w:p w14:paraId="5ADB345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15.05</w:t>
                  </w:r>
                </w:p>
              </w:tc>
              <w:tc>
                <w:tcPr>
                  <w:tcW w:w="702" w:type="pct"/>
                  <w:vAlign w:val="center"/>
                </w:tcPr>
                <w:p w14:paraId="38126CA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86.97</w:t>
                  </w:r>
                </w:p>
              </w:tc>
              <w:tc>
                <w:tcPr>
                  <w:tcW w:w="742" w:type="pct"/>
                  <w:vAlign w:val="center"/>
                </w:tcPr>
                <w:p w14:paraId="47A8CB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545C12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Merge w:val="restart"/>
                  <w:tcBorders>
                    <w:bottom w:val="nil"/>
                  </w:tcBorders>
                  <w:vAlign w:val="center"/>
                </w:tcPr>
                <w:p w14:paraId="2A9DC7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粉尘</w:t>
                  </w:r>
                </w:p>
              </w:tc>
              <w:tc>
                <w:tcPr>
                  <w:tcW w:w="767" w:type="pct"/>
                  <w:vAlign w:val="center"/>
                </w:tcPr>
                <w:p w14:paraId="5D00D68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有组织</w:t>
                  </w:r>
                </w:p>
              </w:tc>
              <w:tc>
                <w:tcPr>
                  <w:tcW w:w="686" w:type="pct"/>
                  <w:vAlign w:val="center"/>
                </w:tcPr>
                <w:p w14:paraId="2E80479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90.24</w:t>
                  </w:r>
                </w:p>
              </w:tc>
              <w:tc>
                <w:tcPr>
                  <w:tcW w:w="746" w:type="pct"/>
                  <w:vAlign w:val="center"/>
                </w:tcPr>
                <w:p w14:paraId="08C2CF5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4.55</w:t>
                  </w:r>
                </w:p>
              </w:tc>
              <w:tc>
                <w:tcPr>
                  <w:tcW w:w="828" w:type="pct"/>
                  <w:vAlign w:val="center"/>
                </w:tcPr>
                <w:p w14:paraId="7711FDA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7.51</w:t>
                  </w:r>
                </w:p>
              </w:tc>
              <w:tc>
                <w:tcPr>
                  <w:tcW w:w="702" w:type="pct"/>
                  <w:vAlign w:val="center"/>
                </w:tcPr>
                <w:p w14:paraId="6495F4A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102.30</w:t>
                  </w:r>
                </w:p>
              </w:tc>
              <w:tc>
                <w:tcPr>
                  <w:tcW w:w="742" w:type="pct"/>
                  <w:vAlign w:val="center"/>
                </w:tcPr>
                <w:p w14:paraId="0FE2002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5E5582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26" w:type="pct"/>
                  <w:vMerge w:val="continue"/>
                  <w:tcBorders>
                    <w:top w:val="nil"/>
                    <w:bottom w:val="nil"/>
                  </w:tcBorders>
                  <w:vAlign w:val="center"/>
                </w:tcPr>
                <w:p w14:paraId="2552D9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767" w:type="pct"/>
                  <w:vAlign w:val="center"/>
                </w:tcPr>
                <w:p w14:paraId="7CAF15A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无组织</w:t>
                  </w:r>
                </w:p>
              </w:tc>
              <w:tc>
                <w:tcPr>
                  <w:tcW w:w="686" w:type="pct"/>
                  <w:vAlign w:val="center"/>
                </w:tcPr>
                <w:p w14:paraId="27E203F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5"/>
                      <w:highlight w:val="none"/>
                    </w:rPr>
                    <w:t>118.07</w:t>
                  </w:r>
                </w:p>
              </w:tc>
              <w:tc>
                <w:tcPr>
                  <w:tcW w:w="746" w:type="pct"/>
                  <w:vAlign w:val="center"/>
                </w:tcPr>
                <w:p w14:paraId="61F57E1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30.85</w:t>
                  </w:r>
                </w:p>
              </w:tc>
              <w:tc>
                <w:tcPr>
                  <w:tcW w:w="828" w:type="pct"/>
                  <w:vAlign w:val="center"/>
                </w:tcPr>
                <w:p w14:paraId="1C29F87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14.10</w:t>
                  </w:r>
                </w:p>
              </w:tc>
              <w:tc>
                <w:tcPr>
                  <w:tcW w:w="702" w:type="pct"/>
                  <w:vAlign w:val="center"/>
                </w:tcPr>
                <w:p w14:paraId="4D25490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163.01</w:t>
                  </w:r>
                </w:p>
              </w:tc>
              <w:tc>
                <w:tcPr>
                  <w:tcW w:w="742" w:type="pct"/>
                  <w:vAlign w:val="center"/>
                </w:tcPr>
                <w:p w14:paraId="2A85AB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11200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26" w:type="pct"/>
                  <w:vMerge w:val="continue"/>
                  <w:tcBorders>
                    <w:top w:val="nil"/>
                  </w:tcBorders>
                  <w:vAlign w:val="center"/>
                </w:tcPr>
                <w:p w14:paraId="1EADBF4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767" w:type="pct"/>
                  <w:vAlign w:val="center"/>
                </w:tcPr>
                <w:p w14:paraId="3ED2F6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小计</w:t>
                  </w:r>
                </w:p>
              </w:tc>
              <w:tc>
                <w:tcPr>
                  <w:tcW w:w="686" w:type="pct"/>
                  <w:vAlign w:val="center"/>
                </w:tcPr>
                <w:p w14:paraId="4E3621A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208.30</w:t>
                  </w:r>
                </w:p>
              </w:tc>
              <w:tc>
                <w:tcPr>
                  <w:tcW w:w="746" w:type="pct"/>
                  <w:vAlign w:val="center"/>
                </w:tcPr>
                <w:p w14:paraId="7EE8112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35.40</w:t>
                  </w:r>
                </w:p>
              </w:tc>
              <w:tc>
                <w:tcPr>
                  <w:tcW w:w="828" w:type="pct"/>
                  <w:vAlign w:val="center"/>
                </w:tcPr>
                <w:p w14:paraId="7519833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21.60</w:t>
                  </w:r>
                </w:p>
              </w:tc>
              <w:tc>
                <w:tcPr>
                  <w:tcW w:w="702" w:type="pct"/>
                  <w:vAlign w:val="center"/>
                </w:tcPr>
                <w:p w14:paraId="5EC6FDE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265.31</w:t>
                  </w:r>
                </w:p>
              </w:tc>
              <w:tc>
                <w:tcPr>
                  <w:tcW w:w="742" w:type="pct"/>
                  <w:vAlign w:val="center"/>
                </w:tcPr>
                <w:p w14:paraId="1F96E0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3DAF92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294" w:type="pct"/>
                  <w:gridSpan w:val="2"/>
                  <w:vAlign w:val="center"/>
                </w:tcPr>
                <w:p w14:paraId="5C0871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9"/>
                      <w:sz w:val="21"/>
                      <w:szCs w:val="21"/>
                      <w:highlight w:val="none"/>
                    </w:rPr>
                    <w:t>甲醛</w:t>
                  </w:r>
                </w:p>
              </w:tc>
              <w:tc>
                <w:tcPr>
                  <w:tcW w:w="686" w:type="pct"/>
                  <w:vAlign w:val="center"/>
                </w:tcPr>
                <w:p w14:paraId="64A2BEB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0.056</w:t>
                  </w:r>
                </w:p>
              </w:tc>
              <w:tc>
                <w:tcPr>
                  <w:tcW w:w="746" w:type="pct"/>
                  <w:vAlign w:val="center"/>
                </w:tcPr>
                <w:p w14:paraId="3515754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629F6DA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17E4092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0.056</w:t>
                  </w:r>
                </w:p>
              </w:tc>
              <w:tc>
                <w:tcPr>
                  <w:tcW w:w="742" w:type="pct"/>
                  <w:vAlign w:val="center"/>
                </w:tcPr>
                <w:p w14:paraId="4CD9106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3DFE98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294" w:type="pct"/>
                  <w:gridSpan w:val="2"/>
                  <w:vAlign w:val="center"/>
                </w:tcPr>
                <w:p w14:paraId="25A8AB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9"/>
                      <w:sz w:val="21"/>
                      <w:szCs w:val="21"/>
                      <w:highlight w:val="none"/>
                    </w:rPr>
                    <w:t>甲醇</w:t>
                  </w:r>
                </w:p>
              </w:tc>
              <w:tc>
                <w:tcPr>
                  <w:tcW w:w="686" w:type="pct"/>
                  <w:vAlign w:val="center"/>
                </w:tcPr>
                <w:p w14:paraId="3D4A2BB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0.014</w:t>
                  </w:r>
                </w:p>
              </w:tc>
              <w:tc>
                <w:tcPr>
                  <w:tcW w:w="746" w:type="pct"/>
                  <w:vAlign w:val="center"/>
                </w:tcPr>
                <w:p w14:paraId="1091C7D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6CDD1E7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1F0F2F6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0.014</w:t>
                  </w:r>
                </w:p>
              </w:tc>
              <w:tc>
                <w:tcPr>
                  <w:tcW w:w="742" w:type="pct"/>
                  <w:vAlign w:val="center"/>
                </w:tcPr>
                <w:p w14:paraId="56F3EB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3A6805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1294" w:type="pct"/>
                  <w:gridSpan w:val="2"/>
                  <w:vAlign w:val="center"/>
                </w:tcPr>
                <w:p w14:paraId="645A45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氟化物</w:t>
                  </w:r>
                </w:p>
              </w:tc>
              <w:tc>
                <w:tcPr>
                  <w:tcW w:w="686" w:type="pct"/>
                  <w:vAlign w:val="center"/>
                </w:tcPr>
                <w:p w14:paraId="6251787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1.452</w:t>
                  </w:r>
                </w:p>
              </w:tc>
              <w:tc>
                <w:tcPr>
                  <w:tcW w:w="746" w:type="pct"/>
                  <w:vAlign w:val="center"/>
                </w:tcPr>
                <w:p w14:paraId="07D1697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3DDA0DC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0.002</w:t>
                  </w:r>
                </w:p>
              </w:tc>
              <w:tc>
                <w:tcPr>
                  <w:tcW w:w="702" w:type="pct"/>
                  <w:vAlign w:val="center"/>
                </w:tcPr>
                <w:p w14:paraId="71FAD4D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1.454</w:t>
                  </w:r>
                </w:p>
              </w:tc>
              <w:tc>
                <w:tcPr>
                  <w:tcW w:w="742" w:type="pct"/>
                  <w:vAlign w:val="center"/>
                </w:tcPr>
                <w:p w14:paraId="41889E2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0B80F1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294" w:type="pct"/>
                  <w:gridSpan w:val="2"/>
                  <w:vAlign w:val="center"/>
                </w:tcPr>
                <w:p w14:paraId="13F89D2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z w:val="21"/>
                      <w:szCs w:val="21"/>
                      <w:highlight w:val="none"/>
                    </w:rPr>
                    <w:t>氨</w:t>
                  </w:r>
                </w:p>
              </w:tc>
              <w:tc>
                <w:tcPr>
                  <w:tcW w:w="686" w:type="pct"/>
                  <w:vAlign w:val="center"/>
                </w:tcPr>
                <w:p w14:paraId="5DAEC45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0.32</w:t>
                  </w:r>
                </w:p>
              </w:tc>
              <w:tc>
                <w:tcPr>
                  <w:tcW w:w="746" w:type="pct"/>
                  <w:vAlign w:val="center"/>
                </w:tcPr>
                <w:p w14:paraId="1AEFA7F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0.09</w:t>
                  </w:r>
                </w:p>
              </w:tc>
              <w:tc>
                <w:tcPr>
                  <w:tcW w:w="828" w:type="pct"/>
                  <w:vAlign w:val="center"/>
                </w:tcPr>
                <w:p w14:paraId="659B712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3E6909B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0.41</w:t>
                  </w:r>
                </w:p>
              </w:tc>
              <w:tc>
                <w:tcPr>
                  <w:tcW w:w="742" w:type="pct"/>
                  <w:vAlign w:val="center"/>
                </w:tcPr>
                <w:p w14:paraId="24117A9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0.153</w:t>
                  </w:r>
                </w:p>
              </w:tc>
            </w:tr>
            <w:tr w14:paraId="32C1F7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294" w:type="pct"/>
                  <w:gridSpan w:val="2"/>
                  <w:vAlign w:val="center"/>
                </w:tcPr>
                <w:p w14:paraId="25F562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硫化氢</w:t>
                  </w:r>
                </w:p>
              </w:tc>
              <w:tc>
                <w:tcPr>
                  <w:tcW w:w="686" w:type="pct"/>
                  <w:vAlign w:val="center"/>
                </w:tcPr>
                <w:p w14:paraId="3FDF4EE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0.0024</w:t>
                  </w:r>
                </w:p>
              </w:tc>
              <w:tc>
                <w:tcPr>
                  <w:tcW w:w="746" w:type="pct"/>
                  <w:vAlign w:val="center"/>
                </w:tcPr>
                <w:p w14:paraId="1A1B9A0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0.006</w:t>
                  </w:r>
                </w:p>
              </w:tc>
              <w:tc>
                <w:tcPr>
                  <w:tcW w:w="828" w:type="pct"/>
                  <w:vAlign w:val="center"/>
                </w:tcPr>
                <w:p w14:paraId="7E197B8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22A305B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0.0084</w:t>
                  </w:r>
                </w:p>
              </w:tc>
              <w:tc>
                <w:tcPr>
                  <w:tcW w:w="742" w:type="pct"/>
                  <w:vAlign w:val="center"/>
                </w:tcPr>
                <w:p w14:paraId="587B3D0E">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0.008</w:t>
                  </w:r>
                </w:p>
              </w:tc>
            </w:tr>
            <w:tr w14:paraId="0627DF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294" w:type="pct"/>
                  <w:gridSpan w:val="2"/>
                  <w:vAlign w:val="center"/>
                </w:tcPr>
                <w:p w14:paraId="5A16E47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锡及其化合物</w:t>
                  </w:r>
                </w:p>
              </w:tc>
              <w:tc>
                <w:tcPr>
                  <w:tcW w:w="686" w:type="pct"/>
                  <w:vAlign w:val="center"/>
                </w:tcPr>
                <w:p w14:paraId="57802F0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0.057</w:t>
                  </w:r>
                </w:p>
              </w:tc>
              <w:tc>
                <w:tcPr>
                  <w:tcW w:w="746" w:type="pct"/>
                  <w:vAlign w:val="center"/>
                </w:tcPr>
                <w:p w14:paraId="6EA53FD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31E20BD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0EBF013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0.057</w:t>
                  </w:r>
                </w:p>
              </w:tc>
              <w:tc>
                <w:tcPr>
                  <w:tcW w:w="742" w:type="pct"/>
                  <w:vAlign w:val="center"/>
                </w:tcPr>
                <w:p w14:paraId="577B54F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4CCABB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294" w:type="pct"/>
                  <w:gridSpan w:val="2"/>
                  <w:vAlign w:val="center"/>
                </w:tcPr>
                <w:p w14:paraId="62D5830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硫酸雾</w:t>
                  </w:r>
                </w:p>
              </w:tc>
              <w:tc>
                <w:tcPr>
                  <w:tcW w:w="686" w:type="pct"/>
                  <w:vAlign w:val="center"/>
                </w:tcPr>
                <w:p w14:paraId="1182F10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2.69</w:t>
                  </w:r>
                </w:p>
              </w:tc>
              <w:tc>
                <w:tcPr>
                  <w:tcW w:w="746" w:type="pct"/>
                  <w:vAlign w:val="center"/>
                </w:tcPr>
                <w:p w14:paraId="4D46EDE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28DD1D7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w:t>
                  </w:r>
                </w:p>
              </w:tc>
              <w:tc>
                <w:tcPr>
                  <w:tcW w:w="702" w:type="pct"/>
                  <w:vAlign w:val="center"/>
                </w:tcPr>
                <w:p w14:paraId="1E99E1C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2.74</w:t>
                  </w:r>
                </w:p>
              </w:tc>
              <w:tc>
                <w:tcPr>
                  <w:tcW w:w="742" w:type="pct"/>
                  <w:vAlign w:val="center"/>
                </w:tcPr>
                <w:p w14:paraId="06EA18F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5EBB6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294" w:type="pct"/>
                  <w:gridSpan w:val="2"/>
                  <w:vAlign w:val="center"/>
                </w:tcPr>
                <w:p w14:paraId="54017FA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苯乙烯</w:t>
                  </w:r>
                </w:p>
              </w:tc>
              <w:tc>
                <w:tcPr>
                  <w:tcW w:w="686" w:type="pct"/>
                  <w:vAlign w:val="center"/>
                </w:tcPr>
                <w:p w14:paraId="62089F3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2.363</w:t>
                  </w:r>
                </w:p>
              </w:tc>
              <w:tc>
                <w:tcPr>
                  <w:tcW w:w="746" w:type="pct"/>
                  <w:vAlign w:val="center"/>
                </w:tcPr>
                <w:p w14:paraId="1097C82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1.204</w:t>
                  </w:r>
                </w:p>
              </w:tc>
              <w:tc>
                <w:tcPr>
                  <w:tcW w:w="828" w:type="pct"/>
                  <w:vAlign w:val="center"/>
                </w:tcPr>
                <w:p w14:paraId="079EAD6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15E6B9E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2"/>
                      <w:highlight w:val="none"/>
                    </w:rPr>
                    <w:t>3.57</w:t>
                  </w:r>
                </w:p>
              </w:tc>
              <w:tc>
                <w:tcPr>
                  <w:tcW w:w="742" w:type="pct"/>
                  <w:vAlign w:val="center"/>
                </w:tcPr>
                <w:p w14:paraId="4273A4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4EB827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1294" w:type="pct"/>
                  <w:gridSpan w:val="2"/>
                  <w:vAlign w:val="center"/>
                </w:tcPr>
                <w:p w14:paraId="797110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碱雾</w:t>
                  </w:r>
                </w:p>
              </w:tc>
              <w:tc>
                <w:tcPr>
                  <w:tcW w:w="686" w:type="pct"/>
                  <w:vAlign w:val="center"/>
                </w:tcPr>
                <w:p w14:paraId="2C265FF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0.39</w:t>
                  </w:r>
                </w:p>
              </w:tc>
              <w:tc>
                <w:tcPr>
                  <w:tcW w:w="746" w:type="pct"/>
                  <w:vAlign w:val="center"/>
                </w:tcPr>
                <w:p w14:paraId="1241C0E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1497814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06F317D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0.39</w:t>
                  </w:r>
                </w:p>
              </w:tc>
              <w:tc>
                <w:tcPr>
                  <w:tcW w:w="742" w:type="pct"/>
                  <w:vAlign w:val="center"/>
                </w:tcPr>
                <w:p w14:paraId="75508F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4500F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294" w:type="pct"/>
                  <w:gridSpan w:val="2"/>
                  <w:vAlign w:val="center"/>
                </w:tcPr>
                <w:p w14:paraId="2D96088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氯化氢</w:t>
                  </w:r>
                </w:p>
              </w:tc>
              <w:tc>
                <w:tcPr>
                  <w:tcW w:w="686" w:type="pct"/>
                  <w:vAlign w:val="center"/>
                </w:tcPr>
                <w:p w14:paraId="2B553C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0.007</w:t>
                  </w:r>
                </w:p>
              </w:tc>
              <w:tc>
                <w:tcPr>
                  <w:tcW w:w="746" w:type="pct"/>
                  <w:vAlign w:val="center"/>
                </w:tcPr>
                <w:p w14:paraId="19BF069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1952A36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w:t>
                  </w:r>
                </w:p>
              </w:tc>
              <w:tc>
                <w:tcPr>
                  <w:tcW w:w="702" w:type="pct"/>
                  <w:vAlign w:val="center"/>
                </w:tcPr>
                <w:p w14:paraId="6993EDA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0.057</w:t>
                  </w:r>
                </w:p>
              </w:tc>
              <w:tc>
                <w:tcPr>
                  <w:tcW w:w="742" w:type="pct"/>
                  <w:vAlign w:val="center"/>
                </w:tcPr>
                <w:p w14:paraId="7CE9E95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54C968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294" w:type="pct"/>
                  <w:gridSpan w:val="2"/>
                  <w:vAlign w:val="center"/>
                </w:tcPr>
                <w:p w14:paraId="26497A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铅及其化合物</w:t>
                  </w:r>
                </w:p>
              </w:tc>
              <w:tc>
                <w:tcPr>
                  <w:tcW w:w="686" w:type="pct"/>
                  <w:vAlign w:val="center"/>
                </w:tcPr>
                <w:p w14:paraId="10FE7A1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0.036</w:t>
                  </w:r>
                </w:p>
              </w:tc>
              <w:tc>
                <w:tcPr>
                  <w:tcW w:w="746" w:type="pct"/>
                  <w:vAlign w:val="center"/>
                </w:tcPr>
                <w:p w14:paraId="226DF94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0E1182D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7E6FBE1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0.036</w:t>
                  </w:r>
                </w:p>
              </w:tc>
              <w:tc>
                <w:tcPr>
                  <w:tcW w:w="742" w:type="pct"/>
                  <w:vAlign w:val="center"/>
                </w:tcPr>
                <w:p w14:paraId="171B39E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r w14:paraId="17C910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294" w:type="pct"/>
                  <w:gridSpan w:val="2"/>
                  <w:vAlign w:val="center"/>
                </w:tcPr>
                <w:p w14:paraId="382EB7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9"/>
                      <w:sz w:val="21"/>
                      <w:szCs w:val="21"/>
                      <w:highlight w:val="none"/>
                    </w:rPr>
                    <w:t>甲苯</w:t>
                  </w:r>
                </w:p>
              </w:tc>
              <w:tc>
                <w:tcPr>
                  <w:tcW w:w="686" w:type="pct"/>
                  <w:vAlign w:val="center"/>
                </w:tcPr>
                <w:p w14:paraId="531E100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0.465</w:t>
                  </w:r>
                </w:p>
              </w:tc>
              <w:tc>
                <w:tcPr>
                  <w:tcW w:w="746" w:type="pct"/>
                  <w:vAlign w:val="center"/>
                </w:tcPr>
                <w:p w14:paraId="5315CE8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828" w:type="pct"/>
                  <w:vAlign w:val="center"/>
                </w:tcPr>
                <w:p w14:paraId="1E9FC88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702" w:type="pct"/>
                  <w:vAlign w:val="center"/>
                </w:tcPr>
                <w:p w14:paraId="5CF67F7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0.465</w:t>
                  </w:r>
                </w:p>
              </w:tc>
              <w:tc>
                <w:tcPr>
                  <w:tcW w:w="742" w:type="pct"/>
                  <w:vAlign w:val="center"/>
                </w:tcPr>
                <w:p w14:paraId="11B914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position w:val="-3"/>
                      <w:sz w:val="21"/>
                      <w:szCs w:val="21"/>
                      <w:highlight w:val="none"/>
                    </w:rPr>
                    <w:t>——</w:t>
                  </w:r>
                </w:p>
              </w:tc>
            </w:tr>
          </w:tbl>
          <w:p w14:paraId="3F36D5DE">
            <w:pPr>
              <w:pStyle w:val="106"/>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企业固体废物产生量统计表  单位：t/a</w:t>
            </w:r>
          </w:p>
          <w:tbl>
            <w:tblPr>
              <w:tblStyle w:val="115"/>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50"/>
              <w:gridCol w:w="1707"/>
              <w:gridCol w:w="977"/>
              <w:gridCol w:w="997"/>
              <w:gridCol w:w="1458"/>
              <w:gridCol w:w="925"/>
              <w:gridCol w:w="1231"/>
              <w:gridCol w:w="836"/>
            </w:tblGrid>
            <w:tr w14:paraId="212B56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620" w:type="pct"/>
                  <w:vMerge w:val="restart"/>
                  <w:tcBorders>
                    <w:bottom w:val="nil"/>
                  </w:tcBorders>
                  <w:vAlign w:val="center"/>
                </w:tcPr>
                <w:p w14:paraId="7C194D0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所属片区</w:t>
                  </w:r>
                </w:p>
              </w:tc>
              <w:tc>
                <w:tcPr>
                  <w:tcW w:w="918" w:type="pct"/>
                  <w:vMerge w:val="restart"/>
                  <w:tcBorders>
                    <w:bottom w:val="nil"/>
                  </w:tcBorders>
                  <w:vAlign w:val="center"/>
                </w:tcPr>
                <w:p w14:paraId="435FA29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建设情况</w:t>
                  </w:r>
                </w:p>
              </w:tc>
              <w:tc>
                <w:tcPr>
                  <w:tcW w:w="1063" w:type="pct"/>
                  <w:gridSpan w:val="2"/>
                  <w:vAlign w:val="center"/>
                </w:tcPr>
                <w:p w14:paraId="4754A0D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危险废物</w:t>
                  </w:r>
                </w:p>
              </w:tc>
              <w:tc>
                <w:tcPr>
                  <w:tcW w:w="1283" w:type="pct"/>
                  <w:gridSpan w:val="2"/>
                  <w:vAlign w:val="center"/>
                </w:tcPr>
                <w:p w14:paraId="067F146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一般工业固废</w:t>
                  </w:r>
                </w:p>
              </w:tc>
              <w:tc>
                <w:tcPr>
                  <w:tcW w:w="1113" w:type="pct"/>
                  <w:gridSpan w:val="2"/>
                  <w:vAlign w:val="center"/>
                </w:tcPr>
                <w:p w14:paraId="3ADB933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生活垃圾</w:t>
                  </w:r>
                </w:p>
              </w:tc>
            </w:tr>
            <w:tr w14:paraId="0B1BFF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620" w:type="pct"/>
                  <w:vMerge w:val="continue"/>
                  <w:tcBorders>
                    <w:top w:val="nil"/>
                  </w:tcBorders>
                  <w:vAlign w:val="center"/>
                </w:tcPr>
                <w:p w14:paraId="3B0324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918" w:type="pct"/>
                  <w:vMerge w:val="continue"/>
                  <w:tcBorders>
                    <w:top w:val="nil"/>
                  </w:tcBorders>
                  <w:vAlign w:val="center"/>
                </w:tcPr>
                <w:p w14:paraId="2F1BE8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526" w:type="pct"/>
                  <w:vAlign w:val="center"/>
                </w:tcPr>
                <w:p w14:paraId="678A8F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产生量</w:t>
                  </w:r>
                </w:p>
              </w:tc>
              <w:tc>
                <w:tcPr>
                  <w:tcW w:w="536" w:type="pct"/>
                  <w:vAlign w:val="center"/>
                </w:tcPr>
                <w:p w14:paraId="729BF4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排放量</w:t>
                  </w:r>
                </w:p>
              </w:tc>
              <w:tc>
                <w:tcPr>
                  <w:tcW w:w="785" w:type="pct"/>
                  <w:vAlign w:val="center"/>
                </w:tcPr>
                <w:p w14:paraId="75D32E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产生量</w:t>
                  </w:r>
                </w:p>
              </w:tc>
              <w:tc>
                <w:tcPr>
                  <w:tcW w:w="497" w:type="pct"/>
                  <w:vAlign w:val="center"/>
                </w:tcPr>
                <w:p w14:paraId="5A819AD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排放量</w:t>
                  </w:r>
                </w:p>
              </w:tc>
              <w:tc>
                <w:tcPr>
                  <w:tcW w:w="663" w:type="pct"/>
                  <w:vAlign w:val="center"/>
                </w:tcPr>
                <w:p w14:paraId="00844F6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产生量</w:t>
                  </w:r>
                </w:p>
              </w:tc>
              <w:tc>
                <w:tcPr>
                  <w:tcW w:w="450" w:type="pct"/>
                  <w:vAlign w:val="center"/>
                </w:tcPr>
                <w:p w14:paraId="70B7F33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排放</w:t>
                  </w:r>
                  <w:r>
                    <w:rPr>
                      <w:rFonts w:ascii="宋体" w:hAnsi="宋体" w:eastAsia="宋体" w:cs="宋体"/>
                      <w:color w:val="auto"/>
                      <w:sz w:val="21"/>
                      <w:szCs w:val="21"/>
                      <w:highlight w:val="none"/>
                    </w:rPr>
                    <w:t>量</w:t>
                  </w:r>
                </w:p>
              </w:tc>
            </w:tr>
            <w:tr w14:paraId="40ACBC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620" w:type="pct"/>
                  <w:vMerge w:val="restart"/>
                  <w:tcBorders>
                    <w:bottom w:val="nil"/>
                  </w:tcBorders>
                  <w:vAlign w:val="center"/>
                </w:tcPr>
                <w:p w14:paraId="091D2C0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城东片区</w:t>
                  </w:r>
                </w:p>
              </w:tc>
              <w:tc>
                <w:tcPr>
                  <w:tcW w:w="918" w:type="pct"/>
                  <w:vAlign w:val="center"/>
                </w:tcPr>
                <w:p w14:paraId="6F9ABF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已建企业</w:t>
                  </w:r>
                </w:p>
              </w:tc>
              <w:tc>
                <w:tcPr>
                  <w:tcW w:w="526" w:type="pct"/>
                  <w:vAlign w:val="center"/>
                </w:tcPr>
                <w:p w14:paraId="61F9D18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1766.69</w:t>
                  </w:r>
                </w:p>
              </w:tc>
              <w:tc>
                <w:tcPr>
                  <w:tcW w:w="536" w:type="pct"/>
                  <w:vAlign w:val="center"/>
                </w:tcPr>
                <w:p w14:paraId="55C916A4">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785" w:type="pct"/>
                  <w:vAlign w:val="center"/>
                </w:tcPr>
                <w:p w14:paraId="6C3199C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49846.64</w:t>
                  </w:r>
                </w:p>
              </w:tc>
              <w:tc>
                <w:tcPr>
                  <w:tcW w:w="497" w:type="pct"/>
                  <w:vAlign w:val="center"/>
                </w:tcPr>
                <w:p w14:paraId="36E9EDB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663" w:type="pct"/>
                  <w:vAlign w:val="center"/>
                </w:tcPr>
                <w:p w14:paraId="0497AF4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2542.76</w:t>
                  </w:r>
                </w:p>
              </w:tc>
              <w:tc>
                <w:tcPr>
                  <w:tcW w:w="450" w:type="pct"/>
                  <w:vAlign w:val="center"/>
                </w:tcPr>
                <w:p w14:paraId="643FB76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r>
            <w:tr w14:paraId="55A599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620" w:type="pct"/>
                  <w:vMerge w:val="continue"/>
                  <w:tcBorders>
                    <w:top w:val="nil"/>
                    <w:bottom w:val="nil"/>
                  </w:tcBorders>
                  <w:vAlign w:val="center"/>
                </w:tcPr>
                <w:p w14:paraId="7E240C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918" w:type="pct"/>
                  <w:vAlign w:val="center"/>
                </w:tcPr>
                <w:p w14:paraId="6DED00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在建企业</w:t>
                  </w:r>
                </w:p>
              </w:tc>
              <w:tc>
                <w:tcPr>
                  <w:tcW w:w="526" w:type="pct"/>
                  <w:vAlign w:val="center"/>
                </w:tcPr>
                <w:p w14:paraId="12FA5F4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182.52</w:t>
                  </w:r>
                </w:p>
              </w:tc>
              <w:tc>
                <w:tcPr>
                  <w:tcW w:w="536" w:type="pct"/>
                  <w:vAlign w:val="center"/>
                </w:tcPr>
                <w:p w14:paraId="0CD73EB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785" w:type="pct"/>
                  <w:vAlign w:val="center"/>
                </w:tcPr>
                <w:p w14:paraId="42A3ED9F">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4"/>
                      <w:highlight w:val="none"/>
                    </w:rPr>
                    <w:t>119427.92</w:t>
                  </w:r>
                </w:p>
              </w:tc>
              <w:tc>
                <w:tcPr>
                  <w:tcW w:w="497" w:type="pct"/>
                  <w:vAlign w:val="center"/>
                </w:tcPr>
                <w:p w14:paraId="288CC25A">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663" w:type="pct"/>
                  <w:vAlign w:val="center"/>
                </w:tcPr>
                <w:p w14:paraId="6EE4B985">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354.04</w:t>
                  </w:r>
                </w:p>
              </w:tc>
              <w:tc>
                <w:tcPr>
                  <w:tcW w:w="450" w:type="pct"/>
                  <w:vAlign w:val="center"/>
                </w:tcPr>
                <w:p w14:paraId="1F7DC48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r>
            <w:tr w14:paraId="38644C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620" w:type="pct"/>
                  <w:vMerge w:val="continue"/>
                  <w:tcBorders>
                    <w:top w:val="nil"/>
                    <w:bottom w:val="nil"/>
                  </w:tcBorders>
                  <w:vAlign w:val="center"/>
                </w:tcPr>
                <w:p w14:paraId="15466C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918" w:type="pct"/>
                  <w:vAlign w:val="center"/>
                </w:tcPr>
                <w:p w14:paraId="14E1E07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highlight w:val="none"/>
                    </w:rPr>
                  </w:pPr>
                  <w:r>
                    <w:rPr>
                      <w:rFonts w:ascii="宋体" w:hAnsi="宋体" w:eastAsia="宋体" w:cs="宋体"/>
                      <w:color w:val="auto"/>
                      <w:spacing w:val="-1"/>
                      <w:highlight w:val="none"/>
                    </w:rPr>
                    <w:t>停产</w:t>
                  </w:r>
                  <w:r>
                    <w:rPr>
                      <w:color w:val="auto"/>
                      <w:spacing w:val="-1"/>
                      <w:highlight w:val="none"/>
                    </w:rPr>
                    <w:t>/</w:t>
                  </w:r>
                  <w:r>
                    <w:rPr>
                      <w:rFonts w:ascii="宋体" w:hAnsi="宋体" w:eastAsia="宋体" w:cs="宋体"/>
                      <w:color w:val="auto"/>
                      <w:spacing w:val="-1"/>
                      <w:highlight w:val="none"/>
                    </w:rPr>
                    <w:t>已批未建</w:t>
                  </w:r>
                </w:p>
              </w:tc>
              <w:tc>
                <w:tcPr>
                  <w:tcW w:w="526" w:type="pct"/>
                  <w:vAlign w:val="center"/>
                </w:tcPr>
                <w:p w14:paraId="3295D8E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329.16</w:t>
                  </w:r>
                </w:p>
              </w:tc>
              <w:tc>
                <w:tcPr>
                  <w:tcW w:w="536" w:type="pct"/>
                  <w:vAlign w:val="center"/>
                </w:tcPr>
                <w:p w14:paraId="12B5FAB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785" w:type="pct"/>
                  <w:vAlign w:val="center"/>
                </w:tcPr>
                <w:p w14:paraId="193BA6B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969.05</w:t>
                  </w:r>
                </w:p>
              </w:tc>
              <w:tc>
                <w:tcPr>
                  <w:tcW w:w="497" w:type="pct"/>
                  <w:vAlign w:val="center"/>
                </w:tcPr>
                <w:p w14:paraId="5E3959DB">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663" w:type="pct"/>
                  <w:vAlign w:val="center"/>
                </w:tcPr>
                <w:p w14:paraId="7FC6551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227.30</w:t>
                  </w:r>
                </w:p>
              </w:tc>
              <w:tc>
                <w:tcPr>
                  <w:tcW w:w="450" w:type="pct"/>
                  <w:vAlign w:val="center"/>
                </w:tcPr>
                <w:p w14:paraId="4AE3124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r>
            <w:tr w14:paraId="63736A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620" w:type="pct"/>
                  <w:vMerge w:val="continue"/>
                  <w:tcBorders>
                    <w:top w:val="nil"/>
                  </w:tcBorders>
                  <w:vAlign w:val="center"/>
                </w:tcPr>
                <w:p w14:paraId="71EE44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highlight w:val="none"/>
                    </w:rPr>
                  </w:pPr>
                </w:p>
              </w:tc>
              <w:tc>
                <w:tcPr>
                  <w:tcW w:w="918" w:type="pct"/>
                  <w:vAlign w:val="center"/>
                </w:tcPr>
                <w:p w14:paraId="04BD67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小计</w:t>
                  </w:r>
                </w:p>
              </w:tc>
              <w:tc>
                <w:tcPr>
                  <w:tcW w:w="526" w:type="pct"/>
                  <w:vAlign w:val="center"/>
                </w:tcPr>
                <w:p w14:paraId="380158F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2278.37</w:t>
                  </w:r>
                </w:p>
              </w:tc>
              <w:tc>
                <w:tcPr>
                  <w:tcW w:w="536" w:type="pct"/>
                  <w:vAlign w:val="center"/>
                </w:tcPr>
                <w:p w14:paraId="6DA08818">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785" w:type="pct"/>
                  <w:vAlign w:val="center"/>
                </w:tcPr>
                <w:p w14:paraId="602C4C87">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170243.60</w:t>
                  </w:r>
                </w:p>
              </w:tc>
              <w:tc>
                <w:tcPr>
                  <w:tcW w:w="497" w:type="pct"/>
                  <w:vAlign w:val="center"/>
                </w:tcPr>
                <w:p w14:paraId="734B94E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663" w:type="pct"/>
                  <w:vAlign w:val="center"/>
                </w:tcPr>
                <w:p w14:paraId="4F7A80D9">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3124.10</w:t>
                  </w:r>
                </w:p>
              </w:tc>
              <w:tc>
                <w:tcPr>
                  <w:tcW w:w="450" w:type="pct"/>
                  <w:vAlign w:val="center"/>
                </w:tcPr>
                <w:p w14:paraId="0CC84C4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r>
            <w:tr w14:paraId="3C9176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620" w:type="pct"/>
                  <w:vAlign w:val="center"/>
                </w:tcPr>
                <w:p w14:paraId="582F4C2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城南片区</w:t>
                  </w:r>
                </w:p>
              </w:tc>
              <w:tc>
                <w:tcPr>
                  <w:tcW w:w="918" w:type="pct"/>
                  <w:vAlign w:val="center"/>
                </w:tcPr>
                <w:p w14:paraId="658BBAE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7"/>
                      <w:sz w:val="21"/>
                      <w:szCs w:val="21"/>
                      <w:highlight w:val="none"/>
                    </w:rPr>
                    <w:t>已建企业</w:t>
                  </w:r>
                </w:p>
              </w:tc>
              <w:tc>
                <w:tcPr>
                  <w:tcW w:w="526" w:type="pct"/>
                  <w:vAlign w:val="center"/>
                </w:tcPr>
                <w:p w14:paraId="3CF4EAB0">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0.00</w:t>
                  </w:r>
                </w:p>
              </w:tc>
              <w:tc>
                <w:tcPr>
                  <w:tcW w:w="536" w:type="pct"/>
                  <w:vAlign w:val="center"/>
                </w:tcPr>
                <w:p w14:paraId="44831CC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785" w:type="pct"/>
                  <w:vAlign w:val="center"/>
                </w:tcPr>
                <w:p w14:paraId="37321B9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3806.92</w:t>
                  </w:r>
                </w:p>
              </w:tc>
              <w:tc>
                <w:tcPr>
                  <w:tcW w:w="497" w:type="pct"/>
                  <w:vAlign w:val="center"/>
                </w:tcPr>
                <w:p w14:paraId="3621C00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663" w:type="pct"/>
                  <w:vAlign w:val="center"/>
                </w:tcPr>
                <w:p w14:paraId="5811691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5.11</w:t>
                  </w:r>
                </w:p>
              </w:tc>
              <w:tc>
                <w:tcPr>
                  <w:tcW w:w="450" w:type="pct"/>
                  <w:vAlign w:val="center"/>
                </w:tcPr>
                <w:p w14:paraId="5BA9136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r>
            <w:tr w14:paraId="274747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539" w:type="pct"/>
                  <w:gridSpan w:val="2"/>
                  <w:vAlign w:val="center"/>
                </w:tcPr>
                <w:p w14:paraId="2AE6CE2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总计</w:t>
                  </w:r>
                </w:p>
              </w:tc>
              <w:tc>
                <w:tcPr>
                  <w:tcW w:w="526" w:type="pct"/>
                  <w:vAlign w:val="center"/>
                </w:tcPr>
                <w:p w14:paraId="3D0DCF53">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2278.37</w:t>
                  </w:r>
                </w:p>
              </w:tc>
              <w:tc>
                <w:tcPr>
                  <w:tcW w:w="536" w:type="pct"/>
                  <w:vAlign w:val="center"/>
                </w:tcPr>
                <w:p w14:paraId="279AAF7C">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785" w:type="pct"/>
                  <w:vAlign w:val="center"/>
                </w:tcPr>
                <w:p w14:paraId="2AAD9152">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3"/>
                      <w:highlight w:val="none"/>
                    </w:rPr>
                    <w:t>174050.52</w:t>
                  </w:r>
                </w:p>
              </w:tc>
              <w:tc>
                <w:tcPr>
                  <w:tcW w:w="497" w:type="pct"/>
                  <w:vAlign w:val="center"/>
                </w:tcPr>
                <w:p w14:paraId="264C67A1">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c>
                <w:tcPr>
                  <w:tcW w:w="663" w:type="pct"/>
                  <w:vAlign w:val="center"/>
                </w:tcPr>
                <w:p w14:paraId="737D579D">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spacing w:val="-1"/>
                      <w:highlight w:val="none"/>
                    </w:rPr>
                    <w:t>3129.21</w:t>
                  </w:r>
                </w:p>
              </w:tc>
              <w:tc>
                <w:tcPr>
                  <w:tcW w:w="450" w:type="pct"/>
                  <w:vAlign w:val="center"/>
                </w:tcPr>
                <w:p w14:paraId="557E21A6">
                  <w:pPr>
                    <w:pStyle w:val="11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highlight w:val="none"/>
                    </w:rPr>
                  </w:pPr>
                  <w:r>
                    <w:rPr>
                      <w:color w:val="auto"/>
                      <w:highlight w:val="none"/>
                    </w:rPr>
                    <w:t>0</w:t>
                  </w:r>
                </w:p>
              </w:tc>
            </w:tr>
          </w:tbl>
          <w:p w14:paraId="686C4452">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3、主要环境问题</w:t>
            </w:r>
          </w:p>
          <w:p w14:paraId="70C5EFB0">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环境质量现状监测数据表明，项目所在区域各类环境要素均能达到相应的环境规划要求，无突出环境问题。</w:t>
            </w:r>
          </w:p>
          <w:p w14:paraId="24C471B4">
            <w:pPr>
              <w:pStyle w:val="43"/>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highlight w:val="none"/>
              </w:rPr>
            </w:pPr>
          </w:p>
        </w:tc>
      </w:tr>
    </w:tbl>
    <w:p w14:paraId="0937E63E">
      <w:pPr>
        <w:pageBreakBefore w:val="0"/>
        <w:wordWrap w:val="0"/>
        <w:bidi w:val="0"/>
        <w:rPr>
          <w:rFonts w:hint="default" w:ascii="Times New Roman" w:hAnsi="Times New Roman" w:cs="Times New Roman"/>
          <w:color w:val="auto"/>
          <w:kern w:val="44"/>
          <w:sz w:val="30"/>
          <w:szCs w:val="30"/>
          <w:highlight w:val="none"/>
        </w:rPr>
      </w:pPr>
      <w:bookmarkStart w:id="52" w:name="_Toc29511"/>
      <w:r>
        <w:rPr>
          <w:rFonts w:hint="default" w:ascii="Times New Roman" w:hAnsi="Times New Roman" w:cs="Times New Roman"/>
          <w:color w:val="auto"/>
          <w:kern w:val="44"/>
          <w:sz w:val="30"/>
          <w:szCs w:val="30"/>
          <w:highlight w:val="none"/>
        </w:rPr>
        <w:br w:type="page"/>
      </w:r>
    </w:p>
    <w:p w14:paraId="1D0E178D">
      <w:pPr>
        <w:pStyle w:val="2"/>
        <w:pageBreakBefore w:val="0"/>
        <w:numPr>
          <w:ilvl w:val="0"/>
          <w:numId w:val="0"/>
        </w:numPr>
        <w:wordWrap w:val="0"/>
        <w:bidi w:val="0"/>
        <w:rPr>
          <w:rFonts w:hint="default" w:ascii="Times New Roman" w:hAnsi="Times New Roman" w:cs="Times New Roman"/>
          <w:b/>
          <w:bCs/>
          <w:color w:val="auto"/>
          <w:highlight w:val="none"/>
        </w:rPr>
      </w:pPr>
      <w:bookmarkStart w:id="53" w:name="_Toc27825"/>
      <w:bookmarkStart w:id="54" w:name="_Toc877"/>
      <w:r>
        <w:rPr>
          <w:rFonts w:hint="default" w:ascii="Times New Roman" w:hAnsi="Times New Roman" w:cs="Times New Roman"/>
          <w:b/>
          <w:bCs/>
          <w:color w:val="auto"/>
          <w:highlight w:val="none"/>
        </w:rPr>
        <w:t>三、区域环境质量现状、环境保护目标及评价标准</w:t>
      </w:r>
      <w:bookmarkEnd w:id="52"/>
      <w:bookmarkEnd w:id="53"/>
      <w:bookmarkEnd w:id="54"/>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9522"/>
      </w:tblGrid>
      <w:tr w14:paraId="4DB03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1D076157">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val="0"/>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55" w:name="_Toc24283"/>
            <w:bookmarkStart w:id="56" w:name="_Toc14318"/>
            <w:bookmarkStart w:id="57" w:name="_Toc21960"/>
            <w:bookmarkStart w:id="58" w:name="_Toc11366"/>
            <w:bookmarkStart w:id="59" w:name="_Toc21642"/>
            <w:r>
              <w:rPr>
                <w:rFonts w:hint="default" w:ascii="Times New Roman" w:hAnsi="Times New Roman" w:cs="Times New Roman"/>
                <w:b/>
                <w:bCs/>
                <w:color w:val="auto"/>
                <w:highlight w:val="none"/>
              </w:rPr>
              <w:t>区域环境质量现状</w:t>
            </w:r>
            <w:bookmarkEnd w:id="55"/>
            <w:bookmarkEnd w:id="56"/>
            <w:bookmarkEnd w:id="57"/>
            <w:bookmarkEnd w:id="58"/>
            <w:bookmarkEnd w:id="59"/>
          </w:p>
        </w:tc>
        <w:tc>
          <w:tcPr>
            <w:tcW w:w="4737" w:type="pct"/>
          </w:tcPr>
          <w:p w14:paraId="5CBFCCE7">
            <w:pPr>
              <w:pStyle w:val="4"/>
              <w:pageBreakBefore w:val="0"/>
              <w:numPr>
                <w:ilvl w:val="2"/>
                <w:numId w:val="0"/>
              </w:numPr>
              <w:suppressLineNumbers w:val="0"/>
              <w:wordWrap w:val="0"/>
              <w:bidi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000DD3DA">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1</w:t>
            </w:r>
            <w:r>
              <w:rPr>
                <w:rFonts w:hint="default" w:ascii="Times New Roman" w:hAnsi="Times New Roman" w:cs="Times New Roman"/>
                <w:b/>
                <w:color w:val="auto"/>
                <w:sz w:val="24"/>
                <w:highlight w:val="none"/>
              </w:rPr>
              <w:t>、环境空气质量现状</w:t>
            </w:r>
          </w:p>
          <w:p w14:paraId="0F978AEB">
            <w:pPr>
              <w:pStyle w:val="113"/>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根据《乐昌市人民政府办公室关于印发乐昌市生态环境保护“十四五”规划的通知》（乐府办〔2022〕16号）中</w:t>
            </w:r>
            <w:r>
              <w:rPr>
                <w:rFonts w:hint="default" w:ascii="Times New Roman" w:hAnsi="Times New Roman" w:cs="Times New Roman"/>
                <w:color w:val="auto"/>
                <w:highlight w:val="none"/>
                <w:lang w:val="en-US" w:eastAsia="zh-CN"/>
              </w:rPr>
              <w:t>的</w:t>
            </w:r>
            <w:r>
              <w:rPr>
                <w:rFonts w:hint="default" w:ascii="Times New Roman" w:hAnsi="Times New Roman" w:cs="Times New Roman"/>
                <w:color w:val="auto"/>
                <w:highlight w:val="none"/>
              </w:rPr>
              <w:t>大气环境功能区划图，项目所在区域为环境空气质量二类功能区，因此项目所在区域环境空气质量执行国家《环境空气质量标准》(GB3095-2026)中</w:t>
            </w:r>
            <w:r>
              <w:rPr>
                <w:rFonts w:hint="default" w:ascii="Times New Roman" w:hAnsi="Times New Roman" w:cs="Times New Roman"/>
                <w:color w:val="auto"/>
                <w:highlight w:val="none"/>
                <w:lang w:eastAsia="zh-CN"/>
              </w:rPr>
              <w:t>过渡阶段</w:t>
            </w:r>
            <w:r>
              <w:rPr>
                <w:rFonts w:hint="default" w:ascii="Times New Roman" w:hAnsi="Times New Roman" w:cs="Times New Roman"/>
                <w:color w:val="auto"/>
                <w:highlight w:val="none"/>
              </w:rPr>
              <w:t>浓度限值的二级标准。</w:t>
            </w:r>
          </w:p>
          <w:p w14:paraId="7CA61938">
            <w:pPr>
              <w:pStyle w:val="113"/>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（1）项目所在区域环境质量达标情况</w:t>
            </w:r>
          </w:p>
          <w:p w14:paraId="562E99D6">
            <w:pPr>
              <w:keepNext w:val="0"/>
              <w:keepLines w:val="0"/>
              <w:pageBreakBefore w:val="0"/>
              <w:suppressLineNumbers w:val="0"/>
              <w:wordWrap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为了解</w:t>
            </w:r>
            <w:r>
              <w:rPr>
                <w:rFonts w:hint="default"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rPr>
              <w:t>所在城市环境空气质量现状，本报告引用</w:t>
            </w:r>
            <w:r>
              <w:rPr>
                <w:rFonts w:hint="default" w:ascii="Times New Roman" w:hAnsi="Times New Roman" w:cs="Times New Roman"/>
                <w:color w:val="auto"/>
                <w:sz w:val="24"/>
                <w:highlight w:val="none"/>
                <w:lang w:eastAsia="zh-CN"/>
              </w:rPr>
              <w:t>韶关市</w:t>
            </w:r>
            <w:r>
              <w:rPr>
                <w:rFonts w:hint="default" w:ascii="Times New Roman" w:hAnsi="Times New Roman" w:cs="Times New Roman"/>
                <w:color w:val="auto"/>
                <w:sz w:val="24"/>
                <w:highlight w:val="none"/>
              </w:rPr>
              <w:t>生态环境局官网发布的《2024年韶关市生态环境状况公报》中各县（市）城区空气质</w:t>
            </w:r>
            <w:r>
              <w:rPr>
                <w:rFonts w:hint="default" w:ascii="Times New Roman" w:hAnsi="Times New Roman" w:cs="Times New Roman"/>
                <w:color w:val="auto"/>
                <w:sz w:val="24"/>
                <w:highlight w:val="none"/>
                <w:lang w:eastAsia="zh-CN"/>
              </w:rPr>
              <w:t>量监</w:t>
            </w:r>
            <w:r>
              <w:rPr>
                <w:rFonts w:hint="default" w:ascii="Times New Roman" w:hAnsi="Times New Roman" w:cs="Times New Roman"/>
                <w:color w:val="auto"/>
                <w:sz w:val="24"/>
                <w:highlight w:val="none"/>
              </w:rPr>
              <w:t>测数据进行评价</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其中</w:t>
            </w:r>
            <w:r>
              <w:rPr>
                <w:rFonts w:hint="default" w:ascii="Times New Roman" w:hAnsi="Times New Roman" w:cs="Times New Roman"/>
                <w:color w:val="auto"/>
                <w:sz w:val="24"/>
                <w:highlight w:val="none"/>
                <w:lang w:eastAsia="zh-CN"/>
              </w:rPr>
              <w:t>乐昌市空气质量各项污染物2024年平均浓度</w:t>
            </w:r>
            <w:r>
              <w:rPr>
                <w:rFonts w:hint="default" w:ascii="Times New Roman" w:hAnsi="Times New Roman" w:cs="Times New Roman"/>
                <w:color w:val="auto"/>
                <w:sz w:val="24"/>
                <w:highlight w:val="none"/>
              </w:rPr>
              <w:t>详见下表3-</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w:t>
            </w:r>
          </w:p>
          <w:p w14:paraId="4ACCC4C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rPr>
              <w:t xml:space="preserve"> 乐昌市区域空气质量现状评价一览表</w:t>
            </w:r>
          </w:p>
          <w:tbl>
            <w:tblPr>
              <w:tblStyle w:val="36"/>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42"/>
              <w:gridCol w:w="2038"/>
              <w:gridCol w:w="1443"/>
              <w:gridCol w:w="2090"/>
              <w:gridCol w:w="1350"/>
              <w:gridCol w:w="1324"/>
            </w:tblGrid>
            <w:tr w14:paraId="63ED80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67B900DD">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096" w:type="pct"/>
                  <w:tcBorders>
                    <w:tl2br w:val="nil"/>
                    <w:tr2bl w:val="nil"/>
                  </w:tcBorders>
                  <w:noWrap w:val="0"/>
                  <w:vAlign w:val="center"/>
                </w:tcPr>
                <w:p w14:paraId="41736EB9">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年评价指标</w:t>
                  </w:r>
                </w:p>
              </w:tc>
              <w:tc>
                <w:tcPr>
                  <w:tcW w:w="776" w:type="pct"/>
                  <w:tcBorders>
                    <w:tl2br w:val="nil"/>
                    <w:tr2bl w:val="nil"/>
                  </w:tcBorders>
                  <w:noWrap w:val="0"/>
                  <w:vAlign w:val="center"/>
                </w:tcPr>
                <w:p w14:paraId="57ABC3A1">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现状浓度（μg/m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124" w:type="pct"/>
                  <w:tcBorders>
                    <w:tl2br w:val="nil"/>
                    <w:tr2bl w:val="nil"/>
                  </w:tcBorders>
                  <w:noWrap w:val="0"/>
                  <w:vAlign w:val="center"/>
                </w:tcPr>
                <w:p w14:paraId="07D681C0">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评价标准（μg/m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726" w:type="pct"/>
                  <w:tcBorders>
                    <w:tl2br w:val="nil"/>
                    <w:tr2bl w:val="nil"/>
                  </w:tcBorders>
                  <w:noWrap w:val="0"/>
                  <w:vAlign w:val="center"/>
                </w:tcPr>
                <w:p w14:paraId="60E37262">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占标率%</w:t>
                  </w:r>
                </w:p>
              </w:tc>
              <w:tc>
                <w:tcPr>
                  <w:tcW w:w="712" w:type="pct"/>
                  <w:tcBorders>
                    <w:tl2br w:val="nil"/>
                    <w:tr2bl w:val="nil"/>
                  </w:tcBorders>
                  <w:noWrap w:val="0"/>
                  <w:vAlign w:val="center"/>
                </w:tcPr>
                <w:p w14:paraId="6D09F417">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达标情况</w:t>
                  </w:r>
                </w:p>
              </w:tc>
            </w:tr>
            <w:tr w14:paraId="0EFAD4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799569DF">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096" w:type="pct"/>
                  <w:tcBorders>
                    <w:tl2br w:val="nil"/>
                    <w:tr2bl w:val="nil"/>
                  </w:tcBorders>
                  <w:noWrap w:val="0"/>
                  <w:vAlign w:val="center"/>
                </w:tcPr>
                <w:p w14:paraId="07C543F9">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年平均质量浓度</w:t>
                  </w:r>
                </w:p>
              </w:tc>
              <w:tc>
                <w:tcPr>
                  <w:tcW w:w="776" w:type="pct"/>
                  <w:tcBorders>
                    <w:tl2br w:val="nil"/>
                    <w:tr2bl w:val="nil"/>
                  </w:tcBorders>
                  <w:noWrap w:val="0"/>
                  <w:vAlign w:val="center"/>
                </w:tcPr>
                <w:p w14:paraId="52DCDFC7">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w:t>
                  </w:r>
                </w:p>
              </w:tc>
              <w:tc>
                <w:tcPr>
                  <w:tcW w:w="1124" w:type="pct"/>
                  <w:tcBorders>
                    <w:tl2br w:val="nil"/>
                    <w:tr2bl w:val="nil"/>
                  </w:tcBorders>
                  <w:noWrap w:val="0"/>
                  <w:vAlign w:val="center"/>
                </w:tcPr>
                <w:p w14:paraId="7C64DB01">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60</w:t>
                  </w:r>
                </w:p>
              </w:tc>
              <w:tc>
                <w:tcPr>
                  <w:tcW w:w="1218" w:type="dxa"/>
                  <w:tcBorders>
                    <w:tl2br w:val="nil"/>
                    <w:tr2bl w:val="nil"/>
                  </w:tcBorders>
                  <w:noWrap w:val="0"/>
                  <w:vAlign w:val="center"/>
                </w:tcPr>
                <w:p w14:paraId="025BA031">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712" w:type="pct"/>
                  <w:tcBorders>
                    <w:tl2br w:val="nil"/>
                    <w:tr2bl w:val="nil"/>
                  </w:tcBorders>
                  <w:noWrap w:val="0"/>
                  <w:vAlign w:val="center"/>
                </w:tcPr>
                <w:p w14:paraId="706223CA">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达标</w:t>
                  </w:r>
                </w:p>
              </w:tc>
            </w:tr>
            <w:tr w14:paraId="51368F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3B631CDF">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096" w:type="pct"/>
                  <w:tcBorders>
                    <w:tl2br w:val="nil"/>
                    <w:tr2bl w:val="nil"/>
                  </w:tcBorders>
                  <w:noWrap w:val="0"/>
                  <w:vAlign w:val="center"/>
                </w:tcPr>
                <w:p w14:paraId="41175347">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年平均质量浓度</w:t>
                  </w:r>
                </w:p>
              </w:tc>
              <w:tc>
                <w:tcPr>
                  <w:tcW w:w="776" w:type="pct"/>
                  <w:tcBorders>
                    <w:tl2br w:val="nil"/>
                    <w:tr2bl w:val="nil"/>
                  </w:tcBorders>
                  <w:noWrap w:val="0"/>
                  <w:vAlign w:val="center"/>
                </w:tcPr>
                <w:p w14:paraId="7C338DB8">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1124" w:type="pct"/>
                  <w:tcBorders>
                    <w:tl2br w:val="nil"/>
                    <w:tr2bl w:val="nil"/>
                  </w:tcBorders>
                  <w:noWrap w:val="0"/>
                  <w:vAlign w:val="center"/>
                </w:tcPr>
                <w:p w14:paraId="5A0FC106">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40</w:t>
                  </w:r>
                </w:p>
              </w:tc>
              <w:tc>
                <w:tcPr>
                  <w:tcW w:w="1218" w:type="dxa"/>
                  <w:tcBorders>
                    <w:tl2br w:val="nil"/>
                    <w:tr2bl w:val="nil"/>
                  </w:tcBorders>
                  <w:noWrap w:val="0"/>
                  <w:vAlign w:val="center"/>
                </w:tcPr>
                <w:p w14:paraId="19C0C260">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30.00</w:t>
                  </w:r>
                </w:p>
              </w:tc>
              <w:tc>
                <w:tcPr>
                  <w:tcW w:w="712" w:type="pct"/>
                  <w:tcBorders>
                    <w:tl2br w:val="nil"/>
                    <w:tr2bl w:val="nil"/>
                  </w:tcBorders>
                  <w:noWrap w:val="0"/>
                  <w:vAlign w:val="center"/>
                </w:tcPr>
                <w:p w14:paraId="6D1FC637">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达标</w:t>
                  </w:r>
                </w:p>
              </w:tc>
            </w:tr>
            <w:tr w14:paraId="3C679D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33B5F37F">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096" w:type="pct"/>
                  <w:tcBorders>
                    <w:tl2br w:val="nil"/>
                    <w:tr2bl w:val="nil"/>
                  </w:tcBorders>
                  <w:noWrap w:val="0"/>
                  <w:vAlign w:val="center"/>
                </w:tcPr>
                <w:p w14:paraId="5935E884">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年平均质量浓度</w:t>
                  </w:r>
                </w:p>
              </w:tc>
              <w:tc>
                <w:tcPr>
                  <w:tcW w:w="776" w:type="pct"/>
                  <w:tcBorders>
                    <w:tl2br w:val="nil"/>
                    <w:tr2bl w:val="nil"/>
                  </w:tcBorders>
                  <w:noWrap w:val="0"/>
                  <w:vAlign w:val="center"/>
                </w:tcPr>
                <w:p w14:paraId="44064B8E">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val="en-US" w:eastAsia="zh-CN"/>
                    </w:rPr>
                    <w:t>1</w:t>
                  </w:r>
                </w:p>
              </w:tc>
              <w:tc>
                <w:tcPr>
                  <w:tcW w:w="1124" w:type="pct"/>
                  <w:tcBorders>
                    <w:tl2br w:val="nil"/>
                    <w:tr2bl w:val="nil"/>
                  </w:tcBorders>
                  <w:noWrap w:val="0"/>
                  <w:vAlign w:val="center"/>
                </w:tcPr>
                <w:p w14:paraId="10F7D226">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w:t>
                  </w:r>
                </w:p>
              </w:tc>
              <w:tc>
                <w:tcPr>
                  <w:tcW w:w="1218" w:type="dxa"/>
                  <w:tcBorders>
                    <w:tl2br w:val="nil"/>
                    <w:tr2bl w:val="nil"/>
                  </w:tcBorders>
                  <w:noWrap w:val="0"/>
                  <w:vAlign w:val="center"/>
                </w:tcPr>
                <w:p w14:paraId="50AA9E9D">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70.00</w:t>
                  </w:r>
                </w:p>
              </w:tc>
              <w:tc>
                <w:tcPr>
                  <w:tcW w:w="712" w:type="pct"/>
                  <w:tcBorders>
                    <w:tl2br w:val="nil"/>
                    <w:tr2bl w:val="nil"/>
                  </w:tcBorders>
                  <w:noWrap w:val="0"/>
                  <w:vAlign w:val="center"/>
                </w:tcPr>
                <w:p w14:paraId="3A593220">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达标</w:t>
                  </w:r>
                </w:p>
              </w:tc>
            </w:tr>
            <w:tr w14:paraId="3CA902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50DF30BD">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096" w:type="pct"/>
                  <w:tcBorders>
                    <w:tl2br w:val="nil"/>
                    <w:tr2bl w:val="nil"/>
                  </w:tcBorders>
                  <w:noWrap w:val="0"/>
                  <w:vAlign w:val="center"/>
                </w:tcPr>
                <w:p w14:paraId="7998B419">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年平均质量浓度</w:t>
                  </w:r>
                </w:p>
              </w:tc>
              <w:tc>
                <w:tcPr>
                  <w:tcW w:w="776" w:type="pct"/>
                  <w:tcBorders>
                    <w:tl2br w:val="nil"/>
                    <w:tr2bl w:val="nil"/>
                  </w:tcBorders>
                  <w:noWrap w:val="0"/>
                  <w:vAlign w:val="center"/>
                </w:tcPr>
                <w:p w14:paraId="625FF683">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31</w:t>
                  </w:r>
                </w:p>
              </w:tc>
              <w:tc>
                <w:tcPr>
                  <w:tcW w:w="1124" w:type="pct"/>
                  <w:tcBorders>
                    <w:tl2br w:val="nil"/>
                    <w:tr2bl w:val="nil"/>
                  </w:tcBorders>
                  <w:noWrap w:val="0"/>
                  <w:vAlign w:val="center"/>
                </w:tcPr>
                <w:p w14:paraId="0912004A">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60</w:t>
                  </w:r>
                </w:p>
              </w:tc>
              <w:tc>
                <w:tcPr>
                  <w:tcW w:w="1218" w:type="dxa"/>
                  <w:tcBorders>
                    <w:tl2br w:val="nil"/>
                    <w:tr2bl w:val="nil"/>
                  </w:tcBorders>
                  <w:noWrap w:val="0"/>
                  <w:vAlign w:val="center"/>
                </w:tcPr>
                <w:p w14:paraId="7DA488B5">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51.67</w:t>
                  </w:r>
                </w:p>
              </w:tc>
              <w:tc>
                <w:tcPr>
                  <w:tcW w:w="712" w:type="pct"/>
                  <w:tcBorders>
                    <w:tl2br w:val="nil"/>
                    <w:tr2bl w:val="nil"/>
                  </w:tcBorders>
                  <w:noWrap w:val="0"/>
                  <w:vAlign w:val="center"/>
                </w:tcPr>
                <w:p w14:paraId="254B5F52">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达标</w:t>
                  </w:r>
                </w:p>
              </w:tc>
            </w:tr>
            <w:tr w14:paraId="3E4A2F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20C92D28">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096" w:type="pct"/>
                  <w:tcBorders>
                    <w:tl2br w:val="nil"/>
                    <w:tr2bl w:val="nil"/>
                  </w:tcBorders>
                  <w:noWrap w:val="0"/>
                  <w:vAlign w:val="center"/>
                </w:tcPr>
                <w:p w14:paraId="49E8A216">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24小时平均值第95百分位数</w:t>
                  </w:r>
                </w:p>
              </w:tc>
              <w:tc>
                <w:tcPr>
                  <w:tcW w:w="776" w:type="pct"/>
                  <w:tcBorders>
                    <w:tl2br w:val="nil"/>
                    <w:tr2bl w:val="nil"/>
                  </w:tcBorders>
                  <w:noWrap w:val="0"/>
                  <w:vAlign w:val="center"/>
                </w:tcPr>
                <w:p w14:paraId="32109A7B">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00</w:t>
                  </w:r>
                </w:p>
              </w:tc>
              <w:tc>
                <w:tcPr>
                  <w:tcW w:w="1124" w:type="pct"/>
                  <w:tcBorders>
                    <w:tl2br w:val="nil"/>
                    <w:tr2bl w:val="nil"/>
                  </w:tcBorders>
                  <w:noWrap w:val="0"/>
                  <w:vAlign w:val="center"/>
                </w:tcPr>
                <w:p w14:paraId="6E104665">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1218" w:type="dxa"/>
                  <w:tcBorders>
                    <w:tl2br w:val="nil"/>
                    <w:tr2bl w:val="nil"/>
                  </w:tcBorders>
                  <w:noWrap w:val="0"/>
                  <w:vAlign w:val="center"/>
                </w:tcPr>
                <w:p w14:paraId="580BA48B">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25.00</w:t>
                  </w:r>
                </w:p>
              </w:tc>
              <w:tc>
                <w:tcPr>
                  <w:tcW w:w="712" w:type="pct"/>
                  <w:tcBorders>
                    <w:tl2br w:val="nil"/>
                    <w:tr2bl w:val="nil"/>
                  </w:tcBorders>
                  <w:noWrap w:val="0"/>
                  <w:vAlign w:val="center"/>
                </w:tcPr>
                <w:p w14:paraId="0DC15581">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6BB9C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1" w:type="pct"/>
                  <w:tcBorders>
                    <w:tl2br w:val="nil"/>
                    <w:tr2bl w:val="nil"/>
                  </w:tcBorders>
                  <w:noWrap w:val="0"/>
                  <w:vAlign w:val="center"/>
                </w:tcPr>
                <w:p w14:paraId="4005FFFC">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096" w:type="pct"/>
                  <w:tcBorders>
                    <w:tl2br w:val="nil"/>
                    <w:tr2bl w:val="nil"/>
                  </w:tcBorders>
                  <w:noWrap w:val="0"/>
                  <w:vAlign w:val="center"/>
                </w:tcPr>
                <w:p w14:paraId="14537369">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最大8小时平均值第90百分位数</w:t>
                  </w:r>
                </w:p>
              </w:tc>
              <w:tc>
                <w:tcPr>
                  <w:tcW w:w="776" w:type="pct"/>
                  <w:tcBorders>
                    <w:tl2br w:val="nil"/>
                    <w:tr2bl w:val="nil"/>
                  </w:tcBorders>
                  <w:noWrap w:val="0"/>
                  <w:vAlign w:val="center"/>
                </w:tcPr>
                <w:p w14:paraId="7DF71395">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08</w:t>
                  </w:r>
                </w:p>
              </w:tc>
              <w:tc>
                <w:tcPr>
                  <w:tcW w:w="1124" w:type="pct"/>
                  <w:tcBorders>
                    <w:tl2br w:val="nil"/>
                    <w:tr2bl w:val="nil"/>
                  </w:tcBorders>
                  <w:noWrap w:val="0"/>
                  <w:vAlign w:val="center"/>
                </w:tcPr>
                <w:p w14:paraId="18575174">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1218" w:type="dxa"/>
                  <w:tcBorders>
                    <w:tl2br w:val="nil"/>
                    <w:tr2bl w:val="nil"/>
                  </w:tcBorders>
                  <w:noWrap w:val="0"/>
                  <w:vAlign w:val="center"/>
                </w:tcPr>
                <w:p w14:paraId="64229B4C">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67.50</w:t>
                  </w:r>
                </w:p>
              </w:tc>
              <w:tc>
                <w:tcPr>
                  <w:tcW w:w="712" w:type="pct"/>
                  <w:tcBorders>
                    <w:tl2br w:val="nil"/>
                    <w:tr2bl w:val="nil"/>
                  </w:tcBorders>
                  <w:noWrap w:val="0"/>
                  <w:vAlign w:val="center"/>
                </w:tcPr>
                <w:p w14:paraId="61160706">
                  <w:pPr>
                    <w:keepNext w:val="0"/>
                    <w:keepLines w:val="0"/>
                    <w:pageBreakBefore w:val="0"/>
                    <w:suppressLineNumbers w:val="0"/>
                    <w:wordWrap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59A13163">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根据上表，202</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乐昌</w:t>
            </w:r>
            <w:r>
              <w:rPr>
                <w:rFonts w:hint="default" w:ascii="Times New Roman" w:hAnsi="Times New Roman" w:cs="Times New Roman"/>
                <w:color w:val="auto"/>
                <w:sz w:val="24"/>
                <w:highlight w:val="none"/>
                <w:lang w:eastAsia="zh-CN"/>
              </w:rPr>
              <w:t>市</w:t>
            </w:r>
            <w:r>
              <w:rPr>
                <w:rFonts w:hint="default" w:ascii="Times New Roman" w:hAnsi="Times New Roman" w:cs="Times New Roman"/>
                <w:color w:val="auto"/>
                <w:sz w:val="24"/>
                <w:highlight w:val="none"/>
              </w:rPr>
              <w:t>环境空气六项基本污染物均能达到《环境空气质量标准》(GB3095-2026)中</w:t>
            </w:r>
            <w:r>
              <w:rPr>
                <w:rFonts w:hint="default" w:ascii="Times New Roman" w:hAnsi="Times New Roman" w:cs="Times New Roman"/>
                <w:color w:val="auto"/>
                <w:sz w:val="24"/>
                <w:highlight w:val="none"/>
                <w:lang w:eastAsia="zh-CN"/>
              </w:rPr>
              <w:t>过渡阶段</w:t>
            </w:r>
            <w:r>
              <w:rPr>
                <w:rFonts w:hint="default" w:ascii="Times New Roman" w:hAnsi="Times New Roman" w:cs="Times New Roman"/>
                <w:color w:val="auto"/>
                <w:sz w:val="24"/>
                <w:highlight w:val="none"/>
              </w:rPr>
              <w:t>浓度限值的二级标准，属环境空气质量达标区。</w:t>
            </w:r>
          </w:p>
          <w:p w14:paraId="0696FAE2">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（3）补充监测</w:t>
            </w:r>
          </w:p>
          <w:p w14:paraId="3E1B9C32">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根据《建设项目环境影响报告表编制技术指南（污染影响类）》（试行）：排放国家、地方环境空气质量标准中有标准限值要求的特征污染物时，引用建设项目周边5千米范围内近3年的现有监测数据。</w:t>
            </w:r>
            <w:r>
              <w:rPr>
                <w:rFonts w:hint="default"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rPr>
              <w:t>需补充监测的其他污染物为TSP。</w:t>
            </w:r>
          </w:p>
          <w:p w14:paraId="4BFDEFB4">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rPr>
              <w:t>引用《2023年度乐昌产业转移工业园环境管理状况评估报告》</w:t>
            </w:r>
            <w:r>
              <w:rPr>
                <w:rFonts w:hint="default" w:ascii="Times New Roman" w:hAnsi="Times New Roman" w:cs="Times New Roman"/>
                <w:color w:val="auto"/>
                <w:sz w:val="24"/>
                <w:highlight w:val="none"/>
                <w:lang w:val="en-US" w:eastAsia="zh-CN"/>
              </w:rPr>
              <w:t>中的监测数据，</w:t>
            </w:r>
            <w:r>
              <w:rPr>
                <w:rFonts w:hint="default" w:ascii="Times New Roman" w:hAnsi="Times New Roman" w:cs="Times New Roman"/>
                <w:color w:val="auto"/>
                <w:sz w:val="24"/>
                <w:highlight w:val="none"/>
              </w:rPr>
              <w:t>用于评价TSP现状</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深圳市清华环科检测技术有限公司</w:t>
            </w:r>
            <w:r>
              <w:rPr>
                <w:rFonts w:hint="default" w:ascii="Times New Roman" w:hAnsi="Times New Roman" w:cs="Times New Roman"/>
                <w:color w:val="auto"/>
                <w:sz w:val="24"/>
                <w:highlight w:val="none"/>
                <w:lang w:eastAsia="zh-CN"/>
              </w:rPr>
              <w:t>于</w:t>
            </w:r>
            <w:r>
              <w:rPr>
                <w:rFonts w:hint="default" w:ascii="Times New Roman" w:hAnsi="Times New Roman" w:cs="Times New Roman"/>
                <w:color w:val="auto"/>
                <w:sz w:val="24"/>
                <w:highlight w:val="none"/>
              </w:rPr>
              <w:t>202</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年12月</w:t>
            </w:r>
            <w:r>
              <w:rPr>
                <w:rFonts w:hint="default" w:ascii="Times New Roman" w:hAnsi="Times New Roman" w:cs="Times New Roman"/>
                <w:color w:val="auto"/>
                <w:sz w:val="24"/>
                <w:highlight w:val="none"/>
                <w:lang w:val="en-US" w:eastAsia="zh-CN"/>
              </w:rPr>
              <w:t>19</w:t>
            </w:r>
            <w:r>
              <w:rPr>
                <w:rFonts w:hint="default" w:ascii="Times New Roman" w:hAnsi="Times New Roman" w:cs="Times New Roman"/>
                <w:color w:val="auto"/>
                <w:sz w:val="24"/>
                <w:highlight w:val="none"/>
              </w:rPr>
              <w:t>日-202</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年12月</w:t>
            </w:r>
            <w:r>
              <w:rPr>
                <w:rFonts w:hint="default" w:ascii="Times New Roman" w:hAnsi="Times New Roman" w:cs="Times New Roman"/>
                <w:color w:val="auto"/>
                <w:sz w:val="24"/>
                <w:highlight w:val="none"/>
                <w:lang w:val="en-US" w:eastAsia="zh-CN"/>
              </w:rPr>
              <w:t>25日，</w:t>
            </w:r>
            <w:r>
              <w:rPr>
                <w:rFonts w:hint="default" w:ascii="Times New Roman" w:hAnsi="Times New Roman" w:cs="Times New Roman"/>
                <w:color w:val="auto"/>
                <w:sz w:val="24"/>
                <w:highlight w:val="none"/>
              </w:rPr>
              <w:t>在</w:t>
            </w:r>
            <w:r>
              <w:rPr>
                <w:rFonts w:hint="default"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lang w:val="en-US" w:eastAsia="zh-CN"/>
              </w:rPr>
              <w:t>南</w:t>
            </w:r>
            <w:r>
              <w:rPr>
                <w:rFonts w:hint="default" w:ascii="Times New Roman" w:hAnsi="Times New Roman" w:cs="Times New Roman"/>
                <w:color w:val="auto"/>
                <w:sz w:val="24"/>
                <w:highlight w:val="none"/>
              </w:rPr>
              <w:t>侧</w:t>
            </w:r>
            <w:r>
              <w:rPr>
                <w:rFonts w:hint="default" w:ascii="Times New Roman" w:hAnsi="Times New Roman" w:cs="Times New Roman"/>
                <w:color w:val="auto"/>
                <w:sz w:val="24"/>
                <w:highlight w:val="none"/>
                <w:lang w:val="en-US" w:eastAsia="zh-CN"/>
              </w:rPr>
              <w:t>1300</w:t>
            </w:r>
            <w:r>
              <w:rPr>
                <w:rFonts w:hint="default" w:ascii="Times New Roman" w:hAnsi="Times New Roman" w:cs="Times New Roman"/>
                <w:color w:val="auto"/>
                <w:sz w:val="24"/>
                <w:highlight w:val="none"/>
              </w:rPr>
              <w:t>m处G1</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村进行采样监测</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引用点位位置图见附图16</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，连续监测7</w:t>
            </w:r>
            <w:r>
              <w:rPr>
                <w:rFonts w:hint="default" w:ascii="Times New Roman" w:hAnsi="Times New Roman" w:cs="Times New Roman"/>
                <w:color w:val="auto"/>
                <w:sz w:val="24"/>
                <w:highlight w:val="none"/>
                <w:lang w:val="en-US" w:eastAsia="zh-CN"/>
              </w:rPr>
              <w:t>天</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项目</w:t>
            </w:r>
            <w:r>
              <w:rPr>
                <w:rFonts w:hint="default" w:ascii="Times New Roman" w:hAnsi="Times New Roman" w:cs="Times New Roman"/>
                <w:color w:val="auto"/>
                <w:sz w:val="24"/>
                <w:highlight w:val="none"/>
              </w:rPr>
              <w:t>其他污染物补充监测点位基本信息见表3-2，监测结果</w:t>
            </w:r>
            <w:r>
              <w:rPr>
                <w:rFonts w:hint="default" w:ascii="Times New Roman" w:hAnsi="Times New Roman" w:cs="Times New Roman"/>
                <w:color w:val="auto"/>
                <w:sz w:val="24"/>
                <w:highlight w:val="none"/>
                <w:lang w:val="en-US" w:eastAsia="zh-CN"/>
              </w:rPr>
              <w:t>见</w:t>
            </w:r>
            <w:r>
              <w:rPr>
                <w:rFonts w:hint="default" w:ascii="Times New Roman" w:hAnsi="Times New Roman" w:cs="Times New Roman"/>
                <w:color w:val="auto"/>
                <w:sz w:val="24"/>
                <w:highlight w:val="none"/>
              </w:rPr>
              <w:t>表3-3。</w:t>
            </w:r>
          </w:p>
          <w:p w14:paraId="39EFBD4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default" w:ascii="Times New Roman" w:hAnsi="Times New Roman" w:eastAsia="宋体" w:cs="Times New Roman"/>
                <w:b/>
                <w:bCs/>
                <w:color w:val="auto"/>
                <w:sz w:val="21"/>
                <w:szCs w:val="21"/>
                <w:highlight w:val="none"/>
                <w:lang w:val="en-US" w:eastAsia="zh-CN"/>
              </w:rPr>
              <w:t xml:space="preserve">2 </w:t>
            </w:r>
            <w:r>
              <w:rPr>
                <w:rFonts w:hint="default" w:ascii="Times New Roman" w:hAnsi="Times New Roman" w:eastAsia="宋体" w:cs="Times New Roman"/>
                <w:b/>
                <w:bCs/>
                <w:color w:val="auto"/>
                <w:sz w:val="21"/>
                <w:szCs w:val="21"/>
                <w:highlight w:val="none"/>
              </w:rPr>
              <w:t>大气监测点位信息</w:t>
            </w:r>
          </w:p>
          <w:tbl>
            <w:tblPr>
              <w:tblStyle w:val="36"/>
              <w:tblW w:w="4994" w:type="pct"/>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281"/>
              <w:gridCol w:w="1250"/>
              <w:gridCol w:w="958"/>
              <w:gridCol w:w="1369"/>
              <w:gridCol w:w="2063"/>
              <w:gridCol w:w="1133"/>
              <w:gridCol w:w="1226"/>
            </w:tblGrid>
            <w:tr w14:paraId="1CC865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690" w:type="pct"/>
                  <w:vMerge w:val="restart"/>
                  <w:tcBorders>
                    <w:tl2br w:val="nil"/>
                    <w:tr2bl w:val="nil"/>
                  </w:tcBorders>
                  <w:noWrap w:val="0"/>
                  <w:vAlign w:val="center"/>
                </w:tcPr>
                <w:p w14:paraId="75BBCB2A">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监测点名称</w:t>
                  </w:r>
                </w:p>
              </w:tc>
              <w:tc>
                <w:tcPr>
                  <w:tcW w:w="1189" w:type="pct"/>
                  <w:gridSpan w:val="2"/>
                  <w:tcBorders>
                    <w:tl2br w:val="nil"/>
                    <w:tr2bl w:val="nil"/>
                  </w:tcBorders>
                  <w:noWrap w:val="0"/>
                  <w:vAlign w:val="center"/>
                </w:tcPr>
                <w:p w14:paraId="2A2CF8AA">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val="en-US" w:eastAsia="zh-CN" w:bidi="zh-CN"/>
                    </w:rPr>
                  </w:pPr>
                  <w:r>
                    <w:rPr>
                      <w:rFonts w:hint="default" w:ascii="Times New Roman" w:hAnsi="Times New Roman" w:cs="Times New Roman"/>
                      <w:b/>
                      <w:bCs/>
                      <w:color w:val="auto"/>
                      <w:kern w:val="2"/>
                      <w:sz w:val="21"/>
                      <w:szCs w:val="21"/>
                      <w:highlight w:val="none"/>
                      <w:lang w:eastAsia="zh-CN" w:bidi="zh-CN"/>
                    </w:rPr>
                    <w:t>监测点坐标</w:t>
                  </w:r>
                  <w:r>
                    <w:rPr>
                      <w:rFonts w:hint="default" w:ascii="Times New Roman" w:hAnsi="Times New Roman" w:cs="Times New Roman"/>
                      <w:b/>
                      <w:bCs/>
                      <w:color w:val="auto"/>
                      <w:kern w:val="2"/>
                      <w:sz w:val="21"/>
                      <w:szCs w:val="21"/>
                      <w:highlight w:val="none"/>
                      <w:lang w:val="en-US" w:eastAsia="zh-CN" w:bidi="zh-CN"/>
                    </w:rPr>
                    <w:t>/m</w:t>
                  </w:r>
                </w:p>
              </w:tc>
              <w:tc>
                <w:tcPr>
                  <w:tcW w:w="737" w:type="pct"/>
                  <w:vMerge w:val="restart"/>
                  <w:tcBorders>
                    <w:tl2br w:val="nil"/>
                    <w:tr2bl w:val="nil"/>
                  </w:tcBorders>
                  <w:noWrap w:val="0"/>
                  <w:vAlign w:val="center"/>
                </w:tcPr>
                <w:p w14:paraId="1AC43C73">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监测因子</w:t>
                  </w:r>
                </w:p>
              </w:tc>
              <w:tc>
                <w:tcPr>
                  <w:tcW w:w="1111" w:type="pct"/>
                  <w:vMerge w:val="restart"/>
                  <w:tcBorders>
                    <w:tl2br w:val="nil"/>
                    <w:tr2bl w:val="nil"/>
                  </w:tcBorders>
                  <w:noWrap w:val="0"/>
                  <w:vAlign w:val="center"/>
                </w:tcPr>
                <w:p w14:paraId="452F6F17">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监测时段</w:t>
                  </w:r>
                </w:p>
              </w:tc>
              <w:tc>
                <w:tcPr>
                  <w:tcW w:w="610" w:type="pct"/>
                  <w:vMerge w:val="restart"/>
                  <w:tcBorders>
                    <w:tl2br w:val="nil"/>
                    <w:tr2bl w:val="nil"/>
                  </w:tcBorders>
                  <w:noWrap w:val="0"/>
                  <w:vAlign w:val="center"/>
                </w:tcPr>
                <w:p w14:paraId="6FCF1354">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相对厂址方位</w:t>
                  </w:r>
                </w:p>
              </w:tc>
              <w:tc>
                <w:tcPr>
                  <w:tcW w:w="660" w:type="pct"/>
                  <w:vMerge w:val="restart"/>
                  <w:tcBorders>
                    <w:tl2br w:val="nil"/>
                    <w:tr2bl w:val="nil"/>
                  </w:tcBorders>
                  <w:noWrap w:val="0"/>
                  <w:vAlign w:val="center"/>
                </w:tcPr>
                <w:p w14:paraId="32E290B6">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相对厂界距离/m</w:t>
                  </w:r>
                </w:p>
              </w:tc>
            </w:tr>
            <w:tr w14:paraId="788B6D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690" w:type="pct"/>
                  <w:vMerge w:val="continue"/>
                  <w:tcBorders>
                    <w:tl2br w:val="nil"/>
                    <w:tr2bl w:val="nil"/>
                  </w:tcBorders>
                  <w:noWrap w:val="0"/>
                  <w:vAlign w:val="center"/>
                </w:tcPr>
                <w:p w14:paraId="7E4C9584">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p>
              </w:tc>
              <w:tc>
                <w:tcPr>
                  <w:tcW w:w="673" w:type="pct"/>
                  <w:tcBorders>
                    <w:tl2br w:val="nil"/>
                    <w:tr2bl w:val="nil"/>
                  </w:tcBorders>
                  <w:noWrap w:val="0"/>
                  <w:vAlign w:val="center"/>
                </w:tcPr>
                <w:p w14:paraId="7E52271E">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val="en-US" w:eastAsia="zh-CN" w:bidi="zh-CN"/>
                    </w:rPr>
                  </w:pPr>
                  <w:r>
                    <w:rPr>
                      <w:rFonts w:hint="default" w:ascii="Times New Roman" w:hAnsi="Times New Roman" w:cs="Times New Roman"/>
                      <w:b/>
                      <w:bCs/>
                      <w:color w:val="auto"/>
                      <w:kern w:val="2"/>
                      <w:sz w:val="21"/>
                      <w:szCs w:val="21"/>
                      <w:highlight w:val="none"/>
                      <w:lang w:val="en-US" w:eastAsia="zh-CN" w:bidi="zh-CN"/>
                    </w:rPr>
                    <w:t>X</w:t>
                  </w:r>
                </w:p>
              </w:tc>
              <w:tc>
                <w:tcPr>
                  <w:tcW w:w="515" w:type="pct"/>
                  <w:tcBorders>
                    <w:tl2br w:val="nil"/>
                    <w:tr2bl w:val="nil"/>
                  </w:tcBorders>
                  <w:noWrap w:val="0"/>
                  <w:vAlign w:val="center"/>
                </w:tcPr>
                <w:p w14:paraId="69DD4E0B">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val="en-US" w:eastAsia="zh-CN" w:bidi="zh-CN"/>
                    </w:rPr>
                    <w:t>Y</w:t>
                  </w:r>
                </w:p>
              </w:tc>
              <w:tc>
                <w:tcPr>
                  <w:tcW w:w="737" w:type="pct"/>
                  <w:vMerge w:val="continue"/>
                  <w:tcBorders>
                    <w:tl2br w:val="nil"/>
                    <w:tr2bl w:val="nil"/>
                  </w:tcBorders>
                  <w:noWrap w:val="0"/>
                  <w:vAlign w:val="center"/>
                </w:tcPr>
                <w:p w14:paraId="432D154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111" w:type="pct"/>
                  <w:vMerge w:val="continue"/>
                  <w:tcBorders>
                    <w:tl2br w:val="nil"/>
                    <w:tr2bl w:val="nil"/>
                  </w:tcBorders>
                  <w:noWrap w:val="0"/>
                  <w:vAlign w:val="center"/>
                </w:tcPr>
                <w:p w14:paraId="2EEC36C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610" w:type="pct"/>
                  <w:vMerge w:val="continue"/>
                  <w:tcBorders>
                    <w:tl2br w:val="nil"/>
                    <w:tr2bl w:val="nil"/>
                  </w:tcBorders>
                  <w:noWrap w:val="0"/>
                  <w:vAlign w:val="center"/>
                </w:tcPr>
                <w:p w14:paraId="009017C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660" w:type="pct"/>
                  <w:vMerge w:val="continue"/>
                  <w:tcBorders>
                    <w:tl2br w:val="nil"/>
                    <w:tr2bl w:val="nil"/>
                  </w:tcBorders>
                  <w:noWrap w:val="0"/>
                  <w:vAlign w:val="center"/>
                </w:tcPr>
                <w:p w14:paraId="168DF25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74A7E2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690" w:type="pct"/>
                  <w:tcBorders>
                    <w:tl2br w:val="nil"/>
                    <w:tr2bl w:val="nil"/>
                  </w:tcBorders>
                  <w:noWrap w:val="0"/>
                  <w:vAlign w:val="center"/>
                </w:tcPr>
                <w:p w14:paraId="2055A82E">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G1</w:t>
                  </w:r>
                  <w:r>
                    <w:rPr>
                      <w:rFonts w:hint="default" w:ascii="Times New Roman" w:hAnsi="Times New Roman" w:cs="Times New Roman"/>
                      <w:color w:val="auto"/>
                      <w:sz w:val="21"/>
                      <w:szCs w:val="21"/>
                      <w:highlight w:val="none"/>
                      <w:lang w:val="en-US" w:eastAsia="zh-CN"/>
                    </w:rPr>
                    <w:t>和村</w:t>
                  </w:r>
                </w:p>
              </w:tc>
              <w:tc>
                <w:tcPr>
                  <w:tcW w:w="673" w:type="pct"/>
                  <w:tcBorders>
                    <w:tl2br w:val="nil"/>
                    <w:tr2bl w:val="nil"/>
                  </w:tcBorders>
                  <w:noWrap w:val="0"/>
                  <w:vAlign w:val="center"/>
                </w:tcPr>
                <w:p w14:paraId="7165133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rPr>
                    <w:t>-370</w:t>
                  </w:r>
                </w:p>
              </w:tc>
              <w:tc>
                <w:tcPr>
                  <w:tcW w:w="515" w:type="pct"/>
                  <w:tcBorders>
                    <w:tl2br w:val="nil"/>
                    <w:tr2bl w:val="nil"/>
                  </w:tcBorders>
                  <w:noWrap w:val="0"/>
                  <w:vAlign w:val="center"/>
                </w:tcPr>
                <w:p w14:paraId="49247E2D">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sz w:val="21"/>
                      <w:szCs w:val="21"/>
                      <w:highlight w:val="none"/>
                      <w:lang w:val="en-US" w:eastAsia="zh-CN"/>
                    </w:rPr>
                    <w:t>-1260</w:t>
                  </w:r>
                </w:p>
              </w:tc>
              <w:tc>
                <w:tcPr>
                  <w:tcW w:w="737" w:type="pct"/>
                  <w:tcBorders>
                    <w:tl2br w:val="nil"/>
                    <w:tr2bl w:val="nil"/>
                  </w:tcBorders>
                  <w:noWrap w:val="0"/>
                  <w:vAlign w:val="center"/>
                </w:tcPr>
                <w:p w14:paraId="29BA38C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TSP</w:t>
                  </w:r>
                </w:p>
              </w:tc>
              <w:tc>
                <w:tcPr>
                  <w:tcW w:w="1111" w:type="pct"/>
                  <w:tcBorders>
                    <w:tl2br w:val="nil"/>
                    <w:tr2bl w:val="nil"/>
                  </w:tcBorders>
                  <w:noWrap w:val="0"/>
                  <w:vAlign w:val="center"/>
                </w:tcPr>
                <w:p w14:paraId="3AB0AE38">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bCs/>
                      <w:color w:val="auto"/>
                      <w:sz w:val="21"/>
                      <w:szCs w:val="21"/>
                      <w:highlight w:val="none"/>
                    </w:rPr>
                    <w:t>202</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default" w:ascii="Times New Roman" w:hAns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202</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default" w:ascii="Times New Roman" w:hAnsi="Times New Roman" w:cs="Times New Roman"/>
                      <w:bCs/>
                      <w:color w:val="auto"/>
                      <w:sz w:val="21"/>
                      <w:szCs w:val="21"/>
                      <w:highlight w:val="none"/>
                      <w:lang w:val="en-US" w:eastAsia="zh-CN"/>
                    </w:rPr>
                    <w:t>25</w:t>
                  </w:r>
                  <w:r>
                    <w:rPr>
                      <w:rFonts w:hint="default" w:ascii="Times New Roman" w:hAnsi="Times New Roman" w:cs="Times New Roman"/>
                      <w:bCs/>
                      <w:color w:val="auto"/>
                      <w:sz w:val="21"/>
                      <w:szCs w:val="21"/>
                      <w:highlight w:val="none"/>
                    </w:rPr>
                    <w:t>日</w:t>
                  </w:r>
                </w:p>
              </w:tc>
              <w:tc>
                <w:tcPr>
                  <w:tcW w:w="610" w:type="pct"/>
                  <w:tcBorders>
                    <w:tl2br w:val="nil"/>
                    <w:tr2bl w:val="nil"/>
                  </w:tcBorders>
                  <w:noWrap w:val="0"/>
                  <w:vAlign w:val="center"/>
                </w:tcPr>
                <w:p w14:paraId="14D5046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rPr>
                    <w:t>南面</w:t>
                  </w:r>
                </w:p>
              </w:tc>
              <w:tc>
                <w:tcPr>
                  <w:tcW w:w="660" w:type="pct"/>
                  <w:tcBorders>
                    <w:tl2br w:val="nil"/>
                    <w:tr2bl w:val="nil"/>
                  </w:tcBorders>
                  <w:noWrap w:val="0"/>
                  <w:vAlign w:val="center"/>
                </w:tcPr>
                <w:p w14:paraId="7370EAC4">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sz w:val="21"/>
                      <w:szCs w:val="21"/>
                      <w:highlight w:val="none"/>
                      <w:lang w:val="en-US" w:bidi="zh-CN"/>
                    </w:rPr>
                  </w:pPr>
                  <w:r>
                    <w:rPr>
                      <w:rFonts w:hint="default" w:ascii="Times New Roman" w:hAnsi="Times New Roman" w:cs="Times New Roman"/>
                      <w:color w:val="auto"/>
                      <w:sz w:val="21"/>
                      <w:szCs w:val="21"/>
                      <w:highlight w:val="none"/>
                      <w:lang w:val="en-US" w:eastAsia="zh-CN"/>
                    </w:rPr>
                    <w:t>1680</w:t>
                  </w:r>
                </w:p>
              </w:tc>
            </w:tr>
          </w:tbl>
          <w:p w14:paraId="783975B6">
            <w:pPr>
              <w:keepNext w:val="0"/>
              <w:keepLines w:val="0"/>
              <w:pageBreakBefore w:val="0"/>
              <w:widowControl w:val="0"/>
              <w:suppressLineNumbers w:val="0"/>
              <w:tabs>
                <w:tab w:val="left" w:pos="1472"/>
              </w:tabs>
              <w:kinsoku/>
              <w:wordWrap w:val="0"/>
              <w:overflowPunct/>
              <w:topLinePunct w:val="0"/>
              <w:autoSpaceDE/>
              <w:autoSpaceDN/>
              <w:bidi w:val="0"/>
              <w:adjustRightInd/>
              <w:snapToGrid/>
              <w:spacing w:before="0" w:beforeAutospacing="0" w:after="0" w:afterAutospacing="0" w:line="100" w:lineRule="exact"/>
              <w:ind w:left="771" w:right="0"/>
              <w:jc w:val="center"/>
              <w:textAlignment w:val="auto"/>
              <w:rPr>
                <w:rFonts w:hint="default" w:ascii="Times New Roman" w:hAnsi="Times New Roman" w:cs="Times New Roman"/>
                <w:color w:val="auto"/>
                <w:szCs w:val="21"/>
                <w:highlight w:val="none"/>
              </w:rPr>
            </w:pPr>
          </w:p>
          <w:p w14:paraId="250E1D5F">
            <w:pPr>
              <w:keepNext w:val="0"/>
              <w:keepLines w:val="0"/>
              <w:pageBreakBefore w:val="0"/>
              <w:suppressLineNumbers w:val="0"/>
              <w:tabs>
                <w:tab w:val="left" w:pos="1472"/>
              </w:tabs>
              <w:wordWrap w:val="0"/>
              <w:bidi w:val="0"/>
              <w:spacing w:before="0" w:beforeAutospacing="0" w:after="0" w:afterAutospacing="0" w:line="240" w:lineRule="auto"/>
              <w:ind w:left="773"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 xml:space="preserve"> 其他污染物环境质量现状（监测结果）表</w:t>
            </w:r>
          </w:p>
          <w:tbl>
            <w:tblPr>
              <w:tblStyle w:val="36"/>
              <w:tblW w:w="4997" w:type="pct"/>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948"/>
              <w:gridCol w:w="1032"/>
              <w:gridCol w:w="1050"/>
              <w:gridCol w:w="1480"/>
              <w:gridCol w:w="1838"/>
              <w:gridCol w:w="1279"/>
              <w:gridCol w:w="753"/>
              <w:gridCol w:w="905"/>
            </w:tblGrid>
            <w:tr w14:paraId="03FAAA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510" w:type="pct"/>
                  <w:tcBorders>
                    <w:tl2br w:val="nil"/>
                    <w:tr2bl w:val="nil"/>
                  </w:tcBorders>
                  <w:noWrap w:val="0"/>
                  <w:vAlign w:val="center"/>
                </w:tcPr>
                <w:p w14:paraId="2A1953AA">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点位名称</w:t>
                  </w:r>
                </w:p>
              </w:tc>
              <w:tc>
                <w:tcPr>
                  <w:tcW w:w="555" w:type="pct"/>
                  <w:tcBorders>
                    <w:tl2br w:val="nil"/>
                    <w:tr2bl w:val="nil"/>
                  </w:tcBorders>
                  <w:noWrap w:val="0"/>
                  <w:vAlign w:val="center"/>
                </w:tcPr>
                <w:p w14:paraId="7A6A3777">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污染物</w:t>
                  </w:r>
                </w:p>
              </w:tc>
              <w:tc>
                <w:tcPr>
                  <w:tcW w:w="565" w:type="pct"/>
                  <w:tcBorders>
                    <w:tl2br w:val="nil"/>
                    <w:tr2bl w:val="nil"/>
                  </w:tcBorders>
                  <w:noWrap w:val="0"/>
                  <w:vAlign w:val="center"/>
                </w:tcPr>
                <w:p w14:paraId="7BE904FD">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平均时间</w:t>
                  </w:r>
                </w:p>
              </w:tc>
              <w:tc>
                <w:tcPr>
                  <w:tcW w:w="796" w:type="pct"/>
                  <w:tcBorders>
                    <w:tl2br w:val="nil"/>
                    <w:tr2bl w:val="nil"/>
                  </w:tcBorders>
                  <w:noWrap w:val="0"/>
                  <w:vAlign w:val="center"/>
                </w:tcPr>
                <w:p w14:paraId="3B8914D7">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评价标准</w:t>
                  </w:r>
                </w:p>
                <w:p w14:paraId="3C715270">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w:t>
                  </w:r>
                  <w:r>
                    <w:rPr>
                      <w:rFonts w:hint="default" w:ascii="Times New Roman" w:hAnsi="Times New Roman" w:cs="Times New Roman"/>
                      <w:b/>
                      <w:bCs/>
                      <w:color w:val="auto"/>
                      <w:kern w:val="2"/>
                      <w:sz w:val="21"/>
                      <w:szCs w:val="21"/>
                      <w:highlight w:val="none"/>
                      <w:lang w:val="en-US" w:eastAsia="zh-CN" w:bidi="zh-CN"/>
                    </w:rPr>
                    <w:t>μg</w:t>
                  </w:r>
                  <w:r>
                    <w:rPr>
                      <w:rFonts w:hint="default" w:ascii="Times New Roman" w:hAnsi="Times New Roman" w:cs="Times New Roman"/>
                      <w:b/>
                      <w:bCs/>
                      <w:color w:val="auto"/>
                      <w:kern w:val="2"/>
                      <w:sz w:val="21"/>
                      <w:szCs w:val="21"/>
                      <w:highlight w:val="none"/>
                      <w:lang w:eastAsia="zh-CN" w:bidi="zh-CN"/>
                    </w:rPr>
                    <w:t>/m</w:t>
                  </w:r>
                  <w:r>
                    <w:rPr>
                      <w:rFonts w:hint="default" w:ascii="Times New Roman" w:hAnsi="Times New Roman" w:cs="Times New Roman"/>
                      <w:b/>
                      <w:bCs/>
                      <w:color w:val="auto"/>
                      <w:kern w:val="2"/>
                      <w:sz w:val="21"/>
                      <w:szCs w:val="21"/>
                      <w:highlight w:val="none"/>
                      <w:vertAlign w:val="superscript"/>
                      <w:lang w:eastAsia="zh-CN" w:bidi="zh-CN"/>
                    </w:rPr>
                    <w:t>3)</w:t>
                  </w:r>
                </w:p>
              </w:tc>
              <w:tc>
                <w:tcPr>
                  <w:tcW w:w="989" w:type="pct"/>
                  <w:tcBorders>
                    <w:tl2br w:val="nil"/>
                    <w:tr2bl w:val="nil"/>
                  </w:tcBorders>
                  <w:noWrap w:val="0"/>
                  <w:vAlign w:val="center"/>
                </w:tcPr>
                <w:p w14:paraId="1D561E21">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现状浓度范围</w:t>
                  </w:r>
                  <w:r>
                    <w:rPr>
                      <w:rFonts w:hint="default" w:ascii="Times New Roman" w:hAnsi="Times New Roman" w:cs="Times New Roman"/>
                      <w:b/>
                      <w:bCs/>
                      <w:color w:val="auto"/>
                      <w:kern w:val="2"/>
                      <w:sz w:val="21"/>
                      <w:szCs w:val="21"/>
                      <w:highlight w:val="none"/>
                      <w:lang w:val="en-US" w:eastAsia="zh-CN" w:bidi="zh-CN"/>
                    </w:rPr>
                    <w:t>μg</w:t>
                  </w:r>
                  <w:r>
                    <w:rPr>
                      <w:rFonts w:hint="default" w:ascii="Times New Roman" w:hAnsi="Times New Roman" w:cs="Times New Roman"/>
                      <w:b/>
                      <w:bCs/>
                      <w:color w:val="auto"/>
                      <w:kern w:val="2"/>
                      <w:sz w:val="21"/>
                      <w:szCs w:val="21"/>
                      <w:highlight w:val="none"/>
                      <w:lang w:eastAsia="zh-CN" w:bidi="zh-CN"/>
                    </w:rPr>
                    <w:t>/m</w:t>
                  </w:r>
                  <w:r>
                    <w:rPr>
                      <w:rFonts w:hint="default" w:ascii="Times New Roman" w:hAnsi="Times New Roman" w:cs="Times New Roman"/>
                      <w:b/>
                      <w:bCs/>
                      <w:color w:val="auto"/>
                      <w:kern w:val="2"/>
                      <w:sz w:val="21"/>
                      <w:szCs w:val="21"/>
                      <w:highlight w:val="none"/>
                      <w:vertAlign w:val="superscript"/>
                      <w:lang w:eastAsia="zh-CN" w:bidi="zh-CN"/>
                    </w:rPr>
                    <w:t>3</w:t>
                  </w:r>
                </w:p>
              </w:tc>
              <w:tc>
                <w:tcPr>
                  <w:tcW w:w="688" w:type="pct"/>
                  <w:tcBorders>
                    <w:tl2br w:val="nil"/>
                    <w:tr2bl w:val="nil"/>
                  </w:tcBorders>
                  <w:noWrap w:val="0"/>
                  <w:vAlign w:val="center"/>
                </w:tcPr>
                <w:p w14:paraId="22DD4228">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最大浓度占标率/%</w:t>
                  </w:r>
                </w:p>
              </w:tc>
              <w:tc>
                <w:tcPr>
                  <w:tcW w:w="405" w:type="pct"/>
                  <w:tcBorders>
                    <w:tl2br w:val="nil"/>
                    <w:tr2bl w:val="nil"/>
                  </w:tcBorders>
                  <w:noWrap w:val="0"/>
                  <w:vAlign w:val="center"/>
                </w:tcPr>
                <w:p w14:paraId="07F13D1C">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超标</w:t>
                  </w:r>
                  <w:r>
                    <w:rPr>
                      <w:rFonts w:hint="default" w:ascii="Times New Roman" w:hAnsi="Times New Roman" w:cs="Times New Roman"/>
                      <w:b/>
                      <w:bCs/>
                      <w:color w:val="auto"/>
                      <w:kern w:val="2"/>
                      <w:sz w:val="21"/>
                      <w:szCs w:val="21"/>
                      <w:highlight w:val="none"/>
                      <w:lang w:val="en-US" w:eastAsia="zh-CN" w:bidi="zh-CN"/>
                    </w:rPr>
                    <w:t>倍数</w:t>
                  </w:r>
                </w:p>
              </w:tc>
              <w:tc>
                <w:tcPr>
                  <w:tcW w:w="487" w:type="pct"/>
                  <w:tcBorders>
                    <w:tl2br w:val="nil"/>
                    <w:tr2bl w:val="nil"/>
                  </w:tcBorders>
                  <w:noWrap w:val="0"/>
                  <w:vAlign w:val="center"/>
                </w:tcPr>
                <w:p w14:paraId="626B3B66">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达标情况</w:t>
                  </w:r>
                </w:p>
              </w:tc>
            </w:tr>
            <w:tr w14:paraId="24AA40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510" w:type="pct"/>
                  <w:tcBorders>
                    <w:tl2br w:val="nil"/>
                    <w:tr2bl w:val="nil"/>
                  </w:tcBorders>
                  <w:noWrap w:val="0"/>
                  <w:vAlign w:val="center"/>
                </w:tcPr>
                <w:p w14:paraId="7C0CE9F5">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G1付村</w:t>
                  </w:r>
                </w:p>
              </w:tc>
              <w:tc>
                <w:tcPr>
                  <w:tcW w:w="555" w:type="pct"/>
                  <w:tcBorders>
                    <w:tl2br w:val="nil"/>
                    <w:tr2bl w:val="nil"/>
                  </w:tcBorders>
                  <w:noWrap w:val="0"/>
                  <w:vAlign w:val="center"/>
                </w:tcPr>
                <w:p w14:paraId="6D5E92A4">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kern w:val="2"/>
                      <w:sz w:val="21"/>
                      <w:szCs w:val="21"/>
                      <w:highlight w:val="none"/>
                      <w:lang w:val="en-US" w:eastAsia="zh-CN" w:bidi="zh-CN"/>
                    </w:rPr>
                    <w:t>TSP</w:t>
                  </w:r>
                </w:p>
              </w:tc>
              <w:tc>
                <w:tcPr>
                  <w:tcW w:w="565" w:type="pct"/>
                  <w:tcBorders>
                    <w:tl2br w:val="nil"/>
                    <w:tr2bl w:val="nil"/>
                  </w:tcBorders>
                  <w:noWrap w:val="0"/>
                  <w:vAlign w:val="center"/>
                </w:tcPr>
                <w:p w14:paraId="5139CC4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bidi="zh-CN"/>
                    </w:rPr>
                  </w:pPr>
                  <w:r>
                    <w:rPr>
                      <w:rFonts w:hint="default" w:ascii="Times New Roman" w:hAnsi="Times New Roman" w:cs="Times New Roman"/>
                      <w:color w:val="auto"/>
                      <w:sz w:val="21"/>
                      <w:szCs w:val="21"/>
                      <w:highlight w:val="none"/>
                      <w:lang w:val="en-US" w:bidi="zh-CN"/>
                    </w:rPr>
                    <w:t>24</w:t>
                  </w:r>
                  <w:r>
                    <w:rPr>
                      <w:rFonts w:hint="default" w:ascii="Times New Roman" w:hAnsi="Times New Roman" w:cs="Times New Roman"/>
                      <w:color w:val="auto"/>
                      <w:sz w:val="21"/>
                      <w:szCs w:val="21"/>
                      <w:highlight w:val="none"/>
                      <w:lang w:bidi="zh-CN"/>
                    </w:rPr>
                    <w:t>h平均</w:t>
                  </w:r>
                </w:p>
              </w:tc>
              <w:tc>
                <w:tcPr>
                  <w:tcW w:w="796" w:type="pct"/>
                  <w:tcBorders>
                    <w:tl2br w:val="nil"/>
                    <w:tr2bl w:val="nil"/>
                  </w:tcBorders>
                  <w:noWrap w:val="0"/>
                  <w:vAlign w:val="center"/>
                </w:tcPr>
                <w:p w14:paraId="2ACBA936">
                  <w:pPr>
                    <w:pStyle w:val="114"/>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kern w:val="2"/>
                      <w:sz w:val="21"/>
                      <w:szCs w:val="21"/>
                      <w:highlight w:val="none"/>
                      <w:lang w:val="en-US" w:eastAsia="zh-CN" w:bidi="zh-CN"/>
                    </w:rPr>
                    <w:t>300</w:t>
                  </w:r>
                </w:p>
              </w:tc>
              <w:tc>
                <w:tcPr>
                  <w:tcW w:w="989" w:type="pct"/>
                  <w:tcBorders>
                    <w:tl2br w:val="nil"/>
                    <w:tr2bl w:val="nil"/>
                  </w:tcBorders>
                  <w:noWrap w:val="0"/>
                  <w:vAlign w:val="center"/>
                </w:tcPr>
                <w:p w14:paraId="455CF556">
                  <w:pPr>
                    <w:pStyle w:val="16"/>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kern w:val="0"/>
                      <w:sz w:val="21"/>
                      <w:szCs w:val="21"/>
                      <w:highlight w:val="none"/>
                      <w:lang w:val="en-US" w:eastAsia="zh-CN"/>
                    </w:rPr>
                    <w:t>100~111</w:t>
                  </w:r>
                </w:p>
              </w:tc>
              <w:tc>
                <w:tcPr>
                  <w:tcW w:w="688" w:type="pct"/>
                  <w:tcBorders>
                    <w:tl2br w:val="nil"/>
                    <w:tr2bl w:val="nil"/>
                  </w:tcBorders>
                  <w:noWrap w:val="0"/>
                  <w:vAlign w:val="center"/>
                </w:tcPr>
                <w:p w14:paraId="3D281477">
                  <w:pPr>
                    <w:pStyle w:val="16"/>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kern w:val="0"/>
                      <w:sz w:val="21"/>
                      <w:szCs w:val="21"/>
                      <w:highlight w:val="none"/>
                      <w:lang w:val="en-US" w:eastAsia="zh-CN"/>
                    </w:rPr>
                    <w:t>37.0</w:t>
                  </w:r>
                </w:p>
              </w:tc>
              <w:tc>
                <w:tcPr>
                  <w:tcW w:w="405" w:type="pct"/>
                  <w:tcBorders>
                    <w:tl2br w:val="nil"/>
                    <w:tr2bl w:val="nil"/>
                  </w:tcBorders>
                  <w:noWrap w:val="0"/>
                  <w:vAlign w:val="center"/>
                </w:tcPr>
                <w:p w14:paraId="3D8AFD50">
                  <w:pPr>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0</w:t>
                  </w:r>
                </w:p>
              </w:tc>
              <w:tc>
                <w:tcPr>
                  <w:tcW w:w="487" w:type="pct"/>
                  <w:tcBorders>
                    <w:tl2br w:val="nil"/>
                    <w:tr2bl w:val="nil"/>
                  </w:tcBorders>
                  <w:noWrap w:val="0"/>
                  <w:vAlign w:val="center"/>
                </w:tcPr>
                <w:p w14:paraId="2D43658E">
                  <w:pPr>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达标</w:t>
                  </w:r>
                </w:p>
              </w:tc>
            </w:tr>
          </w:tbl>
          <w:p w14:paraId="3D7A5C9F">
            <w:pPr>
              <w:keepNext w:val="0"/>
              <w:keepLines w:val="0"/>
              <w:pageBreakBefore w:val="0"/>
              <w:widowControl w:val="0"/>
              <w:suppressLineNumbers w:val="0"/>
              <w:tabs>
                <w:tab w:val="left" w:pos="1472"/>
              </w:tabs>
              <w:kinsoku/>
              <w:wordWrap w:val="0"/>
              <w:overflowPunct/>
              <w:topLinePunct w:val="0"/>
              <w:autoSpaceDE/>
              <w:autoSpaceDN/>
              <w:bidi w:val="0"/>
              <w:adjustRightInd/>
              <w:snapToGrid/>
              <w:spacing w:before="0" w:beforeAutospacing="0" w:after="0" w:afterAutospacing="0" w:line="100" w:lineRule="exact"/>
              <w:ind w:left="771" w:right="0"/>
              <w:jc w:val="center"/>
              <w:textAlignment w:val="auto"/>
              <w:rPr>
                <w:rFonts w:hint="default" w:ascii="Times New Roman" w:hAnsi="Times New Roman" w:cs="Times New Roman"/>
                <w:color w:val="auto"/>
                <w:szCs w:val="21"/>
                <w:highlight w:val="none"/>
              </w:rPr>
            </w:pPr>
          </w:p>
          <w:p w14:paraId="74C172B6">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由以上监测结果可知，</w:t>
            </w:r>
            <w:r>
              <w:rPr>
                <w:rFonts w:hint="default" w:ascii="Times New Roman" w:hAnsi="Times New Roman" w:cs="Times New Roman"/>
                <w:color w:val="auto"/>
                <w:sz w:val="24"/>
                <w:highlight w:val="none"/>
                <w:lang w:val="en-US" w:eastAsia="zh-CN"/>
              </w:rPr>
              <w:t>监测点TSP 24小时平均浓度可达到《环境空气质量标准》（GB3095-2026）中过渡阶段浓度限值的二级标准</w:t>
            </w:r>
            <w:r>
              <w:rPr>
                <w:rFonts w:hint="default" w:ascii="Times New Roman" w:hAnsi="Times New Roman" w:cs="Times New Roman"/>
                <w:color w:val="auto"/>
                <w:sz w:val="24"/>
                <w:highlight w:val="none"/>
              </w:rPr>
              <w:t>。</w:t>
            </w:r>
          </w:p>
          <w:p w14:paraId="098A34FB">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总体来说，项目</w:t>
            </w:r>
            <w:r>
              <w:rPr>
                <w:rFonts w:hint="default" w:ascii="Times New Roman" w:hAnsi="Times New Roman" w:cs="Times New Roman"/>
                <w:color w:val="auto"/>
                <w:sz w:val="24"/>
                <w:highlight w:val="none"/>
                <w:lang w:val="en-US" w:eastAsia="zh-CN"/>
              </w:rPr>
              <w:t>周边环境空气质量良好</w:t>
            </w:r>
            <w:r>
              <w:rPr>
                <w:rFonts w:hint="default" w:ascii="Times New Roman" w:hAnsi="Times New Roman" w:cs="Times New Roman"/>
                <w:color w:val="auto"/>
                <w:sz w:val="24"/>
                <w:highlight w:val="none"/>
              </w:rPr>
              <w:t>。</w:t>
            </w:r>
          </w:p>
          <w:p w14:paraId="4646E91E">
            <w:pPr>
              <w:keepNext w:val="0"/>
              <w:keepLines w:val="0"/>
              <w:pageBreakBefore w:val="0"/>
              <w:widowControl w:val="0"/>
              <w:numPr>
                <w:ilvl w:val="2"/>
                <w:numId w:val="0"/>
              </w:numPr>
              <w:suppressLineNumbers w:val="0"/>
              <w:tabs>
                <w:tab w:val="left" w:pos="420"/>
              </w:tabs>
              <w:kinsoku/>
              <w:wordWrap w:val="0"/>
              <w:overflowPunct/>
              <w:topLinePunct w:val="0"/>
              <w:bidi w:val="0"/>
              <w:spacing w:before="0" w:beforeAutospacing="0" w:after="0" w:afterAutospacing="0"/>
              <w:ind w:left="-2" w:right="0"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139ABD80">
            <w:pPr>
              <w:keepNext w:val="0"/>
              <w:keepLines w:val="0"/>
              <w:pageBreakBefore w:val="0"/>
              <w:suppressLineNumbers w:val="0"/>
              <w:wordWrap w:val="0"/>
              <w:autoSpaceDE w:val="0"/>
              <w:autoSpaceDN w:val="0"/>
              <w:bidi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rFonts w:hint="default" w:ascii="Times New Roman" w:hAnsi="Times New Roman" w:cs="Times New Roman"/>
                <w:color w:val="auto"/>
                <w:highlight w:val="none"/>
                <w:lang w:eastAsia="zh-CN"/>
              </w:rPr>
              <w:t>〔2011〕14号</w:t>
            </w:r>
            <w:r>
              <w:rPr>
                <w:rFonts w:hint="default" w:ascii="Times New Roman" w:hAnsi="Times New Roman" w:cs="Times New Roman"/>
                <w:color w:val="auto"/>
                <w:highlight w:val="none"/>
              </w:rPr>
              <w:t>），本项目所在区域主要地表水及纳污水体为武江（乐昌城-犁市），为</w:t>
            </w:r>
            <w:r>
              <w:rPr>
                <w:rFonts w:hint="default" w:ascii="Times New Roman" w:hAnsi="Times New Roman" w:cs="Times New Roman"/>
                <w:color w:val="auto"/>
                <w:highlight w:val="none"/>
                <w:lang w:eastAsia="zh-CN"/>
              </w:rPr>
              <w:t>Ⅲ</w:t>
            </w:r>
            <w:r>
              <w:rPr>
                <w:rFonts w:hint="default" w:ascii="Times New Roman" w:hAnsi="Times New Roman" w:cs="Times New Roman"/>
                <w:color w:val="auto"/>
                <w:highlight w:val="none"/>
              </w:rPr>
              <w:t>类水质功能区，执行《地表水环境质量标准》（GB3838-2002）中的</w:t>
            </w:r>
            <w:r>
              <w:rPr>
                <w:rFonts w:hint="default" w:ascii="Times New Roman" w:hAnsi="Times New Roman" w:cs="Times New Roman"/>
                <w:color w:val="auto"/>
                <w:highlight w:val="none"/>
                <w:lang w:eastAsia="zh-CN"/>
              </w:rPr>
              <w:t>Ⅲ</w:t>
            </w:r>
            <w:r>
              <w:rPr>
                <w:rFonts w:hint="default" w:ascii="Times New Roman" w:hAnsi="Times New Roman" w:cs="Times New Roman"/>
                <w:color w:val="auto"/>
                <w:highlight w:val="none"/>
              </w:rPr>
              <w:t>类标准。</w:t>
            </w:r>
          </w:p>
          <w:p w14:paraId="2F4E8171">
            <w:pPr>
              <w:keepNext w:val="0"/>
              <w:keepLines w:val="0"/>
              <w:pageBreakBefore w:val="0"/>
              <w:suppressLineNumbers w:val="0"/>
              <w:wordWrap w:val="0"/>
              <w:autoSpaceDE w:val="0"/>
              <w:autoSpaceDN w:val="0"/>
              <w:bidi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，2024年，韶关市11条主要江河（北江、武江、浈江、南水河、墨江、锦江、马坝河、滃江、新丰江、横石水和大潭河）34个市考以上手工监测断面水质优良率为100%，与2023年持平</w:t>
            </w:r>
            <w:r>
              <w:rPr>
                <w:rFonts w:hint="default" w:ascii="Times New Roman" w:hAnsi="Times New Roman" w:cs="Times New Roman"/>
                <w:color w:val="auto"/>
                <w:highlight w:val="none"/>
                <w:lang w:eastAsia="zh-CN"/>
              </w:rPr>
              <w:t>，其中Ⅰ类比例为2.9%、Ⅱ类比例为88.2%、Ⅲ类比例为8.8%。</w:t>
            </w:r>
            <w:r>
              <w:rPr>
                <w:rFonts w:hint="default" w:ascii="Times New Roman" w:hAnsi="Times New Roman" w:cs="Times New Roman"/>
                <w:color w:val="auto"/>
                <w:highlight w:val="none"/>
              </w:rPr>
              <w:t>故项目所在地地表水环境质量现状良好。</w:t>
            </w:r>
          </w:p>
          <w:p w14:paraId="5E7840FD">
            <w:pPr>
              <w:pStyle w:val="4"/>
              <w:pageBreakBefore w:val="0"/>
              <w:numPr>
                <w:ilvl w:val="2"/>
                <w:numId w:val="0"/>
              </w:numPr>
              <w:suppressLineNumbers w:val="0"/>
              <w:wordWrap w:val="0"/>
              <w:bidi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032C37E7">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项目所在地为工业园区内，执行《声环境质量标准》（GB3096—2008）3类标准（昼间65dB(A)；夜间55dB(A)）。</w:t>
            </w:r>
          </w:p>
          <w:p w14:paraId="44F7767C">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4E125A42">
            <w:pPr>
              <w:pStyle w:val="4"/>
              <w:pageBreakBefore w:val="0"/>
              <w:numPr>
                <w:ilvl w:val="2"/>
                <w:numId w:val="0"/>
              </w:numPr>
              <w:suppressLineNumbers w:val="0"/>
              <w:wordWrap w:val="0"/>
              <w:bidi w:val="0"/>
              <w:spacing w:before="0" w:beforeAutospacing="0" w:after="0" w:afterAutospacing="0"/>
              <w:ind w:left="-2" w:right="0" w:firstLine="482"/>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053B800C">
            <w:pPr>
              <w:keepNext w:val="0"/>
              <w:keepLines w:val="0"/>
              <w:pageBreakBefore w:val="0"/>
              <w:suppressLineNumbers w:val="0"/>
              <w:wordWrap w:val="0"/>
              <w:autoSpaceDE w:val="0"/>
              <w:autoSpaceDN w:val="0"/>
              <w:bidi w:val="0"/>
              <w:adjustRightInd w:val="0"/>
              <w:spacing w:before="0" w:beforeAutospacing="0" w:after="0" w:afterAutospacing="0"/>
              <w:ind w:left="0" w:right="0" w:firstLine="480" w:firstLineChars="200"/>
              <w:jc w:val="both"/>
              <w:rPr>
                <w:rFonts w:hint="default" w:ascii="Times New Roman" w:hAnsi="Times New Roman" w:cs="Times New Roman"/>
                <w:bCs/>
                <w:color w:val="auto"/>
                <w:kern w:val="28"/>
                <w:sz w:val="24"/>
                <w:highlight w:val="none"/>
                <w:lang w:eastAsia="zh-CN"/>
              </w:rPr>
            </w:pPr>
            <w:r>
              <w:rPr>
                <w:rFonts w:hint="default" w:ascii="Times New Roman" w:hAnsi="Times New Roman" w:eastAsia="宋体" w:cs="Times New Roman"/>
                <w:color w:val="auto"/>
                <w:highlight w:val="none"/>
                <w:lang w:val="en-US" w:eastAsia="zh-CN"/>
              </w:rPr>
              <w:t>项目投产后，</w:t>
            </w:r>
            <w:r>
              <w:rPr>
                <w:rFonts w:hint="default" w:ascii="Times New Roman" w:hAnsi="Times New Roman" w:cs="Times New Roman"/>
                <w:bCs/>
                <w:color w:val="auto"/>
                <w:kern w:val="28"/>
                <w:sz w:val="24"/>
                <w:highlight w:val="none"/>
              </w:rPr>
              <w:t>危险废物</w:t>
            </w:r>
            <w:r>
              <w:rPr>
                <w:rFonts w:hint="default" w:ascii="Times New Roman" w:hAnsi="Times New Roman" w:cs="Times New Roman"/>
                <w:bCs/>
                <w:color w:val="auto"/>
                <w:kern w:val="28"/>
                <w:sz w:val="24"/>
                <w:highlight w:val="none"/>
                <w:lang w:eastAsia="zh-CN"/>
              </w:rPr>
              <w:t>暂存间</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75716D55">
            <w:pPr>
              <w:pStyle w:val="4"/>
              <w:pageBreakBefore w:val="0"/>
              <w:numPr>
                <w:ilvl w:val="2"/>
                <w:numId w:val="0"/>
              </w:numPr>
              <w:suppressLineNumbers w:val="0"/>
              <w:wordWrap w:val="0"/>
              <w:bidi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610AB803">
            <w:pPr>
              <w:pStyle w:val="4"/>
              <w:pageBreakBefore w:val="0"/>
              <w:numPr>
                <w:ilvl w:val="2"/>
                <w:numId w:val="0"/>
              </w:numPr>
              <w:suppressLineNumbers w:val="0"/>
              <w:wordWrap w:val="0"/>
              <w:bidi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p w14:paraId="7E1E968C">
            <w:pPr>
              <w:pStyle w:val="4"/>
              <w:pageBreakBefore w:val="0"/>
              <w:numPr>
                <w:ilvl w:val="2"/>
                <w:numId w:val="0"/>
              </w:numPr>
              <w:suppressLineNumbers w:val="0"/>
              <w:wordWrap w:val="0"/>
              <w:bidi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w:t>
            </w:r>
            <w:r>
              <w:rPr>
                <w:rFonts w:hint="default" w:ascii="Times New Roman" w:hAnsi="Times New Roman" w:cs="Times New Roman"/>
                <w:color w:val="auto"/>
                <w:highlight w:val="none"/>
              </w:rPr>
              <w:t>、电磁辐射环境质量现状</w:t>
            </w:r>
          </w:p>
          <w:p w14:paraId="43E049A4">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w:t>
            </w:r>
            <w:r>
              <w:rPr>
                <w:rFonts w:hint="default" w:ascii="Times New Roman" w:hAnsi="Times New Roman" w:cs="Times New Roman"/>
                <w:b w:val="0"/>
                <w:bCs w:val="0"/>
                <w:color w:val="auto"/>
                <w:szCs w:val="32"/>
                <w:highlight w:val="none"/>
                <w:lang w:val="en-US" w:eastAsia="zh-CN"/>
              </w:rPr>
              <w:t>属于非金属矿物制品业</w:t>
            </w:r>
            <w:r>
              <w:rPr>
                <w:rFonts w:hint="default" w:ascii="Times New Roman" w:hAnsi="Times New Roman" w:cs="Times New Roman"/>
                <w:b w:val="0"/>
                <w:bCs w:val="0"/>
                <w:color w:val="auto"/>
                <w:szCs w:val="32"/>
                <w:highlight w:val="none"/>
              </w:rPr>
              <w:t>，不属于电磁辐射类项目，无需开展生态环境和电磁辐射现状调查。</w:t>
            </w:r>
          </w:p>
        </w:tc>
      </w:tr>
      <w:tr w14:paraId="6986C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0D5302D1">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kern w:val="2"/>
                <w:highlight w:val="none"/>
              </w:rPr>
            </w:pPr>
            <w:bookmarkStart w:id="60" w:name="_Toc15642"/>
            <w:bookmarkStart w:id="61" w:name="_Toc31357"/>
            <w:bookmarkStart w:id="62" w:name="_Toc4567"/>
            <w:bookmarkStart w:id="63" w:name="_Toc241"/>
            <w:bookmarkStart w:id="64" w:name="_Toc728"/>
            <w:bookmarkStart w:id="65" w:name="_Toc20976"/>
            <w:bookmarkStart w:id="66" w:name="_Toc461"/>
            <w:bookmarkStart w:id="67" w:name="_Toc31344"/>
            <w:bookmarkStart w:id="68" w:name="_Toc24022"/>
            <w:bookmarkStart w:id="69" w:name="_Toc15908"/>
            <w:bookmarkStart w:id="70" w:name="_Toc28375"/>
            <w:bookmarkStart w:id="71" w:name="_Toc28210"/>
            <w:bookmarkStart w:id="72" w:name="_Toc28582"/>
            <w:bookmarkStart w:id="73" w:name="_Toc14552"/>
            <w:r>
              <w:rPr>
                <w:rFonts w:hint="default" w:ascii="Times New Roman" w:hAnsi="Times New Roman" w:cs="Times New Roman"/>
                <w:b/>
                <w:bCs/>
                <w:color w:val="auto"/>
                <w:kern w:val="2"/>
                <w:highlight w:val="none"/>
              </w:rPr>
              <w:t>环境保护目标</w:t>
            </w:r>
            <w:bookmarkEnd w:id="60"/>
            <w:bookmarkEnd w:id="61"/>
            <w:bookmarkEnd w:id="62"/>
            <w:bookmarkEnd w:id="63"/>
            <w:bookmarkEnd w:id="64"/>
            <w:bookmarkEnd w:id="65"/>
            <w:bookmarkEnd w:id="66"/>
            <w:bookmarkEnd w:id="67"/>
            <w:bookmarkEnd w:id="68"/>
            <w:bookmarkEnd w:id="69"/>
            <w:bookmarkEnd w:id="70"/>
            <w:bookmarkEnd w:id="71"/>
            <w:bookmarkEnd w:id="72"/>
            <w:bookmarkEnd w:id="73"/>
          </w:p>
        </w:tc>
        <w:tc>
          <w:tcPr>
            <w:tcW w:w="4737" w:type="pct"/>
          </w:tcPr>
          <w:p w14:paraId="323654B6">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741A1616">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本项目厂界外500m范围内无自然保护区、风景名胜区、文化区，大气环境保护目标。</w:t>
            </w:r>
          </w:p>
          <w:p w14:paraId="379EFC02">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14DFEC37">
            <w:pPr>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30702004">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3FADAEB8">
            <w:pPr>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681910BF">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35182E78">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3826F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62" w:type="pct"/>
            <w:vAlign w:val="center"/>
          </w:tcPr>
          <w:p w14:paraId="610157AE">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bCs/>
                <w:color w:val="auto"/>
                <w:kern w:val="2"/>
                <w:highlight w:val="none"/>
              </w:rPr>
            </w:pPr>
            <w:bookmarkStart w:id="74" w:name="_Toc8003"/>
            <w:bookmarkStart w:id="75" w:name="_Toc2199"/>
            <w:bookmarkStart w:id="76" w:name="_Toc29246"/>
            <w:bookmarkStart w:id="77" w:name="_Toc24161"/>
            <w:bookmarkStart w:id="78" w:name="_Toc32736"/>
            <w:bookmarkStart w:id="79" w:name="_Toc4596"/>
            <w:bookmarkStart w:id="80" w:name="_Toc9663"/>
            <w:bookmarkStart w:id="81" w:name="_Toc8874"/>
            <w:bookmarkStart w:id="82" w:name="_Toc30637"/>
            <w:bookmarkStart w:id="83" w:name="_Toc10187"/>
            <w:bookmarkStart w:id="84" w:name="_Toc21959"/>
            <w:bookmarkStart w:id="85" w:name="_Toc31966"/>
            <w:bookmarkStart w:id="86" w:name="_Toc27828"/>
            <w:bookmarkStart w:id="87" w:name="_Toc14344"/>
            <w:r>
              <w:rPr>
                <w:rFonts w:hint="default" w:ascii="Times New Roman" w:hAnsi="Times New Roman" w:cs="Times New Roman"/>
                <w:b/>
                <w:bCs/>
                <w:color w:val="auto"/>
                <w:kern w:val="2"/>
                <w:highlight w:val="none"/>
              </w:rPr>
              <w:t>污染物排放控制标准</w:t>
            </w:r>
            <w:bookmarkEnd w:id="74"/>
            <w:bookmarkEnd w:id="75"/>
            <w:bookmarkEnd w:id="76"/>
            <w:bookmarkEnd w:id="77"/>
            <w:bookmarkEnd w:id="78"/>
            <w:bookmarkEnd w:id="79"/>
            <w:bookmarkEnd w:id="80"/>
            <w:bookmarkEnd w:id="81"/>
            <w:bookmarkEnd w:id="82"/>
            <w:bookmarkEnd w:id="83"/>
            <w:bookmarkEnd w:id="84"/>
            <w:bookmarkEnd w:id="85"/>
            <w:bookmarkEnd w:id="86"/>
            <w:bookmarkEnd w:id="87"/>
          </w:p>
        </w:tc>
        <w:tc>
          <w:tcPr>
            <w:tcW w:w="4737" w:type="pct"/>
          </w:tcPr>
          <w:p w14:paraId="0D41A4C3">
            <w:pPr>
              <w:pStyle w:val="4"/>
              <w:pageBreakBefore w:val="0"/>
              <w:numPr>
                <w:ilvl w:val="2"/>
                <w:numId w:val="0"/>
              </w:numPr>
              <w:suppressLineNumbers w:val="0"/>
              <w:wordWrap w:val="0"/>
              <w:bidi w:val="0"/>
              <w:spacing w:before="0" w:beforeAutospacing="0" w:after="0" w:afterAutospacing="0"/>
              <w:ind w:left="-2" w:leftChars="0" w:right="0" w:firstLine="482"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一、</w:t>
            </w:r>
            <w:r>
              <w:rPr>
                <w:rFonts w:hint="default" w:ascii="Times New Roman" w:hAnsi="Times New Roman" w:cs="Times New Roman"/>
                <w:color w:val="auto"/>
                <w:highlight w:val="none"/>
              </w:rPr>
              <w:t>废气排放标准</w:t>
            </w:r>
          </w:p>
          <w:p w14:paraId="318185D4">
            <w:pPr>
              <w:pStyle w:val="16"/>
              <w:keepNext w:val="0"/>
              <w:keepLines w:val="0"/>
              <w:pageBreakBefore w:val="0"/>
              <w:numPr>
                <w:ilvl w:val="255"/>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（1）施工期</w:t>
            </w:r>
          </w:p>
          <w:p w14:paraId="42F5178D">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rPr>
              <w:t>本项目</w:t>
            </w:r>
            <w:r>
              <w:rPr>
                <w:rFonts w:hint="default" w:ascii="Times New Roman" w:hAnsi="Times New Roman" w:cs="Times New Roman"/>
                <w:b w:val="0"/>
                <w:bCs w:val="0"/>
                <w:color w:val="auto"/>
                <w:szCs w:val="21"/>
                <w:highlight w:val="none"/>
                <w:lang w:val="en-US" w:eastAsia="zh-CN"/>
              </w:rPr>
              <w:t>租赁已建成厂房，无需进行基础厂房建设施工。</w:t>
            </w:r>
          </w:p>
          <w:p w14:paraId="71ED4F39">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2）运营期</w:t>
            </w:r>
          </w:p>
          <w:p w14:paraId="24D34B16">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w:t>
            </w:r>
            <w:r>
              <w:rPr>
                <w:rFonts w:hint="default" w:ascii="Times New Roman" w:hAnsi="Times New Roman" w:cs="Times New Roman"/>
                <w:color w:val="auto"/>
                <w:highlight w:val="none"/>
                <w:lang w:val="en-US" w:eastAsia="zh-CN"/>
              </w:rPr>
              <w:t>有机</w:t>
            </w:r>
            <w:r>
              <w:rPr>
                <w:rFonts w:hint="default" w:ascii="Times New Roman" w:hAnsi="Times New Roman" w:cs="Times New Roman"/>
                <w:color w:val="auto"/>
                <w:highlight w:val="none"/>
              </w:rPr>
              <w:t>废气</w:t>
            </w:r>
          </w:p>
          <w:p w14:paraId="7E951CDB">
            <w:pPr>
              <w:keepNext w:val="0"/>
              <w:keepLines w:val="0"/>
              <w:pageBreakBefore w:val="0"/>
              <w:suppressLineNumbers w:val="0"/>
              <w:wordWrap w:val="0"/>
              <w:bidi w:val="0"/>
              <w:spacing w:before="0" w:beforeAutospacing="0" w:after="0" w:afterAutospacing="0"/>
              <w:ind w:left="0" w:right="0" w:firstLine="480" w:firstLineChars="20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成型烘干、上色固化</w:t>
            </w:r>
            <w:r>
              <w:rPr>
                <w:rFonts w:hint="default" w:ascii="Times New Roman" w:hAnsi="Times New Roman" w:cs="Times New Roman"/>
                <w:color w:val="auto"/>
                <w:highlight w:val="none"/>
              </w:rPr>
              <w:t>使用</w:t>
            </w:r>
            <w:r>
              <w:rPr>
                <w:rFonts w:hint="default" w:ascii="Times New Roman" w:hAnsi="Times New Roman" w:cs="Times New Roman"/>
                <w:color w:val="auto"/>
                <w:highlight w:val="none"/>
                <w:lang w:val="en-US" w:eastAsia="zh-CN"/>
              </w:rPr>
              <w:t>的丙烯酸乳液、水性漆会产生有机废气</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lang w:val="en-US" w:eastAsia="zh-CN"/>
              </w:rPr>
              <w:t>非甲烷总烃、苯系物</w:t>
            </w:r>
            <w:r>
              <w:rPr>
                <w:rFonts w:hint="default" w:ascii="Times New Roman" w:hAnsi="Times New Roman" w:eastAsia="宋体" w:cs="Times New Roman"/>
                <w:color w:val="auto"/>
                <w:sz w:val="24"/>
                <w:highlight w:val="none"/>
              </w:rPr>
              <w:t>执行广东省《固定污染源挥发性有机物综合排放标准》（DB44/2367-2022）</w:t>
            </w:r>
            <w:r>
              <w:rPr>
                <w:rFonts w:hint="default" w:ascii="Times New Roman" w:hAnsi="Times New Roman" w:cs="Times New Roman"/>
                <w:color w:val="auto"/>
                <w:sz w:val="24"/>
                <w:highlight w:val="none"/>
                <w:lang w:val="en-US" w:eastAsia="zh-CN"/>
              </w:rPr>
              <w:t>中</w:t>
            </w:r>
            <w:r>
              <w:rPr>
                <w:rFonts w:hint="default" w:ascii="Times New Roman" w:hAnsi="Times New Roman" w:eastAsia="宋体" w:cs="Times New Roman"/>
                <w:color w:val="auto"/>
                <w:sz w:val="24"/>
                <w:highlight w:val="none"/>
              </w:rPr>
              <w:t>表</w:t>
            </w:r>
            <w:r>
              <w:rPr>
                <w:rFonts w:hint="default" w:ascii="Times New Roman" w:hAnsi="Times New Roman" w:eastAsia="宋体" w:cs="Times New Roman"/>
                <w:color w:val="auto"/>
                <w:sz w:val="24"/>
                <w:highlight w:val="none"/>
                <w:lang w:val="en-US" w:eastAsia="zh-CN"/>
              </w:rPr>
              <w:t>1挥发性有机物排放限值要求；</w:t>
            </w:r>
            <w:r>
              <w:rPr>
                <w:rFonts w:hint="default" w:ascii="Times New Roman" w:hAnsi="Times New Roman" w:eastAsia="宋体" w:cs="Times New Roman"/>
                <w:color w:val="auto"/>
                <w:sz w:val="24"/>
                <w:highlight w:val="none"/>
              </w:rPr>
              <w:t>厂区内</w:t>
            </w:r>
            <w:r>
              <w:rPr>
                <w:rFonts w:hint="default" w:ascii="Times New Roman" w:hAnsi="Times New Roman" w:cs="Times New Roman"/>
                <w:color w:val="auto"/>
                <w:sz w:val="24"/>
                <w:highlight w:val="none"/>
                <w:lang w:val="en-US" w:eastAsia="zh-CN"/>
              </w:rPr>
              <w:t>VOCs无组织排放监控点浓度</w:t>
            </w:r>
            <w:r>
              <w:rPr>
                <w:rFonts w:hint="default" w:ascii="Times New Roman" w:hAnsi="Times New Roman" w:eastAsia="宋体" w:cs="Times New Roman"/>
                <w:color w:val="auto"/>
                <w:sz w:val="24"/>
                <w:highlight w:val="none"/>
              </w:rPr>
              <w:t>执行表3厂区内VOCs无组织排放限值</w:t>
            </w:r>
            <w:r>
              <w:rPr>
                <w:rFonts w:hint="eastAsia" w:ascii="Times New Roman" w:hAnsi="Times New Roman" w:cs="Times New Roman"/>
                <w:color w:val="auto"/>
                <w:sz w:val="24"/>
                <w:highlight w:val="none"/>
                <w:lang w:eastAsia="zh-CN"/>
              </w:rPr>
              <w:t>。</w:t>
            </w:r>
          </w:p>
          <w:p w14:paraId="6D8A96AE">
            <w:pPr>
              <w:pStyle w:val="43"/>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表3-</w:t>
            </w:r>
            <w:r>
              <w:rPr>
                <w:rFonts w:hint="default" w:ascii="Times New Roman" w:hAnsi="Times New Roman" w:cs="Times New Roman"/>
                <w:b/>
                <w:color w:val="auto"/>
                <w:kern w:val="2"/>
                <w:sz w:val="21"/>
                <w:szCs w:val="21"/>
                <w:highlight w:val="none"/>
                <w:lang w:val="en-US" w:eastAsia="zh-CN" w:bidi="ar-SA"/>
              </w:rPr>
              <w:t>4 有机</w:t>
            </w:r>
            <w:r>
              <w:rPr>
                <w:rFonts w:hint="default" w:ascii="Times New Roman" w:hAnsi="Times New Roman" w:cs="Times New Roman"/>
                <w:b/>
                <w:bCs/>
                <w:color w:val="auto"/>
                <w:sz w:val="21"/>
                <w:szCs w:val="21"/>
                <w:highlight w:val="none"/>
              </w:rPr>
              <w:t>废气排放标准（单位：mg/m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bl>
            <w:tblPr>
              <w:tblStyle w:val="37"/>
              <w:tblW w:w="9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888"/>
              <w:gridCol w:w="647"/>
              <w:gridCol w:w="1424"/>
              <w:gridCol w:w="1240"/>
              <w:gridCol w:w="784"/>
              <w:gridCol w:w="767"/>
              <w:gridCol w:w="2701"/>
            </w:tblGrid>
            <w:tr w14:paraId="06378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847" w:type="dxa"/>
                  <w:vMerge w:val="restart"/>
                  <w:vAlign w:val="center"/>
                </w:tcPr>
                <w:p w14:paraId="4A89989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888" w:type="dxa"/>
                  <w:vMerge w:val="restart"/>
                  <w:vAlign w:val="center"/>
                </w:tcPr>
                <w:p w14:paraId="7D38F93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排气筒编号</w:t>
                  </w:r>
                </w:p>
              </w:tc>
              <w:tc>
                <w:tcPr>
                  <w:tcW w:w="647" w:type="dxa"/>
                  <w:vMerge w:val="restart"/>
                  <w:vAlign w:val="center"/>
                </w:tcPr>
                <w:p w14:paraId="2C85196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排放高度</w:t>
                  </w:r>
                </w:p>
              </w:tc>
              <w:tc>
                <w:tcPr>
                  <w:tcW w:w="2664" w:type="dxa"/>
                  <w:gridSpan w:val="2"/>
                  <w:vAlign w:val="center"/>
                </w:tcPr>
                <w:p w14:paraId="6B62ED04">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有组织排放要求</w:t>
                  </w:r>
                </w:p>
              </w:tc>
              <w:tc>
                <w:tcPr>
                  <w:tcW w:w="1551" w:type="dxa"/>
                  <w:gridSpan w:val="2"/>
                  <w:vMerge w:val="restart"/>
                  <w:vAlign w:val="center"/>
                </w:tcPr>
                <w:p w14:paraId="0B7B0E6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无组织排放监控浓度限值（mg/m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2701" w:type="dxa"/>
                  <w:vMerge w:val="restart"/>
                  <w:vAlign w:val="center"/>
                </w:tcPr>
                <w:p w14:paraId="1F8B354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0A616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847" w:type="dxa"/>
                  <w:vMerge w:val="continue"/>
                  <w:vAlign w:val="center"/>
                </w:tcPr>
                <w:p w14:paraId="6050575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888" w:type="dxa"/>
                  <w:vMerge w:val="continue"/>
                  <w:vAlign w:val="center"/>
                </w:tcPr>
                <w:p w14:paraId="144C3FF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647" w:type="dxa"/>
                  <w:vMerge w:val="continue"/>
                  <w:vAlign w:val="center"/>
                </w:tcPr>
                <w:p w14:paraId="1235722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424" w:type="dxa"/>
                  <w:vAlign w:val="center"/>
                </w:tcPr>
                <w:p w14:paraId="1A521BDD">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最高允许排放浓度（mg/m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240" w:type="dxa"/>
                  <w:vAlign w:val="center"/>
                </w:tcPr>
                <w:p w14:paraId="5CA33CDB">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最高允许排放速率（</w:t>
                  </w:r>
                  <w:r>
                    <w:rPr>
                      <w:rFonts w:hint="default" w:ascii="Times New Roman" w:hAnsi="Times New Roman" w:cs="Times New Roman"/>
                      <w:b/>
                      <w:bCs/>
                      <w:color w:val="auto"/>
                      <w:sz w:val="21"/>
                      <w:szCs w:val="21"/>
                      <w:highlight w:val="none"/>
                      <w:lang w:val="en-US" w:eastAsia="zh-CN"/>
                    </w:rPr>
                    <w:t>kg/h</w:t>
                  </w:r>
                  <w:r>
                    <w:rPr>
                      <w:rFonts w:hint="default" w:ascii="Times New Roman" w:hAnsi="Times New Roman" w:cs="Times New Roman"/>
                      <w:b/>
                      <w:bCs/>
                      <w:color w:val="auto"/>
                      <w:sz w:val="21"/>
                      <w:szCs w:val="21"/>
                      <w:highlight w:val="none"/>
                    </w:rPr>
                    <w:t>）</w:t>
                  </w:r>
                </w:p>
              </w:tc>
              <w:tc>
                <w:tcPr>
                  <w:tcW w:w="1551" w:type="dxa"/>
                  <w:gridSpan w:val="2"/>
                  <w:vMerge w:val="continue"/>
                  <w:vAlign w:val="center"/>
                </w:tcPr>
                <w:p w14:paraId="595E5D0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701" w:type="dxa"/>
                  <w:vMerge w:val="continue"/>
                  <w:vAlign w:val="center"/>
                </w:tcPr>
                <w:p w14:paraId="15C9E90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4F3B2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847" w:type="dxa"/>
                  <w:vAlign w:val="center"/>
                </w:tcPr>
                <w:p w14:paraId="3A3275C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p>
              </w:tc>
              <w:tc>
                <w:tcPr>
                  <w:tcW w:w="888" w:type="dxa"/>
                  <w:vMerge w:val="restart"/>
                  <w:vAlign w:val="center"/>
                </w:tcPr>
                <w:p w14:paraId="1896A70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647" w:type="dxa"/>
                  <w:vMerge w:val="restart"/>
                  <w:vAlign w:val="center"/>
                </w:tcPr>
                <w:p w14:paraId="126828D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15m</w:t>
                  </w:r>
                </w:p>
              </w:tc>
              <w:tc>
                <w:tcPr>
                  <w:tcW w:w="1424" w:type="dxa"/>
                  <w:vAlign w:val="center"/>
                </w:tcPr>
                <w:p w14:paraId="52901C2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1240" w:type="dxa"/>
                  <w:vAlign w:val="center"/>
                </w:tcPr>
                <w:p w14:paraId="2907810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784" w:type="dxa"/>
                  <w:vAlign w:val="center"/>
                </w:tcPr>
                <w:p w14:paraId="5AFF2BC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p>
              </w:tc>
              <w:tc>
                <w:tcPr>
                  <w:tcW w:w="767" w:type="dxa"/>
                  <w:vAlign w:val="center"/>
                </w:tcPr>
                <w:p w14:paraId="2489206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监控点处1h平均浓度值</w:t>
                  </w:r>
                </w:p>
              </w:tc>
              <w:tc>
                <w:tcPr>
                  <w:tcW w:w="2701" w:type="dxa"/>
                  <w:vMerge w:val="restart"/>
                  <w:vAlign w:val="center"/>
                </w:tcPr>
                <w:p w14:paraId="54D8E3E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广东省《固定污染源挥发性有机物综合排放标准》（DB44/2367-2022）表</w:t>
                  </w:r>
                  <w:r>
                    <w:rPr>
                      <w:rFonts w:hint="default" w:ascii="Times New Roman" w:hAnsi="Times New Roman" w:cs="Times New Roman"/>
                      <w:color w:val="auto"/>
                      <w:sz w:val="21"/>
                      <w:szCs w:val="21"/>
                      <w:highlight w:val="none"/>
                      <w:lang w:val="en-US" w:eastAsia="zh-CN"/>
                    </w:rPr>
                    <w:t>1挥发性有机物排放限值要求及</w:t>
                  </w:r>
                  <w:r>
                    <w:rPr>
                      <w:rFonts w:hint="default" w:ascii="Times New Roman" w:hAnsi="Times New Roman" w:cs="Times New Roman"/>
                      <w:color w:val="auto"/>
                      <w:sz w:val="21"/>
                      <w:szCs w:val="21"/>
                      <w:highlight w:val="none"/>
                    </w:rPr>
                    <w:t>表3厂区内VOCs无组织排放限值</w:t>
                  </w:r>
                </w:p>
              </w:tc>
            </w:tr>
            <w:tr w14:paraId="6724D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847" w:type="dxa"/>
                  <w:vAlign w:val="center"/>
                </w:tcPr>
                <w:p w14:paraId="06515C0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苯系物</w:t>
                  </w:r>
                </w:p>
              </w:tc>
              <w:tc>
                <w:tcPr>
                  <w:tcW w:w="888" w:type="dxa"/>
                  <w:vMerge w:val="continue"/>
                  <w:vAlign w:val="center"/>
                </w:tcPr>
                <w:p w14:paraId="0322378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647" w:type="dxa"/>
                  <w:vMerge w:val="continue"/>
                  <w:vAlign w:val="center"/>
                </w:tcPr>
                <w:p w14:paraId="33B4468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424" w:type="dxa"/>
                  <w:vAlign w:val="center"/>
                </w:tcPr>
                <w:p w14:paraId="08E9421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c>
                <w:tcPr>
                  <w:tcW w:w="1240" w:type="dxa"/>
                  <w:vAlign w:val="center"/>
                </w:tcPr>
                <w:p w14:paraId="32C854D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784" w:type="dxa"/>
                  <w:vAlign w:val="center"/>
                </w:tcPr>
                <w:p w14:paraId="3955E13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w:t>
                  </w:r>
                </w:p>
              </w:tc>
              <w:tc>
                <w:tcPr>
                  <w:tcW w:w="767" w:type="dxa"/>
                  <w:vAlign w:val="center"/>
                </w:tcPr>
                <w:p w14:paraId="3EA97FE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c>
                <w:tcPr>
                  <w:tcW w:w="2701" w:type="dxa"/>
                  <w:vMerge w:val="continue"/>
                  <w:vAlign w:val="center"/>
                </w:tcPr>
                <w:p w14:paraId="575966A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bl>
          <w:p w14:paraId="072D2324">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②投料粉尘、天然气燃烧废气、切割粉尘</w:t>
            </w:r>
          </w:p>
          <w:p w14:paraId="517E53DE">
            <w:pPr>
              <w:pStyle w:val="4"/>
              <w:keepNext/>
              <w:keepLines/>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ind w:left="0" w:leftChars="0" w:right="0" w:rightChars="0" w:firstLine="480" w:firstLineChars="200"/>
              <w:jc w:val="both"/>
              <w:textAlignment w:val="auto"/>
              <w:rPr>
                <w:rFonts w:hint="default" w:ascii="Times New Roman" w:hAnsi="Times New Roman" w:cs="Times New Roman"/>
                <w:b w:val="0"/>
                <w:bCs w:val="0"/>
                <w:color w:val="auto"/>
                <w:highlight w:val="none"/>
                <w:lang w:eastAsia="zh-CN"/>
              </w:rPr>
            </w:pPr>
            <w:r>
              <w:rPr>
                <w:rFonts w:hint="default" w:ascii="Times New Roman" w:hAnsi="Times New Roman" w:cs="Times New Roman"/>
                <w:b w:val="0"/>
                <w:bCs w:val="0"/>
                <w:color w:val="auto"/>
                <w:highlight w:val="none"/>
                <w:lang w:val="en-US" w:eastAsia="zh-CN"/>
              </w:rPr>
              <w:t>天然气燃烧废气中颗粒物、氮氧化物、二氧化硫执行</w:t>
            </w:r>
            <w:r>
              <w:rPr>
                <w:rFonts w:hint="default" w:ascii="Times New Roman" w:hAnsi="Times New Roman" w:cs="Times New Roman"/>
                <w:b w:val="0"/>
                <w:bCs w:val="0"/>
                <w:color w:val="auto"/>
                <w:highlight w:val="none"/>
              </w:rPr>
              <w:t>《关于贯彻落实&lt;工业炉窑大气污染综合治理方案&gt;的实施意见》（粤环函〔2019〕1112号）</w:t>
            </w:r>
            <w:r>
              <w:rPr>
                <w:rFonts w:hint="default" w:ascii="Times New Roman" w:hAnsi="Times New Roman" w:cs="Times New Roman"/>
                <w:b w:val="0"/>
                <w:bCs w:val="0"/>
                <w:color w:val="auto"/>
                <w:highlight w:val="none"/>
                <w:lang w:val="en-US" w:eastAsia="zh-CN"/>
              </w:rPr>
              <w:t>限值要求</w:t>
            </w:r>
            <w:r>
              <w:rPr>
                <w:rFonts w:hint="default" w:ascii="Times New Roman" w:hAnsi="Times New Roman" w:cs="Times New Roman"/>
                <w:b w:val="0"/>
                <w:bCs w:val="0"/>
                <w:color w:val="auto"/>
                <w:highlight w:val="none"/>
              </w:rPr>
              <w:t>；烟气黑度有组织排放执行《工业炉窑大气污染物排放标准》（GB9078—1996）表2限值要求</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投料粉尘、切割粉尘执行</w:t>
            </w:r>
            <w:r>
              <w:rPr>
                <w:rFonts w:hint="default" w:ascii="Times New Roman" w:hAnsi="Times New Roman" w:cs="Times New Roman"/>
                <w:b w:val="0"/>
                <w:bCs w:val="0"/>
                <w:color w:val="auto"/>
                <w:highlight w:val="none"/>
              </w:rPr>
              <w:t>广东省《大气污染物排放限值》（DB44/27-2001）无组织排放监控浓度限值要求</w:t>
            </w:r>
            <w:r>
              <w:rPr>
                <w:rFonts w:hint="default" w:ascii="Times New Roman" w:hAnsi="Times New Roman" w:cs="Times New Roman"/>
                <w:b w:val="0"/>
                <w:bCs w:val="0"/>
                <w:color w:val="auto"/>
                <w:highlight w:val="none"/>
                <w:lang w:eastAsia="zh-CN"/>
              </w:rPr>
              <w:t>；</w:t>
            </w:r>
          </w:p>
          <w:p w14:paraId="63B650E4">
            <w:pPr>
              <w:pStyle w:val="4"/>
              <w:keepNext/>
              <w:keepLines/>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ind w:left="0" w:leftChars="0" w:right="0" w:rightChars="0" w:firstLine="480" w:firstLineChars="200"/>
              <w:jc w:val="both"/>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color w:val="auto"/>
                <w:highlight w:val="none"/>
                <w:lang w:eastAsia="zh-CN"/>
              </w:rPr>
              <w:t>厂区内颗粒物执行《工业炉窑大气污染物排放标准》（GB9078—1996）表3</w:t>
            </w:r>
            <w:r>
              <w:rPr>
                <w:rFonts w:hint="default" w:ascii="Times New Roman" w:hAnsi="Times New Roman" w:cs="Times New Roman"/>
                <w:b w:val="0"/>
                <w:bCs w:val="0"/>
                <w:color w:val="auto"/>
                <w:highlight w:val="none"/>
                <w:lang w:val="en-US" w:eastAsia="zh-CN"/>
              </w:rPr>
              <w:t>限值要求。</w:t>
            </w:r>
          </w:p>
          <w:p w14:paraId="598220A8">
            <w:pPr>
              <w:pStyle w:val="4"/>
              <w:pageBreakBefore w:val="0"/>
              <w:numPr>
                <w:ilvl w:val="0"/>
                <w:numId w:val="0"/>
              </w:numPr>
              <w:suppressLineNumbers w:val="0"/>
              <w:wordWrap w:val="0"/>
              <w:bidi w:val="0"/>
              <w:spacing w:before="0" w:beforeAutospacing="0" w:after="0" w:afterAutospacing="0"/>
              <w:ind w:left="0" w:leftChars="0" w:right="0" w:rightChars="0" w:firstLine="4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b/>
                <w:bCs/>
                <w:color w:val="auto"/>
                <w:kern w:val="0"/>
                <w:sz w:val="21"/>
                <w:szCs w:val="21"/>
                <w:highlight w:val="none"/>
                <w:lang w:val="en-US" w:eastAsia="zh-CN" w:bidi="ar"/>
              </w:rPr>
              <w:t>表3-</w:t>
            </w:r>
            <w:r>
              <w:rPr>
                <w:rFonts w:hint="default" w:ascii="Times New Roman" w:hAnsi="Times New Roman" w:cs="Times New Roman"/>
                <w:b/>
                <w:bCs/>
                <w:color w:val="auto"/>
                <w:kern w:val="0"/>
                <w:sz w:val="21"/>
                <w:szCs w:val="21"/>
                <w:highlight w:val="none"/>
                <w:lang w:val="en-US" w:eastAsia="zh-CN" w:bidi="ar"/>
              </w:rPr>
              <w:t>5 生产废气中</w:t>
            </w:r>
            <w:r>
              <w:rPr>
                <w:rFonts w:hint="default" w:ascii="Times New Roman" w:hAnsi="Times New Roman" w:cs="Times New Roman"/>
                <w:color w:val="auto"/>
                <w:kern w:val="0"/>
                <w:sz w:val="21"/>
                <w:szCs w:val="21"/>
                <w:highlight w:val="none"/>
                <w:lang w:val="en-US" w:eastAsia="zh-CN" w:bidi="ar"/>
              </w:rPr>
              <w:t>颗粒物</w:t>
            </w:r>
            <w:r>
              <w:rPr>
                <w:rFonts w:hint="default" w:ascii="Times New Roman" w:hAnsi="Times New Roman" w:cs="Times New Roman"/>
                <w:color w:val="auto"/>
                <w:kern w:val="0"/>
                <w:sz w:val="21"/>
                <w:szCs w:val="21"/>
                <w:highlight w:val="none"/>
                <w:lang w:bidi="ar"/>
              </w:rPr>
              <w:t>排放限值标准</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590"/>
              <w:gridCol w:w="549"/>
              <w:gridCol w:w="1074"/>
              <w:gridCol w:w="964"/>
              <w:gridCol w:w="1250"/>
              <w:gridCol w:w="1523"/>
              <w:gridCol w:w="2798"/>
            </w:tblGrid>
            <w:tr w14:paraId="3992D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0" w:type="auto"/>
                  <w:vMerge w:val="restart"/>
                  <w:vAlign w:val="center"/>
                </w:tcPr>
                <w:p w14:paraId="6C9940C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0" w:type="auto"/>
                  <w:vMerge w:val="restart"/>
                  <w:vAlign w:val="center"/>
                </w:tcPr>
                <w:p w14:paraId="5B6BE35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排气筒编号</w:t>
                  </w:r>
                </w:p>
              </w:tc>
              <w:tc>
                <w:tcPr>
                  <w:tcW w:w="0" w:type="auto"/>
                  <w:vMerge w:val="restart"/>
                  <w:vAlign w:val="center"/>
                </w:tcPr>
                <w:p w14:paraId="429122D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排放高度</w:t>
                  </w:r>
                </w:p>
              </w:tc>
              <w:tc>
                <w:tcPr>
                  <w:tcW w:w="0" w:type="auto"/>
                  <w:gridSpan w:val="2"/>
                  <w:vAlign w:val="center"/>
                </w:tcPr>
                <w:p w14:paraId="001D2449">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有组织排放要求</w:t>
                  </w:r>
                </w:p>
              </w:tc>
              <w:tc>
                <w:tcPr>
                  <w:tcW w:w="0" w:type="auto"/>
                  <w:vMerge w:val="restart"/>
                  <w:vAlign w:val="center"/>
                </w:tcPr>
                <w:p w14:paraId="6608990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厂界无组织排放监控浓度限值（mg/m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0" w:type="auto"/>
                  <w:vMerge w:val="restart"/>
                  <w:vAlign w:val="center"/>
                </w:tcPr>
                <w:p w14:paraId="177F499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w:t>
                  </w:r>
                  <w:r>
                    <w:rPr>
                      <w:rFonts w:hint="default" w:ascii="Times New Roman" w:hAnsi="Times New Roman" w:cs="Times New Roman"/>
                      <w:b/>
                      <w:bCs/>
                      <w:color w:val="auto"/>
                      <w:sz w:val="21"/>
                      <w:szCs w:val="21"/>
                      <w:highlight w:val="none"/>
                      <w:lang w:val="en-US" w:eastAsia="zh-CN"/>
                    </w:rPr>
                    <w:t>区内</w:t>
                  </w:r>
                  <w:r>
                    <w:rPr>
                      <w:rFonts w:hint="default" w:ascii="Times New Roman" w:hAnsi="Times New Roman" w:cs="Times New Roman"/>
                      <w:b/>
                      <w:bCs/>
                      <w:color w:val="auto"/>
                      <w:sz w:val="21"/>
                      <w:szCs w:val="21"/>
                      <w:highlight w:val="none"/>
                    </w:rPr>
                    <w:t>无组织排放</w:t>
                  </w:r>
                  <w:r>
                    <w:rPr>
                      <w:rFonts w:hint="default" w:ascii="Times New Roman" w:hAnsi="Times New Roman" w:cs="Times New Roman"/>
                      <w:b/>
                      <w:bCs/>
                      <w:color w:val="auto"/>
                      <w:sz w:val="21"/>
                      <w:szCs w:val="21"/>
                      <w:highlight w:val="none"/>
                      <w:lang w:val="en-US" w:eastAsia="zh-CN"/>
                    </w:rPr>
                    <w:t>烟（粉尘）最高允许浓度</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0" w:type="auto"/>
                  <w:vMerge w:val="restart"/>
                  <w:vAlign w:val="center"/>
                </w:tcPr>
                <w:p w14:paraId="45DBDE6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368AF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0" w:type="auto"/>
                  <w:vMerge w:val="continue"/>
                  <w:vAlign w:val="center"/>
                </w:tcPr>
                <w:p w14:paraId="43E9A21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0" w:type="auto"/>
                  <w:vMerge w:val="continue"/>
                  <w:vAlign w:val="center"/>
                </w:tcPr>
                <w:p w14:paraId="63BC853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0" w:type="auto"/>
                  <w:vMerge w:val="continue"/>
                  <w:vAlign w:val="center"/>
                </w:tcPr>
                <w:p w14:paraId="142A904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0" w:type="auto"/>
                  <w:vAlign w:val="center"/>
                </w:tcPr>
                <w:p w14:paraId="66FC853F">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最高允许排放浓度（mg/m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0" w:type="auto"/>
                  <w:vAlign w:val="center"/>
                </w:tcPr>
                <w:p w14:paraId="6D5FA8FC">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最高允许排放速率（</w:t>
                  </w:r>
                  <w:r>
                    <w:rPr>
                      <w:rFonts w:hint="default" w:ascii="Times New Roman" w:hAnsi="Times New Roman" w:cs="Times New Roman"/>
                      <w:b/>
                      <w:bCs/>
                      <w:color w:val="auto"/>
                      <w:sz w:val="21"/>
                      <w:szCs w:val="21"/>
                      <w:highlight w:val="none"/>
                      <w:lang w:val="en-US" w:eastAsia="zh-CN"/>
                    </w:rPr>
                    <w:t>kg/h</w:t>
                  </w:r>
                  <w:r>
                    <w:rPr>
                      <w:rFonts w:hint="default" w:ascii="Times New Roman" w:hAnsi="Times New Roman" w:cs="Times New Roman"/>
                      <w:b/>
                      <w:bCs/>
                      <w:color w:val="auto"/>
                      <w:sz w:val="21"/>
                      <w:szCs w:val="21"/>
                      <w:highlight w:val="none"/>
                    </w:rPr>
                    <w:t>）</w:t>
                  </w:r>
                </w:p>
              </w:tc>
              <w:tc>
                <w:tcPr>
                  <w:tcW w:w="0" w:type="auto"/>
                  <w:vMerge w:val="continue"/>
                  <w:vAlign w:val="center"/>
                </w:tcPr>
                <w:p w14:paraId="76200E8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0" w:type="auto"/>
                  <w:vMerge w:val="continue"/>
                  <w:vAlign w:val="center"/>
                </w:tcPr>
                <w:p w14:paraId="01B1386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0" w:type="auto"/>
                  <w:vMerge w:val="continue"/>
                  <w:vAlign w:val="center"/>
                </w:tcPr>
                <w:p w14:paraId="19B0D69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r>
            <w:tr w14:paraId="3E8DC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0" w:type="auto"/>
                  <w:vAlign w:val="center"/>
                </w:tcPr>
                <w:p w14:paraId="7D4057B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0" w:type="auto"/>
                  <w:vMerge w:val="restart"/>
                  <w:vAlign w:val="center"/>
                </w:tcPr>
                <w:p w14:paraId="310FE64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0" w:type="auto"/>
                  <w:vMerge w:val="restart"/>
                  <w:vAlign w:val="center"/>
                </w:tcPr>
                <w:p w14:paraId="7A2E446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15m</w:t>
                  </w:r>
                </w:p>
              </w:tc>
              <w:tc>
                <w:tcPr>
                  <w:tcW w:w="0" w:type="auto"/>
                  <w:vAlign w:val="center"/>
                </w:tcPr>
                <w:p w14:paraId="5E80527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0" w:type="auto"/>
                  <w:vAlign w:val="center"/>
                </w:tcPr>
                <w:p w14:paraId="4977D99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4708F2D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0" w:type="auto"/>
                  <w:vAlign w:val="center"/>
                </w:tcPr>
                <w:p w14:paraId="329EE35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0" w:type="auto"/>
                  <w:vAlign w:val="center"/>
                </w:tcPr>
                <w:p w14:paraId="6E66591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颗粒物有组织排放执行</w:t>
                  </w:r>
                  <w:r>
                    <w:rPr>
                      <w:rFonts w:hint="default" w:ascii="Times New Roman" w:hAnsi="Times New Roman" w:cs="Times New Roman"/>
                      <w:b w:val="0"/>
                      <w:bCs w:val="0"/>
                      <w:color w:val="auto"/>
                      <w:sz w:val="21"/>
                      <w:szCs w:val="21"/>
                      <w:highlight w:val="none"/>
                    </w:rPr>
                    <w:t>《关于贯彻落实&lt;工业炉窑大气污染综合治理方案&gt;的实施意见》（粤环函〔2019〕1112号）</w:t>
                  </w:r>
                  <w:r>
                    <w:rPr>
                      <w:rFonts w:hint="default" w:ascii="Times New Roman" w:hAnsi="Times New Roman" w:cs="Times New Roman"/>
                      <w:b w:val="0"/>
                      <w:bCs w:val="0"/>
                      <w:color w:val="auto"/>
                      <w:sz w:val="21"/>
                      <w:szCs w:val="21"/>
                      <w:highlight w:val="none"/>
                      <w:lang w:val="en-US" w:eastAsia="zh-CN"/>
                    </w:rPr>
                    <w:t>限值要求；</w:t>
                  </w:r>
                </w:p>
                <w:p w14:paraId="761C137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厂界颗粒物无组织排放执行</w:t>
                  </w:r>
                  <w:r>
                    <w:rPr>
                      <w:rFonts w:hint="default" w:ascii="Times New Roman" w:hAnsi="Times New Roman" w:cs="Times New Roman"/>
                      <w:color w:val="auto"/>
                      <w:sz w:val="21"/>
                      <w:szCs w:val="21"/>
                      <w:highlight w:val="none"/>
                    </w:rPr>
                    <w:t>广东省《大气污染物排放限值》（DB44/27-2001）第二时段无组织排放监控浓度限值</w:t>
                  </w:r>
                  <w:r>
                    <w:rPr>
                      <w:rFonts w:hint="default" w:ascii="Times New Roman" w:hAnsi="Times New Roman" w:cs="Times New Roman"/>
                      <w:color w:val="auto"/>
                      <w:sz w:val="21"/>
                      <w:szCs w:val="21"/>
                      <w:highlight w:val="none"/>
                      <w:lang w:eastAsia="zh-CN"/>
                    </w:rPr>
                    <w:t>；</w:t>
                  </w:r>
                </w:p>
                <w:p w14:paraId="0E5C353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厂区内颗粒物</w:t>
                  </w:r>
                  <w:r>
                    <w:rPr>
                      <w:rFonts w:hint="default" w:ascii="Times New Roman" w:hAnsi="Times New Roman" w:cs="Times New Roman"/>
                      <w:color w:val="auto"/>
                      <w:sz w:val="21"/>
                      <w:szCs w:val="21"/>
                      <w:highlight w:val="none"/>
                      <w:lang w:val="en-US" w:eastAsia="zh-CN"/>
                    </w:rPr>
                    <w:t>无组织排放</w:t>
                  </w:r>
                  <w:r>
                    <w:rPr>
                      <w:rFonts w:hint="default" w:ascii="Times New Roman" w:hAnsi="Times New Roman" w:cs="Times New Roman"/>
                      <w:color w:val="auto"/>
                      <w:sz w:val="21"/>
                      <w:szCs w:val="21"/>
                      <w:highlight w:val="none"/>
                      <w:lang w:eastAsia="zh-CN"/>
                    </w:rPr>
                    <w:t>执行《工业炉窑大气污染物排放标准》（GB9078—1996）表3</w:t>
                  </w:r>
                  <w:r>
                    <w:rPr>
                      <w:rFonts w:hint="default" w:ascii="Times New Roman" w:hAnsi="Times New Roman" w:cs="Times New Roman"/>
                      <w:color w:val="auto"/>
                      <w:sz w:val="21"/>
                      <w:szCs w:val="21"/>
                      <w:highlight w:val="none"/>
                      <w:lang w:val="en-US" w:eastAsia="zh-CN"/>
                    </w:rPr>
                    <w:t>限值要求。</w:t>
                  </w:r>
                </w:p>
              </w:tc>
            </w:tr>
            <w:tr w14:paraId="45FD1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0" w:type="auto"/>
                  <w:vAlign w:val="center"/>
                </w:tcPr>
                <w:p w14:paraId="54696A0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氮氧化物</w:t>
                  </w:r>
                </w:p>
              </w:tc>
              <w:tc>
                <w:tcPr>
                  <w:tcW w:w="0" w:type="auto"/>
                  <w:vMerge w:val="continue"/>
                  <w:vAlign w:val="center"/>
                </w:tcPr>
                <w:p w14:paraId="7A3A528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0" w:type="auto"/>
                  <w:vMerge w:val="continue"/>
                  <w:vAlign w:val="center"/>
                </w:tcPr>
                <w:p w14:paraId="1C43F09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0" w:type="auto"/>
                  <w:vAlign w:val="center"/>
                </w:tcPr>
                <w:p w14:paraId="21B69FE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300</w:t>
                  </w:r>
                </w:p>
              </w:tc>
              <w:tc>
                <w:tcPr>
                  <w:tcW w:w="0" w:type="auto"/>
                  <w:vAlign w:val="center"/>
                </w:tcPr>
                <w:p w14:paraId="3BE3766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227F593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7646634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Merge w:val="restart"/>
                  <w:vAlign w:val="center"/>
                </w:tcPr>
                <w:p w14:paraId="5A20133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执行</w:t>
                  </w:r>
                  <w:r>
                    <w:rPr>
                      <w:rFonts w:hint="default" w:ascii="Times New Roman" w:hAnsi="Times New Roman" w:cs="Times New Roman"/>
                      <w:b w:val="0"/>
                      <w:bCs w:val="0"/>
                      <w:color w:val="auto"/>
                      <w:sz w:val="21"/>
                      <w:szCs w:val="21"/>
                      <w:highlight w:val="none"/>
                    </w:rPr>
                    <w:t>《关于贯彻落实&lt;工业炉窑大气污染综合治理方案&gt;的实施意见》（粤环函〔2019〕1112号）</w:t>
                  </w:r>
                  <w:r>
                    <w:rPr>
                      <w:rFonts w:hint="default" w:ascii="Times New Roman" w:hAnsi="Times New Roman" w:cs="Times New Roman"/>
                      <w:b w:val="0"/>
                      <w:bCs w:val="0"/>
                      <w:color w:val="auto"/>
                      <w:sz w:val="21"/>
                      <w:szCs w:val="21"/>
                      <w:highlight w:val="none"/>
                      <w:lang w:val="en-US" w:eastAsia="zh-CN"/>
                    </w:rPr>
                    <w:t>限值要求</w:t>
                  </w:r>
                </w:p>
              </w:tc>
            </w:tr>
            <w:tr w14:paraId="08D58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0" w:type="auto"/>
                  <w:vAlign w:val="center"/>
                </w:tcPr>
                <w:p w14:paraId="6A32E43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二氧化硫</w:t>
                  </w:r>
                </w:p>
              </w:tc>
              <w:tc>
                <w:tcPr>
                  <w:tcW w:w="0" w:type="auto"/>
                  <w:vMerge w:val="continue"/>
                  <w:vAlign w:val="center"/>
                </w:tcPr>
                <w:p w14:paraId="3F07A4D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0" w:type="auto"/>
                  <w:vMerge w:val="continue"/>
                  <w:vAlign w:val="center"/>
                </w:tcPr>
                <w:p w14:paraId="22F11CB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0" w:type="auto"/>
                  <w:vAlign w:val="center"/>
                </w:tcPr>
                <w:p w14:paraId="6FA1337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w:t>
                  </w:r>
                </w:p>
              </w:tc>
              <w:tc>
                <w:tcPr>
                  <w:tcW w:w="0" w:type="auto"/>
                  <w:vAlign w:val="center"/>
                </w:tcPr>
                <w:p w14:paraId="0D6292B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70F084A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1F2CF82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Merge w:val="continue"/>
                  <w:vAlign w:val="center"/>
                </w:tcPr>
                <w:p w14:paraId="7A49E71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3D258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0" w:type="auto"/>
                  <w:vAlign w:val="center"/>
                </w:tcPr>
                <w:p w14:paraId="3FB0EAB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烟气黑度</w:t>
                  </w:r>
                </w:p>
              </w:tc>
              <w:tc>
                <w:tcPr>
                  <w:tcW w:w="0" w:type="auto"/>
                  <w:vMerge w:val="continue"/>
                  <w:vAlign w:val="center"/>
                </w:tcPr>
                <w:p w14:paraId="1A44D15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0" w:type="auto"/>
                  <w:vMerge w:val="continue"/>
                  <w:vAlign w:val="center"/>
                </w:tcPr>
                <w:p w14:paraId="0595C36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0" w:type="auto"/>
                  <w:vAlign w:val="center"/>
                </w:tcPr>
                <w:p w14:paraId="4ED5AE4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1（林格曼黑度，级）</w:t>
                  </w:r>
                </w:p>
              </w:tc>
              <w:tc>
                <w:tcPr>
                  <w:tcW w:w="0" w:type="auto"/>
                  <w:vAlign w:val="center"/>
                </w:tcPr>
                <w:p w14:paraId="4CF6DC8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4BDAB6E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7779FE9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vAlign w:val="center"/>
                </w:tcPr>
                <w:p w14:paraId="553DF9E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《工业炉窑大气污染物排放标准》（GB9078—1996）表2</w:t>
                  </w:r>
                  <w:r>
                    <w:rPr>
                      <w:rFonts w:hint="default" w:ascii="Times New Roman" w:hAnsi="Times New Roman" w:cs="Times New Roman"/>
                      <w:color w:val="auto"/>
                      <w:sz w:val="21"/>
                      <w:szCs w:val="21"/>
                      <w:highlight w:val="none"/>
                      <w:lang w:val="en-US" w:eastAsia="zh-CN"/>
                    </w:rPr>
                    <w:t>限值要求</w:t>
                  </w:r>
                </w:p>
              </w:tc>
            </w:tr>
            <w:tr w14:paraId="79949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gridSpan w:val="8"/>
                  <w:vAlign w:val="center"/>
                </w:tcPr>
                <w:p w14:paraId="36A6F3B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注：DA001未高出周围200m半径范围的建筑5m以上，最高允许排放速率按50％执行</w:t>
                  </w:r>
                </w:p>
              </w:tc>
            </w:tr>
          </w:tbl>
          <w:p w14:paraId="17245A06">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③生产异味</w:t>
            </w:r>
          </w:p>
          <w:p w14:paraId="1DE49EC9">
            <w:pPr>
              <w:keepNext w:val="0"/>
              <w:keepLines w:val="0"/>
              <w:pageBreakBefore w:val="0"/>
              <w:widowControl/>
              <w:suppressLineNumbers w:val="0"/>
              <w:kinsoku/>
              <w:wordWrap w:val="0"/>
              <w:overflowPunct/>
              <w:topLinePunct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本项目生产过程会产生少量生产异味（以臭气浓度表征），</w:t>
            </w:r>
            <w:r>
              <w:rPr>
                <w:rFonts w:hint="default" w:ascii="Times New Roman" w:hAnsi="Times New Roman" w:eastAsia="宋体" w:cs="Times New Roman"/>
                <w:color w:val="auto"/>
                <w:kern w:val="0"/>
                <w:sz w:val="24"/>
                <w:szCs w:val="24"/>
                <w:highlight w:val="none"/>
                <w:lang w:val="en-US" w:eastAsia="zh-CN" w:bidi="ar"/>
              </w:rPr>
              <w:t>执行《恶臭污染物排放标准》（GB14554-93）中表1二级标准中“新改扩建”</w:t>
            </w:r>
            <w:r>
              <w:rPr>
                <w:rFonts w:hint="default" w:ascii="Times New Roman" w:hAnsi="Times New Roman" w:cs="Times New Roman"/>
                <w:color w:val="auto"/>
                <w:kern w:val="0"/>
                <w:sz w:val="24"/>
                <w:szCs w:val="24"/>
                <w:highlight w:val="none"/>
                <w:lang w:val="en-US" w:eastAsia="zh-CN" w:bidi="ar"/>
              </w:rPr>
              <w:t>及表2恶臭污染物排放标准</w:t>
            </w:r>
            <w:r>
              <w:rPr>
                <w:rFonts w:hint="default" w:ascii="Times New Roman" w:hAnsi="Times New Roman" w:eastAsia="宋体" w:cs="Times New Roman"/>
                <w:color w:val="auto"/>
                <w:kern w:val="0"/>
                <w:sz w:val="24"/>
                <w:szCs w:val="24"/>
                <w:highlight w:val="none"/>
                <w:lang w:val="en-US" w:eastAsia="zh-CN" w:bidi="ar"/>
              </w:rPr>
              <w:t>限值要求。</w:t>
            </w:r>
          </w:p>
          <w:p w14:paraId="0AE8775F">
            <w:pPr>
              <w:pStyle w:val="43"/>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b/>
                <w:color w:val="auto"/>
                <w:kern w:val="2"/>
                <w:sz w:val="21"/>
                <w:szCs w:val="21"/>
                <w:highlight w:val="none"/>
                <w:lang w:val="en-US" w:eastAsia="zh-CN" w:bidi="ar-SA"/>
              </w:rPr>
              <w:t>表3-</w:t>
            </w:r>
            <w:r>
              <w:rPr>
                <w:rFonts w:hint="default" w:ascii="Times New Roman" w:hAnsi="Times New Roman" w:cs="Times New Roman"/>
                <w:b/>
                <w:color w:val="auto"/>
                <w:kern w:val="2"/>
                <w:sz w:val="21"/>
                <w:szCs w:val="21"/>
                <w:highlight w:val="none"/>
                <w:lang w:val="en-US" w:eastAsia="zh-CN" w:bidi="ar-SA"/>
              </w:rPr>
              <w:t xml:space="preserve">6 </w:t>
            </w:r>
            <w:r>
              <w:rPr>
                <w:rFonts w:hint="default" w:ascii="Times New Roman" w:hAnsi="Times New Roman" w:cs="Times New Roman"/>
                <w:b/>
                <w:bCs/>
                <w:color w:val="auto"/>
                <w:sz w:val="21"/>
                <w:szCs w:val="21"/>
                <w:highlight w:val="none"/>
                <w:lang w:val="en-US" w:eastAsia="zh-CN"/>
              </w:rPr>
              <w:t>生产异味</w:t>
            </w:r>
            <w:r>
              <w:rPr>
                <w:rFonts w:hint="default" w:ascii="Times New Roman" w:hAnsi="Times New Roman" w:cs="Times New Roman"/>
                <w:b/>
                <w:bCs/>
                <w:color w:val="auto"/>
                <w:sz w:val="21"/>
                <w:szCs w:val="21"/>
                <w:highlight w:val="none"/>
              </w:rPr>
              <w:t>排放标准（单位：mg/m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bl>
            <w:tblPr>
              <w:tblStyle w:val="37"/>
              <w:tblW w:w="9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901"/>
              <w:gridCol w:w="661"/>
              <w:gridCol w:w="1474"/>
              <w:gridCol w:w="1290"/>
              <w:gridCol w:w="1633"/>
              <w:gridCol w:w="2848"/>
            </w:tblGrid>
            <w:tr w14:paraId="04F64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91" w:type="dxa"/>
                  <w:vMerge w:val="restart"/>
                  <w:vAlign w:val="center"/>
                </w:tcPr>
                <w:p w14:paraId="498E33C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901" w:type="dxa"/>
                  <w:vMerge w:val="restart"/>
                  <w:vAlign w:val="center"/>
                </w:tcPr>
                <w:p w14:paraId="2FC3CAD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排气筒编号</w:t>
                  </w:r>
                </w:p>
              </w:tc>
              <w:tc>
                <w:tcPr>
                  <w:tcW w:w="661" w:type="dxa"/>
                  <w:vMerge w:val="restart"/>
                  <w:vAlign w:val="center"/>
                </w:tcPr>
                <w:p w14:paraId="7F6CD4B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排放高度</w:t>
                  </w:r>
                </w:p>
              </w:tc>
              <w:tc>
                <w:tcPr>
                  <w:tcW w:w="2764" w:type="dxa"/>
                  <w:gridSpan w:val="2"/>
                  <w:vAlign w:val="center"/>
                </w:tcPr>
                <w:p w14:paraId="2BC6E8B8">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有组织排放要求</w:t>
                  </w:r>
                </w:p>
              </w:tc>
              <w:tc>
                <w:tcPr>
                  <w:tcW w:w="1633" w:type="dxa"/>
                  <w:vMerge w:val="restart"/>
                  <w:vAlign w:val="center"/>
                </w:tcPr>
                <w:p w14:paraId="2CB29E0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厂界无组织排放监控浓度限值</w:t>
                  </w:r>
                </w:p>
              </w:tc>
              <w:tc>
                <w:tcPr>
                  <w:tcW w:w="2848" w:type="dxa"/>
                  <w:vMerge w:val="restart"/>
                  <w:vAlign w:val="center"/>
                </w:tcPr>
                <w:p w14:paraId="3452B2B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11D82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91" w:type="dxa"/>
                  <w:vMerge w:val="continue"/>
                  <w:vAlign w:val="center"/>
                </w:tcPr>
                <w:p w14:paraId="3502D5B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901" w:type="dxa"/>
                  <w:vMerge w:val="continue"/>
                  <w:vAlign w:val="center"/>
                </w:tcPr>
                <w:p w14:paraId="0AC994C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661" w:type="dxa"/>
                  <w:vMerge w:val="continue"/>
                  <w:vAlign w:val="center"/>
                </w:tcPr>
                <w:p w14:paraId="77BFE6F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1474" w:type="dxa"/>
                  <w:vAlign w:val="center"/>
                </w:tcPr>
                <w:p w14:paraId="79DCD96D">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最高允许排放浓度</w:t>
                  </w:r>
                </w:p>
              </w:tc>
              <w:tc>
                <w:tcPr>
                  <w:tcW w:w="1290" w:type="dxa"/>
                  <w:vAlign w:val="center"/>
                </w:tcPr>
                <w:p w14:paraId="010D7633">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最高允许排放速率（</w:t>
                  </w:r>
                  <w:r>
                    <w:rPr>
                      <w:rFonts w:hint="default" w:ascii="Times New Roman" w:hAnsi="Times New Roman" w:cs="Times New Roman"/>
                      <w:b/>
                      <w:bCs/>
                      <w:color w:val="auto"/>
                      <w:sz w:val="21"/>
                      <w:szCs w:val="21"/>
                      <w:highlight w:val="none"/>
                      <w:lang w:val="en-US" w:eastAsia="zh-CN"/>
                    </w:rPr>
                    <w:t>kg/h</w:t>
                  </w:r>
                  <w:r>
                    <w:rPr>
                      <w:rFonts w:hint="default" w:ascii="Times New Roman" w:hAnsi="Times New Roman" w:cs="Times New Roman"/>
                      <w:b/>
                      <w:bCs/>
                      <w:color w:val="auto"/>
                      <w:sz w:val="21"/>
                      <w:szCs w:val="21"/>
                      <w:highlight w:val="none"/>
                    </w:rPr>
                    <w:t>）</w:t>
                  </w:r>
                </w:p>
              </w:tc>
              <w:tc>
                <w:tcPr>
                  <w:tcW w:w="1633" w:type="dxa"/>
                  <w:vMerge w:val="continue"/>
                  <w:vAlign w:val="center"/>
                </w:tcPr>
                <w:p w14:paraId="41CCAFE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2848" w:type="dxa"/>
                  <w:vMerge w:val="continue"/>
                  <w:vAlign w:val="center"/>
                </w:tcPr>
                <w:p w14:paraId="12B01DA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r>
            <w:tr w14:paraId="70AF0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491" w:type="dxa"/>
                  <w:vAlign w:val="center"/>
                </w:tcPr>
                <w:p w14:paraId="412F40D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臭气浓度</w:t>
                  </w:r>
                </w:p>
              </w:tc>
              <w:tc>
                <w:tcPr>
                  <w:tcW w:w="901" w:type="dxa"/>
                  <w:vAlign w:val="center"/>
                </w:tcPr>
                <w:p w14:paraId="7F16CD4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661" w:type="dxa"/>
                  <w:vAlign w:val="center"/>
                </w:tcPr>
                <w:p w14:paraId="6AB1F8A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15m</w:t>
                  </w:r>
                </w:p>
              </w:tc>
              <w:tc>
                <w:tcPr>
                  <w:tcW w:w="1474" w:type="dxa"/>
                  <w:vAlign w:val="center"/>
                </w:tcPr>
                <w:p w14:paraId="0AD9C8F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2000（无量纲）</w:t>
                  </w:r>
                </w:p>
              </w:tc>
              <w:tc>
                <w:tcPr>
                  <w:tcW w:w="1290" w:type="dxa"/>
                  <w:vAlign w:val="center"/>
                </w:tcPr>
                <w:p w14:paraId="70FCF26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633" w:type="dxa"/>
                  <w:vAlign w:val="center"/>
                </w:tcPr>
                <w:p w14:paraId="5A07F22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20（无量纲）</w:t>
                  </w:r>
                </w:p>
              </w:tc>
              <w:tc>
                <w:tcPr>
                  <w:tcW w:w="2848" w:type="dxa"/>
                  <w:vAlign w:val="center"/>
                </w:tcPr>
                <w:p w14:paraId="613E6CD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《恶臭污染物排放标准》（GB14554-93）</w:t>
                  </w:r>
                </w:p>
              </w:tc>
            </w:tr>
          </w:tbl>
          <w:p w14:paraId="441C5ED0">
            <w:pPr>
              <w:pStyle w:val="4"/>
              <w:pageBreakBefore w:val="0"/>
              <w:widowControl w:val="0"/>
              <w:numPr>
                <w:ilvl w:val="2"/>
                <w:numId w:val="0"/>
              </w:numPr>
              <w:suppressLineNumbers w:val="0"/>
              <w:kinsoku/>
              <w:wordWrap w:val="0"/>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二、废水排放标准</w:t>
            </w:r>
          </w:p>
          <w:p w14:paraId="1E9967A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本项目运营期废水主要为员工生活污水。</w:t>
            </w:r>
          </w:p>
          <w:p w14:paraId="22D6C90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生活污水经三级化粪池处理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达到</w:t>
            </w:r>
            <w:r>
              <w:rPr>
                <w:rFonts w:hint="default" w:ascii="Times New Roman" w:hAnsi="Times New Roman" w:cs="Times New Roman"/>
                <w:color w:val="auto"/>
                <w:highlight w:val="none"/>
                <w:lang w:eastAsia="zh-CN"/>
              </w:rPr>
              <w:t>园区污水处理厂接管水质</w:t>
            </w:r>
            <w:r>
              <w:rPr>
                <w:rFonts w:hint="default" w:ascii="Times New Roman" w:hAnsi="Times New Roman" w:cs="Times New Roman"/>
                <w:color w:val="auto"/>
                <w:highlight w:val="none"/>
                <w:lang w:val="en-US" w:eastAsia="zh-CN"/>
              </w:rPr>
              <w:t>要求、广东省《水污染物排放限值》（DB44/26-2001）第二时段三级标准较严值要求</w:t>
            </w:r>
            <w:r>
              <w:rPr>
                <w:rFonts w:hint="default" w:ascii="Times New Roman" w:hAnsi="Times New Roman" w:cs="Times New Roman"/>
                <w:color w:val="auto"/>
                <w:highlight w:val="none"/>
              </w:rPr>
              <w:t>后</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排入园区污水处理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处理。</w:t>
            </w:r>
          </w:p>
          <w:p w14:paraId="1851DA7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园区</w:t>
            </w:r>
            <w:r>
              <w:rPr>
                <w:rFonts w:hint="default" w:ascii="Times New Roman" w:hAnsi="Times New Roman" w:cs="Times New Roman"/>
                <w:color w:val="auto"/>
                <w:highlight w:val="none"/>
                <w:lang w:eastAsia="zh-CN"/>
              </w:rPr>
              <w:t>污水</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出水水质标准执行广东省《</w:t>
            </w:r>
            <w:r>
              <w:rPr>
                <w:rFonts w:hint="default" w:ascii="Times New Roman" w:hAnsi="Times New Roman"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w:t>
            </w:r>
            <w:r>
              <w:rPr>
                <w:rFonts w:hint="eastAsia" w:cs="Times New Roman"/>
                <w:color w:val="auto"/>
                <w:highlight w:val="none"/>
                <w:lang w:val="en-US" w:eastAsia="zh-CN"/>
              </w:rPr>
              <w:t>8</w:t>
            </w:r>
            <w:r>
              <w:rPr>
                <w:rFonts w:hint="default" w:ascii="Times New Roman" w:hAnsi="Times New Roman" w:cs="Times New Roman"/>
                <w:color w:val="auto"/>
                <w:highlight w:val="none"/>
              </w:rPr>
              <w:t>-2002）一级B标准中严者。</w:t>
            </w:r>
            <w:r>
              <w:rPr>
                <w:rFonts w:hint="default" w:ascii="Times New Roman" w:hAnsi="Times New Roman" w:cs="Times New Roman"/>
                <w:color w:val="auto"/>
                <w:highlight w:val="none"/>
                <w:lang w:val="zh-CN"/>
              </w:rPr>
              <w:t>相关排放标准情况</w:t>
            </w:r>
            <w:r>
              <w:rPr>
                <w:rFonts w:hint="default" w:ascii="Times New Roman" w:hAnsi="Times New Roman" w:cs="Times New Roman"/>
                <w:color w:val="auto"/>
                <w:highlight w:val="none"/>
              </w:rPr>
              <w:t>见下表：</w:t>
            </w:r>
          </w:p>
          <w:p w14:paraId="5B174AFE">
            <w:pPr>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4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表3-</w:t>
            </w:r>
            <w:r>
              <w:rPr>
                <w:rFonts w:hint="default" w:ascii="Times New Roman" w:hAnsi="Times New Roman" w:cs="Times New Roman"/>
                <w:b/>
                <w:bCs/>
                <w:color w:val="auto"/>
                <w:kern w:val="2"/>
                <w:sz w:val="21"/>
                <w:szCs w:val="21"/>
                <w:highlight w:val="none"/>
                <w:lang w:val="en-US" w:eastAsia="zh-CN" w:bidi="ar-SA"/>
              </w:rPr>
              <w:t>7</w:t>
            </w:r>
            <w:r>
              <w:rPr>
                <w:rFonts w:hint="default" w:ascii="Times New Roman" w:hAnsi="Times New Roman" w:cs="Times New Roman"/>
                <w:b/>
                <w:bCs/>
                <w:color w:val="auto"/>
                <w:sz w:val="21"/>
                <w:szCs w:val="21"/>
                <w:highlight w:val="none"/>
                <w:lang w:val="en-US" w:eastAsia="zh-CN"/>
              </w:rPr>
              <w:t>本项目水污染物排放标准</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单位：</w:t>
            </w:r>
            <w:r>
              <w:rPr>
                <w:rFonts w:hint="default" w:ascii="Times New Roman" w:hAnsi="Times New Roman" w:cs="Times New Roman"/>
                <w:b/>
                <w:bCs/>
                <w:color w:val="auto"/>
                <w:sz w:val="21"/>
                <w:szCs w:val="21"/>
                <w:highlight w:val="none"/>
              </w:rPr>
              <w:t>mg/L，pH为无量纲</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5"/>
              <w:gridCol w:w="1235"/>
              <w:gridCol w:w="820"/>
              <w:gridCol w:w="982"/>
              <w:gridCol w:w="710"/>
              <w:gridCol w:w="850"/>
            </w:tblGrid>
            <w:tr w14:paraId="2B95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atLeast"/>
                <w:jc w:val="center"/>
              </w:trPr>
              <w:tc>
                <w:tcPr>
                  <w:tcW w:w="2525" w:type="pct"/>
                  <w:tcBorders>
                    <w:tl2br w:val="nil"/>
                    <w:tr2bl w:val="nil"/>
                  </w:tcBorders>
                  <w:noWrap/>
                  <w:tcMar>
                    <w:left w:w="0" w:type="dxa"/>
                    <w:right w:w="0" w:type="dxa"/>
                  </w:tcMar>
                  <w:vAlign w:val="center"/>
                </w:tcPr>
                <w:p w14:paraId="56FAC8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664" w:type="pct"/>
                  <w:tcBorders>
                    <w:tl2br w:val="nil"/>
                    <w:tr2bl w:val="nil"/>
                  </w:tcBorders>
                  <w:noWrap/>
                  <w:tcMar>
                    <w:left w:w="0" w:type="dxa"/>
                    <w:right w:w="0" w:type="dxa"/>
                  </w:tcMar>
                  <w:vAlign w:val="center"/>
                </w:tcPr>
                <w:p w14:paraId="733EB0F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441" w:type="pct"/>
                  <w:tcBorders>
                    <w:tl2br w:val="nil"/>
                    <w:tr2bl w:val="nil"/>
                  </w:tcBorders>
                  <w:noWrap/>
                  <w:tcMar>
                    <w:left w:w="0" w:type="dxa"/>
                    <w:right w:w="0" w:type="dxa"/>
                  </w:tcMar>
                  <w:vAlign w:val="center"/>
                </w:tcPr>
                <w:p w14:paraId="237DA52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528" w:type="pct"/>
                  <w:tcBorders>
                    <w:tl2br w:val="nil"/>
                    <w:tr2bl w:val="nil"/>
                  </w:tcBorders>
                  <w:noWrap/>
                  <w:vAlign w:val="center"/>
                </w:tcPr>
                <w:p w14:paraId="1BB389C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382" w:type="pct"/>
                  <w:tcBorders>
                    <w:tl2br w:val="nil"/>
                    <w:tr2bl w:val="nil"/>
                  </w:tcBorders>
                  <w:noWrap/>
                  <w:vAlign w:val="center"/>
                </w:tcPr>
                <w:p w14:paraId="28C8C51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457" w:type="pct"/>
                  <w:tcBorders>
                    <w:tl2br w:val="nil"/>
                    <w:tr2bl w:val="nil"/>
                  </w:tcBorders>
                  <w:noWrap/>
                  <w:vAlign w:val="center"/>
                </w:tcPr>
                <w:p w14:paraId="184A69A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r>
            <w:tr w14:paraId="36A7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2525" w:type="pct"/>
                  <w:tcBorders>
                    <w:tl2br w:val="nil"/>
                    <w:tr2bl w:val="nil"/>
                  </w:tcBorders>
                  <w:noWrap/>
                  <w:tcMar>
                    <w:left w:w="0" w:type="dxa"/>
                    <w:right w:w="0" w:type="dxa"/>
                  </w:tcMar>
                  <w:vAlign w:val="center"/>
                </w:tcPr>
                <w:p w14:paraId="6F2698E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园区污水处理厂接管水质要求</w:t>
                  </w:r>
                </w:p>
              </w:tc>
              <w:tc>
                <w:tcPr>
                  <w:tcW w:w="664" w:type="pct"/>
                  <w:tcBorders>
                    <w:tl2br w:val="nil"/>
                    <w:tr2bl w:val="nil"/>
                  </w:tcBorders>
                  <w:noWrap/>
                  <w:tcMar>
                    <w:left w:w="0" w:type="dxa"/>
                    <w:right w:w="0" w:type="dxa"/>
                  </w:tcMar>
                  <w:vAlign w:val="center"/>
                </w:tcPr>
                <w:p w14:paraId="6B28F4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441" w:type="pct"/>
                  <w:tcBorders>
                    <w:tl2br w:val="nil"/>
                    <w:tr2bl w:val="nil"/>
                  </w:tcBorders>
                  <w:noWrap/>
                  <w:tcMar>
                    <w:left w:w="0" w:type="dxa"/>
                    <w:right w:w="0" w:type="dxa"/>
                  </w:tcMar>
                  <w:vAlign w:val="center"/>
                </w:tcPr>
                <w:p w14:paraId="4E780FC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528" w:type="pct"/>
                  <w:tcBorders>
                    <w:tl2br w:val="nil"/>
                    <w:tr2bl w:val="nil"/>
                  </w:tcBorders>
                  <w:noWrap/>
                  <w:vAlign w:val="center"/>
                </w:tcPr>
                <w:p w14:paraId="0BB7CE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382" w:type="pct"/>
                  <w:tcBorders>
                    <w:tl2br w:val="nil"/>
                    <w:tr2bl w:val="nil"/>
                  </w:tcBorders>
                  <w:noWrap/>
                  <w:vAlign w:val="center"/>
                </w:tcPr>
                <w:p w14:paraId="0A26879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457" w:type="pct"/>
                  <w:tcBorders>
                    <w:tl2br w:val="nil"/>
                    <w:tr2bl w:val="nil"/>
                  </w:tcBorders>
                  <w:noWrap/>
                  <w:vAlign w:val="center"/>
                </w:tcPr>
                <w:p w14:paraId="682DBA5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r>
            <w:tr w14:paraId="5876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2525" w:type="pct"/>
                  <w:tcBorders>
                    <w:tl2br w:val="nil"/>
                    <w:tr2bl w:val="nil"/>
                  </w:tcBorders>
                  <w:noWrap/>
                  <w:tcMar>
                    <w:left w:w="0" w:type="dxa"/>
                    <w:right w:w="0" w:type="dxa"/>
                  </w:tcMar>
                  <w:vAlign w:val="center"/>
                </w:tcPr>
                <w:p w14:paraId="401DDE4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DB44/26-2001第二时段三级标准</w:t>
                  </w:r>
                </w:p>
              </w:tc>
              <w:tc>
                <w:tcPr>
                  <w:tcW w:w="664" w:type="pct"/>
                  <w:tcBorders>
                    <w:tl2br w:val="nil"/>
                    <w:tr2bl w:val="nil"/>
                  </w:tcBorders>
                  <w:noWrap/>
                  <w:tcMar>
                    <w:left w:w="0" w:type="dxa"/>
                    <w:right w:w="0" w:type="dxa"/>
                  </w:tcMar>
                  <w:vAlign w:val="center"/>
                </w:tcPr>
                <w:p w14:paraId="7B2BF6E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441" w:type="pct"/>
                  <w:tcBorders>
                    <w:tl2br w:val="nil"/>
                    <w:tr2bl w:val="nil"/>
                  </w:tcBorders>
                  <w:noWrap/>
                  <w:tcMar>
                    <w:left w:w="0" w:type="dxa"/>
                    <w:right w:w="0" w:type="dxa"/>
                  </w:tcMar>
                  <w:vAlign w:val="center"/>
                </w:tcPr>
                <w:p w14:paraId="5DE4B9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528" w:type="pct"/>
                  <w:tcBorders>
                    <w:tl2br w:val="nil"/>
                    <w:tr2bl w:val="nil"/>
                  </w:tcBorders>
                  <w:noWrap/>
                  <w:vAlign w:val="center"/>
                </w:tcPr>
                <w:p w14:paraId="39DA568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382" w:type="pct"/>
                  <w:tcBorders>
                    <w:tl2br w:val="nil"/>
                    <w:tr2bl w:val="nil"/>
                  </w:tcBorders>
                  <w:noWrap/>
                  <w:vAlign w:val="center"/>
                </w:tcPr>
                <w:p w14:paraId="14ED6D6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457" w:type="pct"/>
                  <w:tcBorders>
                    <w:tl2br w:val="nil"/>
                    <w:tr2bl w:val="nil"/>
                  </w:tcBorders>
                  <w:noWrap/>
                  <w:vAlign w:val="center"/>
                </w:tcPr>
                <w:p w14:paraId="537C6A5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CDB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2525" w:type="pct"/>
                  <w:tcBorders>
                    <w:tl2br w:val="nil"/>
                    <w:tr2bl w:val="nil"/>
                  </w:tcBorders>
                  <w:noWrap/>
                  <w:tcMar>
                    <w:left w:w="0" w:type="dxa"/>
                    <w:right w:w="0" w:type="dxa"/>
                  </w:tcMar>
                  <w:vAlign w:val="center"/>
                </w:tcPr>
                <w:p w14:paraId="31A1002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执行限值</w:t>
                  </w:r>
                </w:p>
              </w:tc>
              <w:tc>
                <w:tcPr>
                  <w:tcW w:w="664" w:type="pct"/>
                  <w:tcBorders>
                    <w:tl2br w:val="nil"/>
                    <w:tr2bl w:val="nil"/>
                  </w:tcBorders>
                  <w:noWrap/>
                  <w:tcMar>
                    <w:left w:w="0" w:type="dxa"/>
                    <w:right w:w="0" w:type="dxa"/>
                  </w:tcMar>
                  <w:vAlign w:val="center"/>
                </w:tcPr>
                <w:p w14:paraId="6753A93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441" w:type="pct"/>
                  <w:tcBorders>
                    <w:tl2br w:val="nil"/>
                    <w:tr2bl w:val="nil"/>
                  </w:tcBorders>
                  <w:noWrap/>
                  <w:tcMar>
                    <w:left w:w="0" w:type="dxa"/>
                    <w:right w:w="0" w:type="dxa"/>
                  </w:tcMar>
                  <w:vAlign w:val="center"/>
                </w:tcPr>
                <w:p w14:paraId="0522707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300</w:t>
                  </w:r>
                </w:p>
              </w:tc>
              <w:tc>
                <w:tcPr>
                  <w:tcW w:w="528" w:type="pct"/>
                  <w:tcBorders>
                    <w:tl2br w:val="nil"/>
                    <w:tr2bl w:val="nil"/>
                  </w:tcBorders>
                  <w:noWrap/>
                  <w:vAlign w:val="center"/>
                </w:tcPr>
                <w:p w14:paraId="46BA37A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382" w:type="pct"/>
                  <w:tcBorders>
                    <w:tl2br w:val="nil"/>
                    <w:tr2bl w:val="nil"/>
                  </w:tcBorders>
                  <w:noWrap/>
                  <w:vAlign w:val="center"/>
                </w:tcPr>
                <w:p w14:paraId="62FD6D0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w:t>
                  </w:r>
                </w:p>
              </w:tc>
              <w:tc>
                <w:tcPr>
                  <w:tcW w:w="457" w:type="pct"/>
                  <w:tcBorders>
                    <w:tl2br w:val="nil"/>
                    <w:tr2bl w:val="nil"/>
                  </w:tcBorders>
                  <w:noWrap/>
                  <w:vAlign w:val="center"/>
                </w:tcPr>
                <w:p w14:paraId="491370A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r>
          </w:tbl>
          <w:p w14:paraId="417AF224">
            <w:pPr>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kern w:val="2"/>
                <w:sz w:val="21"/>
                <w:szCs w:val="21"/>
                <w:highlight w:val="none"/>
                <w:lang w:val="en-US" w:eastAsia="zh-CN" w:bidi="ar-SA"/>
              </w:rPr>
              <w:t>表3-</w:t>
            </w:r>
            <w:r>
              <w:rPr>
                <w:rFonts w:hint="default" w:ascii="Times New Roman" w:hAnsi="Times New Roman" w:cs="Times New Roman"/>
                <w:b/>
                <w:bCs/>
                <w:color w:val="auto"/>
                <w:kern w:val="2"/>
                <w:sz w:val="21"/>
                <w:szCs w:val="21"/>
                <w:highlight w:val="none"/>
                <w:lang w:val="en-US" w:eastAsia="zh-CN" w:bidi="ar-SA"/>
              </w:rPr>
              <w:t xml:space="preserve">8 </w:t>
            </w:r>
            <w:r>
              <w:rPr>
                <w:rFonts w:hint="default" w:ascii="Times New Roman" w:hAnsi="Times New Roman" w:cs="Times New Roman"/>
                <w:b/>
                <w:bCs/>
                <w:color w:val="auto"/>
                <w:sz w:val="21"/>
                <w:szCs w:val="21"/>
                <w:highlight w:val="none"/>
              </w:rPr>
              <w:t>园区污水处理厂水污染物排放限值（摘录）</w:t>
            </w:r>
            <w:r>
              <w:rPr>
                <w:rFonts w:hint="default" w:ascii="Times New Roman" w:hAnsi="Times New Roman" w:cs="Times New Roman"/>
                <w:b/>
                <w:bCs/>
                <w:color w:val="auto"/>
                <w:sz w:val="21"/>
                <w:szCs w:val="21"/>
                <w:highlight w:val="none"/>
                <w:lang w:val="en-US" w:eastAsia="zh-CN"/>
              </w:rPr>
              <w:t xml:space="preserve"> 单位：</w:t>
            </w:r>
            <w:r>
              <w:rPr>
                <w:rFonts w:hint="default" w:ascii="Times New Roman" w:hAnsi="Times New Roman" w:cs="Times New Roman"/>
                <w:b/>
                <w:bCs/>
                <w:color w:val="auto"/>
                <w:sz w:val="21"/>
                <w:szCs w:val="21"/>
                <w:highlight w:val="none"/>
              </w:rPr>
              <w:t>mg/L</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pH为无量纲</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8"/>
              <w:gridCol w:w="849"/>
              <w:gridCol w:w="709"/>
              <w:gridCol w:w="677"/>
              <w:gridCol w:w="941"/>
              <w:gridCol w:w="1772"/>
              <w:gridCol w:w="1190"/>
            </w:tblGrid>
            <w:tr w14:paraId="61E46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1328" w:type="pct"/>
                  <w:tcBorders>
                    <w:bottom w:val="single" w:color="auto" w:sz="4" w:space="0"/>
                    <w:tl2br w:val="nil"/>
                    <w:tr2bl w:val="nil"/>
                  </w:tcBorders>
                  <w:noWrap/>
                  <w:tcMar>
                    <w:left w:w="0" w:type="dxa"/>
                    <w:right w:w="0" w:type="dxa"/>
                  </w:tcMar>
                  <w:vAlign w:val="center"/>
                </w:tcPr>
                <w:p w14:paraId="6D66C81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bottom w:val="single" w:color="auto" w:sz="4" w:space="0"/>
                    <w:tl2br w:val="nil"/>
                    <w:tr2bl w:val="nil"/>
                  </w:tcBorders>
                  <w:noWrap/>
                  <w:tcMar>
                    <w:left w:w="0" w:type="dxa"/>
                    <w:right w:w="0" w:type="dxa"/>
                  </w:tcMar>
                  <w:vAlign w:val="center"/>
                </w:tcPr>
                <w:p w14:paraId="08C0460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439" w:type="pct"/>
                  <w:tcBorders>
                    <w:bottom w:val="single" w:color="auto" w:sz="4" w:space="0"/>
                    <w:tl2br w:val="nil"/>
                    <w:tr2bl w:val="nil"/>
                  </w:tcBorders>
                  <w:noWrap/>
                  <w:vAlign w:val="center"/>
                </w:tcPr>
                <w:p w14:paraId="35F3FBC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419" w:type="pct"/>
                  <w:tcBorders>
                    <w:bottom w:val="single" w:color="auto" w:sz="4" w:space="0"/>
                    <w:tl2br w:val="nil"/>
                    <w:tr2bl w:val="nil"/>
                  </w:tcBorders>
                  <w:noWrap/>
                  <w:vAlign w:val="center"/>
                </w:tcPr>
                <w:p w14:paraId="2070B49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586" w:type="pct"/>
                  <w:tcBorders>
                    <w:bottom w:val="single" w:color="auto" w:sz="4" w:space="0"/>
                    <w:tl2br w:val="nil"/>
                    <w:tr2bl w:val="nil"/>
                  </w:tcBorders>
                  <w:noWrap/>
                  <w:vAlign w:val="center"/>
                </w:tcPr>
                <w:p w14:paraId="450803B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960" w:type="pct"/>
                  <w:tcBorders>
                    <w:bottom w:val="single" w:color="auto" w:sz="4" w:space="0"/>
                    <w:tl2br w:val="nil"/>
                    <w:tr2bl w:val="nil"/>
                  </w:tcBorders>
                  <w:noWrap/>
                  <w:vAlign w:val="center"/>
                </w:tcPr>
                <w:p w14:paraId="14A9690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阴离子表面活性剂</w:t>
                  </w:r>
                </w:p>
              </w:tc>
              <w:tc>
                <w:tcPr>
                  <w:tcW w:w="728" w:type="pct"/>
                  <w:tcBorders>
                    <w:bottom w:val="single" w:color="auto" w:sz="4" w:space="0"/>
                    <w:tl2br w:val="nil"/>
                    <w:tr2bl w:val="nil"/>
                  </w:tcBorders>
                  <w:noWrap/>
                  <w:vAlign w:val="center"/>
                </w:tcPr>
                <w:p w14:paraId="07E4252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动植物油</w:t>
                  </w:r>
                </w:p>
              </w:tc>
            </w:tr>
            <w:tr w14:paraId="26E2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6903971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4B9768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2EF69B6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FAAF00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268835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69BA17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A42ECF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731E8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B83734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A68555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3925253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1246ED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8A5D45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8(15①)</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23C836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1D3AEC6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618B3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854C71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687213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683AEA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402997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6BC439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15C020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24DD18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7304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467CCD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4FAF42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总氮</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007555D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总磷</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52144E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D247CC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石油类</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7BF4AB6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色度（稀释倍数）</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005C85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粪大肠菌群</w:t>
                  </w:r>
                </w:p>
              </w:tc>
            </w:tr>
            <w:tr w14:paraId="64A95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23997B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98FCA5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400CF7C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2637C1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50F2942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F16A6D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240A4E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5014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A5F8BC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6515D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5D263FF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627ECD9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755DAA4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E72753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CAF82C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62551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6D9130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C8165F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E63DC8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7F54959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A6B384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992C51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3E9C59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55B49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036BD6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c>
                <w:tcPr>
                  <w:tcW w:w="3671" w:type="pct"/>
                  <w:gridSpan w:val="6"/>
                  <w:tcBorders>
                    <w:top w:val="single" w:color="auto" w:sz="4" w:space="0"/>
                    <w:left w:val="single" w:color="auto" w:sz="4" w:space="0"/>
                    <w:bottom w:val="single" w:color="auto" w:sz="4" w:space="0"/>
                    <w:right w:val="single" w:color="auto" w:sz="4" w:space="0"/>
                    <w:tl2br w:val="nil"/>
                    <w:tr2bl w:val="nil"/>
                  </w:tcBorders>
                  <w:noWrap/>
                  <w:vAlign w:val="center"/>
                </w:tcPr>
                <w:p w14:paraId="25DBDD6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ja-JP"/>
                    </w:rPr>
                    <w:t>①</w:t>
                  </w:r>
                  <w:r>
                    <w:rPr>
                      <w:rFonts w:hint="default" w:ascii="Times New Roman" w:hAnsi="Times New Roman" w:cs="Times New Roman"/>
                      <w:color w:val="auto"/>
                      <w:sz w:val="21"/>
                      <w:szCs w:val="21"/>
                      <w:highlight w:val="none"/>
                    </w:rPr>
                    <w:t>括号内为水温&lt;12℃时的限值，括号外为水温在12℃以上的限值</w:t>
                  </w:r>
                </w:p>
              </w:tc>
            </w:tr>
          </w:tbl>
          <w:p w14:paraId="77AC4C0C">
            <w:pPr>
              <w:pStyle w:val="4"/>
              <w:pageBreakBefore w:val="0"/>
              <w:numPr>
                <w:ilvl w:val="2"/>
                <w:numId w:val="0"/>
              </w:numPr>
              <w:suppressLineNumbers w:val="0"/>
              <w:wordWrap w:val="0"/>
              <w:bidi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三、噪声排放标准</w:t>
            </w:r>
          </w:p>
          <w:p w14:paraId="05F24491">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施工期</w:t>
            </w:r>
          </w:p>
          <w:p w14:paraId="5C9CF05E">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lang w:val="en-US" w:eastAsia="zh-CN"/>
              </w:rPr>
              <w:t>本项目租赁已建成厂房，无施工期</w:t>
            </w:r>
            <w:r>
              <w:rPr>
                <w:rFonts w:hint="default" w:ascii="Times New Roman" w:hAnsi="Times New Roman" w:eastAsia="宋体" w:cs="Times New Roman"/>
                <w:color w:val="auto"/>
                <w:sz w:val="24"/>
                <w:highlight w:val="none"/>
                <w:lang w:eastAsia="zh-CN"/>
              </w:rPr>
              <w:t>。</w:t>
            </w:r>
          </w:p>
          <w:p w14:paraId="3A2B3225">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运营期</w:t>
            </w:r>
          </w:p>
          <w:p w14:paraId="22E05AD0">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本项目厂界噪声排放执行《工业企业厂界环境噪声排放标准》（GB12348-2008）3类标准。</w:t>
            </w:r>
          </w:p>
          <w:p w14:paraId="47291766">
            <w:pPr>
              <w:pStyle w:val="12"/>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表3-</w:t>
            </w:r>
            <w:r>
              <w:rPr>
                <w:rFonts w:hint="default" w:ascii="Times New Roman" w:hAnsi="Times New Roman" w:cs="Times New Roman"/>
                <w:b/>
                <w:bCs/>
                <w:color w:val="auto"/>
                <w:kern w:val="2"/>
                <w:sz w:val="21"/>
                <w:szCs w:val="21"/>
                <w:highlight w:val="none"/>
                <w:lang w:val="en-US" w:eastAsia="zh-CN" w:bidi="ar-SA"/>
              </w:rPr>
              <w:t xml:space="preserve">9 </w:t>
            </w:r>
            <w:r>
              <w:rPr>
                <w:rFonts w:hint="default" w:ascii="Times New Roman" w:hAnsi="Times New Roman" w:cs="Times New Roman"/>
                <w:color w:val="auto"/>
                <w:highlight w:val="none"/>
              </w:rPr>
              <w:t>环境噪声排放标准</w:t>
            </w:r>
          </w:p>
          <w:tbl>
            <w:tblPr>
              <w:tblStyle w:val="36"/>
              <w:tblW w:w="92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09"/>
              <w:gridCol w:w="2309"/>
              <w:gridCol w:w="2309"/>
              <w:gridCol w:w="2311"/>
            </w:tblGrid>
            <w:tr w14:paraId="1DA02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249" w:type="pct"/>
                  <w:noWrap/>
                  <w:vAlign w:val="center"/>
                </w:tcPr>
                <w:p w14:paraId="4587310A">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w:t>
                  </w:r>
                </w:p>
              </w:tc>
              <w:tc>
                <w:tcPr>
                  <w:tcW w:w="1249" w:type="pct"/>
                  <w:tcBorders>
                    <w:right w:val="single" w:color="auto" w:sz="4" w:space="0"/>
                  </w:tcBorders>
                  <w:noWrap/>
                  <w:vAlign w:val="center"/>
                </w:tcPr>
                <w:p w14:paraId="7846B0E5">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昼间</w:t>
                  </w:r>
                </w:p>
              </w:tc>
              <w:tc>
                <w:tcPr>
                  <w:tcW w:w="1249" w:type="pct"/>
                  <w:tcBorders>
                    <w:left w:val="single" w:color="auto" w:sz="4" w:space="0"/>
                  </w:tcBorders>
                  <w:noWrap/>
                  <w:vAlign w:val="center"/>
                </w:tcPr>
                <w:p w14:paraId="0FC62924">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w:t>
                  </w:r>
                </w:p>
              </w:tc>
              <w:tc>
                <w:tcPr>
                  <w:tcW w:w="1250" w:type="pct"/>
                  <w:tcBorders>
                    <w:left w:val="single" w:color="auto" w:sz="4" w:space="0"/>
                  </w:tcBorders>
                  <w:noWrap/>
                  <w:vAlign w:val="center"/>
                </w:tcPr>
                <w:p w14:paraId="17444B8C">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单位</w:t>
                  </w:r>
                </w:p>
              </w:tc>
            </w:tr>
            <w:tr w14:paraId="5E6C8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7" w:hRule="atLeast"/>
                <w:jc w:val="center"/>
              </w:trPr>
              <w:tc>
                <w:tcPr>
                  <w:tcW w:w="1249" w:type="pct"/>
                  <w:noWrap/>
                  <w:vAlign w:val="center"/>
                </w:tcPr>
                <w:p w14:paraId="3C746C05">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厂界噪声</w:t>
                  </w:r>
                </w:p>
              </w:tc>
              <w:tc>
                <w:tcPr>
                  <w:tcW w:w="1249" w:type="pct"/>
                  <w:noWrap/>
                  <w:vAlign w:val="center"/>
                </w:tcPr>
                <w:p w14:paraId="72E826C8">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65</w:t>
                  </w:r>
                </w:p>
              </w:tc>
              <w:tc>
                <w:tcPr>
                  <w:tcW w:w="1249" w:type="pct"/>
                  <w:noWrap/>
                  <w:vAlign w:val="center"/>
                </w:tcPr>
                <w:p w14:paraId="04431B8D">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55</w:t>
                  </w:r>
                </w:p>
              </w:tc>
              <w:tc>
                <w:tcPr>
                  <w:tcW w:w="1250" w:type="pct"/>
                  <w:noWrap/>
                  <w:vAlign w:val="center"/>
                </w:tcPr>
                <w:p w14:paraId="19540E7D">
                  <w:pPr>
                    <w:pStyle w:val="59"/>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dB（A）</w:t>
                  </w:r>
                </w:p>
              </w:tc>
            </w:tr>
          </w:tbl>
          <w:p w14:paraId="38916354">
            <w:pPr>
              <w:pStyle w:val="4"/>
              <w:pageBreakBefore w:val="0"/>
              <w:numPr>
                <w:ilvl w:val="2"/>
                <w:numId w:val="0"/>
              </w:numPr>
              <w:suppressLineNumbers w:val="0"/>
              <w:wordWrap w:val="0"/>
              <w:bidi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四、固体废物污染控制标准</w:t>
            </w:r>
          </w:p>
          <w:p w14:paraId="7C7968D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ind w:left="0" w:right="0"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eastAsia="宋体" w:cs="Times New Roman"/>
                <w:color w:val="auto"/>
                <w:highlight w:val="none"/>
                <w:lang w:eastAsia="zh-CN"/>
              </w:rPr>
              <w:t>和《危险废物收集贮存运输技术规范》（HJ2025-2012）</w:t>
            </w:r>
            <w:r>
              <w:rPr>
                <w:rFonts w:hint="default" w:ascii="Times New Roman" w:hAnsi="Times New Roman" w:eastAsia="宋体" w:cs="Times New Roman"/>
                <w:color w:val="auto"/>
                <w:highlight w:val="none"/>
              </w:rPr>
              <w:t>。</w:t>
            </w:r>
          </w:p>
        </w:tc>
      </w:tr>
      <w:tr w14:paraId="3E6B1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trPr>
        <w:tc>
          <w:tcPr>
            <w:tcW w:w="262" w:type="pct"/>
            <w:vAlign w:val="center"/>
          </w:tcPr>
          <w:p w14:paraId="13EEBD83">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line="360" w:lineRule="auto"/>
              <w:ind w:left="0" w:right="0"/>
              <w:textAlignment w:val="auto"/>
              <w:outlineLvl w:val="9"/>
              <w:rPr>
                <w:rFonts w:hint="default" w:ascii="Times New Roman" w:hAnsi="Times New Roman" w:cs="Times New Roman"/>
                <w:color w:val="auto"/>
                <w:kern w:val="2"/>
                <w:highlight w:val="none"/>
              </w:rPr>
            </w:pPr>
            <w:bookmarkStart w:id="88" w:name="_Toc23450"/>
            <w:bookmarkStart w:id="89" w:name="_Toc21080"/>
            <w:bookmarkStart w:id="90" w:name="_Toc31892"/>
            <w:bookmarkStart w:id="91" w:name="_Toc9431"/>
            <w:bookmarkStart w:id="92" w:name="_Toc7590"/>
            <w:bookmarkStart w:id="93" w:name="_Toc6465"/>
            <w:bookmarkStart w:id="94" w:name="_Toc8863"/>
            <w:bookmarkStart w:id="95" w:name="_Toc8540"/>
            <w:bookmarkStart w:id="96" w:name="_Toc12454"/>
            <w:bookmarkStart w:id="97" w:name="_Toc4557"/>
            <w:bookmarkStart w:id="98" w:name="_Toc10891"/>
            <w:bookmarkStart w:id="99" w:name="_Toc23863"/>
            <w:bookmarkStart w:id="100" w:name="_Toc14770"/>
            <w:bookmarkStart w:id="101" w:name="_Toc18024"/>
            <w:r>
              <w:rPr>
                <w:rFonts w:hint="default" w:ascii="Times New Roman" w:hAnsi="Times New Roman" w:cs="Times New Roman"/>
                <w:b/>
                <w:bCs/>
                <w:color w:val="auto"/>
                <w:kern w:val="2"/>
                <w:highlight w:val="none"/>
              </w:rPr>
              <w:t>总量控制指标</w:t>
            </w:r>
            <w:bookmarkEnd w:id="88"/>
            <w:bookmarkEnd w:id="89"/>
            <w:bookmarkEnd w:id="90"/>
            <w:bookmarkEnd w:id="91"/>
            <w:bookmarkEnd w:id="92"/>
            <w:bookmarkEnd w:id="93"/>
            <w:bookmarkEnd w:id="94"/>
            <w:bookmarkEnd w:id="95"/>
            <w:bookmarkEnd w:id="96"/>
            <w:bookmarkEnd w:id="97"/>
            <w:bookmarkEnd w:id="98"/>
            <w:bookmarkEnd w:id="99"/>
            <w:bookmarkEnd w:id="100"/>
            <w:bookmarkEnd w:id="101"/>
          </w:p>
        </w:tc>
        <w:tc>
          <w:tcPr>
            <w:tcW w:w="4737" w:type="pct"/>
          </w:tcPr>
          <w:p w14:paraId="51A09BF2">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73308AAA">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5F5755BD">
            <w:pPr>
              <w:pStyle w:val="53"/>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0"/>
                <w:highlight w:val="none"/>
                <w:lang w:bidi="ar"/>
              </w:rPr>
            </w:pPr>
            <w:r>
              <w:rPr>
                <w:rFonts w:hint="default" w:ascii="Times New Roman" w:hAnsi="Times New Roman" w:cs="Times New Roman"/>
                <w:b/>
                <w:bCs/>
                <w:color w:val="auto"/>
                <w:kern w:val="0"/>
                <w:highlight w:val="none"/>
                <w:lang w:bidi="ar"/>
              </w:rPr>
              <w:t>（1）废水总量控制指标</w:t>
            </w:r>
          </w:p>
          <w:p w14:paraId="7F18053C">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生产废水排放量，生活污水排放量为</w:t>
            </w:r>
            <w:r>
              <w:rPr>
                <w:rFonts w:hint="eastAsia" w:cs="Times New Roman"/>
                <w:color w:val="auto"/>
                <w:highlight w:val="none"/>
                <w:lang w:val="en-US" w:eastAsia="zh-CN"/>
              </w:rPr>
              <w:t>360</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经三级化粪池、隔油隔渣池</w:t>
            </w:r>
            <w:r>
              <w:rPr>
                <w:rFonts w:hint="default" w:ascii="Times New Roman" w:hAnsi="Times New Roman" w:cs="Times New Roman"/>
                <w:color w:val="auto"/>
                <w:highlight w:val="none"/>
              </w:rPr>
              <w:t>预</w:t>
            </w:r>
            <w:r>
              <w:rPr>
                <w:rFonts w:hint="default" w:ascii="Times New Roman" w:hAnsi="Times New Roman" w:cs="Times New Roman"/>
                <w:color w:val="auto"/>
                <w:sz w:val="24"/>
                <w:highlight w:val="none"/>
              </w:rPr>
              <w:t>处理后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排入园区污水处理厂进行处理，</w:t>
            </w:r>
            <w:r>
              <w:rPr>
                <w:rFonts w:hint="default" w:ascii="Times New Roman" w:hAnsi="Times New Roman" w:cs="Times New Roman"/>
                <w:color w:val="auto"/>
                <w:sz w:val="24"/>
                <w:highlight w:val="none"/>
                <w:lang w:val="en-US" w:eastAsia="zh-CN"/>
              </w:rPr>
              <w:t>对应</w:t>
            </w:r>
            <w:r>
              <w:rPr>
                <w:rFonts w:hint="default" w:ascii="Times New Roman" w:hAnsi="Times New Roman" w:cs="Times New Roman"/>
                <w:color w:val="auto"/>
                <w:kern w:val="0"/>
                <w:sz w:val="24"/>
                <w:highlight w:val="none"/>
                <w:lang w:bidi="ar"/>
              </w:rPr>
              <w:t>CODcr</w:t>
            </w:r>
            <w:r>
              <w:rPr>
                <w:rFonts w:hint="default" w:ascii="Times New Roman" w:hAnsi="Times New Roman" w:cs="Times New Roman"/>
                <w:color w:val="auto"/>
                <w:kern w:val="0"/>
                <w:sz w:val="24"/>
                <w:highlight w:val="none"/>
                <w:lang w:eastAsia="zh-CN" w:bidi="ar"/>
              </w:rPr>
              <w:t>（</w:t>
            </w:r>
            <w:r>
              <w:rPr>
                <w:rFonts w:hint="eastAsia" w:cs="Times New Roman"/>
                <w:color w:val="auto"/>
                <w:kern w:val="0"/>
                <w:sz w:val="24"/>
                <w:highlight w:val="none"/>
                <w:lang w:val="en-US" w:eastAsia="zh-CN" w:bidi="ar"/>
              </w:rPr>
              <w:t>0.072</w:t>
            </w:r>
            <w:r>
              <w:rPr>
                <w:rFonts w:hint="default" w:ascii="Times New Roman" w:hAnsi="Times New Roman" w:cs="Times New Roman"/>
                <w:color w:val="auto"/>
                <w:kern w:val="0"/>
                <w:sz w:val="24"/>
                <w:highlight w:val="none"/>
                <w:lang w:val="en-US" w:eastAsia="zh-CN" w:bidi="ar"/>
              </w:rPr>
              <w:t>t/a）</w:t>
            </w:r>
            <w:r>
              <w:rPr>
                <w:rFonts w:hint="default" w:ascii="Times New Roman" w:hAnsi="Times New Roman" w:cs="Times New Roman"/>
                <w:color w:val="auto"/>
                <w:kern w:val="0"/>
                <w:sz w:val="24"/>
                <w:highlight w:val="none"/>
                <w:lang w:bidi="ar"/>
              </w:rPr>
              <w:t>、NH</w:t>
            </w:r>
            <w:r>
              <w:rPr>
                <w:rFonts w:hint="default" w:ascii="Times New Roman" w:hAnsi="Times New Roman" w:cs="Times New Roman"/>
                <w:color w:val="auto"/>
                <w:kern w:val="0"/>
                <w:sz w:val="24"/>
                <w:highlight w:val="none"/>
                <w:vertAlign w:val="subscript"/>
                <w:lang w:val="en-US" w:eastAsia="zh-CN" w:bidi="ar"/>
              </w:rPr>
              <w:t>3</w:t>
            </w:r>
            <w:r>
              <w:rPr>
                <w:rFonts w:hint="default" w:ascii="Times New Roman" w:hAnsi="Times New Roman" w:cs="Times New Roman"/>
                <w:color w:val="auto"/>
                <w:kern w:val="0"/>
                <w:sz w:val="24"/>
                <w:highlight w:val="none"/>
                <w:lang w:val="en-US" w:eastAsia="zh-CN" w:bidi="ar"/>
              </w:rPr>
              <w:t>-</w:t>
            </w:r>
            <w:r>
              <w:rPr>
                <w:rFonts w:hint="default" w:ascii="Times New Roman" w:hAnsi="Times New Roman" w:cs="Times New Roman"/>
                <w:color w:val="auto"/>
                <w:kern w:val="0"/>
                <w:sz w:val="24"/>
                <w:highlight w:val="none"/>
                <w:lang w:bidi="ar"/>
              </w:rPr>
              <w:t>N</w:t>
            </w:r>
            <w:r>
              <w:rPr>
                <w:rFonts w:hint="default" w:ascii="Times New Roman" w:hAnsi="Times New Roman" w:cs="Times New Roman"/>
                <w:color w:val="auto"/>
                <w:kern w:val="0"/>
                <w:sz w:val="24"/>
                <w:highlight w:val="none"/>
                <w:lang w:eastAsia="zh-CN" w:bidi="ar"/>
              </w:rPr>
              <w:t>（</w:t>
            </w:r>
            <w:r>
              <w:rPr>
                <w:rFonts w:hint="eastAsia" w:cs="Times New Roman"/>
                <w:color w:val="auto"/>
                <w:kern w:val="0"/>
                <w:sz w:val="24"/>
                <w:highlight w:val="none"/>
                <w:lang w:val="en-US" w:eastAsia="zh-CN" w:bidi="ar"/>
              </w:rPr>
              <w:t>0.011</w:t>
            </w:r>
            <w:r>
              <w:rPr>
                <w:rFonts w:hint="default" w:ascii="Times New Roman" w:hAnsi="Times New Roman" w:cs="Times New Roman"/>
                <w:color w:val="auto"/>
                <w:kern w:val="0"/>
                <w:sz w:val="24"/>
                <w:highlight w:val="none"/>
                <w:lang w:val="en-US" w:eastAsia="zh-CN" w:bidi="ar"/>
              </w:rPr>
              <w:t>t/a）</w:t>
            </w:r>
            <w:r>
              <w:rPr>
                <w:rFonts w:hint="default" w:ascii="Times New Roman" w:hAnsi="Times New Roman" w:cs="Times New Roman"/>
                <w:color w:val="auto"/>
                <w:kern w:val="0"/>
                <w:sz w:val="24"/>
                <w:highlight w:val="none"/>
                <w:lang w:bidi="ar"/>
              </w:rPr>
              <w:t>纳入园区污水处理厂的总量控制指标，不需再增加新的总量分配指标</w:t>
            </w:r>
            <w:r>
              <w:rPr>
                <w:rFonts w:hint="default" w:ascii="Times New Roman" w:hAnsi="Times New Roman" w:cs="Times New Roman"/>
                <w:color w:val="auto"/>
                <w:sz w:val="24"/>
                <w:highlight w:val="none"/>
              </w:rPr>
              <w:t>。</w:t>
            </w:r>
          </w:p>
          <w:p w14:paraId="2F6231BF">
            <w:pPr>
              <w:pStyle w:val="53"/>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（2）废气总量控制指标</w:t>
            </w:r>
          </w:p>
          <w:p w14:paraId="423016D4">
            <w:pPr>
              <w:keepNext w:val="0"/>
              <w:keepLines w:val="0"/>
              <w:pageBreakBefore w:val="0"/>
              <w:widowControl/>
              <w:suppressLineNumbers w:val="0"/>
              <w:wordWrap w:val="0"/>
              <w:bidi w:val="0"/>
              <w:spacing w:before="0" w:beforeAutospacing="0" w:after="0" w:afterAutospacing="0"/>
              <w:ind w:left="0" w:right="0"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kern w:val="0"/>
                <w:sz w:val="24"/>
                <w:highlight w:val="none"/>
                <w:lang w:bidi="ar"/>
              </w:rPr>
              <w:t>本项目建成后</w:t>
            </w:r>
            <w:r>
              <w:rPr>
                <w:rFonts w:hint="default" w:ascii="Times New Roman" w:hAnsi="Times New Roman" w:cs="Times New Roman"/>
                <w:color w:val="auto"/>
                <w:kern w:val="0"/>
                <w:sz w:val="24"/>
                <w:highlight w:val="none"/>
                <w:lang w:val="en-US" w:eastAsia="zh-CN" w:bidi="ar"/>
              </w:rPr>
              <w:t>VOCs</w:t>
            </w:r>
            <w:r>
              <w:rPr>
                <w:rFonts w:hint="default" w:ascii="Times New Roman" w:hAnsi="Times New Roman" w:cs="Times New Roman"/>
                <w:color w:val="auto"/>
                <w:kern w:val="0"/>
                <w:sz w:val="24"/>
                <w:highlight w:val="none"/>
                <w:lang w:bidi="ar"/>
              </w:rPr>
              <w:t>总排放量为</w:t>
            </w:r>
            <w:r>
              <w:rPr>
                <w:rFonts w:hint="default" w:ascii="Times New Roman" w:hAnsi="Times New Roman" w:cs="Times New Roman"/>
                <w:color w:val="auto"/>
                <w:kern w:val="0"/>
                <w:sz w:val="24"/>
                <w:highlight w:val="none"/>
                <w:lang w:val="en-US" w:eastAsia="zh-CN" w:bidi="ar"/>
              </w:rPr>
              <w:t>0.036</w:t>
            </w:r>
            <w:r>
              <w:rPr>
                <w:rFonts w:hint="default" w:ascii="Times New Roman" w:hAnsi="Times New Roman" w:cs="Times New Roman"/>
                <w:color w:val="auto"/>
                <w:kern w:val="0"/>
                <w:sz w:val="24"/>
                <w:highlight w:val="none"/>
                <w:lang w:bidi="ar"/>
              </w:rPr>
              <w:t>t/a</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bidi="ar"/>
              </w:rPr>
              <w:t>其中</w:t>
            </w:r>
            <w:r>
              <w:rPr>
                <w:rFonts w:hint="default" w:ascii="Times New Roman" w:hAnsi="Times New Roman" w:cs="Times New Roman"/>
                <w:color w:val="auto"/>
                <w:kern w:val="0"/>
                <w:sz w:val="24"/>
                <w:highlight w:val="none"/>
                <w:lang w:val="en-US" w:eastAsia="zh-CN" w:bidi="ar"/>
              </w:rPr>
              <w:t>VOCs</w:t>
            </w:r>
            <w:r>
              <w:rPr>
                <w:rFonts w:hint="default" w:ascii="Times New Roman" w:hAnsi="Times New Roman" w:cs="Times New Roman"/>
                <w:color w:val="auto"/>
                <w:kern w:val="0"/>
                <w:sz w:val="24"/>
                <w:highlight w:val="none"/>
                <w:lang w:bidi="ar"/>
              </w:rPr>
              <w:t>有组织排放</w:t>
            </w:r>
            <w:r>
              <w:rPr>
                <w:rFonts w:hint="default" w:ascii="Times New Roman" w:hAnsi="Times New Roman" w:cs="Times New Roman"/>
                <w:color w:val="auto"/>
                <w:kern w:val="0"/>
                <w:sz w:val="24"/>
                <w:highlight w:val="none"/>
                <w:lang w:val="en-US" w:eastAsia="zh-CN" w:bidi="ar"/>
              </w:rPr>
              <w:t>量</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val="en-US" w:eastAsia="zh-CN" w:bidi="ar"/>
              </w:rPr>
              <w:t>0.02</w:t>
            </w:r>
            <w:r>
              <w:rPr>
                <w:rFonts w:hint="default" w:ascii="Times New Roman" w:hAnsi="Times New Roman" w:cs="Times New Roman"/>
                <w:color w:val="auto"/>
                <w:kern w:val="0"/>
                <w:sz w:val="24"/>
                <w:highlight w:val="none"/>
                <w:lang w:bidi="ar"/>
              </w:rPr>
              <w:t>t/a，</w:t>
            </w:r>
            <w:r>
              <w:rPr>
                <w:rFonts w:hint="default" w:ascii="Times New Roman" w:hAnsi="Times New Roman" w:cs="Times New Roman"/>
                <w:color w:val="auto"/>
                <w:kern w:val="0"/>
                <w:sz w:val="24"/>
                <w:highlight w:val="none"/>
                <w:lang w:val="en-US" w:eastAsia="zh-CN" w:bidi="ar"/>
              </w:rPr>
              <w:t>VOCs</w:t>
            </w:r>
            <w:r>
              <w:rPr>
                <w:rFonts w:hint="default" w:ascii="Times New Roman" w:hAnsi="Times New Roman" w:cs="Times New Roman"/>
                <w:color w:val="auto"/>
                <w:kern w:val="0"/>
                <w:sz w:val="24"/>
                <w:highlight w:val="none"/>
                <w:lang w:bidi="ar"/>
              </w:rPr>
              <w:t>无组织排放</w:t>
            </w:r>
            <w:r>
              <w:rPr>
                <w:rFonts w:hint="default" w:ascii="Times New Roman" w:hAnsi="Times New Roman" w:cs="Times New Roman"/>
                <w:color w:val="auto"/>
                <w:kern w:val="0"/>
                <w:sz w:val="24"/>
                <w:highlight w:val="none"/>
                <w:lang w:val="en-US" w:eastAsia="zh-CN" w:bidi="ar"/>
              </w:rPr>
              <w:t>量</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val="en-US" w:eastAsia="zh-CN" w:bidi="ar"/>
              </w:rPr>
              <w:t>0.016</w:t>
            </w:r>
            <w:r>
              <w:rPr>
                <w:rFonts w:hint="eastAsia" w:cs="Times New Roman"/>
                <w:color w:val="auto"/>
                <w:kern w:val="0"/>
                <w:sz w:val="24"/>
                <w:highlight w:val="none"/>
                <w:lang w:val="en-US" w:eastAsia="zh-CN" w:bidi="ar"/>
              </w:rPr>
              <w:t>t</w:t>
            </w:r>
            <w:r>
              <w:rPr>
                <w:rFonts w:hint="default" w:ascii="Times New Roman" w:hAnsi="Times New Roman" w:cs="Times New Roman"/>
                <w:color w:val="auto"/>
                <w:kern w:val="0"/>
                <w:sz w:val="24"/>
                <w:highlight w:val="none"/>
                <w:lang w:bidi="ar"/>
              </w:rPr>
              <w:t>/a</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bidi="ar"/>
              </w:rPr>
              <w:t>氮氧化物总量为</w:t>
            </w:r>
            <w:r>
              <w:rPr>
                <w:rFonts w:hint="default" w:ascii="Times New Roman" w:hAnsi="Times New Roman" w:cs="Times New Roman"/>
                <w:color w:val="auto"/>
                <w:kern w:val="0"/>
                <w:sz w:val="24"/>
                <w:highlight w:val="none"/>
                <w:lang w:val="en-US" w:eastAsia="zh-CN" w:bidi="ar"/>
              </w:rPr>
              <w:t>0.684</w:t>
            </w:r>
            <w:r>
              <w:rPr>
                <w:rFonts w:hint="default" w:ascii="Times New Roman" w:hAnsi="Times New Roman" w:cs="Times New Roman"/>
                <w:color w:val="auto"/>
                <w:kern w:val="0"/>
                <w:sz w:val="24"/>
                <w:highlight w:val="none"/>
                <w:lang w:bidi="ar"/>
              </w:rPr>
              <w:t>t/a</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val="en-US" w:eastAsia="zh-CN" w:bidi="ar"/>
              </w:rPr>
              <w:t>氮氧化物</w:t>
            </w:r>
            <w:r>
              <w:rPr>
                <w:rFonts w:hint="default" w:ascii="Times New Roman" w:hAnsi="Times New Roman" w:cs="Times New Roman"/>
                <w:color w:val="auto"/>
                <w:kern w:val="0"/>
                <w:sz w:val="24"/>
                <w:highlight w:val="none"/>
                <w:lang w:bidi="ar"/>
              </w:rPr>
              <w:t>有组织排放</w:t>
            </w:r>
            <w:r>
              <w:rPr>
                <w:rFonts w:hint="default" w:ascii="Times New Roman" w:hAnsi="Times New Roman" w:cs="Times New Roman"/>
                <w:color w:val="auto"/>
                <w:kern w:val="0"/>
                <w:sz w:val="24"/>
                <w:highlight w:val="none"/>
                <w:lang w:val="en-US" w:eastAsia="zh-CN" w:bidi="ar"/>
              </w:rPr>
              <w:t>量</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val="en-US" w:eastAsia="zh-CN" w:bidi="ar"/>
              </w:rPr>
              <w:t>0.684</w:t>
            </w:r>
            <w:r>
              <w:rPr>
                <w:rFonts w:hint="default" w:ascii="Times New Roman" w:hAnsi="Times New Roman" w:cs="Times New Roman"/>
                <w:color w:val="auto"/>
                <w:kern w:val="0"/>
                <w:sz w:val="24"/>
                <w:highlight w:val="none"/>
                <w:lang w:bidi="ar"/>
              </w:rPr>
              <w:t>t/a</w:t>
            </w:r>
            <w:r>
              <w:rPr>
                <w:rFonts w:hint="default" w:ascii="Times New Roman" w:hAnsi="Times New Roman" w:cs="Times New Roman"/>
                <w:color w:val="auto"/>
                <w:kern w:val="0"/>
                <w:sz w:val="24"/>
                <w:highlight w:val="none"/>
                <w:lang w:eastAsia="zh-CN" w:bidi="ar"/>
              </w:rPr>
              <w:t>）。</w:t>
            </w:r>
          </w:p>
          <w:p w14:paraId="624AC4D0">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根据《关于印发&lt;生态环境部门进一步促进民营经济发展的若干措施&gt;的通知》（环综合〔2024〕62号）可知：在严格实施各项污染防治措施基础上，对氮氧化物、挥发性有机污染物的单项新增年排放量小于0.1吨的建设项目，免予提交总量指标来源说明，由地方生态环境部门统筹总量指标替代来源，并纳入台账管理。</w:t>
            </w:r>
          </w:p>
          <w:p w14:paraId="2AB7701A">
            <w:pPr>
              <w:keepNext w:val="0"/>
              <w:keepLines w:val="0"/>
              <w:pageBreakBefore w:val="0"/>
              <w:widowControl/>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sz w:val="24"/>
                <w:highlight w:val="none"/>
              </w:rPr>
            </w:pPr>
            <w:r>
              <w:rPr>
                <w:rFonts w:hint="eastAsia" w:cs="Times New Roman"/>
                <w:color w:val="auto"/>
                <w:kern w:val="0"/>
                <w:sz w:val="24"/>
                <w:highlight w:val="none"/>
                <w:lang w:val="en-US" w:eastAsia="zh-CN" w:bidi="ar"/>
              </w:rPr>
              <w:t>综上，本项目</w:t>
            </w:r>
            <w:r>
              <w:rPr>
                <w:rFonts w:hint="default" w:ascii="Times New Roman" w:hAnsi="Times New Roman" w:cs="Times New Roman"/>
                <w:color w:val="auto"/>
                <w:kern w:val="0"/>
                <w:sz w:val="24"/>
                <w:highlight w:val="none"/>
                <w:lang w:val="en-US" w:eastAsia="zh-CN" w:bidi="ar"/>
              </w:rPr>
              <w:t>VOCs</w:t>
            </w:r>
            <w:r>
              <w:rPr>
                <w:rFonts w:hint="eastAsia" w:cs="Times New Roman"/>
                <w:color w:val="auto"/>
                <w:kern w:val="0"/>
                <w:sz w:val="24"/>
                <w:highlight w:val="none"/>
                <w:lang w:val="en-US" w:eastAsia="zh-CN" w:bidi="ar"/>
              </w:rPr>
              <w:t>无需</w:t>
            </w:r>
            <w:r>
              <w:rPr>
                <w:rFonts w:hint="default" w:ascii="Times New Roman" w:hAnsi="Times New Roman" w:cs="Times New Roman"/>
                <w:color w:val="auto"/>
                <w:kern w:val="0"/>
                <w:sz w:val="24"/>
                <w:highlight w:val="none"/>
                <w:lang w:bidi="ar"/>
              </w:rPr>
              <w:t>提交总量指标来源说明</w:t>
            </w:r>
            <w:r>
              <w:rPr>
                <w:rFonts w:hint="eastAsia" w:cs="Times New Roman"/>
                <w:color w:val="auto"/>
                <w:kern w:val="0"/>
                <w:sz w:val="24"/>
                <w:highlight w:val="none"/>
                <w:lang w:eastAsia="zh-CN" w:bidi="ar"/>
              </w:rPr>
              <w:t>，</w:t>
            </w:r>
            <w:r>
              <w:rPr>
                <w:rFonts w:hint="default" w:ascii="Times New Roman" w:hAnsi="Times New Roman" w:cs="Times New Roman"/>
                <w:color w:val="auto"/>
                <w:kern w:val="0"/>
                <w:sz w:val="24"/>
                <w:highlight w:val="none"/>
                <w:lang w:bidi="ar"/>
              </w:rPr>
              <w:t>氮氧化物等量替代需向韶关市生态环境局乐昌分局申请分配。</w:t>
            </w:r>
          </w:p>
          <w:p w14:paraId="23601F98">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3343F53F">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 w:val="0"/>
                <w:bCs w:val="0"/>
                <w:color w:val="auto"/>
                <w:highlight w:val="none"/>
                <w:lang w:eastAsia="zh-CN"/>
              </w:rPr>
            </w:pPr>
            <w:r>
              <w:rPr>
                <w:rFonts w:hint="default" w:ascii="Times New Roman" w:hAnsi="Times New Roman" w:cs="Times New Roman"/>
                <w:b w:val="0"/>
                <w:bCs w:val="0"/>
                <w:color w:val="auto"/>
                <w:highlight w:val="none"/>
              </w:rPr>
              <w:t>本项目固体废物不自行处理排放，不设置固体废物总量控制指标</w:t>
            </w:r>
            <w:r>
              <w:rPr>
                <w:rFonts w:hint="default" w:ascii="Times New Roman" w:hAnsi="Times New Roman" w:cs="Times New Roman"/>
                <w:b w:val="0"/>
                <w:bCs w:val="0"/>
                <w:color w:val="auto"/>
                <w:highlight w:val="none"/>
                <w:lang w:eastAsia="zh-CN"/>
              </w:rPr>
              <w:t>。</w:t>
            </w:r>
          </w:p>
          <w:p w14:paraId="62EFD3E1">
            <w:pPr>
              <w:pStyle w:val="43"/>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color w:val="auto"/>
                <w:highlight w:val="none"/>
                <w:lang w:val="en-US" w:eastAsia="zh-CN"/>
              </w:rPr>
            </w:pPr>
          </w:p>
        </w:tc>
      </w:tr>
    </w:tbl>
    <w:p w14:paraId="657B21C5">
      <w:pPr>
        <w:bidi w:val="0"/>
        <w:rPr>
          <w:rFonts w:hint="default" w:ascii="Times New Roman" w:hAnsi="Times New Roman"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57E56E8B">
      <w:pPr>
        <w:pStyle w:val="2"/>
        <w:pageBreakBefore w:val="0"/>
        <w:numPr>
          <w:ilvl w:val="0"/>
          <w:numId w:val="0"/>
        </w:numPr>
        <w:wordWrap w:val="0"/>
        <w:bidi w:val="0"/>
        <w:rPr>
          <w:rFonts w:hint="default" w:ascii="Times New Roman" w:hAnsi="Times New Roman" w:cs="Times New Roman"/>
          <w:b/>
          <w:bCs/>
          <w:color w:val="auto"/>
          <w:highlight w:val="none"/>
        </w:rPr>
      </w:pPr>
      <w:bookmarkStart w:id="102" w:name="_Toc8634"/>
      <w:bookmarkStart w:id="103" w:name="_Toc3944"/>
      <w:bookmarkStart w:id="104" w:name="_Toc32008"/>
      <w:r>
        <w:rPr>
          <w:rFonts w:hint="default" w:ascii="Times New Roman" w:hAnsi="Times New Roman" w:cs="Times New Roman"/>
          <w:b/>
          <w:bCs/>
          <w:color w:val="auto"/>
          <w:highlight w:val="none"/>
        </w:rPr>
        <w:t>四、主要环境影响和保护措施</w:t>
      </w:r>
      <w:bookmarkEnd w:id="102"/>
      <w:bookmarkEnd w:id="103"/>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
        <w:gridCol w:w="9547"/>
      </w:tblGrid>
      <w:tr w14:paraId="4A63C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7" w:hRule="atLeast"/>
        </w:trPr>
        <w:tc>
          <w:tcPr>
            <w:tcW w:w="224" w:type="pct"/>
            <w:vAlign w:val="center"/>
          </w:tcPr>
          <w:p w14:paraId="048C2006">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105" w:name="_Toc16612"/>
            <w:bookmarkStart w:id="106" w:name="_Toc25551"/>
            <w:bookmarkStart w:id="107" w:name="_Toc32016"/>
            <w:bookmarkStart w:id="108" w:name="_Toc18588"/>
            <w:bookmarkStart w:id="109" w:name="_Toc25142"/>
            <w:bookmarkStart w:id="110" w:name="_Toc7895"/>
            <w:bookmarkStart w:id="111" w:name="_Toc30266"/>
            <w:bookmarkStart w:id="112" w:name="_Toc25331"/>
            <w:bookmarkStart w:id="113" w:name="_Toc8812"/>
            <w:bookmarkStart w:id="114" w:name="_Toc4550"/>
            <w:bookmarkStart w:id="115" w:name="_Toc3227"/>
            <w:r>
              <w:rPr>
                <w:rFonts w:hint="default" w:ascii="Times New Roman" w:hAnsi="Times New Roman" w:cs="Times New Roman"/>
                <w:color w:val="auto"/>
                <w:kern w:val="2"/>
                <w:highlight w:val="none"/>
              </w:rPr>
              <w:t>施工期环境保护措施</w:t>
            </w:r>
            <w:bookmarkEnd w:id="105"/>
            <w:bookmarkEnd w:id="106"/>
            <w:bookmarkEnd w:id="107"/>
            <w:bookmarkEnd w:id="108"/>
            <w:bookmarkEnd w:id="109"/>
            <w:bookmarkEnd w:id="110"/>
            <w:bookmarkEnd w:id="111"/>
            <w:bookmarkEnd w:id="112"/>
            <w:bookmarkEnd w:id="113"/>
            <w:bookmarkEnd w:id="114"/>
            <w:bookmarkEnd w:id="115"/>
          </w:p>
        </w:tc>
        <w:tc>
          <w:tcPr>
            <w:tcW w:w="4775" w:type="pct"/>
            <w:vAlign w:val="center"/>
          </w:tcPr>
          <w:p w14:paraId="708ECC0A">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本项目租赁已建成的工业厂房进行生产，不涉及土建工程，只需在原有厂房内进行简单的装修及设备安装，施工期间施工人员食宿等生活问题依托周边设施解决。故施工期产生的污染源主要为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施工过程产生的少量装修废气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车间装修、设备安装施工时产生的少量建筑垃圾、包装垃圾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装修设备和设备调试产生的噪声等。施工过程对环境会带来短暂性的影响，其影响在施工结束后消除。因此，只需要加强施工期间的管理，本项目施工期产生的污染对周围环境的影响在可接受的范围内。</w:t>
            </w:r>
          </w:p>
        </w:tc>
      </w:tr>
      <w:tr w14:paraId="29EF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17" w:hRule="atLeast"/>
        </w:trPr>
        <w:tc>
          <w:tcPr>
            <w:tcW w:w="224" w:type="pct"/>
            <w:vAlign w:val="center"/>
          </w:tcPr>
          <w:p w14:paraId="1556F329">
            <w:pPr>
              <w:keepNext/>
              <w:keepLines w:val="0"/>
              <w:pageBreakBefore w:val="0"/>
              <w:widowControl/>
              <w:numPr>
                <w:ilvl w:val="1"/>
                <w:numId w:val="0"/>
              </w:numPr>
              <w:suppressLineNumbers w:val="0"/>
              <w:tabs>
                <w:tab w:val="left" w:pos="420"/>
              </w:tabs>
              <w:kinsoku/>
              <w:wordWrap w:val="0"/>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116" w:name="_Toc12228"/>
            <w:bookmarkStart w:id="117" w:name="_Toc31655"/>
            <w:bookmarkStart w:id="118" w:name="_Toc665"/>
            <w:bookmarkStart w:id="119" w:name="_Toc29600"/>
            <w:bookmarkStart w:id="120" w:name="_Toc14651"/>
            <w:bookmarkStart w:id="121" w:name="_Toc297"/>
            <w:bookmarkStart w:id="122" w:name="_Toc15252"/>
            <w:bookmarkStart w:id="123" w:name="_Toc25969"/>
            <w:bookmarkStart w:id="124" w:name="_Toc8375"/>
            <w:bookmarkStart w:id="125" w:name="_Toc15885"/>
            <w:bookmarkStart w:id="126" w:name="_Toc27971"/>
            <w:r>
              <w:rPr>
                <w:rFonts w:hint="default" w:ascii="Times New Roman" w:hAnsi="Times New Roman" w:cs="Times New Roman"/>
                <w:b/>
                <w:bCs/>
                <w:color w:val="auto"/>
                <w:kern w:val="2"/>
                <w:highlight w:val="none"/>
              </w:rPr>
              <w:t>运营期环境影响和保护措施</w:t>
            </w:r>
            <w:bookmarkEnd w:id="116"/>
            <w:bookmarkEnd w:id="117"/>
            <w:bookmarkEnd w:id="118"/>
            <w:bookmarkEnd w:id="119"/>
            <w:bookmarkEnd w:id="120"/>
            <w:bookmarkEnd w:id="121"/>
            <w:bookmarkEnd w:id="122"/>
            <w:bookmarkEnd w:id="123"/>
            <w:bookmarkEnd w:id="124"/>
            <w:bookmarkEnd w:id="125"/>
            <w:bookmarkEnd w:id="126"/>
          </w:p>
        </w:tc>
        <w:tc>
          <w:tcPr>
            <w:tcW w:w="4775" w:type="pct"/>
            <w:vAlign w:val="center"/>
          </w:tcPr>
          <w:p w14:paraId="6C58AA7E">
            <w:pPr>
              <w:pStyle w:val="5"/>
              <w:pageBreakBefore w:val="0"/>
              <w:numPr>
                <w:ilvl w:val="3"/>
                <w:numId w:val="0"/>
              </w:numPr>
              <w:suppressLineNumbers w:val="0"/>
              <w:wordWrap w:val="0"/>
              <w:bidi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一、废气污染源</w:t>
            </w:r>
          </w:p>
          <w:p w14:paraId="73FD8335">
            <w:pPr>
              <w:pStyle w:val="5"/>
              <w:pageBreakBefore w:val="0"/>
              <w:numPr>
                <w:ilvl w:val="3"/>
                <w:numId w:val="0"/>
              </w:numPr>
              <w:suppressLineNumbers w:val="0"/>
              <w:wordWrap w:val="0"/>
              <w:bidi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24"/>
                <w:highlight w:val="none"/>
              </w:rPr>
              <w:t>本项目营运期产生的废气主要为</w:t>
            </w:r>
            <w:r>
              <w:rPr>
                <w:rFonts w:hint="default" w:ascii="Times New Roman" w:hAnsi="Times New Roman" w:cs="Times New Roman"/>
                <w:b w:val="0"/>
                <w:bCs w:val="0"/>
                <w:color w:val="auto"/>
                <w:szCs w:val="24"/>
                <w:highlight w:val="none"/>
                <w:lang w:val="en-US" w:eastAsia="zh-CN"/>
              </w:rPr>
              <w:t>投料搅拌工序产生的投料粉尘；成型烘干、上色固化工序产生的有机废气（以非甲烷总烃表征）、天然气燃烧废气（氮氧化物、颗粒物、二氧化硫、烟气黑度）、漆雾（以颗粒物表征）、少量生产异味以及切割工序产生的切割粉尘</w:t>
            </w:r>
            <w:r>
              <w:rPr>
                <w:rFonts w:hint="default" w:ascii="Times New Roman" w:hAnsi="Times New Roman" w:cs="Times New Roman"/>
                <w:b w:val="0"/>
                <w:bCs w:val="0"/>
                <w:color w:val="auto"/>
                <w:szCs w:val="32"/>
                <w:highlight w:val="none"/>
              </w:rPr>
              <w:t>。</w:t>
            </w:r>
          </w:p>
          <w:p w14:paraId="48DBD1C7">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1、废气产排源强计算</w:t>
            </w:r>
          </w:p>
          <w:p w14:paraId="46F41AA5">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投料粉尘</w:t>
            </w:r>
          </w:p>
          <w:p w14:paraId="69A1E7D0">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在生产新形建筑软瓷材料过程中，需要对石粉、矿粉、丙烯酸乳液、水进行搅拌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虽然搅拌过程在密闭设备搅拌机中进行，但是投料过程难免会产生少量逸散粉尘。</w:t>
            </w:r>
          </w:p>
          <w:p w14:paraId="44520F43">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参考《排放源统计调查产排污核算方法和系数手册》（2021年6月9日）中“工业源产排污核算方法和系数手册”附表 1-工业行业产排污系数手册中“171、303砖瓦、石材等建筑材料制造行业系数手册，人造石材、以碎石颗粒、粉料、不饱和树脂等为原料，以凝胶固化成型、投料、剧解、抛光、裁切、投料等工艺，适合所有规模中的-投料，废气颗粒物产污系数为0.015k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-产品”，本项目年产新形建筑软瓷砖5万m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按平均厚度2.5mm计，</w:t>
            </w:r>
            <w:r>
              <w:rPr>
                <w:rFonts w:hint="default" w:ascii="Times New Roman" w:hAnsi="Times New Roman" w:cs="Times New Roman"/>
                <w:color w:val="auto"/>
                <w:highlight w:val="none"/>
                <w:lang w:val="en-US" w:eastAsia="zh-CN"/>
              </w:rPr>
              <w:t>折算成体积为125m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/a，则本项目投料粉尘产生量约为0.002t/a，加强车间通风后无组织排放，排放速率为0.0004kg/h；</w:t>
            </w:r>
          </w:p>
          <w:p w14:paraId="4323CFED">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有机废气</w:t>
            </w:r>
          </w:p>
          <w:p w14:paraId="7A377D4A">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①成型烘干</w:t>
            </w:r>
          </w:p>
          <w:p w14:paraId="57077C80">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在生产新形建筑软瓷材料过程中，使用的丙烯酸乳液在烘干成型温度80℃的条件下，虽然未达到丙烯酸树脂受热分解的温度，但仍有可能因受热挥发产生少量的有机废气。参考</w:t>
            </w:r>
            <w:r>
              <w:rPr>
                <w:rFonts w:hint="default" w:ascii="Times New Roman" w:hAnsi="Times New Roman" w:eastAsia="宋体" w:cs="Times New Roman"/>
                <w:color w:val="auto"/>
                <w:kern w:val="0"/>
                <w:sz w:val="24"/>
                <w:szCs w:val="24"/>
                <w:highlight w:val="none"/>
                <w:lang w:val="en-US" w:eastAsia="zh-CN" w:bidi="ar"/>
              </w:rPr>
              <w:t>《排放源统计调查产排污核算方法和系数手册》（2021年6月9日）中“工业源产排污核算方法和系数手册”附表 1-工业行业产排污系数手册中“171、303砖瓦、石材等建筑材料制造行业系数手册，人造石材、以碎石颗粒、粉料、不饱和树脂等为原料，以凝胶固化成型、切割、抛光、裁切工艺，适合所有规模中的-固化成型，挥发性有机物废气产污系数为0.006k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-产品”。本项目</w:t>
            </w:r>
            <w:r>
              <w:rPr>
                <w:rFonts w:hint="default" w:ascii="Times New Roman" w:hAnsi="Times New Roman" w:cs="Times New Roman"/>
                <w:color w:val="auto"/>
                <w:highlight w:val="none"/>
                <w:lang w:val="en-US" w:eastAsia="zh-CN"/>
              </w:rPr>
              <w:t>年产新形建筑软瓷砖5万m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按平均厚度2.5mm计，</w:t>
            </w:r>
            <w:r>
              <w:rPr>
                <w:rFonts w:hint="default" w:ascii="Times New Roman" w:hAnsi="Times New Roman" w:cs="Times New Roman"/>
                <w:color w:val="auto"/>
                <w:highlight w:val="none"/>
                <w:lang w:val="en-US" w:eastAsia="zh-CN"/>
              </w:rPr>
              <w:t>折算成体积为125m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/a，则本项目有机废气产生量为0.75kg/a。</w:t>
            </w:r>
          </w:p>
          <w:p w14:paraId="131BD6D5">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其中</w:t>
            </w:r>
            <w:r>
              <w:rPr>
                <w:rFonts w:hint="default" w:ascii="Times New Roman" w:hAnsi="Times New Roman" w:eastAsia="宋体" w:cs="Times New Roman"/>
                <w:color w:val="auto"/>
                <w:highlight w:val="none"/>
                <w:lang w:val="en-US" w:eastAsia="zh-CN"/>
              </w:rPr>
              <w:t>丙烯酸乳液苯系物含量为44mg/kg，年用量为50t，苯系物按全挥发计，对应苯系物产生量=50t×44mg/kg=2.2kg/a。</w:t>
            </w:r>
          </w:p>
          <w:p w14:paraId="2C4529E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②上色固化</w:t>
            </w:r>
          </w:p>
          <w:p w14:paraId="221059FF">
            <w:pPr>
              <w:keepNext w:val="0"/>
              <w:keepLines w:val="0"/>
              <w:pageBreakBefore w:val="0"/>
              <w:suppressLineNumbers w:val="0"/>
              <w:kinsoku/>
              <w:wordWrap w:val="0"/>
              <w:overflowPunct/>
              <w:topLinePunct w:val="0"/>
              <w:bidi w:val="0"/>
              <w:spacing w:before="0" w:beforeAutospacing="0" w:after="0" w:afterAutospacing="0" w:line="360" w:lineRule="auto"/>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烘干成型后物料需要进行喷涂上色，随后送入烤房进行固化，以上过程中使用的水性漆会产生有机废气。已知本项目使用水性漆为</w:t>
            </w:r>
            <w:r>
              <w:rPr>
                <w:rFonts w:hint="default" w:ascii="Times New Roman" w:hAnsi="Times New Roman" w:cs="Times New Roman"/>
                <w:color w:val="auto"/>
                <w:kern w:val="2"/>
                <w:sz w:val="24"/>
                <w:szCs w:val="24"/>
                <w:highlight w:val="none"/>
                <w:vertAlign w:val="baseline"/>
                <w:lang w:val="en-US" w:eastAsia="zh-CN"/>
              </w:rPr>
              <w:t>年用量为2t，挥发分为5%的情况下，上色固化工序的有机废气产生量为2t/a×</w:t>
            </w:r>
            <w:r>
              <w:rPr>
                <w:rFonts w:hint="default" w:ascii="Times New Roman" w:hAnsi="Times New Roman" w:cs="Times New Roman"/>
                <w:color w:val="auto"/>
                <w:kern w:val="2"/>
                <w:sz w:val="24"/>
                <w:szCs w:val="24"/>
                <w:highlight w:val="none"/>
                <w:lang w:val="en-US" w:eastAsia="zh-CN"/>
              </w:rPr>
              <w:t>5%</w:t>
            </w:r>
            <w:r>
              <w:rPr>
                <w:rFonts w:hint="default" w:ascii="Times New Roman" w:hAnsi="Times New Roman" w:cs="Times New Roman"/>
                <w:color w:val="auto"/>
                <w:kern w:val="2"/>
                <w:sz w:val="24"/>
                <w:szCs w:val="24"/>
                <w:highlight w:val="none"/>
                <w:vertAlign w:val="baseline"/>
                <w:lang w:val="en-US" w:eastAsia="zh-CN"/>
              </w:rPr>
              <w:t>=0.1t/a（100kg/a）；</w:t>
            </w:r>
          </w:p>
          <w:p w14:paraId="5B86C878">
            <w:pPr>
              <w:keepNext w:val="0"/>
              <w:keepLines w:val="0"/>
              <w:pageBreakBefore w:val="0"/>
              <w:suppressLineNumbers w:val="0"/>
              <w:kinsoku/>
              <w:wordWrap w:val="0"/>
              <w:overflowPunct/>
              <w:topLinePunct w:val="0"/>
              <w:bidi w:val="0"/>
              <w:spacing w:before="0" w:beforeAutospacing="0" w:after="0" w:afterAutospacing="0" w:line="360" w:lineRule="auto"/>
              <w:ind w:left="0" w:right="0" w:firstLine="480" w:firstLineChars="200"/>
              <w:jc w:val="left"/>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参考《涂装技术实用手册》（机械工业出版社），结合国内相关生产企业的相关调查成果和文献资料，上色及固化过程挥发性有机物产生量占比见下表。</w:t>
            </w:r>
          </w:p>
          <w:p w14:paraId="62E95F33">
            <w:pPr>
              <w:keepNext w:val="0"/>
              <w:keepLines w:val="0"/>
              <w:pageBreakBefore w:val="0"/>
              <w:suppressLineNumbers w:val="0"/>
              <w:kinsoku/>
              <w:wordWrap w:val="0"/>
              <w:overflowPunct/>
              <w:topLinePunct w:val="0"/>
              <w:bidi w:val="0"/>
              <w:spacing w:before="0" w:beforeAutospacing="0" w:after="0" w:afterAutospacing="0" w:line="360" w:lineRule="auto"/>
              <w:ind w:left="0" w:right="0"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lang w:val="en-US" w:eastAsia="zh-CN"/>
              </w:rPr>
              <w:t>表4-1 不同作业流程VOCs产生量占比情况一览表</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1"/>
              <w:gridCol w:w="4314"/>
              <w:gridCol w:w="2602"/>
            </w:tblGrid>
            <w:tr w14:paraId="7AC6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pct"/>
                  <w:vAlign w:val="center"/>
                </w:tcPr>
                <w:p w14:paraId="54117244">
                  <w:pPr>
                    <w:keepNext w:val="0"/>
                    <w:keepLines w:val="0"/>
                    <w:pageBreakBefore w:val="0"/>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作业流程</w:t>
                  </w:r>
                </w:p>
              </w:tc>
              <w:tc>
                <w:tcPr>
                  <w:tcW w:w="2314" w:type="pct"/>
                  <w:vAlign w:val="center"/>
                </w:tcPr>
                <w:p w14:paraId="67DA1399">
                  <w:pPr>
                    <w:keepNext w:val="0"/>
                    <w:keepLines w:val="0"/>
                    <w:pageBreakBefore w:val="0"/>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作业流程1：喷漆、流平阶段</w:t>
                  </w:r>
                </w:p>
              </w:tc>
              <w:tc>
                <w:tcPr>
                  <w:tcW w:w="1396" w:type="pct"/>
                  <w:vAlign w:val="center"/>
                </w:tcPr>
                <w:p w14:paraId="0D089F69">
                  <w:pPr>
                    <w:keepNext w:val="0"/>
                    <w:keepLines w:val="0"/>
                    <w:pageBreakBefore w:val="0"/>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作业流程2：烘干阶段</w:t>
                  </w:r>
                </w:p>
                <w:p w14:paraId="124D808E">
                  <w:pPr>
                    <w:keepNext w:val="0"/>
                    <w:keepLines w:val="0"/>
                    <w:pageBreakBefore w:val="0"/>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（本项目为固化过程）</w:t>
                  </w:r>
                </w:p>
              </w:tc>
            </w:tr>
            <w:tr w14:paraId="4379F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pct"/>
                  <w:vAlign w:val="center"/>
                </w:tcPr>
                <w:p w14:paraId="68427047">
                  <w:pPr>
                    <w:keepNext w:val="0"/>
                    <w:keepLines w:val="0"/>
                    <w:pageBreakBefore w:val="0"/>
                    <w:suppressLineNumbers w:val="0"/>
                    <w:kinsoku/>
                    <w:wordWrap w:val="0"/>
                    <w:overflowPunct/>
                    <w:topLinePunct w:val="0"/>
                    <w:bidi w:val="0"/>
                    <w:spacing w:before="0" w:beforeAutospacing="0" w:after="0" w:afterAutospacing="0" w:line="240" w:lineRule="auto"/>
                    <w:ind w:left="0" w:right="0"/>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挥发性有机物占比%</w:t>
                  </w:r>
                </w:p>
              </w:tc>
              <w:tc>
                <w:tcPr>
                  <w:tcW w:w="2314" w:type="pct"/>
                  <w:vAlign w:val="center"/>
                </w:tcPr>
                <w:p w14:paraId="3BCC70AD">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70~80</w:t>
                  </w:r>
                </w:p>
              </w:tc>
              <w:tc>
                <w:tcPr>
                  <w:tcW w:w="1396" w:type="pct"/>
                  <w:vAlign w:val="center"/>
                </w:tcPr>
                <w:p w14:paraId="3D90186C">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20~30</w:t>
                  </w:r>
                </w:p>
              </w:tc>
            </w:tr>
            <w:tr w14:paraId="735D4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pct"/>
                  <w:vAlign w:val="center"/>
                </w:tcPr>
                <w:p w14:paraId="1BA1BBD6">
                  <w:pPr>
                    <w:keepNext w:val="0"/>
                    <w:keepLines w:val="0"/>
                    <w:pageBreakBefore w:val="0"/>
                    <w:suppressLineNumbers w:val="0"/>
                    <w:kinsoku/>
                    <w:wordWrap w:val="0"/>
                    <w:overflowPunct/>
                    <w:topLinePunct w:val="0"/>
                    <w:bidi w:val="0"/>
                    <w:spacing w:before="0" w:beforeAutospacing="0" w:after="0" w:afterAutospacing="0" w:line="240" w:lineRule="auto"/>
                    <w:ind w:left="0" w:right="0"/>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本项目取值%</w:t>
                  </w:r>
                </w:p>
              </w:tc>
              <w:tc>
                <w:tcPr>
                  <w:tcW w:w="2314" w:type="pct"/>
                  <w:vAlign w:val="center"/>
                </w:tcPr>
                <w:p w14:paraId="57AA2152">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70</w:t>
                  </w:r>
                </w:p>
              </w:tc>
              <w:tc>
                <w:tcPr>
                  <w:tcW w:w="1396" w:type="pct"/>
                  <w:vAlign w:val="center"/>
                </w:tcPr>
                <w:p w14:paraId="6A432F03">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30</w:t>
                  </w:r>
                </w:p>
              </w:tc>
            </w:tr>
          </w:tbl>
          <w:p w14:paraId="5A69643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kern w:val="2"/>
                <w:sz w:val="24"/>
                <w:szCs w:val="24"/>
                <w:highlight w:val="none"/>
                <w:vertAlign w:val="baseline"/>
                <w:lang w:val="en-US" w:eastAsia="zh-CN"/>
              </w:rPr>
            </w:pPr>
            <w:r>
              <w:rPr>
                <w:rFonts w:hint="default" w:ascii="Times New Roman" w:hAnsi="Times New Roman" w:cs="Times New Roman"/>
                <w:color w:val="auto"/>
                <w:kern w:val="2"/>
                <w:sz w:val="24"/>
                <w:szCs w:val="24"/>
                <w:highlight w:val="none"/>
                <w:vertAlign w:val="baseline"/>
                <w:lang w:val="en-US" w:eastAsia="zh-CN"/>
              </w:rPr>
              <w:t>由上表可知，上色固化工序有机废气产生量中，上色过程有机废气产生量为0.1t/a×70%=0.07t/a；固化过程有机废气产生量为0.1t/a×30%=0.03t/a。</w:t>
            </w:r>
          </w:p>
          <w:p w14:paraId="072F641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kern w:val="2"/>
                <w:sz w:val="24"/>
                <w:szCs w:val="24"/>
                <w:highlight w:val="none"/>
                <w:vertAlign w:val="baseline"/>
                <w:lang w:val="en-US" w:eastAsia="zh-CN"/>
              </w:rPr>
              <w:t>综上，本项目有机废气产生量合计：0.75kg/a+100kg/a=100.75kg/a</w:t>
            </w:r>
          </w:p>
          <w:p w14:paraId="3D63C6C3">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天然气燃烧废气</w:t>
            </w:r>
          </w:p>
          <w:p w14:paraId="2B1DBF1C">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GB"/>
              </w:rPr>
              <w:t>本项目</w:t>
            </w:r>
            <w:r>
              <w:rPr>
                <w:rFonts w:hint="default" w:ascii="Times New Roman" w:hAnsi="Times New Roman" w:cs="Times New Roman"/>
                <w:color w:val="auto"/>
                <w:highlight w:val="none"/>
                <w:lang w:val="en-US" w:eastAsia="zh-CN"/>
              </w:rPr>
              <w:t>供热</w:t>
            </w:r>
            <w:r>
              <w:rPr>
                <w:rFonts w:hint="default" w:ascii="Times New Roman" w:hAnsi="Times New Roman" w:cs="Times New Roman"/>
                <w:color w:val="auto"/>
                <w:highlight w:val="none"/>
                <w:lang w:val="en-GB"/>
              </w:rPr>
              <w:t>以天然气为燃料，</w:t>
            </w:r>
            <w:r>
              <w:rPr>
                <w:rFonts w:hint="default" w:ascii="Times New Roman" w:hAnsi="Times New Roman" w:eastAsia="宋体" w:cs="Times New Roman"/>
                <w:color w:val="auto"/>
                <w:highlight w:val="none"/>
                <w:lang w:val="en-US" w:eastAsia="zh-CN"/>
              </w:rPr>
              <w:t>本项目天然气用量为</w:t>
            </w:r>
            <w:r>
              <w:rPr>
                <w:rFonts w:hint="default" w:ascii="Times New Roman" w:hAnsi="Times New Roman" w:cs="Times New Roman"/>
                <w:color w:val="auto"/>
                <w:highlight w:val="none"/>
                <w:lang w:val="en-US" w:eastAsia="zh-CN"/>
              </w:rPr>
              <w:t>365565</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/a。本项目使用天然气属于《天然气》（GB17820-2018）中的二类气体，其含硫量≤100mg/m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。天然气燃烧过程中，氮氧化物、二氧化硫和工业废气量参考《排放源统计调查产排污核算方法和系数手册》中“机械行业系数手册”内“14涂装天然气工业炉窑”产污系数</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val="en-US" w:eastAsia="zh-CN" w:bidi="ar"/>
              </w:rPr>
              <w:t>燃烧机工作时间取4800h/a</w:t>
            </w:r>
          </w:p>
          <w:p w14:paraId="230FFC0D">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燃烧机燃烧天然气的污染物产生情况如下：</w:t>
            </w:r>
          </w:p>
          <w:p w14:paraId="7635E20D">
            <w:pPr>
              <w:keepNext w:val="0"/>
              <w:keepLines w:val="0"/>
              <w:pageBreakBefore w:val="0"/>
              <w:widowControl/>
              <w:numPr>
                <w:ilvl w:val="0"/>
                <w:numId w:val="0"/>
              </w:numPr>
              <w:suppressLineNumbers w:val="0"/>
              <w:tabs>
                <w:tab w:val="left" w:pos="0"/>
              </w:tabs>
              <w:wordWrap w:val="0"/>
              <w:bidi w:val="0"/>
              <w:spacing w:before="0" w:beforeAutospacing="0" w:after="0" w:afterAutospacing="0" w:line="360" w:lineRule="auto"/>
              <w:ind w:left="0" w:leftChars="0" w:right="0" w:rightChars="0" w:firstLine="4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default" w:ascii="Times New Roman" w:hAnsi="Times New Roman" w:cs="Times New Roman"/>
                <w:b/>
                <w:color w:val="auto"/>
                <w:kern w:val="2"/>
                <w:sz w:val="21"/>
                <w:szCs w:val="21"/>
                <w:highlight w:val="none"/>
                <w:lang w:val="en-US" w:eastAsia="zh-CN" w:bidi="ar-SA"/>
              </w:rPr>
              <w:t xml:space="preserve">-2 </w:t>
            </w:r>
            <w:r>
              <w:rPr>
                <w:rFonts w:hint="default" w:ascii="Times New Roman" w:hAnsi="Times New Roman" w:cs="Times New Roman"/>
                <w:b/>
                <w:bCs/>
                <w:color w:val="auto"/>
                <w:sz w:val="21"/>
                <w:szCs w:val="21"/>
                <w:highlight w:val="none"/>
                <w:lang w:bidi="ar"/>
              </w:rPr>
              <w:t>天然气燃烧废气产生情况一览表</w:t>
            </w:r>
          </w:p>
          <w:tbl>
            <w:tblPr>
              <w:tblStyle w:val="36"/>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1"/>
              <w:gridCol w:w="1233"/>
              <w:gridCol w:w="1656"/>
              <w:gridCol w:w="1085"/>
              <w:gridCol w:w="1639"/>
              <w:gridCol w:w="1393"/>
              <w:gridCol w:w="1397"/>
            </w:tblGrid>
            <w:tr w14:paraId="38288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7" w:hRule="atLeast"/>
                <w:jc w:val="center"/>
              </w:trPr>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C040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DC1B9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参数</w:t>
                  </w:r>
                </w:p>
              </w:tc>
              <w:tc>
                <w:tcPr>
                  <w:tcW w:w="8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4B6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7518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天然气消耗量</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p>
              </w:tc>
              <w:tc>
                <w:tcPr>
                  <w:tcW w:w="8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F9CDB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26D8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D05B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产生浓度</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r>
            <w:tr w14:paraId="6C6E7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4CA7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084D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工业废气量</w:t>
                  </w:r>
                </w:p>
              </w:tc>
              <w:tc>
                <w:tcPr>
                  <w:tcW w:w="8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88EC2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13.6（立方米/立方米-原料）</w:t>
                  </w:r>
                </w:p>
              </w:tc>
              <w:tc>
                <w:tcPr>
                  <w:tcW w:w="582" w:type="pct"/>
                  <w:vMerge w:val="restart"/>
                  <w:tcBorders>
                    <w:top w:val="single" w:color="000000" w:sz="4" w:space="0"/>
                    <w:left w:val="single" w:color="000000" w:sz="4" w:space="0"/>
                    <w:right w:val="single" w:color="000000" w:sz="4" w:space="0"/>
                  </w:tcBorders>
                  <w:shd w:val="clear" w:color="auto" w:fill="auto"/>
                  <w:vAlign w:val="center"/>
                </w:tcPr>
                <w:p w14:paraId="21144D0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365565</w:t>
                  </w:r>
                </w:p>
              </w:tc>
              <w:tc>
                <w:tcPr>
                  <w:tcW w:w="8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C96E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4971684m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A0B1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1036</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EDE4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r>
            <w:tr w14:paraId="6FAB5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80B8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6D31D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8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795CE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0.000002S</w:t>
                  </w:r>
                </w:p>
                <w:p w14:paraId="1F8634E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582" w:type="pct"/>
                  <w:vMerge w:val="continue"/>
                  <w:tcBorders>
                    <w:left w:val="single" w:color="000000" w:sz="4" w:space="0"/>
                    <w:right w:val="single" w:color="000000" w:sz="4" w:space="0"/>
                  </w:tcBorders>
                  <w:shd w:val="clear" w:color="auto" w:fill="auto"/>
                  <w:vAlign w:val="center"/>
                </w:tcPr>
                <w:p w14:paraId="622F17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017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F77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A0A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14.68</w:t>
                  </w:r>
                </w:p>
              </w:tc>
            </w:tr>
            <w:tr w14:paraId="703B67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F0080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4312B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8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2A8D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0.00187</w:t>
                  </w:r>
                </w:p>
                <w:p w14:paraId="4426819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582" w:type="pct"/>
                  <w:vMerge w:val="continue"/>
                  <w:tcBorders>
                    <w:left w:val="single" w:color="000000" w:sz="4" w:space="0"/>
                    <w:right w:val="single" w:color="000000" w:sz="4" w:space="0"/>
                  </w:tcBorders>
                  <w:shd w:val="clear" w:color="auto" w:fill="auto"/>
                  <w:vAlign w:val="center"/>
                </w:tcPr>
                <w:p w14:paraId="5A4592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A22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D16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0.143</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9290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137.55</w:t>
                  </w:r>
                </w:p>
              </w:tc>
            </w:tr>
            <w:tr w14:paraId="51E75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8A062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B3B1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烟尘</w:t>
                  </w:r>
                </w:p>
              </w:tc>
              <w:tc>
                <w:tcPr>
                  <w:tcW w:w="8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ADE12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0.000286</w:t>
                  </w:r>
                </w:p>
                <w:p w14:paraId="108FCCE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582" w:type="pct"/>
                  <w:vMerge w:val="continue"/>
                  <w:tcBorders>
                    <w:left w:val="single" w:color="000000" w:sz="4" w:space="0"/>
                    <w:bottom w:val="single" w:color="000000" w:sz="4" w:space="0"/>
                    <w:right w:val="single" w:color="000000" w:sz="4" w:space="0"/>
                  </w:tcBorders>
                  <w:shd w:val="clear" w:color="auto" w:fill="auto"/>
                  <w:vAlign w:val="center"/>
                </w:tcPr>
                <w:p w14:paraId="40CE2A5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7B3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0.105</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40C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0.022</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0EE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21.11</w:t>
                  </w:r>
                </w:p>
              </w:tc>
            </w:tr>
            <w:tr w14:paraId="72C59E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3" w:hRule="atLeast"/>
                <w:jc w:val="center"/>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FBD45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的产生系数为0.000002S，其中S为燃料中的含硫量，根据《天然气》（GB17820-2018）中的二类标准含S量最高不超100mg/m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计算，即S取100</w:t>
                  </w:r>
                  <w:r>
                    <w:rPr>
                      <w:rFonts w:hint="default" w:ascii="Times New Roman" w:hAnsi="Times New Roman" w:cs="Times New Roman"/>
                      <w:i w:val="0"/>
                      <w:iCs w:val="0"/>
                      <w:color w:val="auto"/>
                      <w:kern w:val="0"/>
                      <w:sz w:val="21"/>
                      <w:szCs w:val="21"/>
                      <w:highlight w:val="none"/>
                      <w:u w:val="none"/>
                      <w:lang w:val="en-US" w:eastAsia="zh-CN" w:bidi="ar"/>
                    </w:rPr>
                    <w:t>，0.000002S=0.0002</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14:paraId="275FBC4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val="0"/>
                <w:bCs w:val="0"/>
                <w:color w:val="auto"/>
                <w:highlight w:val="none"/>
                <w:lang w:val="en-US" w:eastAsia="zh-CN"/>
              </w:rPr>
              <w:t>由上表数据可知，本项目天然气燃烧废气各污染物产生浓度在装置产生阶段已达到</w:t>
            </w:r>
            <w:r>
              <w:rPr>
                <w:rFonts w:hint="default" w:ascii="Times New Roman" w:hAnsi="Times New Roman" w:cs="Times New Roman"/>
                <w:b w:val="0"/>
                <w:bCs w:val="0"/>
                <w:color w:val="auto"/>
                <w:highlight w:val="none"/>
              </w:rPr>
              <w:t>《关于贯彻落实&lt;工业炉窑大气污染综合治理方案&gt;的实施意见》（粤环函〔2019〕1112号）</w:t>
            </w:r>
            <w:r>
              <w:rPr>
                <w:rFonts w:hint="default" w:ascii="Times New Roman" w:hAnsi="Times New Roman" w:cs="Times New Roman"/>
                <w:b w:val="0"/>
                <w:bCs w:val="0"/>
                <w:color w:val="auto"/>
                <w:highlight w:val="none"/>
                <w:lang w:val="en-US" w:eastAsia="zh-CN"/>
              </w:rPr>
              <w:t>限值要求。</w:t>
            </w:r>
          </w:p>
          <w:p w14:paraId="2EBC533A">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生产异味</w:t>
            </w:r>
          </w:p>
          <w:p w14:paraId="484367A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项目成型烘干、上色固化工序中除了有机废气外，相应的会伴有轻微异味产生，以臭气浓度为评价因子，</w:t>
            </w:r>
            <w:r>
              <w:rPr>
                <w:rFonts w:hint="default" w:ascii="Times New Roman" w:hAnsi="Times New Roman" w:eastAsia="宋体" w:cs="Times New Roman"/>
                <w:color w:val="auto"/>
                <w:sz w:val="24"/>
                <w:highlight w:val="none"/>
                <w:lang w:val="en-US" w:eastAsia="zh-CN"/>
              </w:rPr>
              <w:t>其产生量及浓度较低，本评价不进行定量分析</w:t>
            </w:r>
            <w:r>
              <w:rPr>
                <w:rFonts w:hint="default" w:ascii="Times New Roman" w:hAnsi="Times New Roman" w:cs="Times New Roman"/>
                <w:color w:val="auto"/>
                <w:highlight w:val="none"/>
                <w:lang w:val="en-US" w:eastAsia="zh-CN"/>
              </w:rPr>
              <w:t>。恶臭会与有机废气一起被收集处理后由排气筒排放，少部分未能被收集的恶臭通过加强车间管理后以无组织形式在车间排放；</w:t>
            </w:r>
          </w:p>
          <w:p w14:paraId="48B678EF">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切割粉尘</w:t>
            </w:r>
          </w:p>
          <w:p w14:paraId="354AD1BE">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成型物料经切割后入库待售，切割过程会产生少量切割粉尘。参考《排放源统计调查产排污核算方法和系数手册》（2021年6月9日）中“工业源产排污核算方法和系数手册”附表1-工业行业产排污系数手册中“171、303砖瓦、石材等建筑材料制造行业系数手册，人造石材、以碎石颗粒、粉料、不饱和树脂等为原料，以凝胶固化成型、切割、抛光、裁切工艺，适合所有规模中的-切割，废气颗粒物产污系数为0.051k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-产品”。</w:t>
            </w:r>
            <w:r>
              <w:rPr>
                <w:rFonts w:hint="default" w:ascii="Times New Roman" w:hAnsi="Times New Roman" w:eastAsia="宋体" w:cs="Times New Roman"/>
                <w:color w:val="auto"/>
                <w:kern w:val="0"/>
                <w:sz w:val="24"/>
                <w:szCs w:val="24"/>
                <w:highlight w:val="none"/>
                <w:lang w:val="en-US" w:eastAsia="zh-CN" w:bidi="ar"/>
              </w:rPr>
              <w:t>本项目</w:t>
            </w:r>
            <w:r>
              <w:rPr>
                <w:rFonts w:hint="default" w:ascii="Times New Roman" w:hAnsi="Times New Roman" w:cs="Times New Roman"/>
                <w:color w:val="auto"/>
                <w:highlight w:val="none"/>
                <w:lang w:val="en-US" w:eastAsia="zh-CN"/>
              </w:rPr>
              <w:t>年产新形建筑软瓷砖5万m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按平均厚度2.5mm计，</w:t>
            </w:r>
            <w:r>
              <w:rPr>
                <w:rFonts w:hint="default" w:ascii="Times New Roman" w:hAnsi="Times New Roman" w:cs="Times New Roman"/>
                <w:color w:val="auto"/>
                <w:highlight w:val="none"/>
                <w:lang w:val="en-US" w:eastAsia="zh-CN"/>
              </w:rPr>
              <w:t>折算成体积为125m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/a，则本项目切割粉尘产生量为0.006t/a，经移动式布袋除尘器收集处理，加强车间通风后无组织排放，排放速率为0.001kg/h。</w:t>
            </w:r>
          </w:p>
          <w:p w14:paraId="3962C3D6">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漆雾</w:t>
            </w:r>
          </w:p>
          <w:p w14:paraId="1FC00EB2">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本项目上色过程使用喷漆机喷涂水性漆会产生漆雾，以颗粒物表征，</w:t>
            </w:r>
            <w:r>
              <w:rPr>
                <w:rFonts w:hint="default" w:ascii="Times New Roman" w:hAnsi="Times New Roman" w:cs="Times New Roman"/>
                <w:b w:val="0"/>
                <w:bCs w:val="0"/>
                <w:color w:val="auto"/>
                <w:sz w:val="24"/>
                <w:highlight w:val="none"/>
                <w:lang w:val="en-US" w:eastAsia="zh-CN"/>
              </w:rPr>
              <w:t>漆雾产生量计算公式为：涂料用量×（1-上漆率）×固含量</w:t>
            </w:r>
            <w:r>
              <w:rPr>
                <w:rFonts w:hint="default" w:ascii="Times New Roman" w:hAnsi="Times New Roman" w:cs="Times New Roman"/>
                <w:color w:val="auto"/>
                <w:highlight w:val="none"/>
                <w:lang w:val="en-US" w:eastAsia="zh-CN"/>
              </w:rPr>
              <w:t>，则本项目漆雾产生量=2t/a×（1-60%）×85%=0.68t/a。水帘柜喷淋装置属于半密闭型集气设备，收集效率取65%，处理效率取80%，漆雾经收集处理后无组织排放量=漆雾产生量×收集效率×（1-处理效率）=0.68t/a×65%×20%=0.088t/a。</w:t>
            </w:r>
          </w:p>
          <w:p w14:paraId="7651363F">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于本项目使用的水性漆密度较大、固含量高，排放去向基本控制在喷涂工位所在车间内，水帘柜设置独立风机，不接入本项目二级活性炭吸附装置。因此，本次评价不考虑漆雾进入二级活性炭吸附装置内的情形，喷涂工位设置的密闭车间整体换风收集有机废气过程也不再设置干式过滤器用于捕集漆雾中水分，未被水帘柜喷淋装置收集的漆雾在喷涂工位周边自然沉降至车间地面，形成漆渣并作为危险废物定期交由有资质单位转运处理，自然沉降量取80%，对应漆雾未收集部分排放量=（漆雾产生量-收集部分）×（1-地面沉降量）=0.68t/a×35%×20%=0.048t/a；漆渣产生量=0.68t/a×35%-0.048t/a=0.19t/a。</w:t>
            </w:r>
          </w:p>
          <w:p w14:paraId="3F1AC923">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综上，本项目漆雾无组织排放量=收集处理后无组织排放量+未收集部分排放量=0.088t/a+0.048t/a=0.136t/a，排放速率为0.03kg/h。</w:t>
            </w:r>
          </w:p>
          <w:p w14:paraId="16F8CFC4">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2、废气收集风量、收集效率</w:t>
            </w:r>
          </w:p>
          <w:p w14:paraId="6453BEE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360" w:lineRule="auto"/>
              <w:ind w:left="0" w:right="0" w:righ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每条软瓷生产线、烤房均</w:t>
            </w:r>
            <w:r>
              <w:rPr>
                <w:rFonts w:hint="default" w:ascii="Times New Roman" w:hAnsi="Times New Roman" w:cs="Times New Roman"/>
                <w:color w:val="auto"/>
                <w:sz w:val="24"/>
                <w:highlight w:val="none"/>
              </w:rPr>
              <w:t>设置直连排风管</w:t>
            </w:r>
            <w:r>
              <w:rPr>
                <w:rFonts w:hint="default" w:ascii="Times New Roman" w:hAnsi="Times New Roman" w:cs="Times New Roman"/>
                <w:color w:val="auto"/>
                <w:sz w:val="24"/>
                <w:highlight w:val="none"/>
                <w:lang w:val="en-US" w:eastAsia="zh-CN"/>
              </w:rPr>
              <w:t>。喷漆机工位设置密闭车间进行整体换风收集。</w:t>
            </w:r>
          </w:p>
          <w:p w14:paraId="78A51D0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360" w:lineRule="auto"/>
              <w:ind w:left="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采用密闭车间整体换风收集方式：</w:t>
            </w:r>
            <w:r>
              <w:rPr>
                <w:rFonts w:hint="default" w:ascii="Times New Roman" w:hAnsi="Times New Roman" w:cs="Times New Roman"/>
                <w:bCs/>
                <w:color w:val="auto"/>
                <w:spacing w:val="-10"/>
                <w:sz w:val="24"/>
                <w:szCs w:val="24"/>
                <w:highlight w:val="none"/>
                <w:lang w:val="en-US" w:eastAsia="zh-CN"/>
              </w:rPr>
              <w:t>上色固化工序</w:t>
            </w:r>
            <w:r>
              <w:rPr>
                <w:rFonts w:hint="default" w:ascii="Times New Roman" w:hAnsi="Times New Roman" w:eastAsia="宋体" w:cs="Times New Roman"/>
                <w:bCs/>
                <w:color w:val="auto"/>
                <w:spacing w:val="-10"/>
                <w:sz w:val="24"/>
                <w:szCs w:val="24"/>
                <w:highlight w:val="none"/>
                <w:lang w:val="en-US" w:eastAsia="zh-CN"/>
              </w:rPr>
              <w:t>中</w:t>
            </w:r>
            <w:r>
              <w:rPr>
                <w:rFonts w:hint="default" w:ascii="Times New Roman" w:hAnsi="Times New Roman" w:cs="Times New Roman"/>
                <w:bCs/>
                <w:color w:val="auto"/>
                <w:spacing w:val="-10"/>
                <w:sz w:val="24"/>
                <w:szCs w:val="24"/>
                <w:highlight w:val="none"/>
                <w:lang w:val="en-US" w:eastAsia="zh-CN"/>
              </w:rPr>
              <w:t>喷漆机为1</w:t>
            </w:r>
            <w:r>
              <w:rPr>
                <w:rFonts w:hint="default" w:ascii="Times New Roman" w:hAnsi="Times New Roman" w:eastAsia="宋体" w:cs="Times New Roman"/>
                <w:bCs/>
                <w:color w:val="auto"/>
                <w:spacing w:val="-10"/>
                <w:sz w:val="24"/>
                <w:szCs w:val="24"/>
                <w:highlight w:val="none"/>
                <w:lang w:val="en-US" w:eastAsia="zh-CN"/>
              </w:rPr>
              <w:t>台，</w:t>
            </w:r>
            <w:r>
              <w:rPr>
                <w:rFonts w:hint="default" w:ascii="Times New Roman" w:hAnsi="Times New Roman" w:eastAsia="宋体" w:cs="Times New Roman"/>
                <w:color w:val="auto"/>
                <w:sz w:val="24"/>
                <w:szCs w:val="24"/>
                <w:highlight w:val="none"/>
                <w:lang w:val="en-US" w:eastAsia="zh-CN"/>
              </w:rPr>
              <w:t>由于其设备特性，生产设备无法设置直连风管</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设置集气罩规格较大，成本较高且不利于生产设备工作运转及物料装卸。考虑该工艺有机废气污染源分布情况，建设单位拟将</w:t>
            </w:r>
            <w:r>
              <w:rPr>
                <w:rFonts w:hint="default" w:ascii="Times New Roman" w:hAnsi="Times New Roman" w:cs="Times New Roman"/>
                <w:color w:val="auto"/>
                <w:sz w:val="24"/>
                <w:szCs w:val="24"/>
                <w:highlight w:val="none"/>
                <w:lang w:val="en-US" w:eastAsia="zh-CN"/>
              </w:rPr>
              <w:t>喷漆机工位</w:t>
            </w:r>
            <w:r>
              <w:rPr>
                <w:rFonts w:hint="default" w:ascii="Times New Roman" w:hAnsi="Times New Roman" w:eastAsia="宋体" w:cs="Times New Roman"/>
                <w:color w:val="auto"/>
                <w:sz w:val="24"/>
                <w:szCs w:val="24"/>
                <w:highlight w:val="none"/>
                <w:lang w:val="en-US" w:eastAsia="zh-CN"/>
              </w:rPr>
              <w:t>设置密闭车间，通过整体换风、</w:t>
            </w:r>
            <w:r>
              <w:rPr>
                <w:rFonts w:hint="default" w:ascii="Times New Roman" w:hAnsi="Times New Roman" w:cs="Times New Roman"/>
                <w:color w:val="auto"/>
                <w:sz w:val="24"/>
                <w:szCs w:val="24"/>
                <w:highlight w:val="none"/>
                <w:lang w:val="en-US" w:eastAsia="zh-CN"/>
              </w:rPr>
              <w:t>正</w:t>
            </w:r>
            <w:r>
              <w:rPr>
                <w:rFonts w:hint="default" w:ascii="Times New Roman" w:hAnsi="Times New Roman" w:eastAsia="宋体" w:cs="Times New Roman"/>
                <w:color w:val="auto"/>
                <w:sz w:val="24"/>
                <w:szCs w:val="24"/>
                <w:highlight w:val="none"/>
                <w:lang w:val="en-US" w:eastAsia="zh-CN"/>
              </w:rPr>
              <w:t>压收集的方式对</w:t>
            </w:r>
            <w:r>
              <w:rPr>
                <w:rFonts w:hint="default" w:ascii="Times New Roman" w:hAnsi="Times New Roman" w:cs="Times New Roman"/>
                <w:color w:val="auto"/>
                <w:sz w:val="24"/>
                <w:szCs w:val="24"/>
                <w:highlight w:val="none"/>
                <w:lang w:val="en-US" w:eastAsia="zh-CN"/>
              </w:rPr>
              <w:t>喷漆</w:t>
            </w:r>
            <w:r>
              <w:rPr>
                <w:rFonts w:hint="default" w:ascii="Times New Roman" w:hAnsi="Times New Roman" w:eastAsia="宋体" w:cs="Times New Roman"/>
                <w:color w:val="auto"/>
                <w:sz w:val="24"/>
                <w:szCs w:val="24"/>
                <w:highlight w:val="none"/>
                <w:lang w:val="en-US" w:eastAsia="zh-CN"/>
              </w:rPr>
              <w:t>过程产生的有机废气进行收集。密闭车间设计规格为为保证收集效率，换气次数取12次/h，密闭车间设计规格：</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0m×8m×2.5m，换风风量=换风次数×换风体积=12次/h×</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400m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4632B062">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sz w:val="24"/>
                <w:highlight w:val="none"/>
                <w:lang w:eastAsia="zh-CN"/>
              </w:rPr>
            </w:pPr>
            <w:r>
              <w:rPr>
                <w:rFonts w:hint="default" w:ascii="Times New Roman" w:hAnsi="Times New Roman" w:eastAsia="宋体" w:cs="Times New Roman"/>
                <w:b/>
                <w:bCs/>
                <w:color w:val="auto"/>
                <w:sz w:val="24"/>
                <w:szCs w:val="24"/>
                <w:highlight w:val="none"/>
                <w:lang w:val="en-US" w:eastAsia="zh-CN"/>
              </w:rPr>
              <w:t>采用直连风管收集方式：</w:t>
            </w:r>
            <w:r>
              <w:rPr>
                <w:rFonts w:hint="default" w:ascii="Times New Roman" w:hAnsi="Times New Roman" w:cs="Times New Roman"/>
                <w:color w:val="auto"/>
                <w:sz w:val="24"/>
                <w:highlight w:val="none"/>
                <w:lang w:eastAsia="zh-CN"/>
              </w:rPr>
              <w:t>参考《环境工程设计手册》中圆形管的风量计算公式：</w:t>
            </w:r>
          </w:p>
          <w:p w14:paraId="2C42F9F0">
            <w:pPr>
              <w:keepNext w:val="0"/>
              <w:keepLines w:val="0"/>
              <w:pageBreakBefore w:val="0"/>
              <w:suppressLineNumbers w:val="0"/>
              <w:wordWrap w:val="0"/>
              <w:bidi w:val="0"/>
              <w:spacing w:before="0" w:beforeAutospacing="0" w:after="0" w:afterAutospacing="0"/>
              <w:ind w:left="480" w:leftChars="200" w:right="0"/>
              <w:jc w:val="center"/>
              <w:rPr>
                <w:rFonts w:hint="default" w:ascii="Times New Roman" w:hAnsi="Times New Roman" w:cs="Times New Roman"/>
                <w:color w:val="auto"/>
                <w:sz w:val="24"/>
                <w:highlight w:val="none"/>
                <w:lang w:eastAsia="zh-CN"/>
              </w:rPr>
            </w:pPr>
            <w:r>
              <w:rPr>
                <w:rFonts w:hint="default" w:ascii="Times New Roman" w:hAnsi="Times New Roman" w:cs="Times New Roman"/>
                <w:color w:val="auto"/>
                <w:highlight w:val="none"/>
              </w:rPr>
              <w:drawing>
                <wp:inline distT="0" distB="0" distL="114300" distR="114300">
                  <wp:extent cx="1827530" cy="389890"/>
                  <wp:effectExtent l="0" t="0" r="1270" b="3810"/>
                  <wp:docPr id="21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0"/>
                          <pic:cNvPicPr>
                            <a:picLocks noChangeAspect="1"/>
                          </pic:cNvPicPr>
                        </pic:nvPicPr>
                        <pic:blipFill>
                          <a:blip r:embed="rId15"/>
                          <a:stretch>
                            <a:fillRect/>
                          </a:stretch>
                        </pic:blipFill>
                        <pic:spPr>
                          <a:xfrm>
                            <a:off x="0" y="0"/>
                            <a:ext cx="1827530" cy="389890"/>
                          </a:xfrm>
                          <a:prstGeom prst="rect">
                            <a:avLst/>
                          </a:prstGeom>
                          <a:noFill/>
                          <a:ln>
                            <a:noFill/>
                          </a:ln>
                        </pic:spPr>
                      </pic:pic>
                    </a:graphicData>
                  </a:graphic>
                </wp:inline>
              </w:drawing>
            </w:r>
          </w:p>
          <w:p w14:paraId="26F4A2BA">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式中：</w:t>
            </w:r>
          </w:p>
          <w:p w14:paraId="56F285A4">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L---集气罩排风量，m</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/h；</w:t>
            </w:r>
          </w:p>
          <w:p w14:paraId="6D41FC1D">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D---管直径，m，</w:t>
            </w:r>
            <w:r>
              <w:rPr>
                <w:rFonts w:hint="default" w:ascii="Times New Roman" w:hAnsi="Times New Roman" w:cs="Times New Roman"/>
                <w:color w:val="auto"/>
                <w:sz w:val="24"/>
                <w:highlight w:val="none"/>
                <w:lang w:val="en-US" w:eastAsia="zh-CN"/>
              </w:rPr>
              <w:t>本项目风管直径取0.1m</w:t>
            </w:r>
            <w:r>
              <w:rPr>
                <w:rFonts w:hint="default" w:ascii="Times New Roman" w:hAnsi="Times New Roman" w:cs="Times New Roman"/>
                <w:color w:val="auto"/>
                <w:sz w:val="24"/>
                <w:highlight w:val="none"/>
                <w:lang w:eastAsia="zh-CN"/>
              </w:rPr>
              <w:t>；</w:t>
            </w:r>
          </w:p>
          <w:p w14:paraId="5DD72785">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V---断面平均风速，m/s，根据《简明通风设计手册》中表6-10一般通风系统风管内的风速，项目采用钢板及塑料风管，项目干管采用风速为14m/s，本项目断面平均风速取</w:t>
            </w:r>
            <w:r>
              <w:rPr>
                <w:rFonts w:hint="default" w:ascii="Times New Roman" w:hAnsi="Times New Roman" w:cs="Times New Roman"/>
                <w:color w:val="auto"/>
                <w:sz w:val="24"/>
                <w:highlight w:val="none"/>
                <w:lang w:val="en-US" w:eastAsia="zh-CN"/>
              </w:rPr>
              <w:t>14</w:t>
            </w:r>
            <w:r>
              <w:rPr>
                <w:rFonts w:hint="default" w:ascii="Times New Roman" w:hAnsi="Times New Roman" w:cs="Times New Roman"/>
                <w:color w:val="auto"/>
                <w:sz w:val="24"/>
                <w:highlight w:val="none"/>
                <w:lang w:eastAsia="zh-CN"/>
              </w:rPr>
              <w:t>m/s。</w:t>
            </w:r>
          </w:p>
          <w:p w14:paraId="6C62A488">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b w:val="0"/>
                <w:bCs w:val="0"/>
                <w:color w:val="auto"/>
                <w:sz w:val="24"/>
                <w:highlight w:val="none"/>
                <w:vertAlign w:val="baseline"/>
                <w:lang w:val="en-US" w:eastAsia="zh-CN"/>
              </w:rPr>
            </w:pPr>
            <w:r>
              <w:rPr>
                <w:rFonts w:hint="default" w:ascii="Times New Roman" w:hAnsi="Times New Roman" w:cs="Times New Roman"/>
                <w:b w:val="0"/>
                <w:bCs w:val="0"/>
                <w:color w:val="auto"/>
                <w:sz w:val="24"/>
                <w:highlight w:val="none"/>
                <w:lang w:val="en-US" w:eastAsia="zh-CN"/>
              </w:rPr>
              <w:t>软瓷生产线中单条直连排风管风量=3600s×3.14÷4×0.1</w:t>
            </w:r>
            <w:r>
              <w:rPr>
                <w:rFonts w:hint="default" w:ascii="Times New Roman" w:hAnsi="Times New Roman" w:cs="Times New Roman"/>
                <w:b w:val="0"/>
                <w:bCs w:val="0"/>
                <w:color w:val="auto"/>
                <w:sz w:val="24"/>
                <w:highlight w:val="none"/>
                <w:vertAlign w:val="superscript"/>
                <w:lang w:val="en-US" w:eastAsia="zh-CN"/>
              </w:rPr>
              <w:t>2</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2</w:t>
            </w:r>
            <w:r>
              <w:rPr>
                <w:rFonts w:hint="default" w:ascii="Times New Roman" w:hAnsi="Times New Roman" w:cs="Times New Roman"/>
                <w:b w:val="0"/>
                <w:bCs w:val="0"/>
                <w:color w:val="auto"/>
                <w:sz w:val="24"/>
                <w:highlight w:val="none"/>
                <w:vertAlign w:val="baseline"/>
                <w:lang w:val="en-US" w:eastAsia="zh-CN"/>
              </w:rPr>
              <w:t>×14m/s=396m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vertAlign w:val="baseline"/>
                <w:lang w:val="en-US" w:eastAsia="zh-CN"/>
              </w:rPr>
              <w:t>/h；</w:t>
            </w:r>
          </w:p>
          <w:p w14:paraId="1BFCEF75">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b w:val="0"/>
                <w:bCs w:val="0"/>
                <w:color w:val="auto"/>
                <w:sz w:val="24"/>
                <w:highlight w:val="none"/>
                <w:vertAlign w:val="baseline"/>
                <w:lang w:val="en-US" w:eastAsia="zh-CN"/>
              </w:rPr>
            </w:pPr>
            <w:r>
              <w:rPr>
                <w:rFonts w:hint="default" w:ascii="Times New Roman" w:hAnsi="Times New Roman" w:cs="Times New Roman"/>
                <w:b w:val="0"/>
                <w:bCs w:val="0"/>
                <w:color w:val="auto"/>
                <w:sz w:val="24"/>
                <w:highlight w:val="none"/>
                <w:vertAlign w:val="baseline"/>
                <w:lang w:val="en-US" w:eastAsia="zh-CN"/>
              </w:rPr>
              <w:t>根据上文分析可知，全厂烤房中烟气产生量为1036</w:t>
            </w:r>
            <w:r>
              <w:rPr>
                <w:rFonts w:hint="default" w:ascii="Times New Roman" w:hAnsi="Times New Roman" w:eastAsia="宋体" w:cs="Times New Roman"/>
                <w:i w:val="0"/>
                <w:iCs w:val="0"/>
                <w:color w:val="auto"/>
                <w:kern w:val="0"/>
                <w:sz w:val="24"/>
                <w:szCs w:val="24"/>
                <w:highlight w:val="none"/>
                <w:u w:val="none"/>
                <w:lang w:val="en-US" w:eastAsia="zh-CN" w:bidi="ar"/>
              </w:rPr>
              <w:t>m</w:t>
            </w:r>
            <w:r>
              <w:rPr>
                <w:rFonts w:hint="default" w:ascii="Times New Roman" w:hAnsi="Times New Roman" w:eastAsia="宋体" w:cs="Times New Roman"/>
                <w:i w:val="0"/>
                <w:iCs w:val="0"/>
                <w:color w:val="auto"/>
                <w:kern w:val="0"/>
                <w:sz w:val="24"/>
                <w:szCs w:val="24"/>
                <w:highlight w:val="none"/>
                <w:u w:val="none"/>
                <w:vertAlign w:val="superscript"/>
                <w:lang w:val="en-US" w:eastAsia="zh-CN" w:bidi="ar"/>
              </w:rPr>
              <w:t>3</w:t>
            </w:r>
            <w:r>
              <w:rPr>
                <w:rFonts w:hint="default" w:ascii="Times New Roman" w:hAnsi="Times New Roman" w:eastAsia="宋体" w:cs="Times New Roman"/>
                <w:i w:val="0"/>
                <w:iCs w:val="0"/>
                <w:color w:val="auto"/>
                <w:kern w:val="0"/>
                <w:sz w:val="24"/>
                <w:szCs w:val="24"/>
                <w:highlight w:val="none"/>
                <w:u w:val="none"/>
                <w:lang w:val="en-US" w:eastAsia="zh-CN" w:bidi="ar"/>
              </w:rPr>
              <w:t>/h，平均单个烤房烟气产生量为518</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vertAlign w:val="baseline"/>
                <w:lang w:val="en-US" w:eastAsia="zh-CN"/>
              </w:rPr>
              <w:t>/h</w:t>
            </w:r>
          </w:p>
          <w:p w14:paraId="4C5CA5ED">
            <w:pPr>
              <w:keepNext w:val="0"/>
              <w:keepLines w:val="0"/>
              <w:pageBreakBefore w:val="0"/>
              <w:suppressLineNumbers w:val="0"/>
              <w:wordWrap w:val="0"/>
              <w:bidi w:val="0"/>
              <w:spacing w:before="0" w:beforeAutospacing="0" w:after="0" w:afterAutospacing="0"/>
              <w:ind w:left="0" w:right="0" w:firstLine="440" w:firstLineChars="200"/>
              <w:rPr>
                <w:rFonts w:hint="default" w:ascii="Times New Roman" w:hAnsi="Times New Roman" w:eastAsia="宋体" w:cs="Times New Roman"/>
                <w:bCs/>
                <w:color w:val="auto"/>
                <w:spacing w:val="-10"/>
                <w:sz w:val="24"/>
                <w:szCs w:val="24"/>
                <w:highlight w:val="none"/>
                <w:lang w:val="en-US" w:eastAsia="zh-CN"/>
              </w:rPr>
            </w:pPr>
            <w:r>
              <w:rPr>
                <w:rFonts w:hint="default" w:ascii="Times New Roman" w:hAnsi="Times New Roman" w:eastAsia="宋体" w:cs="Times New Roman"/>
                <w:bCs/>
                <w:color w:val="auto"/>
                <w:spacing w:val="-10"/>
                <w:sz w:val="24"/>
                <w:szCs w:val="24"/>
                <w:highlight w:val="none"/>
              </w:rPr>
              <w:t>综上，</w:t>
            </w:r>
            <w:r>
              <w:rPr>
                <w:rFonts w:hint="default" w:ascii="Times New Roman" w:hAnsi="Times New Roman" w:eastAsia="宋体" w:cs="Times New Roman"/>
                <w:bCs/>
                <w:color w:val="auto"/>
                <w:spacing w:val="-10"/>
                <w:sz w:val="24"/>
                <w:szCs w:val="24"/>
                <w:highlight w:val="none"/>
                <w:lang w:val="en-US" w:eastAsia="zh-CN"/>
              </w:rPr>
              <w:t>DA001排气筒风机</w:t>
            </w:r>
            <w:r>
              <w:rPr>
                <w:rFonts w:hint="default" w:ascii="Times New Roman" w:hAnsi="Times New Roman" w:eastAsia="宋体" w:cs="Times New Roman"/>
                <w:bCs/>
                <w:color w:val="auto"/>
                <w:spacing w:val="-10"/>
                <w:sz w:val="24"/>
                <w:szCs w:val="24"/>
                <w:highlight w:val="none"/>
              </w:rPr>
              <w:t>理论所需风量</w:t>
            </w:r>
            <w:r>
              <w:rPr>
                <w:rFonts w:hint="default" w:ascii="Times New Roman" w:hAnsi="Times New Roman" w:eastAsia="宋体" w:cs="Times New Roman"/>
                <w:bCs/>
                <w:color w:val="auto"/>
                <w:spacing w:val="-10"/>
                <w:sz w:val="24"/>
                <w:szCs w:val="24"/>
                <w:highlight w:val="none"/>
                <w:lang w:val="en-US" w:eastAsia="zh-CN"/>
              </w:rPr>
              <w:t>=2400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/h+（6条</w:t>
            </w:r>
            <w:r>
              <w:rPr>
                <w:rFonts w:hint="default" w:ascii="Times New Roman" w:hAnsi="Times New Roman" w:eastAsia="宋体" w:cs="Times New Roman"/>
                <w:bCs/>
                <w:color w:val="auto"/>
                <w:spacing w:val="-10"/>
                <w:sz w:val="24"/>
                <w:szCs w:val="24"/>
                <w:highlight w:val="none"/>
                <w:lang w:val="en-US" w:eastAsia="zh-CN"/>
              </w:rPr>
              <w:t>×396</w:t>
            </w:r>
            <w:r>
              <w:rPr>
                <w:rFonts w:hint="default" w:ascii="Times New Roman" w:hAnsi="Times New Roman" w:eastAsia="宋体" w:cs="Times New Roman"/>
                <w:bCs/>
                <w:color w:val="auto"/>
                <w:spacing w:val="-10"/>
                <w:sz w:val="24"/>
                <w:szCs w:val="24"/>
                <w:highlight w:val="none"/>
              </w:rPr>
              <w:t>m³/h</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b w:val="0"/>
                <w:bCs w:val="0"/>
                <w:color w:val="auto"/>
                <w:sz w:val="24"/>
                <w:highlight w:val="none"/>
                <w:vertAlign w:val="baseline"/>
                <w:lang w:val="en-US" w:eastAsia="zh-CN"/>
              </w:rPr>
              <w:t>1036</w:t>
            </w:r>
            <w:r>
              <w:rPr>
                <w:rFonts w:hint="default" w:ascii="Times New Roman" w:hAnsi="Times New Roman" w:eastAsia="宋体" w:cs="Times New Roman"/>
                <w:i w:val="0"/>
                <w:iCs w:val="0"/>
                <w:color w:val="auto"/>
                <w:kern w:val="0"/>
                <w:sz w:val="24"/>
                <w:szCs w:val="24"/>
                <w:highlight w:val="none"/>
                <w:u w:val="none"/>
                <w:lang w:val="en-US" w:eastAsia="zh-CN" w:bidi="ar"/>
              </w:rPr>
              <w:t>m</w:t>
            </w:r>
            <w:r>
              <w:rPr>
                <w:rFonts w:hint="default" w:ascii="Times New Roman" w:hAnsi="Times New Roman" w:eastAsia="宋体" w:cs="Times New Roman"/>
                <w:i w:val="0"/>
                <w:iCs w:val="0"/>
                <w:color w:val="auto"/>
                <w:kern w:val="0"/>
                <w:sz w:val="24"/>
                <w:szCs w:val="24"/>
                <w:highlight w:val="none"/>
                <w:u w:val="none"/>
                <w:vertAlign w:val="superscript"/>
                <w:lang w:val="en-US" w:eastAsia="zh-CN" w:bidi="ar"/>
              </w:rPr>
              <w:t>3</w:t>
            </w:r>
            <w:r>
              <w:rPr>
                <w:rFonts w:hint="default" w:ascii="Times New Roman" w:hAnsi="Times New Roman" w:eastAsia="宋体" w:cs="Times New Roman"/>
                <w:i w:val="0"/>
                <w:iCs w:val="0"/>
                <w:color w:val="auto"/>
                <w:kern w:val="0"/>
                <w:sz w:val="24"/>
                <w:szCs w:val="24"/>
                <w:highlight w:val="none"/>
                <w:u w:val="none"/>
                <w:lang w:val="en-US" w:eastAsia="zh-CN" w:bidi="ar"/>
              </w:rPr>
              <w:t>/h</w:t>
            </w:r>
            <w:r>
              <w:rPr>
                <w:rFonts w:hint="default" w:ascii="Times New Roman" w:hAnsi="Times New Roman" w:eastAsia="宋体" w:cs="Times New Roman"/>
                <w:bCs/>
                <w:color w:val="auto"/>
                <w:spacing w:val="-10"/>
                <w:sz w:val="24"/>
                <w:szCs w:val="24"/>
                <w:highlight w:val="none"/>
                <w:lang w:val="en-US" w:eastAsia="zh-CN"/>
              </w:rPr>
              <w:t>=5812</w:t>
            </w:r>
            <w:r>
              <w:rPr>
                <w:rFonts w:hint="default" w:ascii="Times New Roman" w:hAnsi="Times New Roman" w:eastAsia="宋体" w:cs="Times New Roman"/>
                <w:bCs/>
                <w:color w:val="auto"/>
                <w:spacing w:val="-10"/>
                <w:sz w:val="24"/>
                <w:szCs w:val="24"/>
                <w:highlight w:val="none"/>
              </w:rPr>
              <w:t>m³/h，为保证废气的有效收集，本项目设计处理风量为</w:t>
            </w:r>
            <w:r>
              <w:rPr>
                <w:rFonts w:hint="default" w:ascii="Times New Roman" w:hAnsi="Times New Roman" w:eastAsia="宋体" w:cs="Times New Roman"/>
                <w:bCs/>
                <w:color w:val="auto"/>
                <w:spacing w:val="-10"/>
                <w:sz w:val="24"/>
                <w:szCs w:val="24"/>
                <w:highlight w:val="none"/>
                <w:lang w:val="en-US" w:eastAsia="zh-CN"/>
              </w:rPr>
              <w:t>7000</w:t>
            </w:r>
            <w:r>
              <w:rPr>
                <w:rFonts w:hint="default" w:ascii="Times New Roman" w:hAnsi="Times New Roman" w:eastAsia="宋体" w:cs="Times New Roman"/>
                <w:bCs/>
                <w:color w:val="auto"/>
                <w:spacing w:val="-10"/>
                <w:sz w:val="24"/>
                <w:szCs w:val="24"/>
                <w:highlight w:val="none"/>
              </w:rPr>
              <w:t>m</w:t>
            </w:r>
            <w:r>
              <w:rPr>
                <w:rFonts w:hint="default" w:ascii="Times New Roman" w:hAnsi="Times New Roman" w:eastAsia="宋体" w:cs="Times New Roman"/>
                <w:bCs/>
                <w:color w:val="auto"/>
                <w:spacing w:val="-10"/>
                <w:sz w:val="24"/>
                <w:szCs w:val="24"/>
                <w:highlight w:val="none"/>
                <w:vertAlign w:val="superscript"/>
              </w:rPr>
              <w:t>3</w:t>
            </w:r>
            <w:r>
              <w:rPr>
                <w:rFonts w:hint="default" w:ascii="Times New Roman" w:hAnsi="Times New Roman" w:eastAsia="宋体" w:cs="Times New Roman"/>
                <w:bCs/>
                <w:color w:val="auto"/>
                <w:spacing w:val="-10"/>
                <w:sz w:val="24"/>
                <w:szCs w:val="24"/>
                <w:highlight w:val="none"/>
              </w:rPr>
              <w:t>/h</w:t>
            </w:r>
            <w:r>
              <w:rPr>
                <w:rFonts w:hint="default" w:ascii="Times New Roman" w:hAnsi="Times New Roman" w:cs="Times New Roman"/>
                <w:color w:val="auto"/>
                <w:kern w:val="0"/>
                <w:sz w:val="24"/>
                <w:szCs w:val="24"/>
                <w:highlight w:val="none"/>
              </w:rPr>
              <w:t>。</w:t>
            </w:r>
          </w:p>
          <w:p w14:paraId="72765412">
            <w:pPr>
              <w:keepNext w:val="0"/>
              <w:keepLines w:val="0"/>
              <w:pageBreakBefore w:val="0"/>
              <w:suppressLineNumbers w:val="0"/>
              <w:wordWrap w:val="0"/>
              <w:bidi w:val="0"/>
              <w:spacing w:before="0" w:beforeAutospacing="0" w:after="0" w:afterAutospacing="0"/>
              <w:ind w:left="480" w:leftChars="20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本项目生产废气收集风量统计如下表所示。</w:t>
            </w:r>
          </w:p>
          <w:p w14:paraId="661F8A00">
            <w:pPr>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3</w:t>
            </w:r>
            <w:r>
              <w:rPr>
                <w:rFonts w:hint="default" w:ascii="Times New Roman" w:hAnsi="Times New Roman" w:cs="Times New Roman"/>
                <w:b/>
                <w:bCs/>
                <w:color w:val="auto"/>
                <w:sz w:val="21"/>
                <w:szCs w:val="21"/>
                <w:highlight w:val="none"/>
                <w:lang w:val="en-US" w:eastAsia="zh-CN"/>
              </w:rPr>
              <w:t>有组织生产废气合计收集风量一览表</w:t>
            </w:r>
          </w:p>
          <w:tbl>
            <w:tblPr>
              <w:tblStyle w:val="36"/>
              <w:tblW w:w="929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53"/>
              <w:gridCol w:w="2428"/>
              <w:gridCol w:w="1403"/>
              <w:gridCol w:w="1406"/>
              <w:gridCol w:w="2341"/>
            </w:tblGrid>
            <w:tr w14:paraId="661D25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9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0973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产污类别</w:t>
                  </w:r>
                </w:p>
              </w:tc>
              <w:tc>
                <w:tcPr>
                  <w:tcW w:w="13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EF4C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产污设备</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3594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集气方式</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0644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数量</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1056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计算风量（m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r>
            <w:tr w14:paraId="2680B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938" w:type="pct"/>
                  <w:vMerge w:val="restart"/>
                  <w:tcBorders>
                    <w:top w:val="single" w:color="000000" w:sz="4" w:space="0"/>
                    <w:left w:val="single" w:color="000000" w:sz="4" w:space="0"/>
                    <w:right w:val="single" w:color="000000" w:sz="4" w:space="0"/>
                  </w:tcBorders>
                  <w:shd w:val="clear" w:color="auto" w:fill="auto"/>
                  <w:vAlign w:val="center"/>
                </w:tcPr>
                <w:p w14:paraId="62AD8D30">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生产废气</w:t>
                  </w:r>
                </w:p>
              </w:tc>
              <w:tc>
                <w:tcPr>
                  <w:tcW w:w="13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77CC2">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软瓷生产线（成型烘干）</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060939">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直连管道</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9536CC">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A422F3">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2376</w:t>
                  </w:r>
                </w:p>
              </w:tc>
            </w:tr>
            <w:tr w14:paraId="467B9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938" w:type="pct"/>
                  <w:vMerge w:val="continue"/>
                  <w:tcBorders>
                    <w:left w:val="single" w:color="000000" w:sz="4" w:space="0"/>
                    <w:right w:val="single" w:color="000000" w:sz="4" w:space="0"/>
                  </w:tcBorders>
                  <w:shd w:val="clear" w:color="auto" w:fill="auto"/>
                  <w:vAlign w:val="center"/>
                </w:tcPr>
                <w:p w14:paraId="7F1C6DA5">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13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AC54C">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烤房（上色固化）</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DB442">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直连管道</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9BC61">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8B4A31">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1036</w:t>
                  </w:r>
                </w:p>
              </w:tc>
            </w:tr>
            <w:tr w14:paraId="1A20B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938" w:type="pct"/>
                  <w:vMerge w:val="continue"/>
                  <w:tcBorders>
                    <w:left w:val="single" w:color="000000" w:sz="4" w:space="0"/>
                    <w:bottom w:val="single" w:color="000000" w:sz="4" w:space="0"/>
                    <w:right w:val="single" w:color="000000" w:sz="4" w:space="0"/>
                  </w:tcBorders>
                  <w:shd w:val="clear" w:color="auto" w:fill="auto"/>
                  <w:vAlign w:val="center"/>
                </w:tcPr>
                <w:p w14:paraId="7B368BD1">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13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01A64">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喷漆机</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5780B">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密闭车间整体换风收集</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7A611">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A00F2">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2400</w:t>
                  </w:r>
                </w:p>
              </w:tc>
            </w:tr>
            <w:tr w14:paraId="41DFF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374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A739B">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计算风量合计</w:t>
                  </w:r>
                </w:p>
              </w:tc>
              <w:tc>
                <w:tcPr>
                  <w:tcW w:w="1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2423C">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5812</w:t>
                  </w:r>
                </w:p>
              </w:tc>
            </w:tr>
            <w:tr w14:paraId="5759D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374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038AC">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本环评选取风量</w:t>
                  </w:r>
                </w:p>
              </w:tc>
              <w:tc>
                <w:tcPr>
                  <w:tcW w:w="1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843CF">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7000</w:t>
                  </w:r>
                </w:p>
              </w:tc>
            </w:tr>
            <w:tr w14:paraId="63A82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BC31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备注：本环评考虑到风阻损失等，保守设计风量</w:t>
                  </w:r>
                  <w:r>
                    <w:rPr>
                      <w:rFonts w:hint="default" w:ascii="Times New Roman" w:hAnsi="Times New Roman" w:cs="Times New Roman"/>
                      <w:b w:val="0"/>
                      <w:bCs w:val="0"/>
                      <w:i w:val="0"/>
                      <w:iCs w:val="0"/>
                      <w:color w:val="auto"/>
                      <w:kern w:val="0"/>
                      <w:sz w:val="21"/>
                      <w:szCs w:val="21"/>
                      <w:highlight w:val="none"/>
                      <w:u w:val="none"/>
                      <w:lang w:val="en-US" w:eastAsia="zh-CN" w:bidi="ar"/>
                    </w:rPr>
                    <w:t>按理论风量120%</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取</w:t>
                  </w:r>
                  <w:r>
                    <w:rPr>
                      <w:rFonts w:hint="default" w:ascii="Times New Roman" w:hAnsi="Times New Roman" w:cs="Times New Roman"/>
                      <w:b w:val="0"/>
                      <w:bCs w:val="0"/>
                      <w:i w:val="0"/>
                      <w:iCs w:val="0"/>
                      <w:color w:val="auto"/>
                      <w:kern w:val="0"/>
                      <w:sz w:val="21"/>
                      <w:szCs w:val="21"/>
                      <w:highlight w:val="none"/>
                      <w:u w:val="none"/>
                      <w:lang w:val="en-US" w:eastAsia="zh-CN" w:bidi="ar"/>
                    </w:rPr>
                    <w:t>7000</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/h</w:t>
                  </w:r>
                  <w:r>
                    <w:rPr>
                      <w:rFonts w:hint="default" w:ascii="Times New Roman" w:hAnsi="Times New Roman" w:cs="Times New Roman"/>
                      <w:b w:val="0"/>
                      <w:bCs w:val="0"/>
                      <w:i w:val="0"/>
                      <w:iCs w:val="0"/>
                      <w:color w:val="auto"/>
                      <w:kern w:val="0"/>
                      <w:sz w:val="21"/>
                      <w:szCs w:val="21"/>
                      <w:highlight w:val="none"/>
                      <w:u w:val="none"/>
                      <w:lang w:val="en-US" w:eastAsia="zh-CN" w:bidi="ar"/>
                    </w:rPr>
                    <w:t>，且已包含天然气自身产生的工业废气量。</w:t>
                  </w:r>
                </w:p>
              </w:tc>
            </w:tr>
          </w:tbl>
          <w:p w14:paraId="0F34614B">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废气收集效率分析：</w:t>
            </w:r>
          </w:p>
          <w:p w14:paraId="7278ED6F">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参考《广东省生态环境厅关于印发</w:t>
            </w:r>
            <w:r>
              <w:rPr>
                <w:rFonts w:hint="default" w:ascii="Times New Roman" w:hAnsi="Times New Roman" w:cs="Times New Roman"/>
                <w:color w:val="auto"/>
                <w:sz w:val="24"/>
                <w:highlight w:val="none"/>
                <w:lang w:val="en-US" w:eastAsia="zh-CN"/>
              </w:rPr>
              <w:t>&lt;</w:t>
            </w:r>
            <w:r>
              <w:rPr>
                <w:rFonts w:hint="default" w:ascii="Times New Roman" w:hAnsi="Times New Roman" w:cs="Times New Roman"/>
                <w:color w:val="auto"/>
                <w:sz w:val="24"/>
                <w:highlight w:val="none"/>
              </w:rPr>
              <w:t>工业源挥发性有机物和氮氧化物减排量核算方法</w:t>
            </w:r>
            <w:r>
              <w:rPr>
                <w:rFonts w:hint="default" w:ascii="Times New Roman" w:hAnsi="Times New Roman" w:cs="Times New Roman"/>
                <w:color w:val="auto"/>
                <w:sz w:val="24"/>
                <w:highlight w:val="none"/>
                <w:lang w:val="en-US" w:eastAsia="zh-CN"/>
              </w:rPr>
              <w:t>&gt;</w:t>
            </w:r>
            <w:r>
              <w:rPr>
                <w:rFonts w:hint="default" w:ascii="Times New Roman" w:hAnsi="Times New Roman" w:cs="Times New Roman"/>
                <w:color w:val="auto"/>
                <w:sz w:val="24"/>
                <w:highlight w:val="none"/>
              </w:rPr>
              <w:t>的通知》（粤环函〔2023〕538号），VOCs收集效率见下表：</w:t>
            </w:r>
          </w:p>
          <w:p w14:paraId="6539BD3B">
            <w:pPr>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 xml:space="preserve">4-4 </w:t>
            </w:r>
            <w:r>
              <w:rPr>
                <w:rFonts w:hint="default" w:ascii="Times New Roman" w:hAnsi="Times New Roman" w:cs="Times New Roman"/>
                <w:b/>
                <w:color w:val="auto"/>
                <w:sz w:val="21"/>
                <w:szCs w:val="21"/>
                <w:highlight w:val="none"/>
              </w:rPr>
              <w:t>VOCs认定收集效率表</w:t>
            </w:r>
          </w:p>
          <w:tbl>
            <w:tblPr>
              <w:tblStyle w:val="36"/>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829"/>
              <w:gridCol w:w="3009"/>
              <w:gridCol w:w="4068"/>
              <w:gridCol w:w="1415"/>
            </w:tblGrid>
            <w:tr w14:paraId="5AB82D5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bottom w:val="single" w:color="auto" w:sz="4" w:space="0"/>
                    <w:right w:val="single" w:color="auto" w:sz="6" w:space="0"/>
                  </w:tcBorders>
                  <w:vAlign w:val="center"/>
                </w:tcPr>
                <w:p w14:paraId="68FB0BB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废气收集类型</w:t>
                  </w:r>
                </w:p>
              </w:tc>
              <w:tc>
                <w:tcPr>
                  <w:tcW w:w="1614" w:type="pct"/>
                  <w:tcBorders>
                    <w:left w:val="single" w:color="auto" w:sz="6" w:space="0"/>
                    <w:bottom w:val="single" w:color="auto" w:sz="4" w:space="0"/>
                    <w:right w:val="single" w:color="auto" w:sz="6" w:space="0"/>
                  </w:tcBorders>
                  <w:vAlign w:val="center"/>
                </w:tcPr>
                <w:p w14:paraId="341A341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废气收集方式</w:t>
                  </w:r>
                </w:p>
              </w:tc>
              <w:tc>
                <w:tcPr>
                  <w:tcW w:w="2182" w:type="pct"/>
                  <w:tcBorders>
                    <w:left w:val="single" w:color="auto" w:sz="6" w:space="0"/>
                    <w:bottom w:val="single" w:color="auto" w:sz="6" w:space="0"/>
                    <w:right w:val="single" w:color="auto" w:sz="6" w:space="0"/>
                  </w:tcBorders>
                  <w:vAlign w:val="center"/>
                </w:tcPr>
                <w:p w14:paraId="207E696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情况说明</w:t>
                  </w:r>
                </w:p>
              </w:tc>
              <w:tc>
                <w:tcPr>
                  <w:tcW w:w="758" w:type="pct"/>
                  <w:tcBorders>
                    <w:left w:val="single" w:color="auto" w:sz="6" w:space="0"/>
                    <w:bottom w:val="single" w:color="auto" w:sz="6" w:space="0"/>
                  </w:tcBorders>
                  <w:vAlign w:val="center"/>
                </w:tcPr>
                <w:p w14:paraId="74EF4F4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收集效率%</w:t>
                  </w:r>
                </w:p>
              </w:tc>
            </w:tr>
            <w:tr w14:paraId="5F44A79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773A14E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全密封设备/空间</w:t>
                  </w:r>
                </w:p>
              </w:tc>
              <w:tc>
                <w:tcPr>
                  <w:tcW w:w="1614" w:type="pct"/>
                  <w:tcBorders>
                    <w:top w:val="single" w:color="auto" w:sz="4" w:space="0"/>
                    <w:left w:val="single" w:color="auto" w:sz="6" w:space="0"/>
                    <w:bottom w:val="single" w:color="auto" w:sz="4" w:space="0"/>
                    <w:right w:val="single" w:color="auto" w:sz="4" w:space="0"/>
                  </w:tcBorders>
                  <w:vAlign w:val="center"/>
                </w:tcPr>
                <w:p w14:paraId="3CF61AE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单层密闭负压</w:t>
                  </w:r>
                </w:p>
              </w:tc>
              <w:tc>
                <w:tcPr>
                  <w:tcW w:w="2182" w:type="pct"/>
                  <w:tcBorders>
                    <w:top w:val="single" w:color="auto" w:sz="6" w:space="0"/>
                    <w:left w:val="single" w:color="auto" w:sz="4" w:space="0"/>
                    <w:bottom w:val="single" w:color="auto" w:sz="6" w:space="0"/>
                    <w:right w:val="single" w:color="auto" w:sz="6" w:space="0"/>
                  </w:tcBorders>
                  <w:vAlign w:val="center"/>
                </w:tcPr>
                <w:p w14:paraId="2599C09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VOCs产生源设置在密闭车间、密闭设备（含反应釜）、密闭管道内，所有开口处，包括人员或物料进出口处呈负压</w:t>
                  </w:r>
                </w:p>
              </w:tc>
              <w:tc>
                <w:tcPr>
                  <w:tcW w:w="758" w:type="pct"/>
                  <w:tcBorders>
                    <w:top w:val="single" w:color="auto" w:sz="6" w:space="0"/>
                    <w:left w:val="single" w:color="auto" w:sz="6" w:space="0"/>
                    <w:bottom w:val="single" w:color="auto" w:sz="6" w:space="0"/>
                  </w:tcBorders>
                  <w:vAlign w:val="center"/>
                </w:tcPr>
                <w:p w14:paraId="5389C1D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90</w:t>
                  </w:r>
                </w:p>
              </w:tc>
            </w:tr>
            <w:tr w14:paraId="0359BFF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5F87AB3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17AB4DE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单层密闭正压</w:t>
                  </w:r>
                </w:p>
              </w:tc>
              <w:tc>
                <w:tcPr>
                  <w:tcW w:w="2182" w:type="pct"/>
                  <w:tcBorders>
                    <w:top w:val="single" w:color="auto" w:sz="6" w:space="0"/>
                    <w:left w:val="single" w:color="auto" w:sz="4" w:space="0"/>
                    <w:bottom w:val="single" w:color="auto" w:sz="6" w:space="0"/>
                    <w:right w:val="single" w:color="auto" w:sz="6" w:space="0"/>
                  </w:tcBorders>
                  <w:vAlign w:val="center"/>
                </w:tcPr>
                <w:p w14:paraId="116D6FC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VOCs 产生源设置在密闭车间内，所有开口处，包括人员或物料进出口处呈正压，且无明显泄漏点</w:t>
                  </w:r>
                </w:p>
              </w:tc>
              <w:tc>
                <w:tcPr>
                  <w:tcW w:w="758" w:type="pct"/>
                  <w:tcBorders>
                    <w:top w:val="single" w:color="auto" w:sz="6" w:space="0"/>
                    <w:left w:val="single" w:color="auto" w:sz="6" w:space="0"/>
                    <w:bottom w:val="single" w:color="auto" w:sz="6" w:space="0"/>
                  </w:tcBorders>
                  <w:vAlign w:val="center"/>
                </w:tcPr>
                <w:p w14:paraId="4EFC6D5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80</w:t>
                  </w:r>
                </w:p>
              </w:tc>
            </w:tr>
            <w:tr w14:paraId="2F40C60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6415F34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5FC4854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双层密闭空间</w:t>
                  </w:r>
                </w:p>
              </w:tc>
              <w:tc>
                <w:tcPr>
                  <w:tcW w:w="2182" w:type="pct"/>
                  <w:tcBorders>
                    <w:top w:val="single" w:color="auto" w:sz="6" w:space="0"/>
                    <w:left w:val="single" w:color="auto" w:sz="4" w:space="0"/>
                    <w:bottom w:val="single" w:color="auto" w:sz="6" w:space="0"/>
                    <w:right w:val="single" w:color="auto" w:sz="6" w:space="0"/>
                  </w:tcBorders>
                  <w:vAlign w:val="center"/>
                </w:tcPr>
                <w:p w14:paraId="0680E8B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内层空间密闭正压、外层空间密闭负压</w:t>
                  </w:r>
                </w:p>
              </w:tc>
              <w:tc>
                <w:tcPr>
                  <w:tcW w:w="758" w:type="pct"/>
                  <w:tcBorders>
                    <w:top w:val="single" w:color="auto" w:sz="6" w:space="0"/>
                    <w:left w:val="single" w:color="auto" w:sz="6" w:space="0"/>
                    <w:bottom w:val="single" w:color="auto" w:sz="6" w:space="0"/>
                  </w:tcBorders>
                  <w:vAlign w:val="center"/>
                </w:tcPr>
                <w:p w14:paraId="437C691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98</w:t>
                  </w:r>
                </w:p>
              </w:tc>
            </w:tr>
            <w:tr w14:paraId="6F039A6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2C43529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459F8CB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设备排放口直连</w:t>
                  </w:r>
                </w:p>
              </w:tc>
              <w:tc>
                <w:tcPr>
                  <w:tcW w:w="2182" w:type="pct"/>
                  <w:tcBorders>
                    <w:top w:val="single" w:color="auto" w:sz="6" w:space="0"/>
                    <w:left w:val="single" w:color="auto" w:sz="4" w:space="0"/>
                    <w:bottom w:val="single" w:color="auto" w:sz="6" w:space="0"/>
                    <w:right w:val="single" w:color="auto" w:sz="6" w:space="0"/>
                  </w:tcBorders>
                  <w:vAlign w:val="center"/>
                </w:tcPr>
                <w:p w14:paraId="4AF916E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设备有固定排放管（或口）直接与风管连接，设备整体密闭只留产品进出口，且进出口处有废气收集措施，收集系统运行时周边基本无VOCs散发</w:t>
                  </w:r>
                </w:p>
              </w:tc>
              <w:tc>
                <w:tcPr>
                  <w:tcW w:w="758" w:type="pct"/>
                  <w:tcBorders>
                    <w:top w:val="single" w:color="auto" w:sz="6" w:space="0"/>
                    <w:left w:val="single" w:color="auto" w:sz="6" w:space="0"/>
                    <w:bottom w:val="single" w:color="auto" w:sz="6" w:space="0"/>
                  </w:tcBorders>
                  <w:vAlign w:val="center"/>
                </w:tcPr>
                <w:p w14:paraId="66F06A7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r>
            <w:tr w14:paraId="4E8F423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6861CAF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半密闭型集气设备（含排气柜）</w:t>
                  </w:r>
                </w:p>
              </w:tc>
              <w:tc>
                <w:tcPr>
                  <w:tcW w:w="1614" w:type="pct"/>
                  <w:vMerge w:val="restart"/>
                  <w:tcBorders>
                    <w:top w:val="single" w:color="auto" w:sz="4" w:space="0"/>
                    <w:left w:val="single" w:color="auto" w:sz="4" w:space="0"/>
                    <w:right w:val="single" w:color="auto" w:sz="4" w:space="0"/>
                  </w:tcBorders>
                  <w:vAlign w:val="center"/>
                </w:tcPr>
                <w:p w14:paraId="01DC397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污染物产生点（或生产设施）四周及上下有围挡设施，符合一下三种情况：</w:t>
                  </w:r>
                </w:p>
                <w:p w14:paraId="4AC02FF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1、仅保留一个操作工位面；</w:t>
                  </w:r>
                </w:p>
                <w:p w14:paraId="068891F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2、仅保留物料进出通道，通道敞开面小于1个操作工位面</w:t>
                  </w:r>
                  <w:r>
                    <w:rPr>
                      <w:rFonts w:hint="default" w:ascii="Times New Roman" w:hAnsi="Times New Roman" w:cs="Times New Roman"/>
                      <w:color w:val="auto"/>
                      <w:sz w:val="21"/>
                      <w:szCs w:val="21"/>
                      <w:highlight w:val="none"/>
                      <w:lang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186E726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敞开面控制风速不小于0.</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3F1E69F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65</w:t>
                  </w:r>
                </w:p>
              </w:tc>
            </w:tr>
            <w:tr w14:paraId="1E7C69E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7B0F222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614" w:type="pct"/>
                  <w:vMerge w:val="continue"/>
                  <w:tcBorders>
                    <w:left w:val="single" w:color="auto" w:sz="4" w:space="0"/>
                    <w:bottom w:val="single" w:color="auto" w:sz="4" w:space="0"/>
                    <w:right w:val="single" w:color="auto" w:sz="4" w:space="0"/>
                  </w:tcBorders>
                  <w:vAlign w:val="center"/>
                </w:tcPr>
                <w:p w14:paraId="716A504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67665A6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op w:val="single" w:color="auto" w:sz="6" w:space="0"/>
                    <w:left w:val="single" w:color="auto" w:sz="6" w:space="0"/>
                    <w:bottom w:val="single" w:color="auto" w:sz="6" w:space="0"/>
                  </w:tcBorders>
                  <w:vAlign w:val="center"/>
                </w:tcPr>
                <w:p w14:paraId="13630F6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50E2A4E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384BB56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包围型集气设备</w:t>
                  </w:r>
                </w:p>
              </w:tc>
              <w:tc>
                <w:tcPr>
                  <w:tcW w:w="1614" w:type="pct"/>
                  <w:vMerge w:val="restart"/>
                  <w:tcBorders>
                    <w:top w:val="single" w:color="auto" w:sz="4" w:space="0"/>
                    <w:left w:val="single" w:color="auto" w:sz="4" w:space="0"/>
                    <w:right w:val="single" w:color="auto" w:sz="4" w:space="0"/>
                  </w:tcBorders>
                  <w:vAlign w:val="center"/>
                </w:tcPr>
                <w:p w14:paraId="386D3E0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通过软质垂帘四周围挡（偶有部分敞开）</w:t>
                  </w:r>
                </w:p>
              </w:tc>
              <w:tc>
                <w:tcPr>
                  <w:tcW w:w="2182" w:type="pct"/>
                  <w:tcBorders>
                    <w:top w:val="single" w:color="auto" w:sz="6" w:space="0"/>
                    <w:left w:val="single" w:color="auto" w:sz="4" w:space="0"/>
                    <w:bottom w:val="single" w:color="auto" w:sz="6" w:space="0"/>
                    <w:right w:val="single" w:color="auto" w:sz="6" w:space="0"/>
                  </w:tcBorders>
                  <w:vAlign w:val="center"/>
                </w:tcPr>
                <w:p w14:paraId="0A567A9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敞开面控制风速不小于0.</w:t>
                  </w: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5B8EB9D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50</w:t>
                  </w:r>
                </w:p>
              </w:tc>
            </w:tr>
            <w:tr w14:paraId="669CCCE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3048CC0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614" w:type="pct"/>
                  <w:vMerge w:val="continue"/>
                  <w:tcBorders>
                    <w:left w:val="single" w:color="auto" w:sz="4" w:space="0"/>
                    <w:bottom w:val="single" w:color="auto" w:sz="4" w:space="0"/>
                    <w:right w:val="single" w:color="auto" w:sz="4" w:space="0"/>
                  </w:tcBorders>
                  <w:vAlign w:val="center"/>
                </w:tcPr>
                <w:p w14:paraId="58DEF9B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37914AC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op w:val="single" w:color="auto" w:sz="6" w:space="0"/>
                    <w:left w:val="single" w:color="auto" w:sz="6" w:space="0"/>
                    <w:bottom w:val="single" w:color="auto" w:sz="6" w:space="0"/>
                  </w:tcBorders>
                  <w:vAlign w:val="center"/>
                </w:tcPr>
                <w:p w14:paraId="6A7BD6B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7447DF5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3553C81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外部型集气设备</w:t>
                  </w:r>
                </w:p>
              </w:tc>
              <w:tc>
                <w:tcPr>
                  <w:tcW w:w="1614" w:type="pct"/>
                  <w:vMerge w:val="restart"/>
                  <w:tcBorders>
                    <w:top w:val="single" w:color="auto" w:sz="4" w:space="0"/>
                    <w:left w:val="single" w:color="auto" w:sz="6" w:space="0"/>
                    <w:bottom w:val="single" w:color="auto" w:sz="4" w:space="0"/>
                    <w:right w:val="single" w:color="auto" w:sz="4" w:space="0"/>
                  </w:tcBorders>
                  <w:vAlign w:val="center"/>
                </w:tcPr>
                <w:p w14:paraId="7D140DB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6E43757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相应工位所有VOCs逸散点控制风速不小于0.</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2174AF5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r>
            <w:tr w14:paraId="3021AB2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6759F0D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614" w:type="pct"/>
                  <w:vMerge w:val="continue"/>
                  <w:tcBorders>
                    <w:top w:val="single" w:color="auto" w:sz="4" w:space="0"/>
                    <w:left w:val="single" w:color="auto" w:sz="6" w:space="0"/>
                    <w:bottom w:val="single" w:color="auto" w:sz="4" w:space="0"/>
                    <w:right w:val="single" w:color="auto" w:sz="4" w:space="0"/>
                  </w:tcBorders>
                  <w:vAlign w:val="center"/>
                </w:tcPr>
                <w:p w14:paraId="2AF5F0D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744AAFF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相应工位所有VOCs逸散点控制风速小于0.3m/s，或存在强对流干扰</w:t>
                  </w:r>
                </w:p>
              </w:tc>
              <w:tc>
                <w:tcPr>
                  <w:tcW w:w="758" w:type="pct"/>
                  <w:tcBorders>
                    <w:top w:val="single" w:color="auto" w:sz="6" w:space="0"/>
                    <w:left w:val="single" w:color="auto" w:sz="6" w:space="0"/>
                    <w:bottom w:val="single" w:color="auto" w:sz="6" w:space="0"/>
                  </w:tcBorders>
                  <w:vAlign w:val="center"/>
                </w:tcPr>
                <w:p w14:paraId="4C93583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666E612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top w:val="single" w:color="auto" w:sz="4" w:space="0"/>
                    <w:bottom w:val="single" w:color="auto" w:sz="4" w:space="0"/>
                    <w:right w:val="single" w:color="auto" w:sz="6" w:space="0"/>
                  </w:tcBorders>
                  <w:vAlign w:val="center"/>
                </w:tcPr>
                <w:p w14:paraId="10661F3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无集气设施</w:t>
                  </w:r>
                </w:p>
              </w:tc>
              <w:tc>
                <w:tcPr>
                  <w:tcW w:w="1614" w:type="pct"/>
                  <w:tcBorders>
                    <w:top w:val="single" w:color="auto" w:sz="4" w:space="0"/>
                    <w:left w:val="single" w:color="auto" w:sz="6" w:space="0"/>
                    <w:bottom w:val="single" w:color="auto" w:sz="4" w:space="0"/>
                    <w:right w:val="single" w:color="auto" w:sz="4" w:space="0"/>
                  </w:tcBorders>
                  <w:vAlign w:val="center"/>
                </w:tcPr>
                <w:p w14:paraId="72F1201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0B4FE10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1、无集气设施；2、集气设施运行不正常</w:t>
                  </w:r>
                </w:p>
              </w:tc>
              <w:tc>
                <w:tcPr>
                  <w:tcW w:w="758" w:type="pct"/>
                  <w:tcBorders>
                    <w:top w:val="single" w:color="auto" w:sz="6" w:space="0"/>
                    <w:left w:val="single" w:color="auto" w:sz="6" w:space="0"/>
                    <w:bottom w:val="single" w:color="auto" w:sz="6" w:space="0"/>
                  </w:tcBorders>
                  <w:vAlign w:val="center"/>
                </w:tcPr>
                <w:p w14:paraId="7ED5D1D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47B91AC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5000" w:type="pct"/>
                  <w:gridSpan w:val="4"/>
                  <w:tcBorders>
                    <w:top w:val="single" w:color="auto" w:sz="4" w:space="0"/>
                  </w:tcBorders>
                  <w:vAlign w:val="center"/>
                </w:tcPr>
                <w:p w14:paraId="12D7B274">
                  <w:pPr>
                    <w:keepNext w:val="0"/>
                    <w:keepLines w:val="0"/>
                    <w:pageBreakBefore w:val="0"/>
                    <w:suppressLineNumbers w:val="0"/>
                    <w:wordWrap w:val="0"/>
                    <w:bidi w:val="0"/>
                    <w:spacing w:before="0" w:beforeAutospacing="0" w:after="0" w:afterAutospacing="0" w:line="240" w:lineRule="auto"/>
                    <w:ind w:left="0" w:right="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备注：同一工序具有多种废气收集类型的，该工序按照废气收集效率最高的类型取值。</w:t>
                  </w:r>
                </w:p>
              </w:tc>
            </w:tr>
          </w:tbl>
          <w:p w14:paraId="17B94B48">
            <w:pPr>
              <w:pStyle w:val="109"/>
              <w:keepNext w:val="0"/>
              <w:keepLines w:val="0"/>
              <w:pageBreakBefore w:val="0"/>
              <w:suppressLineNumbers w:val="0"/>
              <w:wordWrap w:val="0"/>
              <w:bidi w:val="0"/>
              <w:snapToGrid/>
              <w:spacing w:before="0" w:beforeAutospacing="0" w:after="0" w:afterAutospacing="0"/>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由上表可知，本项目成型烘干、上色固化工序中固化过程收集情况属于“设备排放口直连”，收集效率取95%；上色固化工序中上色过程收集情况属于“单层密闭正压”，收集效率取80%。</w:t>
            </w:r>
          </w:p>
          <w:p w14:paraId="1CF2CC5B">
            <w:pPr>
              <w:pStyle w:val="109"/>
              <w:keepNext w:val="0"/>
              <w:keepLines w:val="0"/>
              <w:pageBreakBefore w:val="0"/>
              <w:suppressLineNumbers w:val="0"/>
              <w:wordWrap w:val="0"/>
              <w:bidi w:val="0"/>
              <w:snapToGrid/>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考虑到切割工艺的特殊性和移动式布袋除尘器系统的局限性，切割粉尘未处于密闭空间收集，</w:t>
            </w:r>
            <w:bookmarkStart w:id="127" w:name="OLE_LINK48"/>
            <w:r>
              <w:rPr>
                <w:rFonts w:hint="default" w:ascii="Times New Roman" w:hAnsi="Times New Roman" w:eastAsia="宋体" w:cs="Times New Roman"/>
                <w:color w:val="auto"/>
                <w:highlight w:val="none"/>
                <w:lang w:val="en-US" w:eastAsia="zh-CN"/>
              </w:rPr>
              <w:t>根据《广东省工业源挥发性有机物减排量核算方法》（2023年修订版）中“表3.3-2废气收集集气效率参考值”的说明，外部集气罩的污染物逸散点控制风速不小于0.3m/s，废气收集效率按30%计</w:t>
            </w:r>
            <w:bookmarkEnd w:id="127"/>
            <w:r>
              <w:rPr>
                <w:rFonts w:hint="default" w:ascii="Times New Roman" w:hAnsi="Times New Roman" w:cs="Times New Roman"/>
                <w:color w:val="auto"/>
                <w:highlight w:val="none"/>
                <w:lang w:val="en-US" w:eastAsia="zh-CN"/>
              </w:rPr>
              <w:t>；同理，上色过程中漆雾收集方式为水喷淋装置（半密闭型集气设备），</w:t>
            </w:r>
            <w:r>
              <w:rPr>
                <w:rFonts w:hint="default" w:ascii="Times New Roman" w:hAnsi="Times New Roman" w:eastAsia="宋体" w:cs="Times New Roman"/>
                <w:color w:val="auto"/>
                <w:highlight w:val="none"/>
                <w:lang w:val="en-US" w:eastAsia="zh-CN"/>
              </w:rPr>
              <w:t>废气收集效率按65%计</w:t>
            </w:r>
          </w:p>
          <w:p w14:paraId="3192ECDF">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3、废气治理系统可行性分析</w:t>
            </w:r>
          </w:p>
          <w:p w14:paraId="794046D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b/>
                <w:bCs/>
                <w:color w:val="auto"/>
                <w:sz w:val="24"/>
                <w:szCs w:val="24"/>
                <w:highlight w:val="none"/>
              </w:rPr>
            </w:pPr>
            <w:bookmarkStart w:id="128" w:name="_Toc2546"/>
            <w:bookmarkStart w:id="129" w:name="_Toc20675"/>
            <w:bookmarkStart w:id="130" w:name="_Toc1330"/>
            <w:r>
              <w:rPr>
                <w:rFonts w:hint="default"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移动式</w:t>
            </w:r>
            <w:r>
              <w:rPr>
                <w:rFonts w:hint="default" w:ascii="Times New Roman" w:hAnsi="Times New Roman" w:cs="Times New Roman"/>
                <w:b/>
                <w:bCs/>
                <w:color w:val="auto"/>
                <w:sz w:val="24"/>
                <w:szCs w:val="24"/>
                <w:highlight w:val="none"/>
                <w:lang w:val="en-US" w:eastAsia="zh-CN"/>
              </w:rPr>
              <w:t>布袋除尘</w:t>
            </w:r>
            <w:r>
              <w:rPr>
                <w:rFonts w:hint="default" w:ascii="Times New Roman" w:hAnsi="Times New Roman" w:eastAsia="宋体" w:cs="Times New Roman"/>
                <w:b/>
                <w:bCs/>
                <w:color w:val="auto"/>
                <w:sz w:val="24"/>
                <w:szCs w:val="24"/>
                <w:highlight w:val="none"/>
              </w:rPr>
              <w:t>器</w:t>
            </w:r>
            <w:bookmarkEnd w:id="128"/>
            <w:bookmarkEnd w:id="129"/>
            <w:bookmarkEnd w:id="130"/>
          </w:p>
          <w:p w14:paraId="5D48B509">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本项目采用移动式</w:t>
            </w:r>
            <w:r>
              <w:rPr>
                <w:rFonts w:hint="default" w:ascii="Times New Roman" w:hAnsi="Times New Roman" w:cs="Times New Roman"/>
                <w:b w:val="0"/>
                <w:bCs/>
                <w:color w:val="auto"/>
                <w:sz w:val="24"/>
                <w:szCs w:val="24"/>
                <w:highlight w:val="none"/>
                <w:lang w:val="en-US" w:eastAsia="zh-CN"/>
              </w:rPr>
              <w:t>布袋除尘器收集</w:t>
            </w:r>
            <w:r>
              <w:rPr>
                <w:rFonts w:hint="default" w:ascii="Times New Roman" w:hAnsi="Times New Roman" w:eastAsia="宋体" w:cs="Times New Roman"/>
                <w:b w:val="0"/>
                <w:bCs/>
                <w:color w:val="auto"/>
                <w:sz w:val="24"/>
                <w:szCs w:val="24"/>
                <w:highlight w:val="none"/>
                <w:lang w:val="en-US" w:eastAsia="zh-CN"/>
              </w:rPr>
              <w:t>处理</w:t>
            </w:r>
            <w:r>
              <w:rPr>
                <w:rFonts w:hint="default" w:ascii="Times New Roman" w:hAnsi="Times New Roman" w:cs="Times New Roman"/>
                <w:b w:val="0"/>
                <w:bCs/>
                <w:color w:val="auto"/>
                <w:sz w:val="24"/>
                <w:szCs w:val="24"/>
                <w:highlight w:val="none"/>
                <w:lang w:val="en-US" w:eastAsia="zh-CN"/>
              </w:rPr>
              <w:t>切割粉尘</w:t>
            </w:r>
            <w:r>
              <w:rPr>
                <w:rFonts w:hint="default" w:ascii="Times New Roman" w:hAnsi="Times New Roman" w:eastAsia="宋体" w:cs="Times New Roman"/>
                <w:b w:val="0"/>
                <w:bCs/>
                <w:color w:val="auto"/>
                <w:sz w:val="24"/>
                <w:szCs w:val="24"/>
                <w:highlight w:val="none"/>
                <w:lang w:val="en-US" w:eastAsia="zh-CN"/>
              </w:rPr>
              <w:t>。</w:t>
            </w:r>
          </w:p>
          <w:p w14:paraId="132020BB">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①</w:t>
            </w:r>
            <w:r>
              <w:rPr>
                <w:rFonts w:hint="default" w:ascii="Times New Roman" w:hAnsi="Times New Roman" w:eastAsia="宋体" w:cs="Times New Roman"/>
                <w:b/>
                <w:color w:val="auto"/>
                <w:sz w:val="24"/>
                <w:szCs w:val="24"/>
                <w:highlight w:val="none"/>
              </w:rPr>
              <w:t>移动式</w:t>
            </w:r>
            <w:r>
              <w:rPr>
                <w:rFonts w:hint="default" w:ascii="Times New Roman" w:hAnsi="Times New Roman" w:cs="Times New Roman"/>
                <w:b/>
                <w:color w:val="auto"/>
                <w:sz w:val="24"/>
                <w:szCs w:val="24"/>
                <w:highlight w:val="none"/>
                <w:lang w:eastAsia="zh-CN"/>
              </w:rPr>
              <w:t>布袋除尘器</w:t>
            </w:r>
            <w:r>
              <w:rPr>
                <w:rFonts w:hint="default" w:ascii="Times New Roman" w:hAnsi="Times New Roman" w:eastAsia="宋体" w:cs="Times New Roman"/>
                <w:b/>
                <w:color w:val="auto"/>
                <w:sz w:val="24"/>
                <w:szCs w:val="24"/>
                <w:highlight w:val="none"/>
              </w:rPr>
              <w:t>工作原理</w:t>
            </w:r>
          </w:p>
          <w:p w14:paraId="766F0FDA">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移动式除尘器工作原理是含尘气体由风机通过吸尘管吸入箱体，进入滤袋过滤，粉尘颗粒被滤袋阻留在表面，经过过滤的净化气体由出风口排出，可直接排放在室内循环使用，也可根据需要排出室外。整个除尘过滤是一个重力，惯性力，碰撞，筛滤等综合效应的结果。除尘器连续工作一段时间后，滤袋表面的粉尘不断增加，继而进行清灰，粉尘抖落在集尘器（抽屉）中，再由人工进行处理。</w:t>
            </w:r>
          </w:p>
          <w:p w14:paraId="4E53D302">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移动式布袋除尘器处理效率参考《排放源统计调查产排污核算方法和系数手册-机械行业系数手册》中袋式除尘的治理效率一般可达99%，本项目按95%计。</w:t>
            </w:r>
            <w:r>
              <w:rPr>
                <w:rFonts w:hint="default" w:ascii="Times New Roman" w:hAnsi="Times New Roman" w:cs="Times New Roman"/>
                <w:color w:val="auto"/>
                <w:sz w:val="24"/>
                <w:szCs w:val="24"/>
                <w:highlight w:val="none"/>
                <w:lang w:val="en-US" w:eastAsia="zh-CN"/>
              </w:rPr>
              <w:t>参考排污许可证申请与核发技术规范 陶瓷砖瓦工业(HJ954—2018)中表33 其他制品类工业排污单位废气污染防治可行技术，主要污染物为颗粒物时，湿法作业或采用袋式除尘技术为可行性技术。因此本项目</w:t>
            </w:r>
            <w:r>
              <w:rPr>
                <w:rFonts w:hint="default" w:ascii="Times New Roman" w:hAnsi="Times New Roman" w:eastAsia="宋体" w:cs="Times New Roman"/>
                <w:color w:val="auto"/>
                <w:sz w:val="24"/>
                <w:szCs w:val="24"/>
                <w:highlight w:val="none"/>
              </w:rPr>
              <w:t>采取灵活方便、且废气收集可针对产生源的移动式</w:t>
            </w:r>
            <w:r>
              <w:rPr>
                <w:rFonts w:hint="default" w:ascii="Times New Roman" w:hAnsi="Times New Roman" w:cs="Times New Roman"/>
                <w:color w:val="auto"/>
                <w:sz w:val="24"/>
                <w:szCs w:val="24"/>
                <w:highlight w:val="none"/>
                <w:lang w:eastAsia="zh-CN"/>
              </w:rPr>
              <w:t>布袋除尘器</w:t>
            </w:r>
            <w:r>
              <w:rPr>
                <w:rFonts w:hint="default" w:ascii="Times New Roman" w:hAnsi="Times New Roman" w:cs="Times New Roman"/>
                <w:color w:val="auto"/>
                <w:sz w:val="24"/>
                <w:szCs w:val="24"/>
                <w:highlight w:val="none"/>
                <w:lang w:val="en-US" w:eastAsia="zh-CN"/>
              </w:rPr>
              <w:t>收集处理颗粒物</w:t>
            </w:r>
            <w:r>
              <w:rPr>
                <w:rFonts w:hint="default" w:ascii="Times New Roman" w:hAnsi="Times New Roman" w:eastAsia="宋体" w:cs="Times New Roman"/>
                <w:color w:val="auto"/>
                <w:sz w:val="24"/>
                <w:szCs w:val="24"/>
                <w:highlight w:val="none"/>
              </w:rPr>
              <w:t>是合理、可行的。</w:t>
            </w:r>
          </w:p>
          <w:p w14:paraId="6BC62A2F">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eastAsia="宋体" w:cs="Times New Roman"/>
                <w:b/>
                <w:bCs/>
                <w:i w:val="0"/>
                <w:iCs w:val="0"/>
                <w:color w:val="auto"/>
                <w:kern w:val="0"/>
                <w:sz w:val="24"/>
                <w:szCs w:val="24"/>
                <w:highlight w:val="none"/>
                <w:u w:val="none"/>
                <w:lang w:val="en-US" w:eastAsia="zh-CN" w:bidi="ar"/>
              </w:rPr>
            </w:pP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i w:val="0"/>
                <w:iCs w:val="0"/>
                <w:color w:val="auto"/>
                <w:kern w:val="0"/>
                <w:sz w:val="24"/>
                <w:szCs w:val="24"/>
                <w:highlight w:val="none"/>
                <w:u w:val="none"/>
                <w:lang w:val="en-US" w:eastAsia="zh-CN" w:bidi="ar"/>
              </w:rPr>
              <w:t>二级活性炭吸附装置</w:t>
            </w:r>
          </w:p>
          <w:p w14:paraId="23FAC257">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val="0"/>
                <w:bCs w:val="0"/>
                <w:i w:val="0"/>
                <w:iCs w:val="0"/>
                <w:color w:val="auto"/>
                <w:kern w:val="0"/>
                <w:sz w:val="24"/>
                <w:szCs w:val="24"/>
                <w:highlight w:val="none"/>
                <w:u w:val="none"/>
                <w:lang w:val="en-US" w:eastAsia="zh-CN" w:bidi="ar"/>
              </w:rPr>
            </w:pPr>
            <w:r>
              <w:rPr>
                <w:rFonts w:hint="default" w:ascii="Times New Roman" w:hAnsi="Times New Roman" w:cs="Times New Roman"/>
                <w:color w:val="auto"/>
                <w:sz w:val="24"/>
                <w:highlight w:val="none"/>
              </w:rPr>
              <w:t>项目拟设置1套“</w:t>
            </w:r>
            <w:r>
              <w:rPr>
                <w:rFonts w:hint="default" w:ascii="Times New Roman" w:hAnsi="Times New Roman" w:cs="Times New Roman"/>
                <w:color w:val="auto"/>
                <w:sz w:val="24"/>
                <w:highlight w:val="none"/>
                <w:lang w:val="en-US" w:eastAsia="zh-CN"/>
              </w:rPr>
              <w:t>二级活性炭</w:t>
            </w:r>
            <w:r>
              <w:rPr>
                <w:rFonts w:hint="default" w:ascii="Times New Roman" w:hAnsi="Times New Roman" w:cs="Times New Roman"/>
                <w:color w:val="auto"/>
                <w:sz w:val="24"/>
                <w:highlight w:val="none"/>
              </w:rPr>
              <w:t>吸附装置”处理</w:t>
            </w:r>
            <w:r>
              <w:rPr>
                <w:rFonts w:hint="default" w:ascii="Times New Roman" w:hAnsi="Times New Roman" w:cs="Times New Roman"/>
                <w:color w:val="auto"/>
                <w:sz w:val="24"/>
                <w:highlight w:val="none"/>
                <w:lang w:val="en-US" w:eastAsia="zh-CN"/>
              </w:rPr>
              <w:t>有机</w:t>
            </w:r>
            <w:r>
              <w:rPr>
                <w:rFonts w:hint="default" w:ascii="Times New Roman" w:hAnsi="Times New Roman" w:cs="Times New Roman"/>
                <w:color w:val="auto"/>
                <w:sz w:val="24"/>
                <w:highlight w:val="none"/>
              </w:rPr>
              <w:t>废气</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参考《广东省家具行业挥发性有机化合物废气治理技术指南》（粤环</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2013</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79号）中对有机废气治理设施的治理效率可得，吸附法处理效率为50～80%（本报告一级活性炭处理效率取60%，二级活性炭处理效率取50%），项目采取两级活性炭串联方式，当存在两种或两种以上治理设施联合治理时，治理效率可按公式η=1-（1-η</w:t>
            </w:r>
            <w:r>
              <w:rPr>
                <w:rFonts w:hint="default" w:ascii="Times New Roman" w:hAnsi="Times New Roman" w:cs="Times New Roman"/>
                <w:color w:val="auto"/>
                <w:sz w:val="24"/>
                <w:highlight w:val="none"/>
                <w:vertAlign w:val="subscript"/>
              </w:rPr>
              <w:t>1</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n</w:t>
            </w:r>
            <w:r>
              <w:rPr>
                <w:rFonts w:hint="default" w:ascii="Times New Roman" w:hAnsi="Times New Roman" w:cs="Times New Roman"/>
                <w:color w:val="auto"/>
                <w:sz w:val="24"/>
                <w:highlight w:val="none"/>
              </w:rPr>
              <w:t>）进行计算，则本项目废气处理工艺对有机废气总处理效率合计为1-（1-60%）×（1-50%）=80%</w:t>
            </w:r>
            <w:r>
              <w:rPr>
                <w:rFonts w:hint="default" w:ascii="Times New Roman" w:hAnsi="Times New Roman" w:cs="Times New Roman"/>
                <w:b w:val="0"/>
                <w:bCs w:val="0"/>
                <w:i w:val="0"/>
                <w:iCs w:val="0"/>
                <w:color w:val="auto"/>
                <w:kern w:val="0"/>
                <w:sz w:val="24"/>
                <w:szCs w:val="24"/>
                <w:highlight w:val="none"/>
                <w:u w:val="none"/>
                <w:lang w:val="en-US" w:eastAsia="zh-CN" w:bidi="ar"/>
              </w:rPr>
              <w:t>，因此本项目使用该治理设施是可行的。</w:t>
            </w:r>
          </w:p>
          <w:p w14:paraId="245B96C6">
            <w:pPr>
              <w:keepNext/>
              <w:keepLines/>
              <w:pageBreakBefore w:val="0"/>
              <w:widowControl w:val="0"/>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default" w:ascii="Times New Roman" w:hAnsi="Times New Roman" w:cs="Times New Roman"/>
                <w:b w:val="0"/>
                <w:bCs w:val="0"/>
                <w:i w:val="0"/>
                <w:iCs w:val="0"/>
                <w:color w:val="auto"/>
                <w:kern w:val="0"/>
                <w:sz w:val="24"/>
                <w:szCs w:val="24"/>
                <w:highlight w:val="none"/>
                <w:u w:val="none"/>
                <w:lang w:val="en-US" w:eastAsia="zh-CN" w:bidi="ar"/>
              </w:rPr>
            </w:pPr>
            <w:r>
              <w:rPr>
                <w:rFonts w:hint="default" w:ascii="Times New Roman" w:hAnsi="Times New Roman" w:cs="Times New Roman"/>
                <w:b/>
                <w:bCs/>
                <w:i w:val="0"/>
                <w:iCs w:val="0"/>
                <w:color w:val="auto"/>
                <w:kern w:val="0"/>
                <w:sz w:val="24"/>
                <w:szCs w:val="24"/>
                <w:highlight w:val="none"/>
                <w:u w:val="none"/>
                <w:lang w:val="en-US" w:eastAsia="zh-CN" w:bidi="ar"/>
              </w:rPr>
              <w:t>（3）水帘柜喷淋装置</w:t>
            </w:r>
          </w:p>
          <w:p w14:paraId="4D0BE51E">
            <w:pPr>
              <w:keepNext/>
              <w:keepLines/>
              <w:pageBreakBefore w:val="0"/>
              <w:widowControl w:val="0"/>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b w:val="0"/>
                <w:bCs w:val="0"/>
                <w:i w:val="0"/>
                <w:iCs w:val="0"/>
                <w:color w:val="auto"/>
                <w:kern w:val="0"/>
                <w:sz w:val="24"/>
                <w:szCs w:val="24"/>
                <w:highlight w:val="none"/>
                <w:u w:val="none"/>
                <w:lang w:val="en-US" w:eastAsia="zh-CN" w:bidi="ar"/>
              </w:rPr>
            </w:pPr>
            <w:r>
              <w:rPr>
                <w:rFonts w:hint="default" w:ascii="Times New Roman" w:hAnsi="Times New Roman" w:cs="Times New Roman"/>
                <w:b w:val="0"/>
                <w:bCs w:val="0"/>
                <w:color w:val="auto"/>
                <w:highlight w:val="none"/>
                <w:lang w:val="en-US" w:eastAsia="zh-CN"/>
              </w:rPr>
              <w:t>漆雾</w:t>
            </w:r>
            <w:r>
              <w:rPr>
                <w:rFonts w:hint="default" w:ascii="Times New Roman" w:hAnsi="Times New Roman" w:eastAsia="宋体" w:cs="Times New Roman"/>
                <w:bCs/>
                <w:color w:val="auto"/>
                <w:spacing w:val="-10"/>
                <w:kern w:val="2"/>
                <w:sz w:val="24"/>
                <w:szCs w:val="24"/>
                <w:highlight w:val="none"/>
                <w:lang w:val="en-US" w:eastAsia="zh-CN" w:bidi="ar-SA"/>
              </w:rPr>
              <w:t>根据《环境保护产品技术要求—工业粉尘湿式除尘装置》（HJ/T285-2006）的要求，水帘幕、气旋喷淋塔属于以喷淋、冲激、水膜为原理类的第Ⅰ类湿式除尘装置，处理效率应不低于80%</w:t>
            </w:r>
            <w:r>
              <w:rPr>
                <w:rFonts w:hint="eastAsia" w:ascii="Times New Roman" w:hAnsi="Times New Roman" w:cs="Times New Roman"/>
                <w:bCs/>
                <w:color w:val="auto"/>
                <w:spacing w:val="-10"/>
                <w:kern w:val="2"/>
                <w:sz w:val="24"/>
                <w:szCs w:val="24"/>
                <w:highlight w:val="none"/>
                <w:lang w:val="en-US" w:eastAsia="zh-CN" w:bidi="ar-SA"/>
              </w:rPr>
              <w:t>，</w:t>
            </w:r>
            <w:r>
              <w:rPr>
                <w:rFonts w:hint="default" w:ascii="Times New Roman" w:hAnsi="Times New Roman" w:eastAsia="宋体" w:cs="Times New Roman"/>
                <w:bCs/>
                <w:color w:val="auto"/>
                <w:spacing w:val="-10"/>
                <w:kern w:val="2"/>
                <w:sz w:val="24"/>
                <w:szCs w:val="24"/>
                <w:highlight w:val="none"/>
                <w:lang w:val="en-US" w:eastAsia="zh-CN" w:bidi="ar-SA"/>
              </w:rPr>
              <w:t>本次评价水帘柜对漆雾的治理效率取80%，属于可行性技术。</w:t>
            </w:r>
          </w:p>
          <w:p w14:paraId="789EA011">
            <w:pPr>
              <w:keepNext/>
              <w:keepLines/>
              <w:pageBreakBefore w:val="0"/>
              <w:suppressLineNumbers w:val="0"/>
              <w:tabs>
                <w:tab w:val="left" w:pos="0"/>
              </w:tabs>
              <w:wordWrap w:val="0"/>
              <w:bidi w:val="0"/>
              <w:spacing w:before="0" w:beforeAutospacing="0" w:after="0" w:afterAutospacing="0" w:line="360" w:lineRule="auto"/>
              <w:ind w:left="0" w:right="0" w:firstLine="480" w:firstLineChars="200"/>
              <w:outlineLvl w:val="3"/>
              <w:rPr>
                <w:rFonts w:hint="default" w:ascii="Times New Roman" w:hAnsi="Times New Roman" w:cs="Times New Roman"/>
                <w:b/>
                <w:bCs/>
                <w:color w:val="auto"/>
                <w:szCs w:val="28"/>
                <w:highlight w:val="none"/>
              </w:rPr>
            </w:pPr>
            <w:r>
              <w:rPr>
                <w:rFonts w:hint="default" w:ascii="Times New Roman" w:hAnsi="Times New Roman" w:cs="Times New Roman"/>
                <w:b/>
                <w:bCs/>
                <w:color w:val="auto"/>
                <w:szCs w:val="28"/>
                <w:highlight w:val="none"/>
                <w:lang w:val="en-US" w:eastAsia="zh-CN"/>
              </w:rPr>
              <w:t>4</w:t>
            </w:r>
            <w:r>
              <w:rPr>
                <w:rFonts w:hint="default" w:ascii="Times New Roman" w:hAnsi="Times New Roman" w:cs="Times New Roman"/>
                <w:b/>
                <w:bCs/>
                <w:color w:val="auto"/>
                <w:szCs w:val="28"/>
                <w:highlight w:val="none"/>
              </w:rPr>
              <w:t>、达标情况分析</w:t>
            </w:r>
          </w:p>
          <w:p w14:paraId="6644A6C0">
            <w:pPr>
              <w:pStyle w:val="6"/>
              <w:pageBreakBefore w:val="0"/>
              <w:widowControl/>
              <w:numPr>
                <w:ilvl w:val="4"/>
                <w:numId w:val="0"/>
              </w:numPr>
              <w:suppressLineNumbers w:val="0"/>
              <w:wordWrap w:val="0"/>
              <w:bidi w:val="0"/>
              <w:spacing w:before="0" w:beforeAutospacing="0" w:after="0" w:afterAutospacing="0"/>
              <w:ind w:left="48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（1）</w:t>
            </w:r>
            <w:r>
              <w:rPr>
                <w:rFonts w:hint="default" w:ascii="Times New Roman" w:hAnsi="Times New Roman" w:cs="Times New Roman"/>
                <w:color w:val="auto"/>
                <w:kern w:val="2"/>
                <w:highlight w:val="none"/>
                <w:lang w:val="en-US" w:eastAsia="zh-CN"/>
              </w:rPr>
              <w:t>投料粉</w:t>
            </w:r>
            <w:r>
              <w:rPr>
                <w:rFonts w:hint="default" w:ascii="Times New Roman" w:hAnsi="Times New Roman" w:cs="Times New Roman"/>
                <w:color w:val="auto"/>
                <w:kern w:val="2"/>
                <w:highlight w:val="none"/>
              </w:rPr>
              <w:t>尘</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lang w:val="en-US" w:eastAsia="zh-CN"/>
              </w:rPr>
              <w:t>漆雾、切割粉尘</w:t>
            </w:r>
          </w:p>
          <w:p w14:paraId="2651B51A">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val="en-US" w:eastAsia="zh-CN"/>
              </w:rPr>
              <w:t>投料粉尘</w:t>
            </w:r>
            <w:r>
              <w:rPr>
                <w:rFonts w:hint="default" w:ascii="Times New Roman" w:hAnsi="Times New Roman" w:cs="Times New Roman"/>
                <w:color w:val="auto"/>
                <w:kern w:val="0"/>
                <w:highlight w:val="none"/>
              </w:rPr>
              <w:t>以颗粒物表征</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加强</w:t>
            </w:r>
            <w:r>
              <w:rPr>
                <w:rFonts w:hint="default" w:ascii="Times New Roman" w:hAnsi="Times New Roman" w:cs="Times New Roman"/>
                <w:color w:val="auto"/>
                <w:highlight w:val="none"/>
              </w:rPr>
              <w:t>车间</w:t>
            </w:r>
            <w:r>
              <w:rPr>
                <w:rFonts w:hint="default" w:ascii="Times New Roman" w:hAnsi="Times New Roman" w:cs="Times New Roman"/>
                <w:color w:val="auto"/>
                <w:highlight w:val="none"/>
                <w:lang w:val="en-US" w:eastAsia="zh-CN"/>
              </w:rPr>
              <w:t>通风后</w:t>
            </w:r>
            <w:r>
              <w:rPr>
                <w:rFonts w:hint="default" w:ascii="Times New Roman" w:hAnsi="Times New Roman" w:cs="Times New Roman"/>
                <w:color w:val="auto"/>
                <w:highlight w:val="none"/>
              </w:rPr>
              <w:t>无组织排放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0"/>
                <w:highlight w:val="none"/>
                <w:lang w:val="en-US" w:eastAsia="zh-CN"/>
              </w:rPr>
              <w:t>漆雾以颗粒物表征</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经水帘柜喷淋装置收集处理后，于车间内无组织排放；切割粉尘以颗粒物表征，经移动式布袋除尘器处理后，</w:t>
            </w:r>
            <w:r>
              <w:rPr>
                <w:rFonts w:hint="default" w:ascii="Times New Roman" w:hAnsi="Times New Roman" w:cs="Times New Roman"/>
                <w:color w:val="auto"/>
                <w:kern w:val="0"/>
                <w:highlight w:val="none"/>
              </w:rPr>
              <w:t>颗粒物无组织排放</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以上颗粒物无组织排放均</w:t>
            </w:r>
            <w:r>
              <w:rPr>
                <w:rFonts w:hint="default" w:ascii="Times New Roman" w:hAnsi="Times New Roman" w:cs="Times New Roman"/>
                <w:color w:val="auto"/>
                <w:kern w:val="0"/>
                <w:highlight w:val="none"/>
              </w:rPr>
              <w:t>满足广东省《大气污染物排放限值》（DB44/27-2001）第二时段无组织排放监控浓度限值</w:t>
            </w:r>
            <w:r>
              <w:rPr>
                <w:rFonts w:hint="default" w:ascii="Times New Roman" w:hAnsi="Times New Roman" w:cs="Times New Roman"/>
                <w:color w:val="auto"/>
                <w:kern w:val="0"/>
                <w:highlight w:val="none"/>
                <w:lang w:val="en-US" w:eastAsia="zh-CN"/>
              </w:rPr>
              <w:t>要求</w:t>
            </w:r>
            <w:r>
              <w:rPr>
                <w:rFonts w:hint="default" w:ascii="Times New Roman" w:hAnsi="Times New Roman" w:cs="Times New Roman"/>
                <w:color w:val="auto"/>
                <w:kern w:val="0"/>
                <w:highlight w:val="none"/>
              </w:rPr>
              <w:t>。</w:t>
            </w:r>
          </w:p>
          <w:p w14:paraId="0E85F875">
            <w:pPr>
              <w:pStyle w:val="6"/>
              <w:pageBreakBefore w:val="0"/>
              <w:widowControl/>
              <w:numPr>
                <w:ilvl w:val="4"/>
                <w:numId w:val="0"/>
              </w:numPr>
              <w:suppressLineNumbers w:val="0"/>
              <w:wordWrap w:val="0"/>
              <w:bidi w:val="0"/>
              <w:spacing w:before="0" w:beforeAutospacing="0" w:after="0" w:afterAutospacing="0"/>
              <w:ind w:left="48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rPr>
              <w:t>（2）</w:t>
            </w:r>
            <w:r>
              <w:rPr>
                <w:rFonts w:hint="default" w:ascii="Times New Roman" w:hAnsi="Times New Roman" w:cs="Times New Roman"/>
                <w:color w:val="auto"/>
                <w:kern w:val="2"/>
                <w:highlight w:val="none"/>
                <w:lang w:val="en-US" w:eastAsia="zh-CN"/>
              </w:rPr>
              <w:t>有机废气</w:t>
            </w:r>
          </w:p>
          <w:p w14:paraId="387BE8E4">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有机废气</w:t>
            </w: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val="en-US" w:eastAsia="zh-CN"/>
              </w:rPr>
              <w:t>二级活性炭吸附装置</w:t>
            </w:r>
            <w:r>
              <w:rPr>
                <w:rFonts w:hint="default" w:ascii="Times New Roman" w:hAnsi="Times New Roman" w:cs="Times New Roman"/>
                <w:color w:val="auto"/>
                <w:highlight w:val="none"/>
              </w:rPr>
              <w:t>处理后</w:t>
            </w:r>
            <w:r>
              <w:rPr>
                <w:rFonts w:hint="default" w:ascii="Times New Roman" w:hAnsi="Times New Roman" w:cs="Times New Roman"/>
                <w:color w:val="auto"/>
                <w:highlight w:val="none"/>
                <w:lang w:val="en-US" w:eastAsia="zh-CN"/>
              </w:rPr>
              <w:t>经引风机引至15m高排气筒DA001排放</w:t>
            </w:r>
            <w:r>
              <w:rPr>
                <w:rFonts w:hint="default" w:ascii="Times New Roman" w:hAnsi="Times New Roman" w:cs="Times New Roman"/>
                <w:color w:val="auto"/>
                <w:highlight w:val="none"/>
              </w:rPr>
              <w:t>，处理后</w:t>
            </w:r>
            <w:r>
              <w:rPr>
                <w:rFonts w:hint="default" w:ascii="Times New Roman" w:hAnsi="Times New Roman" w:cs="Times New Roman"/>
                <w:color w:val="auto"/>
                <w:highlight w:val="none"/>
                <w:lang w:val="en-US" w:eastAsia="zh-CN"/>
              </w:rPr>
              <w:t>非甲烷总烃、苯系物</w:t>
            </w:r>
            <w:r>
              <w:rPr>
                <w:rFonts w:hint="default" w:ascii="Times New Roman" w:hAnsi="Times New Roman" w:cs="Times New Roman"/>
                <w:color w:val="auto"/>
                <w:highlight w:val="none"/>
              </w:rPr>
              <w:t>排放满足广东省《固定污染源挥发性有机物综合排放标准》（DB44/2367-2022）表</w:t>
            </w:r>
            <w:r>
              <w:rPr>
                <w:rFonts w:hint="default" w:ascii="Times New Roman" w:hAnsi="Times New Roman" w:cs="Times New Roman"/>
                <w:color w:val="auto"/>
                <w:highlight w:val="none"/>
                <w:lang w:val="en-US" w:eastAsia="zh-CN"/>
              </w:rPr>
              <w:t>1挥发性有机物排放限值要求及</w:t>
            </w:r>
            <w:r>
              <w:rPr>
                <w:rFonts w:hint="default" w:ascii="Times New Roman" w:hAnsi="Times New Roman" w:cs="Times New Roman"/>
                <w:color w:val="auto"/>
                <w:highlight w:val="none"/>
              </w:rPr>
              <w:t>表3厂区内VOCs无组织排放限值要求。</w:t>
            </w:r>
          </w:p>
          <w:p w14:paraId="6A88E19A">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（3）</w:t>
            </w:r>
            <w:r>
              <w:rPr>
                <w:rFonts w:hint="default" w:ascii="Times New Roman" w:hAnsi="Times New Roman" w:cs="Times New Roman"/>
                <w:b/>
                <w:bCs/>
                <w:color w:val="auto"/>
                <w:highlight w:val="none"/>
                <w:lang w:val="en-US" w:eastAsia="zh-CN"/>
              </w:rPr>
              <w:t>天然气</w:t>
            </w:r>
            <w:r>
              <w:rPr>
                <w:rFonts w:hint="default" w:ascii="Times New Roman" w:hAnsi="Times New Roman" w:cs="Times New Roman"/>
                <w:b/>
                <w:bCs/>
                <w:color w:val="auto"/>
                <w:highlight w:val="none"/>
              </w:rPr>
              <w:t>燃烧废气</w:t>
            </w:r>
          </w:p>
          <w:p w14:paraId="5F718D6F">
            <w:pPr>
              <w:pStyle w:val="43"/>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天然气燃烧废气</w:t>
            </w:r>
            <w:r>
              <w:rPr>
                <w:rFonts w:hint="default" w:ascii="Times New Roman" w:hAnsi="Times New Roman" w:cs="Times New Roman"/>
                <w:color w:val="auto"/>
                <w:highlight w:val="none"/>
                <w:lang w:val="en-US" w:eastAsia="zh-CN"/>
              </w:rPr>
              <w:t>中颗粒物、二氧化硫、氮氧化物有组织排放</w:t>
            </w:r>
            <w:r>
              <w:rPr>
                <w:rFonts w:hint="default" w:ascii="Times New Roman" w:hAnsi="Times New Roman" w:cs="Times New Roman"/>
                <w:color w:val="auto"/>
                <w:kern w:val="0"/>
                <w:highlight w:val="none"/>
              </w:rPr>
              <w:t>满足《关于贯彻落实&lt;工业炉窑大气污染综合治理方案&gt;的实施意见》（粤环函〔2019〕1112号）限值</w:t>
            </w:r>
            <w:r>
              <w:rPr>
                <w:rFonts w:hint="default" w:ascii="Times New Roman" w:hAnsi="Times New Roman" w:cs="Times New Roman"/>
                <w:color w:val="auto"/>
                <w:kern w:val="0"/>
                <w:highlight w:val="none"/>
                <w:lang w:val="en-US" w:eastAsia="zh-CN"/>
              </w:rPr>
              <w:t>要求；烟气黑度（以林格曼黑度表征）有组织排放满足《工业炉窑大气污染物排放标准》（GB9078—1996）表2限值要求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厂区</w:t>
            </w:r>
            <w:r>
              <w:rPr>
                <w:rFonts w:hint="default" w:ascii="Times New Roman" w:hAnsi="Times New Roman" w:cs="Times New Roman"/>
                <w:b w:val="0"/>
                <w:bCs w:val="0"/>
                <w:color w:val="auto"/>
                <w:highlight w:val="none"/>
                <w:lang w:eastAsia="zh-CN"/>
              </w:rPr>
              <w:t>内颗粒物</w:t>
            </w:r>
            <w:r>
              <w:rPr>
                <w:rFonts w:hint="default" w:ascii="Times New Roman" w:hAnsi="Times New Roman" w:cs="Times New Roman"/>
                <w:b w:val="0"/>
                <w:bCs w:val="0"/>
                <w:color w:val="auto"/>
                <w:highlight w:val="none"/>
                <w:lang w:val="en-US" w:eastAsia="zh-CN"/>
              </w:rPr>
              <w:t>能达到</w:t>
            </w:r>
            <w:r>
              <w:rPr>
                <w:rFonts w:hint="default" w:ascii="Times New Roman" w:hAnsi="Times New Roman" w:cs="Times New Roman"/>
                <w:b w:val="0"/>
                <w:bCs w:val="0"/>
                <w:color w:val="auto"/>
                <w:highlight w:val="none"/>
                <w:lang w:eastAsia="zh-CN"/>
              </w:rPr>
              <w:t>《工业炉窑大气污染物排放标准》（GB9078—1996）表3</w:t>
            </w:r>
            <w:r>
              <w:rPr>
                <w:rFonts w:hint="default" w:ascii="Times New Roman" w:hAnsi="Times New Roman" w:cs="Times New Roman"/>
                <w:b w:val="0"/>
                <w:bCs w:val="0"/>
                <w:color w:val="auto"/>
                <w:highlight w:val="none"/>
                <w:lang w:val="en-US" w:eastAsia="zh-CN"/>
              </w:rPr>
              <w:t>限值要求。</w:t>
            </w:r>
          </w:p>
          <w:p w14:paraId="4FE6F020">
            <w:pPr>
              <w:pStyle w:val="5"/>
              <w:pageBreakBefore w:val="0"/>
              <w:numPr>
                <w:ilvl w:val="3"/>
                <w:numId w:val="0"/>
              </w:numPr>
              <w:suppressLineNumbers w:val="0"/>
              <w:kinsoku/>
              <w:wordWrap w:val="0"/>
              <w:overflowPunct/>
              <w:topLinePunct w:val="0"/>
              <w:autoSpaceDN/>
              <w:bidi w:val="0"/>
              <w:snapToGrid/>
              <w:spacing w:before="0" w:beforeAutospacing="0" w:after="0" w:afterAutospacing="0"/>
              <w:ind w:right="0" w:firstLine="480"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生产异味</w:t>
            </w:r>
          </w:p>
          <w:p w14:paraId="11549DF2">
            <w:pPr>
              <w:keepNext w:val="0"/>
              <w:keepLines w:val="0"/>
              <w:pageBreakBefore w:val="0"/>
              <w:widowControl/>
              <w:suppressLineNumbers w:val="0"/>
              <w:kinsoku/>
              <w:wordWrap w:val="0"/>
              <w:overflowPunct/>
              <w:topLinePunct w:val="0"/>
              <w:autoSpaceDE w:val="0"/>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highlight w:val="none"/>
              </w:rPr>
            </w:pPr>
            <w:r>
              <w:rPr>
                <w:rFonts w:hint="default" w:ascii="Times New Roman" w:hAnsi="Times New Roman" w:cs="Times New Roman"/>
                <w:color w:val="auto"/>
                <w:highlight w:val="none"/>
                <w:lang w:val="en-US" w:eastAsia="zh-CN"/>
              </w:rPr>
              <w:t>本项目生产异味以臭气浓度表征，臭气浓度会与有机废气一起被收集处理后由排气筒排放，少部分未能被收集的恶臭通过加强车间管理后以无组织形式在车间排放；</w:t>
            </w:r>
            <w:r>
              <w:rPr>
                <w:rFonts w:hint="default" w:ascii="Times New Roman" w:hAnsi="Times New Roman" w:eastAsia="宋体" w:cs="Times New Roman"/>
                <w:b w:val="0"/>
                <w:bCs w:val="0"/>
                <w:color w:val="auto"/>
                <w:kern w:val="2"/>
                <w:sz w:val="24"/>
                <w:szCs w:val="24"/>
                <w:highlight w:val="none"/>
                <w:lang w:val="en-US" w:eastAsia="zh-CN" w:bidi="ar"/>
              </w:rPr>
              <w:t>臭气浓度可满足</w:t>
            </w:r>
            <w:r>
              <w:rPr>
                <w:rFonts w:hint="default" w:ascii="Times New Roman" w:hAnsi="Times New Roman" w:eastAsia="宋体" w:cs="Times New Roman"/>
                <w:b w:val="0"/>
                <w:bCs w:val="0"/>
                <w:color w:val="auto"/>
                <w:kern w:val="0"/>
                <w:sz w:val="24"/>
                <w:szCs w:val="24"/>
                <w:highlight w:val="none"/>
                <w:lang w:val="en-US" w:eastAsia="zh-CN" w:bidi="ar"/>
              </w:rPr>
              <w:t>《恶臭污染物排放标准》(GB14554-93)表1二级标准中“新改扩建”</w:t>
            </w:r>
            <w:r>
              <w:rPr>
                <w:rFonts w:hint="default" w:ascii="Times New Roman" w:hAnsi="Times New Roman" w:cs="Times New Roman"/>
                <w:color w:val="auto"/>
                <w:kern w:val="0"/>
                <w:sz w:val="24"/>
                <w:szCs w:val="24"/>
                <w:highlight w:val="none"/>
                <w:lang w:val="en-US" w:eastAsia="zh-CN" w:bidi="ar"/>
              </w:rPr>
              <w:t>及表2恶臭污染物排放标准</w:t>
            </w:r>
            <w:r>
              <w:rPr>
                <w:rFonts w:hint="default" w:ascii="Times New Roman" w:hAnsi="Times New Roman" w:eastAsia="宋体" w:cs="Times New Roman"/>
                <w:color w:val="auto"/>
                <w:kern w:val="0"/>
                <w:sz w:val="24"/>
                <w:szCs w:val="24"/>
                <w:highlight w:val="none"/>
                <w:lang w:val="en-US" w:eastAsia="zh-CN" w:bidi="ar"/>
              </w:rPr>
              <w:t>限值要求</w:t>
            </w:r>
            <w:r>
              <w:rPr>
                <w:rFonts w:hint="default" w:ascii="Times New Roman" w:hAnsi="Times New Roman" w:eastAsia="宋体" w:cs="Times New Roman"/>
                <w:b w:val="0"/>
                <w:bCs w:val="0"/>
                <w:color w:val="auto"/>
                <w:kern w:val="0"/>
                <w:sz w:val="24"/>
                <w:szCs w:val="24"/>
                <w:highlight w:val="none"/>
                <w:lang w:val="en-US" w:eastAsia="zh-CN" w:bidi="ar"/>
              </w:rPr>
              <w:t>。</w:t>
            </w:r>
          </w:p>
          <w:p w14:paraId="472CAC1D">
            <w:pPr>
              <w:pStyle w:val="5"/>
              <w:pageBreakBefore w:val="0"/>
              <w:numPr>
                <w:ilvl w:val="3"/>
                <w:numId w:val="0"/>
              </w:numPr>
              <w:suppressLineNumbers w:val="0"/>
              <w:wordWrap w:val="0"/>
              <w:bidi w:val="0"/>
              <w:spacing w:before="0" w:beforeAutospacing="0" w:after="0" w:afterAutospacing="0"/>
              <w:ind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综上所述，本项目运营期产生的废气采取上述处理措施处理后均能达标排放，不会对本项目所在区域的大气环境产生不利影响。</w:t>
            </w:r>
          </w:p>
          <w:p w14:paraId="28B0E36B">
            <w:pPr>
              <w:keepNext w:val="0"/>
              <w:keepLines w:val="0"/>
              <w:pageBreakBefore w:val="0"/>
              <w:widowControl/>
              <w:numPr>
                <w:ilvl w:val="0"/>
                <w:numId w:val="7"/>
              </w:numPr>
              <w:suppressLineNumbers w:val="0"/>
              <w:kinsoku/>
              <w:wordWrap w:val="0"/>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总结</w:t>
            </w:r>
          </w:p>
          <w:p w14:paraId="18186AD6">
            <w:pPr>
              <w:keepNext w:val="0"/>
              <w:keepLines w:val="0"/>
              <w:pageBreakBefore w:val="0"/>
              <w:widowControl/>
              <w:numPr>
                <w:ilvl w:val="0"/>
                <w:numId w:val="0"/>
              </w:numPr>
              <w:suppressLineNumbers w:val="0"/>
              <w:kinsoku/>
              <w:wordWrap w:val="0"/>
              <w:overflowPunct/>
              <w:topLinePunct w:val="0"/>
              <w:autoSpaceDE/>
              <w:autoSpaceDN/>
              <w:bidi w:val="0"/>
              <w:adjustRightInd w:val="0"/>
              <w:snapToGrid w:val="0"/>
              <w:spacing w:before="0" w:beforeAutospacing="0" w:after="0" w:afterAutospacing="0" w:line="360" w:lineRule="auto"/>
              <w:ind w:left="480" w:leftChars="200" w:right="0" w:rightChars="0"/>
              <w:jc w:val="left"/>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本项目大气污染物的治理、排放情况见下表。</w:t>
            </w:r>
          </w:p>
        </w:tc>
      </w:tr>
    </w:tbl>
    <w:p w14:paraId="52CC5C57">
      <w:pPr>
        <w:bidi w:val="0"/>
        <w:rPr>
          <w:rFonts w:hint="default" w:ascii="Times New Roman" w:hAnsi="Times New Roman" w:cs="Times New Roman"/>
          <w:color w:val="auto"/>
          <w:highlight w:val="none"/>
        </w:rPr>
      </w:pPr>
    </w:p>
    <w:p w14:paraId="0A013F53">
      <w:pPr>
        <w:pStyle w:val="2"/>
        <w:pageBreakBefore w:val="0"/>
        <w:numPr>
          <w:ilvl w:val="0"/>
          <w:numId w:val="0"/>
        </w:numPr>
        <w:wordWrap w:val="0"/>
        <w:bidi w:val="0"/>
        <w:rPr>
          <w:rFonts w:hint="default" w:ascii="Times New Roman" w:hAnsi="Times New Roman"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37"/>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3552"/>
      </w:tblGrid>
      <w:tr w14:paraId="36242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8" w:hRule="atLeast"/>
        </w:trPr>
        <w:tc>
          <w:tcPr>
            <w:tcW w:w="448" w:type="dxa"/>
            <w:vAlign w:val="center"/>
          </w:tcPr>
          <w:p w14:paraId="307331AE">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b/>
                <w:bCs/>
                <w:color w:val="auto"/>
                <w:highlight w:val="none"/>
              </w:rPr>
              <w:t>运营期环境影响和保护措施</w:t>
            </w:r>
          </w:p>
        </w:tc>
        <w:tc>
          <w:tcPr>
            <w:tcW w:w="13552" w:type="dxa"/>
          </w:tcPr>
          <w:p w14:paraId="405EF9F9">
            <w:pPr>
              <w:pStyle w:val="43"/>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6 </w:t>
            </w:r>
            <w:r>
              <w:rPr>
                <w:rFonts w:hint="default" w:ascii="Times New Roman" w:hAnsi="Times New Roman" w:cs="Times New Roman"/>
                <w:b/>
                <w:bCs/>
                <w:color w:val="auto"/>
                <w:sz w:val="21"/>
                <w:szCs w:val="21"/>
                <w:highlight w:val="none"/>
              </w:rPr>
              <w:t>项目废气产排污节点、污染物及污染治理设施情况一览表</w:t>
            </w:r>
          </w:p>
          <w:tbl>
            <w:tblPr>
              <w:tblStyle w:val="3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9"/>
              <w:gridCol w:w="1250"/>
              <w:gridCol w:w="626"/>
              <w:gridCol w:w="799"/>
              <w:gridCol w:w="514"/>
              <w:gridCol w:w="1154"/>
              <w:gridCol w:w="1351"/>
              <w:gridCol w:w="895"/>
              <w:gridCol w:w="802"/>
              <w:gridCol w:w="882"/>
              <w:gridCol w:w="903"/>
              <w:gridCol w:w="946"/>
              <w:gridCol w:w="666"/>
              <w:gridCol w:w="746"/>
              <w:gridCol w:w="1380"/>
            </w:tblGrid>
            <w:tr w14:paraId="443AA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50" w:type="pct"/>
                  <w:vMerge w:val="restart"/>
                  <w:vAlign w:val="center"/>
                </w:tcPr>
                <w:p w14:paraId="078D4FC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469" w:type="pct"/>
                  <w:vMerge w:val="restart"/>
                  <w:vAlign w:val="center"/>
                </w:tcPr>
                <w:p w14:paraId="02A0FB2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位置</w:t>
                  </w:r>
                </w:p>
              </w:tc>
              <w:tc>
                <w:tcPr>
                  <w:tcW w:w="235" w:type="pct"/>
                  <w:vMerge w:val="restart"/>
                  <w:vAlign w:val="center"/>
                </w:tcPr>
                <w:p w14:paraId="27271A1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产污环节</w:t>
                  </w:r>
                </w:p>
              </w:tc>
              <w:tc>
                <w:tcPr>
                  <w:tcW w:w="300" w:type="pct"/>
                  <w:vMerge w:val="restart"/>
                  <w:vAlign w:val="center"/>
                </w:tcPr>
                <w:p w14:paraId="145913A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污染物种类</w:t>
                  </w:r>
                </w:p>
              </w:tc>
              <w:tc>
                <w:tcPr>
                  <w:tcW w:w="193" w:type="pct"/>
                  <w:vMerge w:val="restart"/>
                  <w:vAlign w:val="center"/>
                </w:tcPr>
                <w:p w14:paraId="630A2C5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排放形式</w:t>
                  </w:r>
                </w:p>
              </w:tc>
              <w:tc>
                <w:tcPr>
                  <w:tcW w:w="1908" w:type="pct"/>
                  <w:gridSpan w:val="5"/>
                  <w:vAlign w:val="center"/>
                </w:tcPr>
                <w:p w14:paraId="796F772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w:t>
                  </w:r>
                </w:p>
              </w:tc>
              <w:tc>
                <w:tcPr>
                  <w:tcW w:w="339" w:type="pct"/>
                  <w:vMerge w:val="restart"/>
                  <w:vAlign w:val="center"/>
                </w:tcPr>
                <w:p w14:paraId="6861047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有组织排放编号</w:t>
                  </w:r>
                </w:p>
              </w:tc>
              <w:tc>
                <w:tcPr>
                  <w:tcW w:w="355" w:type="pct"/>
                  <w:vMerge w:val="restart"/>
                  <w:vAlign w:val="center"/>
                </w:tcPr>
                <w:p w14:paraId="2E69823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有组织排放口名称</w:t>
                  </w:r>
                </w:p>
              </w:tc>
              <w:tc>
                <w:tcPr>
                  <w:tcW w:w="250" w:type="pct"/>
                  <w:vMerge w:val="restart"/>
                  <w:vAlign w:val="center"/>
                </w:tcPr>
                <w:p w14:paraId="6B0DD72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排放口设置是否符合要求</w:t>
                  </w:r>
                </w:p>
              </w:tc>
              <w:tc>
                <w:tcPr>
                  <w:tcW w:w="280" w:type="pct"/>
                  <w:vMerge w:val="restart"/>
                  <w:vAlign w:val="center"/>
                </w:tcPr>
                <w:p w14:paraId="3FC3132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排放口类型</w:t>
                  </w:r>
                </w:p>
              </w:tc>
              <w:tc>
                <w:tcPr>
                  <w:tcW w:w="518" w:type="pct"/>
                  <w:vMerge w:val="restart"/>
                  <w:vAlign w:val="center"/>
                </w:tcPr>
                <w:p w14:paraId="00162FA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其他信息</w:t>
                  </w:r>
                </w:p>
              </w:tc>
            </w:tr>
            <w:tr w14:paraId="23A9D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0" w:type="pct"/>
                  <w:vMerge w:val="continue"/>
                  <w:vAlign w:val="center"/>
                </w:tcPr>
                <w:p w14:paraId="2C264CF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469" w:type="pct"/>
                  <w:vMerge w:val="continue"/>
                  <w:vAlign w:val="center"/>
                </w:tcPr>
                <w:p w14:paraId="4C91CBE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35" w:type="pct"/>
                  <w:vMerge w:val="continue"/>
                  <w:vAlign w:val="center"/>
                </w:tcPr>
                <w:p w14:paraId="702521B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300" w:type="pct"/>
                  <w:vMerge w:val="continue"/>
                  <w:vAlign w:val="center"/>
                </w:tcPr>
                <w:p w14:paraId="765737A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193" w:type="pct"/>
                  <w:vMerge w:val="continue"/>
                  <w:vAlign w:val="center"/>
                </w:tcPr>
                <w:p w14:paraId="196E290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433" w:type="pct"/>
                  <w:vAlign w:val="center"/>
                </w:tcPr>
                <w:p w14:paraId="6FE8D36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污染防治设施编号</w:t>
                  </w:r>
                </w:p>
              </w:tc>
              <w:tc>
                <w:tcPr>
                  <w:tcW w:w="507" w:type="pct"/>
                  <w:vAlign w:val="center"/>
                </w:tcPr>
                <w:p w14:paraId="47F7C7C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污染防治设施名称</w:t>
                  </w:r>
                </w:p>
              </w:tc>
              <w:tc>
                <w:tcPr>
                  <w:tcW w:w="336" w:type="pct"/>
                  <w:vAlign w:val="center"/>
                </w:tcPr>
                <w:p w14:paraId="5CC7AEC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污染防治设施工艺</w:t>
                  </w:r>
                </w:p>
              </w:tc>
              <w:tc>
                <w:tcPr>
                  <w:tcW w:w="301" w:type="pct"/>
                  <w:vAlign w:val="center"/>
                </w:tcPr>
                <w:p w14:paraId="32C712D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是否为可行性技术</w:t>
                  </w:r>
                </w:p>
              </w:tc>
              <w:tc>
                <w:tcPr>
                  <w:tcW w:w="331" w:type="pct"/>
                  <w:vAlign w:val="center"/>
                </w:tcPr>
                <w:p w14:paraId="3711FAF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污染防治设施其他信息</w:t>
                  </w:r>
                </w:p>
              </w:tc>
              <w:tc>
                <w:tcPr>
                  <w:tcW w:w="339" w:type="pct"/>
                  <w:vMerge w:val="continue"/>
                  <w:vAlign w:val="center"/>
                </w:tcPr>
                <w:p w14:paraId="64DACDF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355" w:type="pct"/>
                  <w:vMerge w:val="continue"/>
                  <w:vAlign w:val="center"/>
                </w:tcPr>
                <w:p w14:paraId="47F8DEF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50" w:type="pct"/>
                  <w:vMerge w:val="continue"/>
                  <w:vAlign w:val="center"/>
                </w:tcPr>
                <w:p w14:paraId="0C94BA6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80" w:type="pct"/>
                  <w:vMerge w:val="continue"/>
                  <w:vAlign w:val="center"/>
                </w:tcPr>
                <w:p w14:paraId="237FAC6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518" w:type="pct"/>
                  <w:vMerge w:val="continue"/>
                  <w:vAlign w:val="center"/>
                </w:tcPr>
                <w:p w14:paraId="0DEBB75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r>
            <w:tr w14:paraId="52F48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0" w:type="pct"/>
                  <w:vAlign w:val="center"/>
                </w:tcPr>
                <w:p w14:paraId="1BF62D5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69" w:type="pct"/>
                  <w:vAlign w:val="center"/>
                </w:tcPr>
                <w:p w14:paraId="0701A95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切割机</w:t>
                  </w:r>
                </w:p>
              </w:tc>
              <w:tc>
                <w:tcPr>
                  <w:tcW w:w="235" w:type="pct"/>
                  <w:vAlign w:val="center"/>
                </w:tcPr>
                <w:p w14:paraId="0337E23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切割</w:t>
                  </w:r>
                </w:p>
              </w:tc>
              <w:tc>
                <w:tcPr>
                  <w:tcW w:w="300" w:type="pct"/>
                  <w:vAlign w:val="center"/>
                </w:tcPr>
                <w:p w14:paraId="0859762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93" w:type="pct"/>
                  <w:vAlign w:val="center"/>
                </w:tcPr>
                <w:p w14:paraId="4F18A85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w:t>
                  </w:r>
                </w:p>
              </w:tc>
              <w:tc>
                <w:tcPr>
                  <w:tcW w:w="433" w:type="pct"/>
                  <w:vAlign w:val="center"/>
                </w:tcPr>
                <w:p w14:paraId="5F3CB66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TA001</w:t>
                  </w:r>
                </w:p>
              </w:tc>
              <w:tc>
                <w:tcPr>
                  <w:tcW w:w="507" w:type="pct"/>
                  <w:vAlign w:val="center"/>
                </w:tcPr>
                <w:p w14:paraId="35B8D8A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移动式</w:t>
                  </w:r>
                  <w:r>
                    <w:rPr>
                      <w:rFonts w:hint="default" w:ascii="Times New Roman" w:hAnsi="Times New Roman" w:cs="Times New Roman"/>
                      <w:color w:val="auto"/>
                      <w:sz w:val="21"/>
                      <w:szCs w:val="21"/>
                      <w:highlight w:val="none"/>
                      <w:lang w:val="en-US" w:eastAsia="zh-CN"/>
                    </w:rPr>
                    <w:t>布袋除尘</w:t>
                  </w:r>
                  <w:r>
                    <w:rPr>
                      <w:rFonts w:hint="default" w:ascii="Times New Roman" w:hAnsi="Times New Roman" w:cs="Times New Roman"/>
                      <w:color w:val="auto"/>
                      <w:sz w:val="21"/>
                      <w:szCs w:val="21"/>
                      <w:highlight w:val="none"/>
                    </w:rPr>
                    <w:t>器</w:t>
                  </w:r>
                </w:p>
              </w:tc>
              <w:tc>
                <w:tcPr>
                  <w:tcW w:w="336" w:type="pct"/>
                  <w:vAlign w:val="center"/>
                </w:tcPr>
                <w:p w14:paraId="7B73946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布袋除尘</w:t>
                  </w:r>
                </w:p>
              </w:tc>
              <w:tc>
                <w:tcPr>
                  <w:tcW w:w="301" w:type="pct"/>
                  <w:vAlign w:val="center"/>
                </w:tcPr>
                <w:p w14:paraId="37CEB1D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331" w:type="pct"/>
                  <w:vAlign w:val="center"/>
                </w:tcPr>
                <w:p w14:paraId="6BEC4EE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39" w:type="pct"/>
                  <w:vAlign w:val="center"/>
                </w:tcPr>
                <w:p w14:paraId="1F7347A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55" w:type="pct"/>
                  <w:vAlign w:val="center"/>
                </w:tcPr>
                <w:p w14:paraId="454DFAC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50" w:type="pct"/>
                  <w:vAlign w:val="center"/>
                </w:tcPr>
                <w:p w14:paraId="4BCD695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80" w:type="pct"/>
                  <w:vAlign w:val="center"/>
                </w:tcPr>
                <w:p w14:paraId="11E544D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18" w:type="pct"/>
                  <w:vAlign w:val="center"/>
                </w:tcPr>
                <w:p w14:paraId="38FBBDA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7F5D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rPr>
              <w:tc>
                <w:tcPr>
                  <w:tcW w:w="150" w:type="pct"/>
                  <w:vMerge w:val="restart"/>
                  <w:vAlign w:val="center"/>
                </w:tcPr>
                <w:p w14:paraId="00DABD7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2</w:t>
                  </w:r>
                </w:p>
              </w:tc>
              <w:tc>
                <w:tcPr>
                  <w:tcW w:w="469" w:type="pct"/>
                  <w:vMerge w:val="restart"/>
                  <w:vAlign w:val="center"/>
                </w:tcPr>
                <w:p w14:paraId="2AB51FE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燃烧机</w:t>
                  </w:r>
                </w:p>
              </w:tc>
              <w:tc>
                <w:tcPr>
                  <w:tcW w:w="235" w:type="pct"/>
                  <w:vMerge w:val="restart"/>
                  <w:vAlign w:val="center"/>
                </w:tcPr>
                <w:p w14:paraId="5002C31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供热</w:t>
                  </w:r>
                </w:p>
              </w:tc>
              <w:tc>
                <w:tcPr>
                  <w:tcW w:w="300" w:type="pct"/>
                  <w:vAlign w:val="center"/>
                </w:tcPr>
                <w:p w14:paraId="58DAC13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颗粒物</w:t>
                  </w:r>
                </w:p>
              </w:tc>
              <w:tc>
                <w:tcPr>
                  <w:tcW w:w="193" w:type="pct"/>
                  <w:vMerge w:val="restart"/>
                  <w:vAlign w:val="center"/>
                </w:tcPr>
                <w:p w14:paraId="71A3EB8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w:t>
                  </w:r>
                </w:p>
              </w:tc>
              <w:tc>
                <w:tcPr>
                  <w:tcW w:w="433" w:type="pct"/>
                  <w:vMerge w:val="restart"/>
                  <w:vAlign w:val="center"/>
                </w:tcPr>
                <w:p w14:paraId="6D41F482">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TA002</w:t>
                  </w:r>
                </w:p>
              </w:tc>
              <w:tc>
                <w:tcPr>
                  <w:tcW w:w="507" w:type="pct"/>
                  <w:vMerge w:val="restart"/>
                  <w:vAlign w:val="center"/>
                </w:tcPr>
                <w:p w14:paraId="5AF79EA5">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二级活性炭吸附装置</w:t>
                  </w:r>
                </w:p>
              </w:tc>
              <w:tc>
                <w:tcPr>
                  <w:tcW w:w="336" w:type="pct"/>
                  <w:vAlign w:val="center"/>
                </w:tcPr>
                <w:p w14:paraId="5ECAF645">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直排</w:t>
                  </w:r>
                </w:p>
              </w:tc>
              <w:tc>
                <w:tcPr>
                  <w:tcW w:w="301" w:type="pct"/>
                  <w:vAlign w:val="center"/>
                </w:tcPr>
                <w:p w14:paraId="25B4D9CD">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31" w:type="pct"/>
                  <w:vMerge w:val="restart"/>
                  <w:vAlign w:val="center"/>
                </w:tcPr>
                <w:p w14:paraId="20C03CD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39" w:type="pct"/>
                  <w:vMerge w:val="restart"/>
                  <w:vAlign w:val="center"/>
                </w:tcPr>
                <w:p w14:paraId="0F55DE5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w:t>
                  </w:r>
                </w:p>
              </w:tc>
              <w:tc>
                <w:tcPr>
                  <w:tcW w:w="355" w:type="pct"/>
                  <w:vMerge w:val="restart"/>
                  <w:vAlign w:val="center"/>
                </w:tcPr>
                <w:p w14:paraId="0F31444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生产</w:t>
                  </w:r>
                  <w:r>
                    <w:rPr>
                      <w:rFonts w:hint="default" w:ascii="Times New Roman" w:hAnsi="Times New Roman" w:cs="Times New Roman"/>
                      <w:color w:val="auto"/>
                      <w:sz w:val="21"/>
                      <w:szCs w:val="21"/>
                      <w:highlight w:val="none"/>
                    </w:rPr>
                    <w:t>废气排放口</w:t>
                  </w:r>
                </w:p>
              </w:tc>
              <w:tc>
                <w:tcPr>
                  <w:tcW w:w="250" w:type="pct"/>
                  <w:vMerge w:val="restart"/>
                  <w:vAlign w:val="center"/>
                </w:tcPr>
                <w:p w14:paraId="09F15A5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280" w:type="pct"/>
                  <w:vMerge w:val="restart"/>
                  <w:vAlign w:val="center"/>
                </w:tcPr>
                <w:p w14:paraId="747B0BB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518" w:type="pct"/>
                  <w:vMerge w:val="restart"/>
                  <w:vAlign w:val="center"/>
                </w:tcPr>
                <w:p w14:paraId="73B4A9F7">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排气筒高</w:t>
                  </w:r>
                  <w:r>
                    <w:rPr>
                      <w:rFonts w:hint="default" w:ascii="Times New Roman" w:hAnsi="Times New Roman" w:cs="Times New Roman"/>
                      <w:color w:val="auto"/>
                      <w:sz w:val="21"/>
                      <w:szCs w:val="22"/>
                      <w:highlight w:val="none"/>
                      <w:lang w:val="en-US" w:eastAsia="zh-CN"/>
                    </w:rPr>
                    <w:t>15</w:t>
                  </w:r>
                  <w:r>
                    <w:rPr>
                      <w:rFonts w:hint="default" w:ascii="Times New Roman" w:hAnsi="Times New Roman" w:cs="Times New Roman"/>
                      <w:color w:val="auto"/>
                      <w:sz w:val="21"/>
                      <w:szCs w:val="22"/>
                      <w:highlight w:val="none"/>
                    </w:rPr>
                    <w:t>m</w:t>
                  </w:r>
                  <w:r>
                    <w:rPr>
                      <w:rFonts w:hint="default" w:ascii="Times New Roman" w:hAnsi="Times New Roman" w:cs="Times New Roman"/>
                      <w:color w:val="auto"/>
                      <w:sz w:val="21"/>
                      <w:szCs w:val="21"/>
                      <w:highlight w:val="none"/>
                    </w:rPr>
                    <w:t>，内径</w:t>
                  </w:r>
                  <w:r>
                    <w:rPr>
                      <w:rFonts w:hint="default" w:ascii="Times New Roman" w:hAnsi="Times New Roman" w:cs="Times New Roman"/>
                      <w:color w:val="auto"/>
                      <w:sz w:val="21"/>
                      <w:szCs w:val="21"/>
                      <w:highlight w:val="none"/>
                      <w:lang w:val="en-US" w:eastAsia="zh-CN"/>
                    </w:rPr>
                    <w:t>0.3</w:t>
                  </w:r>
                  <w:r>
                    <w:rPr>
                      <w:rFonts w:hint="default" w:ascii="Times New Roman" w:hAnsi="Times New Roman" w:cs="Times New Roman"/>
                      <w:color w:val="auto"/>
                      <w:sz w:val="21"/>
                      <w:szCs w:val="21"/>
                      <w:highlight w:val="none"/>
                    </w:rPr>
                    <w:t>m</w:t>
                  </w:r>
                </w:p>
              </w:tc>
            </w:tr>
            <w:tr w14:paraId="38B1F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rPr>
              <w:tc>
                <w:tcPr>
                  <w:tcW w:w="150" w:type="pct"/>
                  <w:vMerge w:val="continue"/>
                  <w:vAlign w:val="center"/>
                </w:tcPr>
                <w:p w14:paraId="21C145ED">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469" w:type="pct"/>
                  <w:vMerge w:val="continue"/>
                  <w:vAlign w:val="center"/>
                </w:tcPr>
                <w:p w14:paraId="697DFAD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235" w:type="pct"/>
                  <w:vMerge w:val="continue"/>
                  <w:vAlign w:val="center"/>
                </w:tcPr>
                <w:p w14:paraId="427E23C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highlight w:val="none"/>
                    </w:rPr>
                  </w:pPr>
                </w:p>
              </w:tc>
              <w:tc>
                <w:tcPr>
                  <w:tcW w:w="300" w:type="pct"/>
                  <w:vAlign w:val="center"/>
                </w:tcPr>
                <w:p w14:paraId="5CC0B5D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氮氧化物</w:t>
                  </w:r>
                </w:p>
              </w:tc>
              <w:tc>
                <w:tcPr>
                  <w:tcW w:w="193" w:type="pct"/>
                  <w:vMerge w:val="continue"/>
                  <w:vAlign w:val="center"/>
                </w:tcPr>
                <w:p w14:paraId="6C013D4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433" w:type="pct"/>
                  <w:vMerge w:val="continue"/>
                  <w:vAlign w:val="center"/>
                </w:tcPr>
                <w:p w14:paraId="2E1157A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507" w:type="pct"/>
                  <w:vMerge w:val="continue"/>
                  <w:vAlign w:val="center"/>
                </w:tcPr>
                <w:p w14:paraId="222EA21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36" w:type="pct"/>
                  <w:vAlign w:val="center"/>
                </w:tcPr>
                <w:p w14:paraId="198E91B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直排</w:t>
                  </w:r>
                </w:p>
              </w:tc>
              <w:tc>
                <w:tcPr>
                  <w:tcW w:w="301" w:type="pct"/>
                  <w:vAlign w:val="center"/>
                </w:tcPr>
                <w:p w14:paraId="5BAA25C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31" w:type="pct"/>
                  <w:vMerge w:val="continue"/>
                  <w:vAlign w:val="center"/>
                </w:tcPr>
                <w:p w14:paraId="78C370C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39" w:type="pct"/>
                  <w:vMerge w:val="continue"/>
                  <w:vAlign w:val="center"/>
                </w:tcPr>
                <w:p w14:paraId="4305629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55" w:type="pct"/>
                  <w:vMerge w:val="continue"/>
                  <w:vAlign w:val="center"/>
                </w:tcPr>
                <w:p w14:paraId="675976B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50" w:type="pct"/>
                  <w:vMerge w:val="continue"/>
                  <w:vAlign w:val="center"/>
                </w:tcPr>
                <w:p w14:paraId="762BF96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80" w:type="pct"/>
                  <w:vMerge w:val="continue"/>
                  <w:vAlign w:val="center"/>
                </w:tcPr>
                <w:p w14:paraId="478CA9F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518" w:type="pct"/>
                  <w:vMerge w:val="continue"/>
                  <w:vAlign w:val="center"/>
                </w:tcPr>
                <w:p w14:paraId="2DA8839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28599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rPr>
              <w:tc>
                <w:tcPr>
                  <w:tcW w:w="150" w:type="pct"/>
                  <w:vMerge w:val="continue"/>
                  <w:vAlign w:val="center"/>
                </w:tcPr>
                <w:p w14:paraId="6CFC77CF">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469" w:type="pct"/>
                  <w:vMerge w:val="continue"/>
                  <w:vAlign w:val="center"/>
                </w:tcPr>
                <w:p w14:paraId="6A7DAA0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35" w:type="pct"/>
                  <w:vMerge w:val="continue"/>
                  <w:vAlign w:val="center"/>
                </w:tcPr>
                <w:p w14:paraId="033EE31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00" w:type="pct"/>
                  <w:vAlign w:val="center"/>
                </w:tcPr>
                <w:p w14:paraId="3613E79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二氧化硫</w:t>
                  </w:r>
                </w:p>
              </w:tc>
              <w:tc>
                <w:tcPr>
                  <w:tcW w:w="193" w:type="pct"/>
                  <w:vMerge w:val="continue"/>
                  <w:vAlign w:val="center"/>
                </w:tcPr>
                <w:p w14:paraId="2DC45A37">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433" w:type="pct"/>
                  <w:vMerge w:val="continue"/>
                  <w:vAlign w:val="center"/>
                </w:tcPr>
                <w:p w14:paraId="3BF7BFB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507" w:type="pct"/>
                  <w:vMerge w:val="continue"/>
                  <w:vAlign w:val="center"/>
                </w:tcPr>
                <w:p w14:paraId="0F657E3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36" w:type="pct"/>
                  <w:vAlign w:val="center"/>
                </w:tcPr>
                <w:p w14:paraId="4FD7AC76">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直排</w:t>
                  </w:r>
                </w:p>
              </w:tc>
              <w:tc>
                <w:tcPr>
                  <w:tcW w:w="301" w:type="pct"/>
                  <w:vAlign w:val="center"/>
                </w:tcPr>
                <w:p w14:paraId="52F51ADE">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31" w:type="pct"/>
                  <w:vMerge w:val="continue"/>
                  <w:vAlign w:val="center"/>
                </w:tcPr>
                <w:p w14:paraId="67EE9FF4">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39" w:type="pct"/>
                  <w:vMerge w:val="continue"/>
                  <w:vAlign w:val="center"/>
                </w:tcPr>
                <w:p w14:paraId="3E9E080B">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55" w:type="pct"/>
                  <w:vMerge w:val="continue"/>
                  <w:vAlign w:val="center"/>
                </w:tcPr>
                <w:p w14:paraId="0AD041B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50" w:type="pct"/>
                  <w:vMerge w:val="continue"/>
                  <w:vAlign w:val="center"/>
                </w:tcPr>
                <w:p w14:paraId="4B54B9F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80" w:type="pct"/>
                  <w:vMerge w:val="continue"/>
                  <w:vAlign w:val="center"/>
                </w:tcPr>
                <w:p w14:paraId="341EEE7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518" w:type="pct"/>
                  <w:vMerge w:val="continue"/>
                  <w:vAlign w:val="center"/>
                </w:tcPr>
                <w:p w14:paraId="6E9E94A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08AC6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rPr>
              <w:tc>
                <w:tcPr>
                  <w:tcW w:w="150" w:type="pct"/>
                  <w:vMerge w:val="continue"/>
                  <w:vAlign w:val="center"/>
                </w:tcPr>
                <w:p w14:paraId="1FE2844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469" w:type="pct"/>
                  <w:vMerge w:val="continue"/>
                  <w:vAlign w:val="center"/>
                </w:tcPr>
                <w:p w14:paraId="67C8FEB0">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35" w:type="pct"/>
                  <w:vMerge w:val="continue"/>
                  <w:vAlign w:val="center"/>
                </w:tcPr>
                <w:p w14:paraId="33D849F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00" w:type="pct"/>
                  <w:vAlign w:val="center"/>
                </w:tcPr>
                <w:p w14:paraId="1EE15E8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烟气黑度</w:t>
                  </w:r>
                </w:p>
              </w:tc>
              <w:tc>
                <w:tcPr>
                  <w:tcW w:w="193" w:type="pct"/>
                  <w:vMerge w:val="continue"/>
                  <w:vAlign w:val="center"/>
                </w:tcPr>
                <w:p w14:paraId="5612490A">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433" w:type="pct"/>
                  <w:vMerge w:val="continue"/>
                  <w:vAlign w:val="center"/>
                </w:tcPr>
                <w:p w14:paraId="313C042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507" w:type="pct"/>
                  <w:vMerge w:val="continue"/>
                  <w:vAlign w:val="center"/>
                </w:tcPr>
                <w:p w14:paraId="6DBD24B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36" w:type="pct"/>
                  <w:vAlign w:val="center"/>
                </w:tcPr>
                <w:p w14:paraId="49463161">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直排</w:t>
                  </w:r>
                </w:p>
              </w:tc>
              <w:tc>
                <w:tcPr>
                  <w:tcW w:w="301" w:type="pct"/>
                  <w:vAlign w:val="center"/>
                </w:tcPr>
                <w:p w14:paraId="7786C096">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31" w:type="pct"/>
                  <w:vMerge w:val="continue"/>
                  <w:vAlign w:val="center"/>
                </w:tcPr>
                <w:p w14:paraId="3009C7A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39" w:type="pct"/>
                  <w:vMerge w:val="continue"/>
                  <w:vAlign w:val="center"/>
                </w:tcPr>
                <w:p w14:paraId="7820D645">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355" w:type="pct"/>
                  <w:vMerge w:val="continue"/>
                  <w:vAlign w:val="center"/>
                </w:tcPr>
                <w:p w14:paraId="73A3FBD2">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50" w:type="pct"/>
                  <w:vMerge w:val="continue"/>
                  <w:vAlign w:val="center"/>
                </w:tcPr>
                <w:p w14:paraId="21322059">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280" w:type="pct"/>
                  <w:vMerge w:val="continue"/>
                  <w:vAlign w:val="center"/>
                </w:tcPr>
                <w:p w14:paraId="67CF3A8C">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518" w:type="pct"/>
                  <w:vMerge w:val="continue"/>
                  <w:vAlign w:val="center"/>
                </w:tcPr>
                <w:p w14:paraId="0B80E61E">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52DF7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trPr>
              <w:tc>
                <w:tcPr>
                  <w:tcW w:w="150" w:type="pct"/>
                  <w:vMerge w:val="restart"/>
                  <w:vAlign w:val="center"/>
                </w:tcPr>
                <w:p w14:paraId="4FD7077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w:t>
                  </w:r>
                </w:p>
              </w:tc>
              <w:tc>
                <w:tcPr>
                  <w:tcW w:w="469" w:type="pct"/>
                  <w:vMerge w:val="restart"/>
                  <w:vAlign w:val="center"/>
                </w:tcPr>
                <w:p w14:paraId="3661057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软瓷生产线、烤房、喷漆机</w:t>
                  </w:r>
                </w:p>
              </w:tc>
              <w:tc>
                <w:tcPr>
                  <w:tcW w:w="235" w:type="pct"/>
                  <w:vMerge w:val="restart"/>
                  <w:vAlign w:val="center"/>
                </w:tcPr>
                <w:p w14:paraId="5253A805">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成型烘干、上色固化</w:t>
                  </w:r>
                </w:p>
              </w:tc>
              <w:tc>
                <w:tcPr>
                  <w:tcW w:w="300" w:type="pct"/>
                  <w:vAlign w:val="center"/>
                </w:tcPr>
                <w:p w14:paraId="0FB0F21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93" w:type="pct"/>
                  <w:vMerge w:val="restart"/>
                  <w:vAlign w:val="center"/>
                </w:tcPr>
                <w:p w14:paraId="4F274294">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有</w:t>
                  </w:r>
                  <w:r>
                    <w:rPr>
                      <w:rFonts w:hint="default" w:ascii="Times New Roman" w:hAnsi="Times New Roman" w:cs="Times New Roman"/>
                      <w:color w:val="auto"/>
                      <w:sz w:val="21"/>
                      <w:szCs w:val="21"/>
                      <w:highlight w:val="none"/>
                    </w:rPr>
                    <w:t>组织</w:t>
                  </w:r>
                </w:p>
              </w:tc>
              <w:tc>
                <w:tcPr>
                  <w:tcW w:w="433" w:type="pct"/>
                  <w:vMerge w:val="continue"/>
                  <w:vAlign w:val="center"/>
                </w:tcPr>
                <w:p w14:paraId="457B895D">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p>
              </w:tc>
              <w:tc>
                <w:tcPr>
                  <w:tcW w:w="507" w:type="pct"/>
                  <w:vMerge w:val="continue"/>
                  <w:vAlign w:val="center"/>
                </w:tcPr>
                <w:p w14:paraId="50AE00AD">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p>
              </w:tc>
              <w:tc>
                <w:tcPr>
                  <w:tcW w:w="336" w:type="pct"/>
                  <w:vMerge w:val="restart"/>
                  <w:vAlign w:val="center"/>
                </w:tcPr>
                <w:p w14:paraId="055A2125">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吸附法</w:t>
                  </w:r>
                </w:p>
              </w:tc>
              <w:tc>
                <w:tcPr>
                  <w:tcW w:w="301" w:type="pct"/>
                  <w:vMerge w:val="restart"/>
                  <w:vAlign w:val="center"/>
                </w:tcPr>
                <w:p w14:paraId="186C9836">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331" w:type="pct"/>
                  <w:vMerge w:val="continue"/>
                  <w:vAlign w:val="center"/>
                </w:tcPr>
                <w:p w14:paraId="7A21414E">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p>
              </w:tc>
              <w:tc>
                <w:tcPr>
                  <w:tcW w:w="339" w:type="pct"/>
                  <w:vMerge w:val="continue"/>
                  <w:vAlign w:val="center"/>
                </w:tcPr>
                <w:p w14:paraId="6B33D241">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p>
              </w:tc>
              <w:tc>
                <w:tcPr>
                  <w:tcW w:w="355" w:type="pct"/>
                  <w:vMerge w:val="continue"/>
                  <w:vAlign w:val="center"/>
                </w:tcPr>
                <w:p w14:paraId="54A2EB26">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p>
              </w:tc>
              <w:tc>
                <w:tcPr>
                  <w:tcW w:w="250" w:type="pct"/>
                  <w:vMerge w:val="continue"/>
                  <w:vAlign w:val="center"/>
                </w:tcPr>
                <w:p w14:paraId="47C2964F">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p>
              </w:tc>
              <w:tc>
                <w:tcPr>
                  <w:tcW w:w="280" w:type="pct"/>
                  <w:vMerge w:val="continue"/>
                  <w:vAlign w:val="center"/>
                </w:tcPr>
                <w:p w14:paraId="02008D2E">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p>
              </w:tc>
              <w:tc>
                <w:tcPr>
                  <w:tcW w:w="518" w:type="pct"/>
                  <w:vMerge w:val="continue"/>
                  <w:vAlign w:val="center"/>
                </w:tcPr>
                <w:p w14:paraId="63C6C1F4">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p>
              </w:tc>
            </w:tr>
            <w:tr w14:paraId="16F79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trPr>
              <w:tc>
                <w:tcPr>
                  <w:tcW w:w="150" w:type="pct"/>
                  <w:vMerge w:val="continue"/>
                  <w:vAlign w:val="center"/>
                </w:tcPr>
                <w:p w14:paraId="44686E6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highlight w:val="none"/>
                    </w:rPr>
                  </w:pPr>
                </w:p>
              </w:tc>
              <w:tc>
                <w:tcPr>
                  <w:tcW w:w="469" w:type="pct"/>
                  <w:vMerge w:val="continue"/>
                  <w:vAlign w:val="center"/>
                </w:tcPr>
                <w:p w14:paraId="693BE481">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highlight w:val="none"/>
                    </w:rPr>
                  </w:pPr>
                </w:p>
              </w:tc>
              <w:tc>
                <w:tcPr>
                  <w:tcW w:w="235" w:type="pct"/>
                  <w:vMerge w:val="continue"/>
                  <w:vAlign w:val="center"/>
                </w:tcPr>
                <w:p w14:paraId="68F3C5F4">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highlight w:val="none"/>
                    </w:rPr>
                  </w:pPr>
                </w:p>
              </w:tc>
              <w:tc>
                <w:tcPr>
                  <w:tcW w:w="300" w:type="pct"/>
                  <w:vAlign w:val="center"/>
                </w:tcPr>
                <w:p w14:paraId="266342AE">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苯系物</w:t>
                  </w:r>
                </w:p>
              </w:tc>
              <w:tc>
                <w:tcPr>
                  <w:tcW w:w="193" w:type="pct"/>
                  <w:vMerge w:val="continue"/>
                  <w:vAlign w:val="center"/>
                </w:tcPr>
                <w:p w14:paraId="381AA383">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433" w:type="pct"/>
                  <w:vMerge w:val="continue"/>
                  <w:vAlign w:val="center"/>
                </w:tcPr>
                <w:p w14:paraId="378462C0">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507" w:type="pct"/>
                  <w:vMerge w:val="continue"/>
                  <w:vAlign w:val="center"/>
                </w:tcPr>
                <w:p w14:paraId="564292A7">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36" w:type="pct"/>
                  <w:vMerge w:val="continue"/>
                  <w:vAlign w:val="center"/>
                </w:tcPr>
                <w:p w14:paraId="29C2B023">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01" w:type="pct"/>
                  <w:vMerge w:val="continue"/>
                  <w:vAlign w:val="center"/>
                </w:tcPr>
                <w:p w14:paraId="43988880">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31" w:type="pct"/>
                  <w:vMerge w:val="continue"/>
                  <w:vAlign w:val="center"/>
                </w:tcPr>
                <w:p w14:paraId="4231BA8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39" w:type="pct"/>
                  <w:vMerge w:val="continue"/>
                  <w:vAlign w:val="center"/>
                </w:tcPr>
                <w:p w14:paraId="62744AD1">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55" w:type="pct"/>
                  <w:vMerge w:val="continue"/>
                  <w:vAlign w:val="center"/>
                </w:tcPr>
                <w:p w14:paraId="772C9D34">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250" w:type="pct"/>
                  <w:vMerge w:val="continue"/>
                  <w:vAlign w:val="center"/>
                </w:tcPr>
                <w:p w14:paraId="1C178F30">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280" w:type="pct"/>
                  <w:vMerge w:val="continue"/>
                  <w:vAlign w:val="center"/>
                </w:tcPr>
                <w:p w14:paraId="06056891">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518" w:type="pct"/>
                  <w:vMerge w:val="continue"/>
                  <w:vAlign w:val="center"/>
                </w:tcPr>
                <w:p w14:paraId="3E5339A2">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r>
            <w:tr w14:paraId="69C96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trPr>
              <w:tc>
                <w:tcPr>
                  <w:tcW w:w="150" w:type="pct"/>
                  <w:vMerge w:val="continue"/>
                  <w:vAlign w:val="center"/>
                </w:tcPr>
                <w:p w14:paraId="47C9E4A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469" w:type="pct"/>
                  <w:vMerge w:val="continue"/>
                  <w:vAlign w:val="center"/>
                </w:tcPr>
                <w:p w14:paraId="7AE666FF">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235" w:type="pct"/>
                  <w:vMerge w:val="continue"/>
                  <w:vAlign w:val="center"/>
                </w:tcPr>
                <w:p w14:paraId="0AE63ED9">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00" w:type="pct"/>
                  <w:vAlign w:val="center"/>
                </w:tcPr>
                <w:p w14:paraId="42A4E39E">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臭气浓度</w:t>
                  </w:r>
                </w:p>
              </w:tc>
              <w:tc>
                <w:tcPr>
                  <w:tcW w:w="193" w:type="pct"/>
                  <w:vMerge w:val="continue"/>
                  <w:vAlign w:val="center"/>
                </w:tcPr>
                <w:p w14:paraId="2A1241C4">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433" w:type="pct"/>
                  <w:vMerge w:val="continue"/>
                  <w:vAlign w:val="center"/>
                </w:tcPr>
                <w:p w14:paraId="51230299">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507" w:type="pct"/>
                  <w:vMerge w:val="continue"/>
                  <w:vAlign w:val="center"/>
                </w:tcPr>
                <w:p w14:paraId="26A038BF">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36" w:type="pct"/>
                  <w:vMerge w:val="continue"/>
                  <w:vAlign w:val="center"/>
                </w:tcPr>
                <w:p w14:paraId="26B4B1C6">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01" w:type="pct"/>
                  <w:vMerge w:val="continue"/>
                  <w:vAlign w:val="center"/>
                </w:tcPr>
                <w:p w14:paraId="3F573BD3">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31" w:type="pct"/>
                  <w:vMerge w:val="continue"/>
                  <w:vAlign w:val="center"/>
                </w:tcPr>
                <w:p w14:paraId="0CA2F580">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39" w:type="pct"/>
                  <w:vMerge w:val="continue"/>
                  <w:vAlign w:val="center"/>
                </w:tcPr>
                <w:p w14:paraId="04636171">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55" w:type="pct"/>
                  <w:vMerge w:val="continue"/>
                  <w:vAlign w:val="center"/>
                </w:tcPr>
                <w:p w14:paraId="25389B77">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250" w:type="pct"/>
                  <w:vMerge w:val="continue"/>
                  <w:vAlign w:val="center"/>
                </w:tcPr>
                <w:p w14:paraId="510272F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280" w:type="pct"/>
                  <w:vMerge w:val="continue"/>
                  <w:vAlign w:val="center"/>
                </w:tcPr>
                <w:p w14:paraId="00B564B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518" w:type="pct"/>
                  <w:vMerge w:val="continue"/>
                  <w:vAlign w:val="center"/>
                </w:tcPr>
                <w:p w14:paraId="783FFA2F">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r>
            <w:tr w14:paraId="05F5A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trPr>
              <w:tc>
                <w:tcPr>
                  <w:tcW w:w="150" w:type="pct"/>
                  <w:vMerge w:val="continue"/>
                  <w:vAlign w:val="center"/>
                </w:tcPr>
                <w:p w14:paraId="3F3C86A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469" w:type="pct"/>
                  <w:vMerge w:val="continue"/>
                  <w:vAlign w:val="center"/>
                </w:tcPr>
                <w:p w14:paraId="3FCD30B9">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235" w:type="pct"/>
                  <w:vMerge w:val="continue"/>
                  <w:vAlign w:val="center"/>
                </w:tcPr>
                <w:p w14:paraId="0BE13604">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p>
              </w:tc>
              <w:tc>
                <w:tcPr>
                  <w:tcW w:w="300" w:type="pct"/>
                  <w:vAlign w:val="center"/>
                </w:tcPr>
                <w:p w14:paraId="333752A5">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193" w:type="pct"/>
                  <w:vAlign w:val="center"/>
                </w:tcPr>
                <w:p w14:paraId="2358C705">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w:t>
                  </w:r>
                </w:p>
              </w:tc>
              <w:tc>
                <w:tcPr>
                  <w:tcW w:w="433" w:type="pct"/>
                  <w:vAlign w:val="center"/>
                </w:tcPr>
                <w:p w14:paraId="2E91AE6D">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TA003</w:t>
                  </w:r>
                </w:p>
              </w:tc>
              <w:tc>
                <w:tcPr>
                  <w:tcW w:w="507" w:type="pct"/>
                  <w:vAlign w:val="center"/>
                </w:tcPr>
                <w:p w14:paraId="078608D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水帘柜喷淋装置</w:t>
                  </w:r>
                </w:p>
              </w:tc>
              <w:tc>
                <w:tcPr>
                  <w:tcW w:w="336" w:type="pct"/>
                  <w:vAlign w:val="center"/>
                </w:tcPr>
                <w:p w14:paraId="59F1CF1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喷淋</w:t>
                  </w:r>
                </w:p>
              </w:tc>
              <w:tc>
                <w:tcPr>
                  <w:tcW w:w="301" w:type="pct"/>
                  <w:vAlign w:val="center"/>
                </w:tcPr>
                <w:p w14:paraId="1D068489">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是</w:t>
                  </w:r>
                </w:p>
              </w:tc>
              <w:tc>
                <w:tcPr>
                  <w:tcW w:w="331" w:type="pct"/>
                  <w:vAlign w:val="center"/>
                </w:tcPr>
                <w:p w14:paraId="658AA3C2">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39" w:type="pct"/>
                  <w:vAlign w:val="center"/>
                </w:tcPr>
                <w:p w14:paraId="234BEBF1">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55" w:type="pct"/>
                  <w:vAlign w:val="center"/>
                </w:tcPr>
                <w:p w14:paraId="0683376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50" w:type="pct"/>
                  <w:vAlign w:val="center"/>
                </w:tcPr>
                <w:p w14:paraId="0ED7157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80" w:type="pct"/>
                  <w:vAlign w:val="center"/>
                </w:tcPr>
                <w:p w14:paraId="6E87508B">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18" w:type="pct"/>
                  <w:vAlign w:val="center"/>
                </w:tcPr>
                <w:p w14:paraId="6F51813C">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72C26A55">
            <w:pPr>
              <w:pStyle w:val="12"/>
              <w:keepNext w:val="0"/>
              <w:keepLines w:val="0"/>
              <w:pageBreakBefore w:val="0"/>
              <w:numPr>
                <w:ilvl w:val="0"/>
                <w:numId w:val="0"/>
              </w:numPr>
              <w:suppressLineNumbers w:val="0"/>
              <w:tabs>
                <w:tab w:val="center" w:pos="10467"/>
                <w:tab w:val="left" w:pos="13095"/>
              </w:tabs>
              <w:wordWrap w:val="0"/>
              <w:bidi w:val="0"/>
              <w:spacing w:before="0" w:beforeAutospacing="0" w:after="0" w:afterAutospacing="0" w:line="240" w:lineRule="auto"/>
              <w:ind w:left="0" w:leftChars="0" w:right="0" w:rightChars="0" w:firstLine="40" w:firstLineChars="0"/>
              <w:jc w:val="center"/>
              <w:rPr>
                <w:rFonts w:hint="default" w:ascii="Times New Roman" w:hAnsi="Times New Roman" w:eastAsia="宋体" w:cs="Times New Roman"/>
                <w:b/>
                <w:bCs/>
                <w:color w:val="auto"/>
                <w:szCs w:val="21"/>
                <w:highlight w:val="none"/>
                <w:vertAlign w:val="baseline"/>
              </w:rPr>
            </w:pPr>
            <w:r>
              <w:rPr>
                <w:rFonts w:hint="default" w:ascii="Times New Roman" w:hAnsi="Times New Roman" w:eastAsia="宋体" w:cs="Times New Roman"/>
                <w:b/>
                <w:bCs/>
                <w:color w:val="auto"/>
                <w:kern w:val="2"/>
                <w:sz w:val="21"/>
                <w:szCs w:val="21"/>
                <w:highlight w:val="none"/>
                <w:vertAlign w:val="baseline"/>
                <w:lang w:val="en-US" w:eastAsia="zh-CN" w:bidi="ar-SA"/>
              </w:rPr>
              <w:t>表4</w:t>
            </w:r>
            <w:r>
              <w:rPr>
                <w:rFonts w:hint="default" w:ascii="Times New Roman" w:hAnsi="Times New Roman" w:cs="Times New Roman"/>
                <w:b/>
                <w:bCs/>
                <w:color w:val="auto"/>
                <w:kern w:val="2"/>
                <w:sz w:val="21"/>
                <w:szCs w:val="21"/>
                <w:highlight w:val="none"/>
                <w:vertAlign w:val="baseline"/>
                <w:lang w:val="en-US" w:eastAsia="zh-CN" w:bidi="ar-SA"/>
              </w:rPr>
              <w:t xml:space="preserve">-7 </w:t>
            </w:r>
            <w:r>
              <w:rPr>
                <w:rFonts w:hint="default" w:ascii="Times New Roman" w:hAnsi="Times New Roman" w:eastAsia="宋体" w:cs="Times New Roman"/>
                <w:b/>
                <w:bCs/>
                <w:color w:val="auto"/>
                <w:szCs w:val="21"/>
                <w:highlight w:val="none"/>
              </w:rPr>
              <w:t>废气排放口基本情况表</w:t>
            </w:r>
          </w:p>
          <w:tbl>
            <w:tblPr>
              <w:tblStyle w:val="3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756"/>
              <w:gridCol w:w="1579"/>
              <w:gridCol w:w="2291"/>
              <w:gridCol w:w="1156"/>
              <w:gridCol w:w="1867"/>
              <w:gridCol w:w="817"/>
              <w:gridCol w:w="2887"/>
            </w:tblGrid>
            <w:tr w14:paraId="7D8F4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436DD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编号及名称</w:t>
                  </w:r>
                </w:p>
              </w:tc>
              <w:tc>
                <w:tcPr>
                  <w:tcW w:w="10597"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FDF2CE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基本情况</w:t>
                  </w:r>
                </w:p>
              </w:tc>
            </w:tr>
            <w:tr w14:paraId="40554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C205E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1471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高度（m）</w:t>
                  </w:r>
                </w:p>
              </w:tc>
              <w:tc>
                <w:tcPr>
                  <w:tcW w:w="2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6492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排气筒内径（m）</w:t>
                  </w:r>
                </w:p>
              </w:tc>
              <w:tc>
                <w:tcPr>
                  <w:tcW w:w="11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0C5E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温度/℃</w:t>
                  </w:r>
                </w:p>
              </w:tc>
              <w:tc>
                <w:tcPr>
                  <w:tcW w:w="1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0E87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出口流速(m/s)</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1056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类型</w:t>
                  </w:r>
                </w:p>
              </w:tc>
              <w:tc>
                <w:tcPr>
                  <w:tcW w:w="2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C4CC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地理坐标</w:t>
                  </w:r>
                </w:p>
              </w:tc>
            </w:tr>
            <w:tr w14:paraId="30E3B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E5D1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生产</w:t>
                  </w:r>
                  <w:r>
                    <w:rPr>
                      <w:rFonts w:hint="default" w:ascii="Times New Roman" w:hAnsi="Times New Roman" w:eastAsia="宋体" w:cs="Times New Roman"/>
                      <w:i w:val="0"/>
                      <w:iCs w:val="0"/>
                      <w:color w:val="auto"/>
                      <w:kern w:val="0"/>
                      <w:sz w:val="21"/>
                      <w:szCs w:val="21"/>
                      <w:highlight w:val="none"/>
                      <w:u w:val="none"/>
                      <w:lang w:val="en-US" w:eastAsia="zh-CN" w:bidi="ar"/>
                    </w:rPr>
                    <w:t>废气排放口DA001</w:t>
                  </w:r>
                </w:p>
              </w:tc>
              <w:tc>
                <w:tcPr>
                  <w:tcW w:w="1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CA2C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2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A413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0.3</w:t>
                  </w:r>
                </w:p>
              </w:tc>
              <w:tc>
                <w:tcPr>
                  <w:tcW w:w="11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99CD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cs="Times New Roman"/>
                      <w:i w:val="0"/>
                      <w:iCs w:val="0"/>
                      <w:color w:val="auto"/>
                      <w:kern w:val="0"/>
                      <w:sz w:val="21"/>
                      <w:szCs w:val="21"/>
                      <w:highlight w:val="none"/>
                      <w:u w:val="none"/>
                      <w:lang w:val="en-US" w:eastAsia="zh-CN" w:bidi="ar"/>
                    </w:rPr>
                    <w:t>35</w:t>
                  </w:r>
                </w:p>
              </w:tc>
              <w:tc>
                <w:tcPr>
                  <w:tcW w:w="18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1E11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15.72</w:t>
                  </w:r>
                </w:p>
              </w:tc>
              <w:tc>
                <w:tcPr>
                  <w:tcW w:w="8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6F3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点源</w:t>
                  </w:r>
                </w:p>
              </w:tc>
              <w:tc>
                <w:tcPr>
                  <w:tcW w:w="2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6F48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z w:val="21"/>
                      <w:szCs w:val="21"/>
                      <w:highlight w:val="none"/>
                    </w:rPr>
                    <w:t>113.4059</w:t>
                  </w:r>
                  <w:r>
                    <w:rPr>
                      <w:rFonts w:hint="default" w:ascii="Times New Roman" w:hAnsi="Times New Roman" w:cs="Times New Roman"/>
                      <w:color w:val="auto"/>
                      <w:sz w:val="21"/>
                      <w:szCs w:val="21"/>
                      <w:highlight w:val="none"/>
                      <w:lang w:val="en-US" w:eastAsia="zh-CN"/>
                    </w:rPr>
                    <w:t>°,N</w:t>
                  </w:r>
                  <w:r>
                    <w:rPr>
                      <w:rFonts w:hint="default" w:ascii="Times New Roman" w:hAnsi="Times New Roman" w:cs="Times New Roman"/>
                      <w:color w:val="auto"/>
                      <w:sz w:val="21"/>
                      <w:szCs w:val="21"/>
                      <w:highlight w:val="none"/>
                    </w:rPr>
                    <w:t>25.1306</w:t>
                  </w:r>
                  <w:r>
                    <w:rPr>
                      <w:rFonts w:hint="default" w:ascii="Times New Roman" w:hAnsi="Times New Roman" w:cs="Times New Roman"/>
                      <w:color w:val="auto"/>
                      <w:sz w:val="21"/>
                      <w:szCs w:val="21"/>
                      <w:highlight w:val="none"/>
                      <w:lang w:val="en-US" w:eastAsia="zh-CN"/>
                    </w:rPr>
                    <w:t>°</w:t>
                  </w:r>
                </w:p>
              </w:tc>
            </w:tr>
            <w:tr w14:paraId="1B2D7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3353" w:type="dxa"/>
                  <w:gridSpan w:val="7"/>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AF5CE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w:t>
                  </w:r>
                  <w:r>
                    <w:rPr>
                      <w:rFonts w:hint="eastAsia" w:ascii="Times New Roman" w:hAnsi="Times New Roman" w:cs="Times New Roman"/>
                      <w:i w:val="0"/>
                      <w:iCs w:val="0"/>
                      <w:color w:val="auto"/>
                      <w:kern w:val="0"/>
                      <w:sz w:val="21"/>
                      <w:szCs w:val="21"/>
                      <w:highlight w:val="none"/>
                      <w:u w:val="none"/>
                      <w:lang w:val="en-US" w:eastAsia="zh-CN" w:bidi="ar"/>
                    </w:rPr>
                    <w:t>①</w:t>
                  </w:r>
                  <w:r>
                    <w:rPr>
                      <w:rFonts w:hint="default" w:ascii="Times New Roman" w:hAnsi="Times New Roman" w:eastAsia="宋体" w:cs="Times New Roman"/>
                      <w:i w:val="0"/>
                      <w:iCs w:val="0"/>
                      <w:color w:val="auto"/>
                      <w:kern w:val="0"/>
                      <w:sz w:val="21"/>
                      <w:szCs w:val="21"/>
                      <w:highlight w:val="none"/>
                      <w:u w:val="none"/>
                      <w:lang w:val="en-US" w:eastAsia="zh-CN" w:bidi="ar"/>
                    </w:rPr>
                    <w:t>根据《大气污染物治理工程技术导则》（HJ2000-2010），排气筒的出口直径应根据出口流速确定，流速宜取15m/s左右。因此，本项目排气筒规格的设置均符合要求。</w:t>
                  </w:r>
                </w:p>
                <w:p w14:paraId="550CD2E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cs="Times New Roman"/>
                      <w:i w:val="0"/>
                      <w:iCs w:val="0"/>
                      <w:color w:val="auto"/>
                      <w:kern w:val="0"/>
                      <w:sz w:val="21"/>
                      <w:szCs w:val="21"/>
                      <w:highlight w:val="none"/>
                      <w:u w:val="none"/>
                      <w:lang w:val="en-US" w:eastAsia="zh-CN" w:bidi="ar"/>
                    </w:rPr>
                    <w:t>②本项目成型烘干，上色固化生产工艺流程加工温度控制在80℃，供热设施为燃烧机（燃气热风循环式烤炉），加工过程中热风主要在烘干通道、烤房内循环流动，以最大程度利用燃烧烟气的热量，该过程中烟气热量与加工物料发生热交换，最终排出的烟气温度会明显低于80℃；同时，本项目上色过程采取密闭车间整体换风收集，操作温度为室温条件，产生的上色工序废气量（约占全厂废气量1/3以上）与燃烧烟气进一步混合，并在管道自然冷却作用下，最终进入废气治理设施的废气温度能够降低到40℃以下，废气治理设备出口烟气温度取35℃</w:t>
                  </w:r>
                </w:p>
              </w:tc>
            </w:tr>
            <w:tr w14:paraId="4656B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3353" w:type="dxa"/>
                  <w:gridSpan w:val="7"/>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14782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bl>
          <w:p w14:paraId="050C82F5">
            <w:pPr>
              <w:pStyle w:val="43"/>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8 </w:t>
            </w:r>
            <w:r>
              <w:rPr>
                <w:rFonts w:hint="default" w:ascii="Times New Roman" w:hAnsi="Times New Roman" w:cs="Times New Roman"/>
                <w:b/>
                <w:bCs/>
                <w:color w:val="auto"/>
                <w:sz w:val="21"/>
                <w:szCs w:val="21"/>
                <w:highlight w:val="none"/>
              </w:rPr>
              <w:t>项目废气</w:t>
            </w:r>
            <w:r>
              <w:rPr>
                <w:rFonts w:hint="default" w:ascii="Times New Roman" w:hAnsi="Times New Roman" w:cs="Times New Roman"/>
                <w:b/>
                <w:bCs/>
                <w:color w:val="auto"/>
                <w:sz w:val="21"/>
                <w:szCs w:val="21"/>
                <w:highlight w:val="none"/>
                <w:lang w:val="en-US" w:eastAsia="zh-CN"/>
              </w:rPr>
              <w:t>年</w:t>
            </w:r>
            <w:r>
              <w:rPr>
                <w:rFonts w:hint="default" w:ascii="Times New Roman" w:hAnsi="Times New Roman" w:cs="Times New Roman"/>
                <w:b/>
                <w:bCs/>
                <w:color w:val="auto"/>
                <w:sz w:val="21"/>
                <w:szCs w:val="21"/>
                <w:highlight w:val="none"/>
              </w:rPr>
              <w:t>产排</w:t>
            </w:r>
            <w:r>
              <w:rPr>
                <w:rFonts w:hint="default" w:ascii="Times New Roman" w:hAnsi="Times New Roman" w:cs="Times New Roman"/>
                <w:b/>
                <w:bCs/>
                <w:color w:val="auto"/>
                <w:sz w:val="21"/>
                <w:szCs w:val="21"/>
                <w:highlight w:val="none"/>
                <w:lang w:val="en-US" w:eastAsia="zh-CN"/>
              </w:rPr>
              <w:t>量</w:t>
            </w:r>
            <w:r>
              <w:rPr>
                <w:rFonts w:hint="default" w:ascii="Times New Roman" w:hAnsi="Times New Roman" w:cs="Times New Roman"/>
                <w:b/>
                <w:bCs/>
                <w:color w:val="auto"/>
                <w:sz w:val="21"/>
                <w:szCs w:val="21"/>
                <w:highlight w:val="none"/>
              </w:rPr>
              <w:t>情况一览表</w:t>
            </w:r>
          </w:p>
          <w:tbl>
            <w:tblPr>
              <w:tblStyle w:val="36"/>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35"/>
              <w:gridCol w:w="1514"/>
              <w:gridCol w:w="844"/>
              <w:gridCol w:w="425"/>
              <w:gridCol w:w="688"/>
              <w:gridCol w:w="897"/>
              <w:gridCol w:w="935"/>
              <w:gridCol w:w="911"/>
              <w:gridCol w:w="635"/>
              <w:gridCol w:w="705"/>
              <w:gridCol w:w="1058"/>
              <w:gridCol w:w="600"/>
              <w:gridCol w:w="426"/>
              <w:gridCol w:w="688"/>
              <w:gridCol w:w="897"/>
              <w:gridCol w:w="793"/>
              <w:gridCol w:w="755"/>
            </w:tblGrid>
            <w:tr w14:paraId="5178C5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0" w:hRule="atLeast"/>
              </w:trPr>
              <w:tc>
                <w:tcPr>
                  <w:tcW w:w="635" w:type="dxa"/>
                  <w:vMerge w:val="restart"/>
                  <w:tcBorders>
                    <w:tl2br w:val="nil"/>
                    <w:tr2bl w:val="nil"/>
                  </w:tcBorders>
                  <w:shd w:val="clear" w:color="auto" w:fill="auto"/>
                  <w:vAlign w:val="center"/>
                </w:tcPr>
                <w:p w14:paraId="3E2AFEA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产排污环节</w:t>
                  </w:r>
                </w:p>
              </w:tc>
              <w:tc>
                <w:tcPr>
                  <w:tcW w:w="1514" w:type="dxa"/>
                  <w:vMerge w:val="restart"/>
                  <w:tcBorders>
                    <w:tl2br w:val="nil"/>
                    <w:tr2bl w:val="nil"/>
                  </w:tcBorders>
                  <w:shd w:val="clear" w:color="auto" w:fill="auto"/>
                  <w:vAlign w:val="center"/>
                </w:tcPr>
                <w:p w14:paraId="6434BD6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排放形式</w:t>
                  </w:r>
                </w:p>
              </w:tc>
              <w:tc>
                <w:tcPr>
                  <w:tcW w:w="1269" w:type="dxa"/>
                  <w:gridSpan w:val="2"/>
                  <w:vMerge w:val="restart"/>
                  <w:tcBorders>
                    <w:tl2br w:val="nil"/>
                    <w:tr2bl w:val="nil"/>
                  </w:tcBorders>
                  <w:shd w:val="clear" w:color="auto" w:fill="auto"/>
                  <w:vAlign w:val="center"/>
                </w:tcPr>
                <w:p w14:paraId="41DDE0D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3427" w:type="dxa"/>
                  <w:gridSpan w:val="4"/>
                  <w:tcBorders>
                    <w:tl2br w:val="nil"/>
                    <w:tr2bl w:val="nil"/>
                  </w:tcBorders>
                  <w:shd w:val="clear" w:color="auto" w:fill="auto"/>
                  <w:noWrap/>
                  <w:vAlign w:val="center"/>
                </w:tcPr>
                <w:p w14:paraId="49DC3EB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污染物产生情况</w:t>
                  </w:r>
                </w:p>
              </w:tc>
              <w:tc>
                <w:tcPr>
                  <w:tcW w:w="3424" w:type="dxa"/>
                  <w:gridSpan w:val="5"/>
                  <w:tcBorders>
                    <w:tl2br w:val="nil"/>
                    <w:tr2bl w:val="nil"/>
                  </w:tcBorders>
                  <w:shd w:val="clear" w:color="auto" w:fill="auto"/>
                  <w:noWrap/>
                  <w:vAlign w:val="center"/>
                </w:tcPr>
                <w:p w14:paraId="1F8C976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治理设施基本情况</w:t>
                  </w:r>
                </w:p>
              </w:tc>
              <w:tc>
                <w:tcPr>
                  <w:tcW w:w="2378" w:type="dxa"/>
                  <w:gridSpan w:val="3"/>
                  <w:tcBorders>
                    <w:tl2br w:val="nil"/>
                    <w:tr2bl w:val="nil"/>
                  </w:tcBorders>
                  <w:shd w:val="clear" w:color="auto" w:fill="auto"/>
                  <w:noWrap/>
                  <w:vAlign w:val="center"/>
                </w:tcPr>
                <w:p w14:paraId="3DC8BBC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污染物排放情况</w:t>
                  </w:r>
                </w:p>
              </w:tc>
              <w:tc>
                <w:tcPr>
                  <w:tcW w:w="755" w:type="dxa"/>
                  <w:vMerge w:val="restart"/>
                  <w:tcBorders>
                    <w:tl2br w:val="nil"/>
                    <w:tr2bl w:val="nil"/>
                  </w:tcBorders>
                  <w:shd w:val="clear" w:color="auto" w:fill="auto"/>
                  <w:vAlign w:val="center"/>
                </w:tcPr>
                <w:p w14:paraId="3B88109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排放时间（h）</w:t>
                  </w:r>
                </w:p>
              </w:tc>
            </w:tr>
            <w:tr w14:paraId="23217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635" w:type="dxa"/>
                  <w:vMerge w:val="continue"/>
                  <w:tcBorders>
                    <w:tl2br w:val="nil"/>
                    <w:tr2bl w:val="nil"/>
                  </w:tcBorders>
                  <w:shd w:val="clear" w:color="auto" w:fill="auto"/>
                  <w:vAlign w:val="center"/>
                </w:tcPr>
                <w:p w14:paraId="44BAC8B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514" w:type="dxa"/>
                  <w:vMerge w:val="continue"/>
                  <w:tcBorders>
                    <w:tl2br w:val="nil"/>
                    <w:tr2bl w:val="nil"/>
                  </w:tcBorders>
                  <w:shd w:val="clear" w:color="auto" w:fill="auto"/>
                  <w:vAlign w:val="center"/>
                </w:tcPr>
                <w:p w14:paraId="3708F2A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269" w:type="dxa"/>
                  <w:gridSpan w:val="2"/>
                  <w:vMerge w:val="continue"/>
                  <w:tcBorders>
                    <w:tl2br w:val="nil"/>
                    <w:tr2bl w:val="nil"/>
                  </w:tcBorders>
                  <w:shd w:val="clear" w:color="auto" w:fill="auto"/>
                  <w:vAlign w:val="center"/>
                </w:tcPr>
                <w:p w14:paraId="364A1FE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88" w:type="dxa"/>
                  <w:tcBorders>
                    <w:tl2br w:val="nil"/>
                    <w:tr2bl w:val="nil"/>
                  </w:tcBorders>
                  <w:shd w:val="clear" w:color="auto" w:fill="auto"/>
                  <w:vAlign w:val="center"/>
                </w:tcPr>
                <w:p w14:paraId="322DAA7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vAlign w:val="center"/>
                </w:tcPr>
                <w:p w14:paraId="0ACF148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排放速率（kg/h）</w:t>
                  </w:r>
                </w:p>
              </w:tc>
              <w:tc>
                <w:tcPr>
                  <w:tcW w:w="1842" w:type="dxa"/>
                  <w:gridSpan w:val="2"/>
                  <w:tcBorders>
                    <w:tl2br w:val="nil"/>
                    <w:tr2bl w:val="nil"/>
                  </w:tcBorders>
                  <w:shd w:val="clear" w:color="auto" w:fill="auto"/>
                  <w:vAlign w:val="center"/>
                </w:tcPr>
                <w:p w14:paraId="677AD1B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r>
                    <w:rPr>
                      <w:rFonts w:hint="default" w:ascii="Times New Roman" w:hAnsi="Times New Roman" w:cs="Times New Roman"/>
                      <w:b/>
                      <w:bCs/>
                      <w:i w:val="0"/>
                      <w:iCs w:val="0"/>
                      <w:color w:val="auto"/>
                      <w:kern w:val="0"/>
                      <w:sz w:val="21"/>
                      <w:szCs w:val="21"/>
                      <w:highlight w:val="none"/>
                      <w:u w:val="none"/>
                      <w:lang w:val="en-US" w:eastAsia="zh-CN" w:bidi="ar"/>
                    </w:rPr>
                    <w:t>t</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default" w:ascii="Times New Roman" w:hAnsi="Times New Roman"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35" w:type="dxa"/>
                  <w:tcBorders>
                    <w:tl2br w:val="nil"/>
                    <w:tr2bl w:val="nil"/>
                  </w:tcBorders>
                  <w:shd w:val="clear" w:color="auto" w:fill="auto"/>
                  <w:vAlign w:val="center"/>
                </w:tcPr>
                <w:p w14:paraId="70E270E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w:t>
                  </w:r>
                  <w:r>
                    <w:rPr>
                      <w:rFonts w:hint="default" w:ascii="Times New Roman" w:hAnsi="Times New Roman" w:cs="Times New Roman"/>
                      <w:b/>
                      <w:bCs/>
                      <w:i w:val="0"/>
                      <w:iCs w:val="0"/>
                      <w:color w:val="auto"/>
                      <w:kern w:val="0"/>
                      <w:sz w:val="21"/>
                      <w:szCs w:val="21"/>
                      <w:highlight w:val="none"/>
                      <w:u w:val="none"/>
                      <w:lang w:val="en-US" w:eastAsia="zh-CN" w:bidi="ar"/>
                    </w:rPr>
                    <w:t>风量</w:t>
                  </w:r>
                  <w:r>
                    <w:rPr>
                      <w:rFonts w:hint="default" w:ascii="Times New Roman" w:hAnsi="Times New Roman" w:eastAsia="宋体" w:cs="Times New Roman"/>
                      <w:b/>
                      <w:bCs/>
                      <w:i w:val="0"/>
                      <w:iCs w:val="0"/>
                      <w:color w:val="auto"/>
                      <w:kern w:val="0"/>
                      <w:sz w:val="21"/>
                      <w:szCs w:val="21"/>
                      <w:highlight w:val="none"/>
                      <w:u w:val="none"/>
                      <w:lang w:val="en-US" w:eastAsia="zh-CN" w:bidi="ar"/>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705" w:type="dxa"/>
                  <w:tcBorders>
                    <w:tl2br w:val="nil"/>
                    <w:tr2bl w:val="nil"/>
                  </w:tcBorders>
                  <w:shd w:val="clear" w:color="auto" w:fill="auto"/>
                  <w:vAlign w:val="center"/>
                </w:tcPr>
                <w:p w14:paraId="4BDE01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收集效率</w:t>
                  </w:r>
                </w:p>
              </w:tc>
              <w:tc>
                <w:tcPr>
                  <w:tcW w:w="1058" w:type="dxa"/>
                  <w:tcBorders>
                    <w:tl2br w:val="nil"/>
                    <w:tr2bl w:val="nil"/>
                  </w:tcBorders>
                  <w:shd w:val="clear" w:color="auto" w:fill="auto"/>
                  <w:noWrap/>
                  <w:vAlign w:val="center"/>
                </w:tcPr>
                <w:p w14:paraId="50E11A4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处理工艺</w:t>
                  </w:r>
                </w:p>
              </w:tc>
              <w:tc>
                <w:tcPr>
                  <w:tcW w:w="600" w:type="dxa"/>
                  <w:tcBorders>
                    <w:tl2br w:val="nil"/>
                    <w:tr2bl w:val="nil"/>
                  </w:tcBorders>
                  <w:shd w:val="clear" w:color="auto" w:fill="auto"/>
                  <w:vAlign w:val="center"/>
                </w:tcPr>
                <w:p w14:paraId="690A4C3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426" w:type="dxa"/>
                  <w:tcBorders>
                    <w:tl2br w:val="nil"/>
                    <w:tr2bl w:val="nil"/>
                  </w:tcBorders>
                  <w:shd w:val="clear" w:color="auto" w:fill="auto"/>
                  <w:vAlign w:val="center"/>
                </w:tcPr>
                <w:p w14:paraId="6F6FA47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是否为可行技术</w:t>
                  </w:r>
                </w:p>
              </w:tc>
              <w:tc>
                <w:tcPr>
                  <w:tcW w:w="688" w:type="dxa"/>
                  <w:tcBorders>
                    <w:tl2br w:val="nil"/>
                    <w:tr2bl w:val="nil"/>
                  </w:tcBorders>
                  <w:shd w:val="clear" w:color="auto" w:fill="auto"/>
                  <w:vAlign w:val="center"/>
                </w:tcPr>
                <w:p w14:paraId="3C5A450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vAlign w:val="center"/>
                </w:tcPr>
                <w:p w14:paraId="6A6B82A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排放速率（kg/h）</w:t>
                  </w:r>
                </w:p>
              </w:tc>
              <w:tc>
                <w:tcPr>
                  <w:tcW w:w="793" w:type="dxa"/>
                  <w:tcBorders>
                    <w:tl2br w:val="nil"/>
                    <w:tr2bl w:val="nil"/>
                  </w:tcBorders>
                  <w:shd w:val="clear" w:color="auto" w:fill="auto"/>
                  <w:vAlign w:val="center"/>
                </w:tcPr>
                <w:p w14:paraId="668AB6B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default" w:ascii="Times New Roman" w:hAnsi="Times New Roman" w:cs="Times New Roman"/>
                      <w:b/>
                      <w:bCs/>
                      <w:i w:val="0"/>
                      <w:iCs w:val="0"/>
                      <w:color w:val="auto"/>
                      <w:kern w:val="0"/>
                      <w:sz w:val="21"/>
                      <w:szCs w:val="21"/>
                      <w:highlight w:val="none"/>
                      <w:u w:val="none"/>
                      <w:lang w:val="en-US" w:eastAsia="zh-CN" w:bidi="ar"/>
                    </w:rPr>
                    <w:t>t</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default" w:ascii="Times New Roman" w:hAnsi="Times New Roman"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55" w:type="dxa"/>
                  <w:vMerge w:val="continue"/>
                  <w:tcBorders>
                    <w:tl2br w:val="nil"/>
                    <w:tr2bl w:val="nil"/>
                  </w:tcBorders>
                  <w:shd w:val="clear" w:color="auto" w:fill="auto"/>
                  <w:vAlign w:val="center"/>
                </w:tcPr>
                <w:p w14:paraId="106ECDA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012AE1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0" w:hRule="atLeast"/>
              </w:trPr>
              <w:tc>
                <w:tcPr>
                  <w:tcW w:w="635" w:type="dxa"/>
                  <w:tcBorders>
                    <w:tl2br w:val="nil"/>
                    <w:tr2bl w:val="nil"/>
                  </w:tcBorders>
                  <w:shd w:val="clear" w:color="auto" w:fill="auto"/>
                  <w:vAlign w:val="center"/>
                </w:tcPr>
                <w:p w14:paraId="0EA79EF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投料粉尘</w:t>
                  </w:r>
                </w:p>
              </w:tc>
              <w:tc>
                <w:tcPr>
                  <w:tcW w:w="1514" w:type="dxa"/>
                  <w:tcBorders>
                    <w:tl2br w:val="nil"/>
                    <w:tr2bl w:val="nil"/>
                  </w:tcBorders>
                  <w:shd w:val="clear" w:color="auto" w:fill="auto"/>
                  <w:noWrap/>
                  <w:vAlign w:val="center"/>
                </w:tcPr>
                <w:p w14:paraId="2E5491A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无组织</w:t>
                  </w:r>
                </w:p>
              </w:tc>
              <w:tc>
                <w:tcPr>
                  <w:tcW w:w="1269" w:type="dxa"/>
                  <w:gridSpan w:val="2"/>
                  <w:tcBorders>
                    <w:tl2br w:val="nil"/>
                    <w:tr2bl w:val="nil"/>
                  </w:tcBorders>
                  <w:shd w:val="clear" w:color="auto" w:fill="auto"/>
                  <w:vAlign w:val="center"/>
                </w:tcPr>
                <w:p w14:paraId="2B6FA86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688" w:type="dxa"/>
                  <w:tcBorders>
                    <w:tl2br w:val="nil"/>
                    <w:tr2bl w:val="nil"/>
                  </w:tcBorders>
                  <w:shd w:val="clear" w:color="auto" w:fill="auto"/>
                  <w:noWrap/>
                  <w:vAlign w:val="center"/>
                </w:tcPr>
                <w:p w14:paraId="7397786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44B2E3A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0.0004</w:t>
                  </w:r>
                </w:p>
              </w:tc>
              <w:tc>
                <w:tcPr>
                  <w:tcW w:w="1842" w:type="dxa"/>
                  <w:gridSpan w:val="2"/>
                  <w:tcBorders>
                    <w:tl2br w:val="nil"/>
                    <w:tr2bl w:val="nil"/>
                  </w:tcBorders>
                  <w:shd w:val="clear" w:color="auto" w:fill="auto"/>
                  <w:noWrap/>
                  <w:vAlign w:val="center"/>
                </w:tcPr>
                <w:p w14:paraId="4F2DDD3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0.002</w:t>
                  </w:r>
                </w:p>
              </w:tc>
              <w:tc>
                <w:tcPr>
                  <w:tcW w:w="635" w:type="dxa"/>
                  <w:tcBorders>
                    <w:tl2br w:val="nil"/>
                    <w:tr2bl w:val="nil"/>
                  </w:tcBorders>
                  <w:shd w:val="clear" w:color="auto" w:fill="auto"/>
                  <w:noWrap/>
                  <w:vAlign w:val="center"/>
                </w:tcPr>
                <w:p w14:paraId="2D3558F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05" w:type="dxa"/>
                  <w:tcBorders>
                    <w:tl2br w:val="nil"/>
                    <w:tr2bl w:val="nil"/>
                  </w:tcBorders>
                  <w:shd w:val="clear" w:color="auto" w:fill="auto"/>
                  <w:noWrap/>
                  <w:vAlign w:val="center"/>
                </w:tcPr>
                <w:p w14:paraId="1A7F4A8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w:t>
                  </w:r>
                </w:p>
              </w:tc>
              <w:tc>
                <w:tcPr>
                  <w:tcW w:w="1058" w:type="dxa"/>
                  <w:tcBorders>
                    <w:tl2br w:val="nil"/>
                    <w:tr2bl w:val="nil"/>
                  </w:tcBorders>
                  <w:shd w:val="clear" w:color="auto" w:fill="auto"/>
                  <w:vAlign w:val="center"/>
                </w:tcPr>
                <w:p w14:paraId="26376C9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加强车间通风</w:t>
                  </w:r>
                </w:p>
              </w:tc>
              <w:tc>
                <w:tcPr>
                  <w:tcW w:w="600" w:type="dxa"/>
                  <w:tcBorders>
                    <w:tl2br w:val="nil"/>
                    <w:tr2bl w:val="nil"/>
                  </w:tcBorders>
                  <w:shd w:val="clear" w:color="auto" w:fill="auto"/>
                  <w:noWrap/>
                  <w:vAlign w:val="center"/>
                </w:tcPr>
                <w:p w14:paraId="04EC766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26" w:type="dxa"/>
                  <w:tcBorders>
                    <w:tl2br w:val="nil"/>
                    <w:tr2bl w:val="nil"/>
                  </w:tcBorders>
                  <w:shd w:val="clear" w:color="auto" w:fill="auto"/>
                  <w:noWrap/>
                  <w:vAlign w:val="center"/>
                </w:tcPr>
                <w:p w14:paraId="50CE352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88" w:type="dxa"/>
                  <w:tcBorders>
                    <w:tl2br w:val="nil"/>
                    <w:tr2bl w:val="nil"/>
                  </w:tcBorders>
                  <w:shd w:val="clear" w:color="auto" w:fill="auto"/>
                  <w:noWrap/>
                  <w:vAlign w:val="center"/>
                </w:tcPr>
                <w:p w14:paraId="65553B21">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0F66F763">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0.0004</w:t>
                  </w:r>
                </w:p>
              </w:tc>
              <w:tc>
                <w:tcPr>
                  <w:tcW w:w="793" w:type="dxa"/>
                  <w:tcBorders>
                    <w:tl2br w:val="nil"/>
                    <w:tr2bl w:val="nil"/>
                  </w:tcBorders>
                  <w:shd w:val="clear" w:color="auto" w:fill="auto"/>
                  <w:noWrap/>
                  <w:vAlign w:val="center"/>
                </w:tcPr>
                <w:p w14:paraId="7D516D9F">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0.002</w:t>
                  </w:r>
                </w:p>
              </w:tc>
              <w:tc>
                <w:tcPr>
                  <w:tcW w:w="755" w:type="dxa"/>
                  <w:tcBorders>
                    <w:tl2br w:val="nil"/>
                    <w:tr2bl w:val="nil"/>
                  </w:tcBorders>
                  <w:shd w:val="clear" w:color="auto" w:fill="auto"/>
                  <w:noWrap/>
                  <w:vAlign w:val="center"/>
                </w:tcPr>
                <w:p w14:paraId="1910EAF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381120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53" w:hRule="atLeast"/>
              </w:trPr>
              <w:tc>
                <w:tcPr>
                  <w:tcW w:w="635" w:type="dxa"/>
                  <w:vMerge w:val="restart"/>
                  <w:tcBorders>
                    <w:tl2br w:val="nil"/>
                    <w:tr2bl w:val="nil"/>
                  </w:tcBorders>
                  <w:shd w:val="clear" w:color="auto" w:fill="auto"/>
                  <w:vAlign w:val="center"/>
                </w:tcPr>
                <w:p w14:paraId="0B4BB14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成型烘干、上色固化过程天然气燃烧废气、有机废气、生产异味</w:t>
                  </w:r>
                </w:p>
              </w:tc>
              <w:tc>
                <w:tcPr>
                  <w:tcW w:w="1514" w:type="dxa"/>
                  <w:vMerge w:val="restart"/>
                  <w:tcBorders>
                    <w:tl2br w:val="nil"/>
                    <w:tr2bl w:val="nil"/>
                  </w:tcBorders>
                  <w:shd w:val="clear" w:color="auto" w:fill="auto"/>
                  <w:noWrap/>
                  <w:vAlign w:val="center"/>
                </w:tcPr>
                <w:p w14:paraId="26229E6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有组织DA001</w:t>
                  </w:r>
                </w:p>
              </w:tc>
              <w:tc>
                <w:tcPr>
                  <w:tcW w:w="1269" w:type="dxa"/>
                  <w:gridSpan w:val="2"/>
                  <w:vMerge w:val="restart"/>
                  <w:tcBorders>
                    <w:tl2br w:val="nil"/>
                    <w:tr2bl w:val="nil"/>
                  </w:tcBorders>
                  <w:shd w:val="clear" w:color="auto" w:fill="auto"/>
                  <w:vAlign w:val="center"/>
                </w:tcPr>
                <w:p w14:paraId="76CB70F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NMHC</w:t>
                  </w:r>
                </w:p>
              </w:tc>
              <w:tc>
                <w:tcPr>
                  <w:tcW w:w="688" w:type="dxa"/>
                  <w:vMerge w:val="restart"/>
                  <w:tcBorders>
                    <w:tl2br w:val="nil"/>
                    <w:tr2bl w:val="nil"/>
                  </w:tcBorders>
                  <w:shd w:val="clear" w:color="auto" w:fill="auto"/>
                  <w:noWrap/>
                  <w:vAlign w:val="center"/>
                </w:tcPr>
                <w:p w14:paraId="7AEA3D8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2.54</w:t>
                  </w:r>
                </w:p>
              </w:tc>
              <w:tc>
                <w:tcPr>
                  <w:tcW w:w="897" w:type="dxa"/>
                  <w:vMerge w:val="restart"/>
                  <w:tcBorders>
                    <w:tl2br w:val="nil"/>
                    <w:tr2bl w:val="nil"/>
                  </w:tcBorders>
                  <w:shd w:val="clear" w:color="auto" w:fill="auto"/>
                  <w:noWrap/>
                  <w:vAlign w:val="center"/>
                </w:tcPr>
                <w:p w14:paraId="22FB773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0.018</w:t>
                  </w:r>
                </w:p>
              </w:tc>
              <w:tc>
                <w:tcPr>
                  <w:tcW w:w="935" w:type="dxa"/>
                  <w:tcBorders>
                    <w:tl2br w:val="nil"/>
                    <w:tr2bl w:val="nil"/>
                  </w:tcBorders>
                  <w:shd w:val="clear" w:color="auto" w:fill="auto"/>
                  <w:noWrap/>
                  <w:vAlign w:val="center"/>
                </w:tcPr>
                <w:p w14:paraId="48E81E4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成型烘干</w:t>
                  </w:r>
                </w:p>
              </w:tc>
              <w:tc>
                <w:tcPr>
                  <w:tcW w:w="911" w:type="dxa"/>
                  <w:tcBorders>
                    <w:tl2br w:val="nil"/>
                    <w:tr2bl w:val="nil"/>
                  </w:tcBorders>
                  <w:shd w:val="clear" w:color="auto" w:fill="auto"/>
                  <w:noWrap/>
                  <w:vAlign w:val="center"/>
                </w:tcPr>
                <w:p w14:paraId="613F7E8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0.0007</w:t>
                  </w:r>
                </w:p>
              </w:tc>
              <w:tc>
                <w:tcPr>
                  <w:tcW w:w="635" w:type="dxa"/>
                  <w:vMerge w:val="restart"/>
                  <w:tcBorders>
                    <w:tl2br w:val="nil"/>
                    <w:tr2bl w:val="nil"/>
                  </w:tcBorders>
                  <w:shd w:val="clear" w:color="auto" w:fill="auto"/>
                  <w:noWrap/>
                  <w:vAlign w:val="center"/>
                </w:tcPr>
                <w:p w14:paraId="2C17EA8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7000</w:t>
                  </w:r>
                </w:p>
              </w:tc>
              <w:tc>
                <w:tcPr>
                  <w:tcW w:w="705" w:type="dxa"/>
                  <w:tcBorders>
                    <w:tl2br w:val="nil"/>
                    <w:tr2bl w:val="nil"/>
                  </w:tcBorders>
                  <w:shd w:val="clear" w:color="auto" w:fill="auto"/>
                  <w:noWrap/>
                  <w:vAlign w:val="center"/>
                </w:tcPr>
                <w:p w14:paraId="14A9E84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95%</w:t>
                  </w:r>
                </w:p>
              </w:tc>
              <w:tc>
                <w:tcPr>
                  <w:tcW w:w="1058" w:type="dxa"/>
                  <w:vMerge w:val="restart"/>
                  <w:tcBorders>
                    <w:tl2br w:val="nil"/>
                    <w:tr2bl w:val="nil"/>
                  </w:tcBorders>
                  <w:shd w:val="clear" w:color="auto" w:fill="auto"/>
                  <w:vAlign w:val="center"/>
                </w:tcPr>
                <w:p w14:paraId="6796536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二级活性炭吸附装置</w:t>
                  </w:r>
                </w:p>
              </w:tc>
              <w:tc>
                <w:tcPr>
                  <w:tcW w:w="600" w:type="dxa"/>
                  <w:vMerge w:val="restart"/>
                  <w:tcBorders>
                    <w:tl2br w:val="nil"/>
                    <w:tr2bl w:val="nil"/>
                  </w:tcBorders>
                  <w:shd w:val="clear" w:color="auto" w:fill="auto"/>
                  <w:noWrap/>
                  <w:vAlign w:val="center"/>
                </w:tcPr>
                <w:p w14:paraId="0A74EB6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80%</w:t>
                  </w:r>
                </w:p>
              </w:tc>
              <w:tc>
                <w:tcPr>
                  <w:tcW w:w="426" w:type="dxa"/>
                  <w:vMerge w:val="restart"/>
                  <w:tcBorders>
                    <w:tl2br w:val="nil"/>
                    <w:tr2bl w:val="nil"/>
                  </w:tcBorders>
                  <w:shd w:val="clear" w:color="auto" w:fill="auto"/>
                  <w:noWrap/>
                  <w:vAlign w:val="center"/>
                </w:tcPr>
                <w:p w14:paraId="1764595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是</w:t>
                  </w:r>
                </w:p>
              </w:tc>
              <w:tc>
                <w:tcPr>
                  <w:tcW w:w="688" w:type="dxa"/>
                  <w:vMerge w:val="restart"/>
                  <w:tcBorders>
                    <w:tl2br w:val="nil"/>
                    <w:tr2bl w:val="nil"/>
                  </w:tcBorders>
                  <w:shd w:val="clear" w:color="auto" w:fill="auto"/>
                  <w:noWrap/>
                  <w:vAlign w:val="center"/>
                </w:tcPr>
                <w:p w14:paraId="387C48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897" w:type="dxa"/>
                  <w:vMerge w:val="restart"/>
                  <w:tcBorders>
                    <w:tl2br w:val="nil"/>
                    <w:tr2bl w:val="nil"/>
                  </w:tcBorders>
                  <w:shd w:val="clear" w:color="auto" w:fill="auto"/>
                  <w:noWrap/>
                  <w:vAlign w:val="center"/>
                </w:tcPr>
                <w:p w14:paraId="778864B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w:t>
                  </w:r>
                </w:p>
              </w:tc>
              <w:tc>
                <w:tcPr>
                  <w:tcW w:w="793" w:type="dxa"/>
                  <w:vMerge w:val="restart"/>
                  <w:tcBorders>
                    <w:tl2br w:val="nil"/>
                    <w:tr2bl w:val="nil"/>
                  </w:tcBorders>
                  <w:shd w:val="clear" w:color="auto" w:fill="auto"/>
                  <w:noWrap/>
                  <w:vAlign w:val="center"/>
                </w:tcPr>
                <w:p w14:paraId="1A1D28A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755" w:type="dxa"/>
                  <w:vMerge w:val="restart"/>
                  <w:tcBorders>
                    <w:tl2br w:val="nil"/>
                    <w:tr2bl w:val="nil"/>
                  </w:tcBorders>
                  <w:shd w:val="clear" w:color="auto" w:fill="auto"/>
                  <w:noWrap/>
                  <w:vAlign w:val="center"/>
                </w:tcPr>
                <w:p w14:paraId="4C99044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4171FE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1" w:hRule="atLeast"/>
              </w:trPr>
              <w:tc>
                <w:tcPr>
                  <w:tcW w:w="635" w:type="dxa"/>
                  <w:vMerge w:val="continue"/>
                  <w:tcBorders>
                    <w:tl2br w:val="nil"/>
                    <w:tr2bl w:val="nil"/>
                  </w:tcBorders>
                  <w:shd w:val="clear" w:color="auto" w:fill="auto"/>
                  <w:vAlign w:val="center"/>
                </w:tcPr>
                <w:p w14:paraId="5DC6D260">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514" w:type="dxa"/>
                  <w:vMerge w:val="continue"/>
                  <w:tcBorders>
                    <w:tl2br w:val="nil"/>
                    <w:tr2bl w:val="nil"/>
                  </w:tcBorders>
                  <w:shd w:val="clear" w:color="auto" w:fill="auto"/>
                  <w:noWrap/>
                  <w:vAlign w:val="center"/>
                </w:tcPr>
                <w:p w14:paraId="5BD7E20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269" w:type="dxa"/>
                  <w:gridSpan w:val="2"/>
                  <w:vMerge w:val="continue"/>
                  <w:tcBorders>
                    <w:tl2br w:val="nil"/>
                    <w:tr2bl w:val="nil"/>
                  </w:tcBorders>
                  <w:shd w:val="clear" w:color="auto" w:fill="auto"/>
                  <w:vAlign w:val="center"/>
                </w:tcPr>
                <w:p w14:paraId="499D184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688" w:type="dxa"/>
                  <w:vMerge w:val="continue"/>
                  <w:tcBorders>
                    <w:tl2br w:val="nil"/>
                    <w:tr2bl w:val="nil"/>
                  </w:tcBorders>
                  <w:shd w:val="clear" w:color="auto" w:fill="auto"/>
                  <w:noWrap/>
                  <w:vAlign w:val="center"/>
                </w:tcPr>
                <w:p w14:paraId="1A39DDE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897" w:type="dxa"/>
                  <w:vMerge w:val="continue"/>
                  <w:tcBorders>
                    <w:tl2br w:val="nil"/>
                    <w:tr2bl w:val="nil"/>
                  </w:tcBorders>
                  <w:shd w:val="clear" w:color="auto" w:fill="auto"/>
                  <w:noWrap/>
                  <w:vAlign w:val="center"/>
                </w:tcPr>
                <w:p w14:paraId="742818FF">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935" w:type="dxa"/>
                  <w:tcBorders>
                    <w:tl2br w:val="nil"/>
                    <w:tr2bl w:val="nil"/>
                  </w:tcBorders>
                  <w:shd w:val="clear" w:color="auto" w:fill="auto"/>
                  <w:noWrap/>
                  <w:vAlign w:val="center"/>
                </w:tcPr>
                <w:p w14:paraId="23781FF4">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上色</w:t>
                  </w:r>
                </w:p>
              </w:tc>
              <w:tc>
                <w:tcPr>
                  <w:tcW w:w="911" w:type="dxa"/>
                  <w:tcBorders>
                    <w:tl2br w:val="nil"/>
                    <w:tr2bl w:val="nil"/>
                  </w:tcBorders>
                  <w:shd w:val="clear" w:color="auto" w:fill="auto"/>
                  <w:noWrap/>
                  <w:vAlign w:val="center"/>
                </w:tcPr>
                <w:p w14:paraId="2CE9BA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0.056</w:t>
                  </w:r>
                </w:p>
              </w:tc>
              <w:tc>
                <w:tcPr>
                  <w:tcW w:w="635" w:type="dxa"/>
                  <w:vMerge w:val="continue"/>
                  <w:tcBorders>
                    <w:tl2br w:val="nil"/>
                    <w:tr2bl w:val="nil"/>
                  </w:tcBorders>
                  <w:shd w:val="clear" w:color="auto" w:fill="auto"/>
                  <w:noWrap/>
                  <w:vAlign w:val="center"/>
                </w:tcPr>
                <w:p w14:paraId="74ADDD3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05" w:type="dxa"/>
                  <w:tcBorders>
                    <w:tl2br w:val="nil"/>
                    <w:tr2bl w:val="nil"/>
                  </w:tcBorders>
                  <w:shd w:val="clear" w:color="auto" w:fill="auto"/>
                  <w:noWrap/>
                  <w:vAlign w:val="center"/>
                </w:tcPr>
                <w:p w14:paraId="041139CF">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1058" w:type="dxa"/>
                  <w:vMerge w:val="continue"/>
                  <w:tcBorders>
                    <w:tl2br w:val="nil"/>
                    <w:tr2bl w:val="nil"/>
                  </w:tcBorders>
                  <w:shd w:val="clear" w:color="auto" w:fill="auto"/>
                  <w:vAlign w:val="center"/>
                </w:tcPr>
                <w:p w14:paraId="78BAA34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600" w:type="dxa"/>
                  <w:vMerge w:val="continue"/>
                  <w:tcBorders>
                    <w:tl2br w:val="nil"/>
                    <w:tr2bl w:val="nil"/>
                  </w:tcBorders>
                  <w:shd w:val="clear" w:color="auto" w:fill="auto"/>
                  <w:noWrap/>
                  <w:vAlign w:val="center"/>
                </w:tcPr>
                <w:p w14:paraId="69396209">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426" w:type="dxa"/>
                  <w:vMerge w:val="continue"/>
                  <w:tcBorders>
                    <w:tl2br w:val="nil"/>
                    <w:tr2bl w:val="nil"/>
                  </w:tcBorders>
                  <w:shd w:val="clear" w:color="auto" w:fill="auto"/>
                  <w:noWrap/>
                  <w:vAlign w:val="center"/>
                </w:tcPr>
                <w:p w14:paraId="570C3E9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688" w:type="dxa"/>
                  <w:vMerge w:val="continue"/>
                  <w:tcBorders>
                    <w:tl2br w:val="nil"/>
                    <w:tr2bl w:val="nil"/>
                  </w:tcBorders>
                  <w:shd w:val="clear" w:color="auto" w:fill="auto"/>
                  <w:noWrap/>
                  <w:vAlign w:val="center"/>
                </w:tcPr>
                <w:p w14:paraId="464E17AF">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897" w:type="dxa"/>
                  <w:vMerge w:val="continue"/>
                  <w:tcBorders>
                    <w:tl2br w:val="nil"/>
                    <w:tr2bl w:val="nil"/>
                  </w:tcBorders>
                  <w:shd w:val="clear" w:color="auto" w:fill="auto"/>
                  <w:noWrap/>
                  <w:vAlign w:val="center"/>
                </w:tcPr>
                <w:p w14:paraId="1B37E0F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93" w:type="dxa"/>
                  <w:vMerge w:val="continue"/>
                  <w:tcBorders>
                    <w:tl2br w:val="nil"/>
                    <w:tr2bl w:val="nil"/>
                  </w:tcBorders>
                  <w:shd w:val="clear" w:color="auto" w:fill="auto"/>
                  <w:noWrap/>
                  <w:vAlign w:val="center"/>
                </w:tcPr>
                <w:p w14:paraId="0AAEA52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55" w:type="dxa"/>
                  <w:vMerge w:val="continue"/>
                  <w:tcBorders>
                    <w:tl2br w:val="nil"/>
                    <w:tr2bl w:val="nil"/>
                  </w:tcBorders>
                  <w:shd w:val="clear" w:color="auto" w:fill="auto"/>
                  <w:noWrap/>
                  <w:vAlign w:val="center"/>
                </w:tcPr>
                <w:p w14:paraId="6FAA489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14:paraId="0797DA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1" w:hRule="atLeast"/>
              </w:trPr>
              <w:tc>
                <w:tcPr>
                  <w:tcW w:w="635" w:type="dxa"/>
                  <w:vMerge w:val="continue"/>
                  <w:tcBorders>
                    <w:tl2br w:val="nil"/>
                    <w:tr2bl w:val="nil"/>
                  </w:tcBorders>
                  <w:shd w:val="clear" w:color="auto" w:fill="auto"/>
                  <w:vAlign w:val="center"/>
                </w:tcPr>
                <w:p w14:paraId="1E4E32D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514" w:type="dxa"/>
                  <w:vMerge w:val="continue"/>
                  <w:tcBorders>
                    <w:tl2br w:val="nil"/>
                    <w:tr2bl w:val="nil"/>
                  </w:tcBorders>
                  <w:shd w:val="clear" w:color="auto" w:fill="auto"/>
                  <w:noWrap/>
                  <w:vAlign w:val="center"/>
                </w:tcPr>
                <w:p w14:paraId="667A3FB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269" w:type="dxa"/>
                  <w:gridSpan w:val="2"/>
                  <w:vMerge w:val="continue"/>
                  <w:tcBorders>
                    <w:tl2br w:val="nil"/>
                    <w:tr2bl w:val="nil"/>
                  </w:tcBorders>
                  <w:shd w:val="clear" w:color="auto" w:fill="auto"/>
                  <w:vAlign w:val="center"/>
                </w:tcPr>
                <w:p w14:paraId="0D5D50B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688" w:type="dxa"/>
                  <w:vMerge w:val="continue"/>
                  <w:tcBorders>
                    <w:tl2br w:val="nil"/>
                    <w:tr2bl w:val="nil"/>
                  </w:tcBorders>
                  <w:shd w:val="clear" w:color="auto" w:fill="auto"/>
                  <w:noWrap/>
                  <w:vAlign w:val="center"/>
                </w:tcPr>
                <w:p w14:paraId="482543B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897" w:type="dxa"/>
                  <w:vMerge w:val="continue"/>
                  <w:tcBorders>
                    <w:tl2br w:val="nil"/>
                    <w:tr2bl w:val="nil"/>
                  </w:tcBorders>
                  <w:shd w:val="clear" w:color="auto" w:fill="auto"/>
                  <w:noWrap/>
                  <w:vAlign w:val="center"/>
                </w:tcPr>
                <w:p w14:paraId="52031E2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935" w:type="dxa"/>
                  <w:tcBorders>
                    <w:tl2br w:val="nil"/>
                    <w:tr2bl w:val="nil"/>
                  </w:tcBorders>
                  <w:shd w:val="clear" w:color="auto" w:fill="auto"/>
                  <w:noWrap/>
                  <w:vAlign w:val="center"/>
                </w:tcPr>
                <w:p w14:paraId="1BD9E17A">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固化</w:t>
                  </w:r>
                </w:p>
              </w:tc>
              <w:tc>
                <w:tcPr>
                  <w:tcW w:w="911" w:type="dxa"/>
                  <w:tcBorders>
                    <w:tl2br w:val="nil"/>
                    <w:tr2bl w:val="nil"/>
                  </w:tcBorders>
                  <w:shd w:val="clear" w:color="auto" w:fill="auto"/>
                  <w:noWrap/>
                  <w:vAlign w:val="center"/>
                </w:tcPr>
                <w:p w14:paraId="0014E4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0.0285</w:t>
                  </w:r>
                </w:p>
              </w:tc>
              <w:tc>
                <w:tcPr>
                  <w:tcW w:w="635" w:type="dxa"/>
                  <w:vMerge w:val="continue"/>
                  <w:tcBorders>
                    <w:tl2br w:val="nil"/>
                    <w:tr2bl w:val="nil"/>
                  </w:tcBorders>
                  <w:shd w:val="clear" w:color="auto" w:fill="auto"/>
                  <w:noWrap/>
                  <w:vAlign w:val="center"/>
                </w:tcPr>
                <w:p w14:paraId="5FE7A1F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05" w:type="dxa"/>
                  <w:tcBorders>
                    <w:tl2br w:val="nil"/>
                    <w:tr2bl w:val="nil"/>
                  </w:tcBorders>
                  <w:shd w:val="clear" w:color="auto" w:fill="auto"/>
                  <w:noWrap/>
                  <w:vAlign w:val="center"/>
                </w:tcPr>
                <w:p w14:paraId="04DEF66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c>
                <w:tcPr>
                  <w:tcW w:w="1058" w:type="dxa"/>
                  <w:vMerge w:val="continue"/>
                  <w:tcBorders>
                    <w:tl2br w:val="nil"/>
                    <w:tr2bl w:val="nil"/>
                  </w:tcBorders>
                  <w:shd w:val="clear" w:color="auto" w:fill="auto"/>
                  <w:vAlign w:val="center"/>
                </w:tcPr>
                <w:p w14:paraId="7868196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c>
                <w:tcPr>
                  <w:tcW w:w="600" w:type="dxa"/>
                  <w:vMerge w:val="continue"/>
                  <w:tcBorders>
                    <w:tl2br w:val="nil"/>
                    <w:tr2bl w:val="nil"/>
                  </w:tcBorders>
                  <w:shd w:val="clear" w:color="auto" w:fill="auto"/>
                  <w:noWrap/>
                  <w:vAlign w:val="center"/>
                </w:tcPr>
                <w:p w14:paraId="2ADC312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c>
                <w:tcPr>
                  <w:tcW w:w="426" w:type="dxa"/>
                  <w:vMerge w:val="continue"/>
                  <w:tcBorders>
                    <w:tl2br w:val="nil"/>
                    <w:tr2bl w:val="nil"/>
                  </w:tcBorders>
                  <w:shd w:val="clear" w:color="auto" w:fill="auto"/>
                  <w:noWrap/>
                  <w:vAlign w:val="center"/>
                </w:tcPr>
                <w:p w14:paraId="75B4A9A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c>
                <w:tcPr>
                  <w:tcW w:w="688" w:type="dxa"/>
                  <w:vMerge w:val="continue"/>
                  <w:tcBorders>
                    <w:tl2br w:val="nil"/>
                    <w:tr2bl w:val="nil"/>
                  </w:tcBorders>
                  <w:shd w:val="clear" w:color="auto" w:fill="auto"/>
                  <w:noWrap/>
                  <w:vAlign w:val="center"/>
                </w:tcPr>
                <w:p w14:paraId="4F88472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c>
                <w:tcPr>
                  <w:tcW w:w="897" w:type="dxa"/>
                  <w:vMerge w:val="continue"/>
                  <w:tcBorders>
                    <w:tl2br w:val="nil"/>
                    <w:tr2bl w:val="nil"/>
                  </w:tcBorders>
                  <w:shd w:val="clear" w:color="auto" w:fill="auto"/>
                  <w:noWrap/>
                  <w:vAlign w:val="center"/>
                </w:tcPr>
                <w:p w14:paraId="1CE0E59F">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c>
                <w:tcPr>
                  <w:tcW w:w="793" w:type="dxa"/>
                  <w:vMerge w:val="continue"/>
                  <w:tcBorders>
                    <w:tl2br w:val="nil"/>
                    <w:tr2bl w:val="nil"/>
                  </w:tcBorders>
                  <w:shd w:val="clear" w:color="auto" w:fill="auto"/>
                  <w:noWrap/>
                  <w:vAlign w:val="center"/>
                </w:tcPr>
                <w:p w14:paraId="3B18A37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c>
                <w:tcPr>
                  <w:tcW w:w="755" w:type="dxa"/>
                  <w:vMerge w:val="continue"/>
                  <w:tcBorders>
                    <w:tl2br w:val="nil"/>
                    <w:tr2bl w:val="nil"/>
                  </w:tcBorders>
                  <w:shd w:val="clear" w:color="auto" w:fill="auto"/>
                  <w:noWrap/>
                  <w:vAlign w:val="center"/>
                </w:tcPr>
                <w:p w14:paraId="078539C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val="en-US" w:eastAsia="zh-CN"/>
                    </w:rPr>
                  </w:pPr>
                </w:p>
              </w:tc>
            </w:tr>
            <w:tr w14:paraId="230C4A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54F53FD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5D6068F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505AAFE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苯系物</w:t>
                  </w:r>
                </w:p>
              </w:tc>
              <w:tc>
                <w:tcPr>
                  <w:tcW w:w="688" w:type="dxa"/>
                  <w:tcBorders>
                    <w:tl2br w:val="nil"/>
                    <w:tr2bl w:val="nil"/>
                  </w:tcBorders>
                  <w:shd w:val="clear" w:color="auto" w:fill="auto"/>
                  <w:noWrap/>
                  <w:vAlign w:val="center"/>
                </w:tcPr>
                <w:p w14:paraId="6E72F5A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897" w:type="dxa"/>
                  <w:tcBorders>
                    <w:tl2br w:val="nil"/>
                    <w:tr2bl w:val="nil"/>
                  </w:tcBorders>
                  <w:shd w:val="clear" w:color="auto" w:fill="auto"/>
                  <w:noWrap/>
                  <w:vAlign w:val="center"/>
                </w:tcPr>
                <w:p w14:paraId="777216A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0.0004</w:t>
                  </w:r>
                </w:p>
              </w:tc>
              <w:tc>
                <w:tcPr>
                  <w:tcW w:w="1842" w:type="dxa"/>
                  <w:gridSpan w:val="2"/>
                  <w:tcBorders>
                    <w:tl2br w:val="nil"/>
                    <w:tr2bl w:val="nil"/>
                  </w:tcBorders>
                  <w:shd w:val="clear" w:color="auto" w:fill="auto"/>
                  <w:noWrap/>
                  <w:vAlign w:val="center"/>
                </w:tcPr>
                <w:p w14:paraId="3C71EF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0.0021</w:t>
                  </w:r>
                </w:p>
              </w:tc>
              <w:tc>
                <w:tcPr>
                  <w:tcW w:w="635" w:type="dxa"/>
                  <w:vMerge w:val="continue"/>
                  <w:tcBorders>
                    <w:tl2br w:val="nil"/>
                    <w:tr2bl w:val="nil"/>
                  </w:tcBorders>
                  <w:shd w:val="clear" w:color="auto" w:fill="auto"/>
                  <w:noWrap/>
                  <w:vAlign w:val="center"/>
                </w:tcPr>
                <w:p w14:paraId="2A16CEC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705" w:type="dxa"/>
                  <w:tcBorders>
                    <w:tl2br w:val="nil"/>
                    <w:tr2bl w:val="nil"/>
                  </w:tcBorders>
                  <w:shd w:val="clear" w:color="auto" w:fill="auto"/>
                  <w:noWrap/>
                  <w:vAlign w:val="center"/>
                </w:tcPr>
                <w:p w14:paraId="01C3CAA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95%</w:t>
                  </w:r>
                </w:p>
              </w:tc>
              <w:tc>
                <w:tcPr>
                  <w:tcW w:w="1058" w:type="dxa"/>
                  <w:vMerge w:val="continue"/>
                  <w:tcBorders>
                    <w:tl2br w:val="nil"/>
                    <w:tr2bl w:val="nil"/>
                  </w:tcBorders>
                  <w:shd w:val="clear" w:color="auto" w:fill="auto"/>
                  <w:vAlign w:val="center"/>
                </w:tcPr>
                <w:p w14:paraId="6333C4B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600" w:type="dxa"/>
                  <w:vMerge w:val="continue"/>
                  <w:tcBorders>
                    <w:tl2br w:val="nil"/>
                    <w:tr2bl w:val="nil"/>
                  </w:tcBorders>
                  <w:shd w:val="clear" w:color="auto" w:fill="auto"/>
                  <w:noWrap/>
                  <w:vAlign w:val="center"/>
                </w:tcPr>
                <w:p w14:paraId="267ED39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426" w:type="dxa"/>
                  <w:vMerge w:val="continue"/>
                  <w:tcBorders>
                    <w:tl2br w:val="nil"/>
                    <w:tr2bl w:val="nil"/>
                  </w:tcBorders>
                  <w:shd w:val="clear" w:color="auto" w:fill="auto"/>
                  <w:noWrap/>
                  <w:vAlign w:val="center"/>
                </w:tcPr>
                <w:p w14:paraId="3385BAA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88" w:type="dxa"/>
                  <w:tcBorders>
                    <w:tl2br w:val="nil"/>
                    <w:tr2bl w:val="nil"/>
                  </w:tcBorders>
                  <w:shd w:val="clear" w:color="auto" w:fill="auto"/>
                  <w:noWrap/>
                  <w:vAlign w:val="center"/>
                </w:tcPr>
                <w:p w14:paraId="5A1174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897" w:type="dxa"/>
                  <w:tcBorders>
                    <w:tl2br w:val="nil"/>
                    <w:tr2bl w:val="nil"/>
                  </w:tcBorders>
                  <w:shd w:val="clear" w:color="auto" w:fill="auto"/>
                  <w:noWrap/>
                  <w:vAlign w:val="center"/>
                </w:tcPr>
                <w:p w14:paraId="771BB2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793" w:type="dxa"/>
                  <w:tcBorders>
                    <w:tl2br w:val="nil"/>
                    <w:tr2bl w:val="nil"/>
                  </w:tcBorders>
                  <w:shd w:val="clear" w:color="auto" w:fill="auto"/>
                  <w:noWrap/>
                  <w:vAlign w:val="center"/>
                </w:tcPr>
                <w:p w14:paraId="7A72CC5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755" w:type="dxa"/>
                  <w:vMerge w:val="continue"/>
                  <w:tcBorders>
                    <w:tl2br w:val="nil"/>
                    <w:tr2bl w:val="nil"/>
                  </w:tcBorders>
                  <w:shd w:val="clear" w:color="auto" w:fill="auto"/>
                  <w:noWrap/>
                  <w:vAlign w:val="center"/>
                </w:tcPr>
                <w:p w14:paraId="2CFEFBD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18DDC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73B17E5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5D731F0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2545BB1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臭气浓度</w:t>
                  </w:r>
                </w:p>
              </w:tc>
              <w:tc>
                <w:tcPr>
                  <w:tcW w:w="688" w:type="dxa"/>
                  <w:tcBorders>
                    <w:tl2br w:val="nil"/>
                    <w:tr2bl w:val="nil"/>
                  </w:tcBorders>
                  <w:shd w:val="clear" w:color="auto" w:fill="auto"/>
                  <w:noWrap/>
                  <w:vAlign w:val="center"/>
                </w:tcPr>
                <w:p w14:paraId="365889F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2430FFD9">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1842" w:type="dxa"/>
                  <w:gridSpan w:val="2"/>
                  <w:tcBorders>
                    <w:tl2br w:val="nil"/>
                    <w:tr2bl w:val="nil"/>
                  </w:tcBorders>
                  <w:shd w:val="clear" w:color="auto" w:fill="auto"/>
                  <w:noWrap/>
                  <w:vAlign w:val="center"/>
                </w:tcPr>
                <w:p w14:paraId="058DCD4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635" w:type="dxa"/>
                  <w:vMerge w:val="continue"/>
                  <w:tcBorders>
                    <w:tl2br w:val="nil"/>
                    <w:tr2bl w:val="nil"/>
                  </w:tcBorders>
                  <w:shd w:val="clear" w:color="auto" w:fill="auto"/>
                  <w:noWrap/>
                  <w:vAlign w:val="center"/>
                </w:tcPr>
                <w:p w14:paraId="580BF45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705" w:type="dxa"/>
                  <w:tcBorders>
                    <w:tl2br w:val="nil"/>
                    <w:tr2bl w:val="nil"/>
                  </w:tcBorders>
                  <w:shd w:val="clear" w:color="auto" w:fill="auto"/>
                  <w:noWrap/>
                  <w:vAlign w:val="center"/>
                </w:tcPr>
                <w:p w14:paraId="65C3AF0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058" w:type="dxa"/>
                  <w:vMerge w:val="continue"/>
                  <w:tcBorders>
                    <w:tl2br w:val="nil"/>
                    <w:tr2bl w:val="nil"/>
                  </w:tcBorders>
                  <w:shd w:val="clear" w:color="auto" w:fill="auto"/>
                  <w:vAlign w:val="center"/>
                </w:tcPr>
                <w:p w14:paraId="4301C12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600" w:type="dxa"/>
                  <w:tcBorders>
                    <w:tl2br w:val="nil"/>
                    <w:tr2bl w:val="nil"/>
                  </w:tcBorders>
                  <w:shd w:val="clear" w:color="auto" w:fill="auto"/>
                  <w:noWrap/>
                  <w:vAlign w:val="center"/>
                </w:tcPr>
                <w:p w14:paraId="659A14F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426" w:type="dxa"/>
                  <w:tcBorders>
                    <w:tl2br w:val="nil"/>
                    <w:tr2bl w:val="nil"/>
                  </w:tcBorders>
                  <w:shd w:val="clear" w:color="auto" w:fill="auto"/>
                  <w:noWrap/>
                  <w:vAlign w:val="center"/>
                </w:tcPr>
                <w:p w14:paraId="5CF28AA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是</w:t>
                  </w:r>
                </w:p>
              </w:tc>
              <w:tc>
                <w:tcPr>
                  <w:tcW w:w="688" w:type="dxa"/>
                  <w:tcBorders>
                    <w:tl2br w:val="nil"/>
                    <w:tr2bl w:val="nil"/>
                  </w:tcBorders>
                  <w:shd w:val="clear" w:color="auto" w:fill="auto"/>
                  <w:noWrap/>
                  <w:vAlign w:val="center"/>
                </w:tcPr>
                <w:p w14:paraId="488916E0">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7F6902DE">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793" w:type="dxa"/>
                  <w:tcBorders>
                    <w:tl2br w:val="nil"/>
                    <w:tr2bl w:val="nil"/>
                  </w:tcBorders>
                  <w:shd w:val="clear" w:color="auto" w:fill="auto"/>
                  <w:noWrap/>
                  <w:vAlign w:val="center"/>
                </w:tcPr>
                <w:p w14:paraId="03307627">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755" w:type="dxa"/>
                  <w:vMerge w:val="continue"/>
                  <w:tcBorders>
                    <w:tl2br w:val="nil"/>
                    <w:tr2bl w:val="nil"/>
                  </w:tcBorders>
                  <w:shd w:val="clear" w:color="auto" w:fill="auto"/>
                  <w:noWrap/>
                  <w:vAlign w:val="center"/>
                </w:tcPr>
                <w:p w14:paraId="17EF65B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22F790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31EB4D3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44AAA21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0DEBD7A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688" w:type="dxa"/>
                  <w:tcBorders>
                    <w:tl2br w:val="nil"/>
                    <w:tr2bl w:val="nil"/>
                  </w:tcBorders>
                  <w:shd w:val="clear" w:color="auto" w:fill="auto"/>
                  <w:noWrap/>
                  <w:vAlign w:val="center"/>
                </w:tcPr>
                <w:p w14:paraId="4341737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2.17</w:t>
                  </w:r>
                </w:p>
              </w:tc>
              <w:tc>
                <w:tcPr>
                  <w:tcW w:w="897" w:type="dxa"/>
                  <w:tcBorders>
                    <w:tl2br w:val="nil"/>
                    <w:tr2bl w:val="nil"/>
                  </w:tcBorders>
                  <w:shd w:val="clear" w:color="auto" w:fill="auto"/>
                  <w:noWrap/>
                  <w:vAlign w:val="center"/>
                </w:tcPr>
                <w:p w14:paraId="1561DDD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1842" w:type="dxa"/>
                  <w:gridSpan w:val="2"/>
                  <w:tcBorders>
                    <w:tl2br w:val="nil"/>
                    <w:tr2bl w:val="nil"/>
                  </w:tcBorders>
                  <w:shd w:val="clear" w:color="auto" w:fill="auto"/>
                  <w:noWrap/>
                  <w:vAlign w:val="center"/>
                </w:tcPr>
                <w:p w14:paraId="3035C46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635" w:type="dxa"/>
                  <w:vMerge w:val="continue"/>
                  <w:tcBorders>
                    <w:tl2br w:val="nil"/>
                    <w:tr2bl w:val="nil"/>
                  </w:tcBorders>
                  <w:shd w:val="clear" w:color="auto" w:fill="auto"/>
                  <w:noWrap/>
                  <w:vAlign w:val="center"/>
                </w:tcPr>
                <w:p w14:paraId="52CDAFD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705" w:type="dxa"/>
                  <w:tcBorders>
                    <w:tl2br w:val="nil"/>
                    <w:tr2bl w:val="nil"/>
                  </w:tcBorders>
                  <w:shd w:val="clear" w:color="auto" w:fill="auto"/>
                  <w:noWrap/>
                  <w:vAlign w:val="center"/>
                </w:tcPr>
                <w:p w14:paraId="43CB0F8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100%</w:t>
                  </w:r>
                </w:p>
              </w:tc>
              <w:tc>
                <w:tcPr>
                  <w:tcW w:w="1058" w:type="dxa"/>
                  <w:tcBorders>
                    <w:tl2br w:val="nil"/>
                    <w:tr2bl w:val="nil"/>
                  </w:tcBorders>
                  <w:shd w:val="clear" w:color="auto" w:fill="auto"/>
                  <w:vAlign w:val="center"/>
                </w:tcPr>
                <w:p w14:paraId="4077B5E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00" w:type="dxa"/>
                  <w:tcBorders>
                    <w:tl2br w:val="nil"/>
                    <w:tr2bl w:val="nil"/>
                  </w:tcBorders>
                  <w:shd w:val="clear" w:color="auto" w:fill="auto"/>
                  <w:noWrap/>
                  <w:vAlign w:val="center"/>
                </w:tcPr>
                <w:p w14:paraId="2DE6C3E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426" w:type="dxa"/>
                  <w:tcBorders>
                    <w:tl2br w:val="nil"/>
                    <w:tr2bl w:val="nil"/>
                  </w:tcBorders>
                  <w:shd w:val="clear" w:color="auto" w:fill="auto"/>
                  <w:noWrap/>
                  <w:vAlign w:val="center"/>
                </w:tcPr>
                <w:p w14:paraId="334B7A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88" w:type="dxa"/>
                  <w:tcBorders>
                    <w:tl2br w:val="nil"/>
                    <w:tr2bl w:val="nil"/>
                  </w:tcBorders>
                  <w:shd w:val="clear" w:color="auto" w:fill="auto"/>
                  <w:noWrap/>
                  <w:vAlign w:val="center"/>
                </w:tcPr>
                <w:p w14:paraId="53F937F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2.17</w:t>
                  </w:r>
                </w:p>
              </w:tc>
              <w:tc>
                <w:tcPr>
                  <w:tcW w:w="897" w:type="dxa"/>
                  <w:tcBorders>
                    <w:tl2br w:val="nil"/>
                    <w:tr2bl w:val="nil"/>
                  </w:tcBorders>
                  <w:shd w:val="clear" w:color="auto" w:fill="auto"/>
                  <w:noWrap/>
                  <w:vAlign w:val="center"/>
                </w:tcPr>
                <w:p w14:paraId="0236215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792" w:type="dxa"/>
                  <w:tcBorders>
                    <w:tl2br w:val="nil"/>
                    <w:tr2bl w:val="nil"/>
                  </w:tcBorders>
                  <w:shd w:val="clear" w:color="auto" w:fill="auto"/>
                  <w:noWrap/>
                  <w:vAlign w:val="center"/>
                </w:tcPr>
                <w:p w14:paraId="20782D9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755" w:type="dxa"/>
                  <w:vMerge w:val="continue"/>
                  <w:tcBorders>
                    <w:tl2br w:val="nil"/>
                    <w:tr2bl w:val="nil"/>
                  </w:tcBorders>
                  <w:shd w:val="clear" w:color="auto" w:fill="auto"/>
                  <w:noWrap/>
                  <w:vAlign w:val="center"/>
                </w:tcPr>
                <w:p w14:paraId="5015853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1193AE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705F292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7086C0E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088331C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688" w:type="dxa"/>
                  <w:tcBorders>
                    <w:tl2br w:val="nil"/>
                    <w:tr2bl w:val="nil"/>
                  </w:tcBorders>
                  <w:shd w:val="clear" w:color="auto" w:fill="auto"/>
                  <w:noWrap/>
                  <w:vAlign w:val="center"/>
                </w:tcPr>
                <w:p w14:paraId="36082CA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20.36</w:t>
                  </w:r>
                </w:p>
              </w:tc>
              <w:tc>
                <w:tcPr>
                  <w:tcW w:w="897" w:type="dxa"/>
                  <w:tcBorders>
                    <w:tl2br w:val="nil"/>
                    <w:tr2bl w:val="nil"/>
                  </w:tcBorders>
                  <w:shd w:val="clear" w:color="auto" w:fill="auto"/>
                  <w:noWrap/>
                  <w:vAlign w:val="center"/>
                </w:tcPr>
                <w:p w14:paraId="0847BAD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0.143</w:t>
                  </w:r>
                </w:p>
              </w:tc>
              <w:tc>
                <w:tcPr>
                  <w:tcW w:w="1842" w:type="dxa"/>
                  <w:gridSpan w:val="2"/>
                  <w:tcBorders>
                    <w:tl2br w:val="nil"/>
                    <w:tr2bl w:val="nil"/>
                  </w:tcBorders>
                  <w:shd w:val="clear" w:color="auto" w:fill="auto"/>
                  <w:noWrap/>
                  <w:vAlign w:val="center"/>
                </w:tcPr>
                <w:p w14:paraId="109FEFC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635" w:type="dxa"/>
                  <w:vMerge w:val="continue"/>
                  <w:tcBorders>
                    <w:tl2br w:val="nil"/>
                    <w:tr2bl w:val="nil"/>
                  </w:tcBorders>
                  <w:shd w:val="clear" w:color="auto" w:fill="auto"/>
                  <w:noWrap/>
                  <w:vAlign w:val="center"/>
                </w:tcPr>
                <w:p w14:paraId="26AACBA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705" w:type="dxa"/>
                  <w:tcBorders>
                    <w:tl2br w:val="nil"/>
                    <w:tr2bl w:val="nil"/>
                  </w:tcBorders>
                  <w:shd w:val="clear" w:color="auto" w:fill="auto"/>
                  <w:noWrap/>
                  <w:vAlign w:val="center"/>
                </w:tcPr>
                <w:p w14:paraId="352D648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100%</w:t>
                  </w:r>
                </w:p>
              </w:tc>
              <w:tc>
                <w:tcPr>
                  <w:tcW w:w="1058" w:type="dxa"/>
                  <w:tcBorders>
                    <w:tl2br w:val="nil"/>
                    <w:tr2bl w:val="nil"/>
                  </w:tcBorders>
                  <w:shd w:val="clear" w:color="auto" w:fill="auto"/>
                  <w:vAlign w:val="center"/>
                </w:tcPr>
                <w:p w14:paraId="0AEC9D6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00" w:type="dxa"/>
                  <w:tcBorders>
                    <w:tl2br w:val="nil"/>
                    <w:tr2bl w:val="nil"/>
                  </w:tcBorders>
                  <w:shd w:val="clear" w:color="auto" w:fill="auto"/>
                  <w:noWrap/>
                  <w:vAlign w:val="center"/>
                </w:tcPr>
                <w:p w14:paraId="6AAA456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426" w:type="dxa"/>
                  <w:tcBorders>
                    <w:tl2br w:val="nil"/>
                    <w:tr2bl w:val="nil"/>
                  </w:tcBorders>
                  <w:shd w:val="clear" w:color="auto" w:fill="auto"/>
                  <w:noWrap/>
                  <w:vAlign w:val="center"/>
                </w:tcPr>
                <w:p w14:paraId="0AAAA06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88" w:type="dxa"/>
                  <w:tcBorders>
                    <w:tl2br w:val="nil"/>
                    <w:tr2bl w:val="nil"/>
                  </w:tcBorders>
                  <w:shd w:val="clear" w:color="auto" w:fill="auto"/>
                  <w:noWrap/>
                  <w:vAlign w:val="center"/>
                </w:tcPr>
                <w:p w14:paraId="4E14D45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20.36</w:t>
                  </w:r>
                </w:p>
              </w:tc>
              <w:tc>
                <w:tcPr>
                  <w:tcW w:w="897" w:type="dxa"/>
                  <w:tcBorders>
                    <w:tl2br w:val="nil"/>
                    <w:tr2bl w:val="nil"/>
                  </w:tcBorders>
                  <w:shd w:val="clear" w:color="auto" w:fill="auto"/>
                  <w:noWrap/>
                  <w:vAlign w:val="center"/>
                </w:tcPr>
                <w:p w14:paraId="2B52AF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0.143</w:t>
                  </w:r>
                </w:p>
              </w:tc>
              <w:tc>
                <w:tcPr>
                  <w:tcW w:w="792" w:type="dxa"/>
                  <w:tcBorders>
                    <w:tl2br w:val="nil"/>
                    <w:tr2bl w:val="nil"/>
                  </w:tcBorders>
                  <w:shd w:val="clear" w:color="auto" w:fill="auto"/>
                  <w:noWrap/>
                  <w:vAlign w:val="center"/>
                </w:tcPr>
                <w:p w14:paraId="5ED0F92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755" w:type="dxa"/>
                  <w:vMerge w:val="continue"/>
                  <w:tcBorders>
                    <w:tl2br w:val="nil"/>
                    <w:tr2bl w:val="nil"/>
                  </w:tcBorders>
                  <w:shd w:val="clear" w:color="auto" w:fill="auto"/>
                  <w:noWrap/>
                  <w:vAlign w:val="center"/>
                </w:tcPr>
                <w:p w14:paraId="6E67764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5B1C8E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08D0156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558AC7A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6F93D29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688" w:type="dxa"/>
                  <w:tcBorders>
                    <w:tl2br w:val="nil"/>
                    <w:tr2bl w:val="nil"/>
                  </w:tcBorders>
                  <w:shd w:val="clear" w:color="auto" w:fill="auto"/>
                  <w:noWrap/>
                  <w:vAlign w:val="center"/>
                </w:tcPr>
                <w:p w14:paraId="2520B1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3.13</w:t>
                  </w:r>
                </w:p>
              </w:tc>
              <w:tc>
                <w:tcPr>
                  <w:tcW w:w="897" w:type="dxa"/>
                  <w:tcBorders>
                    <w:tl2br w:val="nil"/>
                    <w:tr2bl w:val="nil"/>
                  </w:tcBorders>
                  <w:shd w:val="clear" w:color="auto" w:fill="auto"/>
                  <w:noWrap/>
                  <w:vAlign w:val="center"/>
                </w:tcPr>
                <w:p w14:paraId="212E9D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w:t>
                  </w:r>
                </w:p>
              </w:tc>
              <w:tc>
                <w:tcPr>
                  <w:tcW w:w="1842" w:type="dxa"/>
                  <w:gridSpan w:val="2"/>
                  <w:tcBorders>
                    <w:tl2br w:val="nil"/>
                    <w:tr2bl w:val="nil"/>
                  </w:tcBorders>
                  <w:shd w:val="clear" w:color="auto" w:fill="auto"/>
                  <w:noWrap/>
                  <w:vAlign w:val="center"/>
                </w:tcPr>
                <w:p w14:paraId="3E84012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0.105</w:t>
                  </w:r>
                </w:p>
              </w:tc>
              <w:tc>
                <w:tcPr>
                  <w:tcW w:w="635" w:type="dxa"/>
                  <w:vMerge w:val="continue"/>
                  <w:tcBorders>
                    <w:tl2br w:val="nil"/>
                    <w:tr2bl w:val="nil"/>
                  </w:tcBorders>
                  <w:shd w:val="clear" w:color="auto" w:fill="auto"/>
                  <w:noWrap/>
                  <w:vAlign w:val="center"/>
                </w:tcPr>
                <w:p w14:paraId="25ECBA9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705" w:type="dxa"/>
                  <w:tcBorders>
                    <w:tl2br w:val="nil"/>
                    <w:tr2bl w:val="nil"/>
                  </w:tcBorders>
                  <w:shd w:val="clear" w:color="auto" w:fill="auto"/>
                  <w:noWrap/>
                  <w:vAlign w:val="center"/>
                </w:tcPr>
                <w:p w14:paraId="154036D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100%</w:t>
                  </w:r>
                </w:p>
              </w:tc>
              <w:tc>
                <w:tcPr>
                  <w:tcW w:w="1058" w:type="dxa"/>
                  <w:tcBorders>
                    <w:tl2br w:val="nil"/>
                    <w:tr2bl w:val="nil"/>
                  </w:tcBorders>
                  <w:shd w:val="clear" w:color="auto" w:fill="auto"/>
                  <w:vAlign w:val="center"/>
                </w:tcPr>
                <w:p w14:paraId="26095E2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00" w:type="dxa"/>
                  <w:tcBorders>
                    <w:tl2br w:val="nil"/>
                    <w:tr2bl w:val="nil"/>
                  </w:tcBorders>
                  <w:shd w:val="clear" w:color="auto" w:fill="auto"/>
                  <w:noWrap/>
                  <w:vAlign w:val="center"/>
                </w:tcPr>
                <w:p w14:paraId="2F06BAD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426" w:type="dxa"/>
                  <w:tcBorders>
                    <w:tl2br w:val="nil"/>
                    <w:tr2bl w:val="nil"/>
                  </w:tcBorders>
                  <w:shd w:val="clear" w:color="auto" w:fill="auto"/>
                  <w:noWrap/>
                  <w:vAlign w:val="center"/>
                </w:tcPr>
                <w:p w14:paraId="352E8B8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88" w:type="dxa"/>
                  <w:tcBorders>
                    <w:tl2br w:val="nil"/>
                    <w:tr2bl w:val="nil"/>
                  </w:tcBorders>
                  <w:shd w:val="clear" w:color="auto" w:fill="auto"/>
                  <w:noWrap/>
                  <w:vAlign w:val="center"/>
                </w:tcPr>
                <w:p w14:paraId="5234B2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3.13</w:t>
                  </w:r>
                </w:p>
              </w:tc>
              <w:tc>
                <w:tcPr>
                  <w:tcW w:w="897" w:type="dxa"/>
                  <w:tcBorders>
                    <w:tl2br w:val="nil"/>
                    <w:tr2bl w:val="nil"/>
                  </w:tcBorders>
                  <w:shd w:val="clear" w:color="auto" w:fill="auto"/>
                  <w:noWrap/>
                  <w:vAlign w:val="center"/>
                </w:tcPr>
                <w:p w14:paraId="0DC8EED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w:t>
                  </w:r>
                </w:p>
              </w:tc>
              <w:tc>
                <w:tcPr>
                  <w:tcW w:w="792" w:type="dxa"/>
                  <w:tcBorders>
                    <w:tl2br w:val="nil"/>
                    <w:tr2bl w:val="nil"/>
                  </w:tcBorders>
                  <w:shd w:val="clear" w:color="auto" w:fill="auto"/>
                  <w:noWrap/>
                  <w:vAlign w:val="center"/>
                </w:tcPr>
                <w:p w14:paraId="07BF126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0.105</w:t>
                  </w:r>
                </w:p>
              </w:tc>
              <w:tc>
                <w:tcPr>
                  <w:tcW w:w="755" w:type="dxa"/>
                  <w:vMerge w:val="continue"/>
                  <w:tcBorders>
                    <w:tl2br w:val="nil"/>
                    <w:tr2bl w:val="nil"/>
                  </w:tcBorders>
                  <w:shd w:val="clear" w:color="auto" w:fill="auto"/>
                  <w:noWrap/>
                  <w:vAlign w:val="center"/>
                </w:tcPr>
                <w:p w14:paraId="349ED06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036E9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43A82CC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restart"/>
                  <w:tcBorders>
                    <w:tl2br w:val="nil"/>
                    <w:tr2bl w:val="nil"/>
                  </w:tcBorders>
                  <w:shd w:val="clear" w:color="auto" w:fill="auto"/>
                  <w:noWrap/>
                  <w:vAlign w:val="center"/>
                </w:tcPr>
                <w:p w14:paraId="49136A6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无组织</w:t>
                  </w:r>
                </w:p>
              </w:tc>
              <w:tc>
                <w:tcPr>
                  <w:tcW w:w="1269" w:type="dxa"/>
                  <w:gridSpan w:val="2"/>
                  <w:tcBorders>
                    <w:tl2br w:val="nil"/>
                    <w:tr2bl w:val="nil"/>
                  </w:tcBorders>
                  <w:shd w:val="clear" w:color="auto" w:fill="auto"/>
                  <w:vAlign w:val="center"/>
                </w:tcPr>
                <w:p w14:paraId="1FDCA30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NMHC</w:t>
                  </w:r>
                </w:p>
              </w:tc>
              <w:tc>
                <w:tcPr>
                  <w:tcW w:w="688" w:type="dxa"/>
                  <w:tcBorders>
                    <w:tl2br w:val="nil"/>
                    <w:tr2bl w:val="nil"/>
                  </w:tcBorders>
                  <w:shd w:val="clear" w:color="auto" w:fill="auto"/>
                  <w:noWrap/>
                  <w:vAlign w:val="center"/>
                </w:tcPr>
                <w:p w14:paraId="265B470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1E4D2C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1842" w:type="dxa"/>
                  <w:gridSpan w:val="2"/>
                  <w:tcBorders>
                    <w:tl2br w:val="nil"/>
                    <w:tr2bl w:val="nil"/>
                  </w:tcBorders>
                  <w:shd w:val="clear" w:color="auto" w:fill="auto"/>
                  <w:noWrap/>
                  <w:vAlign w:val="center"/>
                </w:tcPr>
                <w:p w14:paraId="027C48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635" w:type="dxa"/>
                  <w:tcBorders>
                    <w:tl2br w:val="nil"/>
                    <w:tr2bl w:val="nil"/>
                  </w:tcBorders>
                  <w:shd w:val="clear" w:color="auto" w:fill="auto"/>
                  <w:noWrap/>
                  <w:vAlign w:val="center"/>
                </w:tcPr>
                <w:p w14:paraId="7473B7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705" w:type="dxa"/>
                  <w:tcBorders>
                    <w:tl2br w:val="nil"/>
                    <w:tr2bl w:val="nil"/>
                  </w:tcBorders>
                  <w:shd w:val="clear" w:color="auto" w:fill="auto"/>
                  <w:noWrap/>
                  <w:vAlign w:val="center"/>
                </w:tcPr>
                <w:p w14:paraId="07319A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1058" w:type="dxa"/>
                  <w:tcBorders>
                    <w:tl2br w:val="nil"/>
                    <w:tr2bl w:val="nil"/>
                  </w:tcBorders>
                  <w:shd w:val="clear" w:color="auto" w:fill="auto"/>
                  <w:vAlign w:val="center"/>
                </w:tcPr>
                <w:p w14:paraId="65F0134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加强车间通风</w:t>
                  </w:r>
                </w:p>
              </w:tc>
              <w:tc>
                <w:tcPr>
                  <w:tcW w:w="600" w:type="dxa"/>
                  <w:tcBorders>
                    <w:tl2br w:val="nil"/>
                    <w:tr2bl w:val="nil"/>
                  </w:tcBorders>
                  <w:shd w:val="clear" w:color="auto" w:fill="auto"/>
                  <w:noWrap/>
                  <w:vAlign w:val="center"/>
                </w:tcPr>
                <w:p w14:paraId="50BEBD4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426" w:type="dxa"/>
                  <w:tcBorders>
                    <w:tl2br w:val="nil"/>
                    <w:tr2bl w:val="nil"/>
                  </w:tcBorders>
                  <w:shd w:val="clear" w:color="auto" w:fill="auto"/>
                  <w:noWrap/>
                  <w:vAlign w:val="center"/>
                </w:tcPr>
                <w:p w14:paraId="575D764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688" w:type="dxa"/>
                  <w:tcBorders>
                    <w:tl2br w:val="nil"/>
                    <w:tr2bl w:val="nil"/>
                  </w:tcBorders>
                  <w:shd w:val="clear" w:color="auto" w:fill="auto"/>
                  <w:noWrap/>
                  <w:vAlign w:val="center"/>
                </w:tcPr>
                <w:p w14:paraId="214181D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1161FC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793" w:type="dxa"/>
                  <w:tcBorders>
                    <w:tl2br w:val="nil"/>
                    <w:tr2bl w:val="nil"/>
                  </w:tcBorders>
                  <w:shd w:val="clear" w:color="auto" w:fill="auto"/>
                  <w:noWrap/>
                  <w:vAlign w:val="center"/>
                </w:tcPr>
                <w:p w14:paraId="4697E4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755" w:type="dxa"/>
                  <w:tcBorders>
                    <w:tl2br w:val="nil"/>
                    <w:tr2bl w:val="nil"/>
                  </w:tcBorders>
                  <w:shd w:val="clear" w:color="auto" w:fill="auto"/>
                  <w:noWrap/>
                  <w:vAlign w:val="center"/>
                </w:tcPr>
                <w:p w14:paraId="7E5B0BB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64AB95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5AC0DA9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123981E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2CB1777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苯系物</w:t>
                  </w:r>
                </w:p>
              </w:tc>
              <w:tc>
                <w:tcPr>
                  <w:tcW w:w="688" w:type="dxa"/>
                  <w:tcBorders>
                    <w:tl2br w:val="nil"/>
                    <w:tr2bl w:val="nil"/>
                  </w:tcBorders>
                  <w:shd w:val="clear" w:color="auto" w:fill="auto"/>
                  <w:noWrap/>
                  <w:vAlign w:val="center"/>
                </w:tcPr>
                <w:p w14:paraId="2F3C96D8">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10F48AF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1842" w:type="dxa"/>
                  <w:gridSpan w:val="2"/>
                  <w:tcBorders>
                    <w:tl2br w:val="nil"/>
                    <w:tr2bl w:val="nil"/>
                  </w:tcBorders>
                  <w:shd w:val="clear" w:color="auto" w:fill="auto"/>
                  <w:noWrap/>
                  <w:vAlign w:val="center"/>
                </w:tcPr>
                <w:p w14:paraId="02CDF2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635" w:type="dxa"/>
                  <w:tcBorders>
                    <w:tl2br w:val="nil"/>
                    <w:tr2bl w:val="nil"/>
                  </w:tcBorders>
                  <w:shd w:val="clear" w:color="auto" w:fill="auto"/>
                  <w:noWrap/>
                  <w:vAlign w:val="center"/>
                </w:tcPr>
                <w:p w14:paraId="250BD1F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705" w:type="dxa"/>
                  <w:tcBorders>
                    <w:tl2br w:val="nil"/>
                    <w:tr2bl w:val="nil"/>
                  </w:tcBorders>
                  <w:shd w:val="clear" w:color="auto" w:fill="auto"/>
                  <w:noWrap/>
                  <w:vAlign w:val="center"/>
                </w:tcPr>
                <w:p w14:paraId="050F03C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1058" w:type="dxa"/>
                  <w:tcBorders>
                    <w:tl2br w:val="nil"/>
                    <w:tr2bl w:val="nil"/>
                  </w:tcBorders>
                  <w:shd w:val="clear" w:color="auto" w:fill="auto"/>
                  <w:vAlign w:val="center"/>
                </w:tcPr>
                <w:p w14:paraId="1271AB5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加强车间通风</w:t>
                  </w:r>
                </w:p>
              </w:tc>
              <w:tc>
                <w:tcPr>
                  <w:tcW w:w="600" w:type="dxa"/>
                  <w:tcBorders>
                    <w:tl2br w:val="nil"/>
                    <w:tr2bl w:val="nil"/>
                  </w:tcBorders>
                  <w:shd w:val="clear" w:color="auto" w:fill="auto"/>
                  <w:noWrap/>
                  <w:vAlign w:val="center"/>
                </w:tcPr>
                <w:p w14:paraId="66A4838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426" w:type="dxa"/>
                  <w:tcBorders>
                    <w:tl2br w:val="nil"/>
                    <w:tr2bl w:val="nil"/>
                  </w:tcBorders>
                  <w:shd w:val="clear" w:color="auto" w:fill="auto"/>
                  <w:noWrap/>
                  <w:vAlign w:val="center"/>
                </w:tcPr>
                <w:p w14:paraId="0BA3500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688" w:type="dxa"/>
                  <w:tcBorders>
                    <w:tl2br w:val="nil"/>
                    <w:tr2bl w:val="nil"/>
                  </w:tcBorders>
                  <w:shd w:val="clear" w:color="auto" w:fill="auto"/>
                  <w:noWrap/>
                  <w:vAlign w:val="center"/>
                </w:tcPr>
                <w:p w14:paraId="4443091C">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2BEEE9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793" w:type="dxa"/>
                  <w:tcBorders>
                    <w:tl2br w:val="nil"/>
                    <w:tr2bl w:val="nil"/>
                  </w:tcBorders>
                  <w:shd w:val="clear" w:color="auto" w:fill="auto"/>
                  <w:noWrap/>
                  <w:vAlign w:val="center"/>
                </w:tcPr>
                <w:p w14:paraId="329C16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755" w:type="dxa"/>
                  <w:tcBorders>
                    <w:tl2br w:val="nil"/>
                    <w:tr2bl w:val="nil"/>
                  </w:tcBorders>
                  <w:shd w:val="clear" w:color="auto" w:fill="auto"/>
                  <w:noWrap/>
                  <w:vAlign w:val="center"/>
                </w:tcPr>
                <w:p w14:paraId="63029D8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3E4465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0" w:hRule="atLeast"/>
              </w:trPr>
              <w:tc>
                <w:tcPr>
                  <w:tcW w:w="635" w:type="dxa"/>
                  <w:vMerge w:val="continue"/>
                  <w:tcBorders>
                    <w:tl2br w:val="nil"/>
                    <w:tr2bl w:val="nil"/>
                  </w:tcBorders>
                  <w:shd w:val="clear" w:color="auto" w:fill="auto"/>
                  <w:vAlign w:val="center"/>
                </w:tcPr>
                <w:p w14:paraId="65FC656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14" w:type="dxa"/>
                  <w:vMerge w:val="continue"/>
                  <w:tcBorders>
                    <w:tl2br w:val="nil"/>
                    <w:tr2bl w:val="nil"/>
                  </w:tcBorders>
                  <w:shd w:val="clear" w:color="auto" w:fill="auto"/>
                  <w:noWrap/>
                  <w:vAlign w:val="center"/>
                </w:tcPr>
                <w:p w14:paraId="1BBF06D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269" w:type="dxa"/>
                  <w:gridSpan w:val="2"/>
                  <w:tcBorders>
                    <w:tl2br w:val="nil"/>
                    <w:tr2bl w:val="nil"/>
                  </w:tcBorders>
                  <w:shd w:val="clear" w:color="auto" w:fill="auto"/>
                  <w:vAlign w:val="center"/>
                </w:tcPr>
                <w:p w14:paraId="425310D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臭气浓度</w:t>
                  </w:r>
                </w:p>
              </w:tc>
              <w:tc>
                <w:tcPr>
                  <w:tcW w:w="688" w:type="dxa"/>
                  <w:tcBorders>
                    <w:tl2br w:val="nil"/>
                    <w:tr2bl w:val="nil"/>
                  </w:tcBorders>
                  <w:shd w:val="clear" w:color="auto" w:fill="auto"/>
                  <w:noWrap/>
                  <w:vAlign w:val="center"/>
                </w:tcPr>
                <w:p w14:paraId="2CD783FF">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2CC2D578">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1842" w:type="dxa"/>
                  <w:gridSpan w:val="2"/>
                  <w:tcBorders>
                    <w:tl2br w:val="nil"/>
                    <w:tr2bl w:val="nil"/>
                  </w:tcBorders>
                  <w:shd w:val="clear" w:color="auto" w:fill="auto"/>
                  <w:noWrap/>
                  <w:vAlign w:val="center"/>
                </w:tcPr>
                <w:p w14:paraId="4942BCFA">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635" w:type="dxa"/>
                  <w:tcBorders>
                    <w:tl2br w:val="nil"/>
                    <w:tr2bl w:val="nil"/>
                  </w:tcBorders>
                  <w:shd w:val="clear" w:color="auto" w:fill="auto"/>
                  <w:noWrap/>
                  <w:vAlign w:val="center"/>
                </w:tcPr>
                <w:p w14:paraId="2C0E0B2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705" w:type="dxa"/>
                  <w:tcBorders>
                    <w:tl2br w:val="nil"/>
                    <w:tr2bl w:val="nil"/>
                  </w:tcBorders>
                  <w:shd w:val="clear" w:color="auto" w:fill="auto"/>
                  <w:noWrap/>
                  <w:vAlign w:val="center"/>
                </w:tcPr>
                <w:p w14:paraId="44B3496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1058" w:type="dxa"/>
                  <w:tcBorders>
                    <w:tl2br w:val="nil"/>
                    <w:tr2bl w:val="nil"/>
                  </w:tcBorders>
                  <w:shd w:val="clear" w:color="auto" w:fill="auto"/>
                  <w:vAlign w:val="center"/>
                </w:tcPr>
                <w:p w14:paraId="3BE08A8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加强车间通风</w:t>
                  </w:r>
                </w:p>
              </w:tc>
              <w:tc>
                <w:tcPr>
                  <w:tcW w:w="600" w:type="dxa"/>
                  <w:tcBorders>
                    <w:tl2br w:val="nil"/>
                    <w:tr2bl w:val="nil"/>
                  </w:tcBorders>
                  <w:shd w:val="clear" w:color="auto" w:fill="auto"/>
                  <w:noWrap/>
                  <w:vAlign w:val="center"/>
                </w:tcPr>
                <w:p w14:paraId="1D889CA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w:t>
                  </w:r>
                </w:p>
              </w:tc>
              <w:tc>
                <w:tcPr>
                  <w:tcW w:w="426" w:type="dxa"/>
                  <w:tcBorders>
                    <w:tl2br w:val="nil"/>
                    <w:tr2bl w:val="nil"/>
                  </w:tcBorders>
                  <w:shd w:val="clear" w:color="auto" w:fill="auto"/>
                  <w:noWrap/>
                  <w:vAlign w:val="center"/>
                </w:tcPr>
                <w:p w14:paraId="4B1FAC2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是</w:t>
                  </w:r>
                </w:p>
              </w:tc>
              <w:tc>
                <w:tcPr>
                  <w:tcW w:w="688" w:type="dxa"/>
                  <w:tcBorders>
                    <w:tl2br w:val="nil"/>
                    <w:tr2bl w:val="nil"/>
                  </w:tcBorders>
                  <w:shd w:val="clear" w:color="auto" w:fill="auto"/>
                  <w:noWrap/>
                  <w:vAlign w:val="center"/>
                </w:tcPr>
                <w:p w14:paraId="2800BE81">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1D82E8EB">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793" w:type="dxa"/>
                  <w:tcBorders>
                    <w:tl2br w:val="nil"/>
                    <w:tr2bl w:val="nil"/>
                  </w:tcBorders>
                  <w:shd w:val="clear" w:color="auto" w:fill="auto"/>
                  <w:noWrap/>
                  <w:vAlign w:val="center"/>
                </w:tcPr>
                <w:p w14:paraId="448D3082">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少量</w:t>
                  </w:r>
                </w:p>
              </w:tc>
              <w:tc>
                <w:tcPr>
                  <w:tcW w:w="755" w:type="dxa"/>
                  <w:tcBorders>
                    <w:tl2br w:val="nil"/>
                    <w:tr2bl w:val="nil"/>
                  </w:tcBorders>
                  <w:shd w:val="clear" w:color="auto" w:fill="auto"/>
                  <w:noWrap/>
                  <w:vAlign w:val="center"/>
                </w:tcPr>
                <w:p w14:paraId="092A3E7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2D8CDF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0" w:hRule="atLeast"/>
              </w:trPr>
              <w:tc>
                <w:tcPr>
                  <w:tcW w:w="635" w:type="dxa"/>
                  <w:vMerge w:val="restart"/>
                  <w:tcBorders>
                    <w:tl2br w:val="nil"/>
                    <w:tr2bl w:val="nil"/>
                  </w:tcBorders>
                  <w:shd w:val="clear" w:color="auto" w:fill="auto"/>
                  <w:vAlign w:val="center"/>
                </w:tcPr>
                <w:p w14:paraId="049EA82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切割粉尘</w:t>
                  </w:r>
                </w:p>
              </w:tc>
              <w:tc>
                <w:tcPr>
                  <w:tcW w:w="1514" w:type="dxa"/>
                  <w:vMerge w:val="restart"/>
                  <w:tcBorders>
                    <w:tl2br w:val="nil"/>
                    <w:tr2bl w:val="nil"/>
                  </w:tcBorders>
                  <w:shd w:val="clear" w:color="auto" w:fill="auto"/>
                  <w:noWrap/>
                  <w:vAlign w:val="center"/>
                </w:tcPr>
                <w:p w14:paraId="6835BAE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无组织</w:t>
                  </w:r>
                </w:p>
              </w:tc>
              <w:tc>
                <w:tcPr>
                  <w:tcW w:w="844" w:type="dxa"/>
                  <w:tcBorders>
                    <w:tl2br w:val="nil"/>
                    <w:tr2bl w:val="nil"/>
                  </w:tcBorders>
                  <w:shd w:val="clear" w:color="auto" w:fill="auto"/>
                  <w:noWrap/>
                  <w:vAlign w:val="center"/>
                </w:tcPr>
                <w:p w14:paraId="7CBDBDC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收集</w:t>
                  </w:r>
                </w:p>
              </w:tc>
              <w:tc>
                <w:tcPr>
                  <w:tcW w:w="425" w:type="dxa"/>
                  <w:tcBorders>
                    <w:tl2br w:val="nil"/>
                    <w:tr2bl w:val="nil"/>
                  </w:tcBorders>
                  <w:shd w:val="clear" w:color="auto" w:fill="auto"/>
                  <w:vAlign w:val="center"/>
                </w:tcPr>
                <w:p w14:paraId="58F8D07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688" w:type="dxa"/>
                  <w:tcBorders>
                    <w:tl2br w:val="nil"/>
                    <w:tr2bl w:val="nil"/>
                  </w:tcBorders>
                  <w:shd w:val="clear" w:color="auto" w:fill="auto"/>
                  <w:noWrap/>
                  <w:vAlign w:val="center"/>
                </w:tcPr>
                <w:p w14:paraId="6CD95E84">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32" w:type="dxa"/>
                  <w:gridSpan w:val="2"/>
                  <w:tcBorders>
                    <w:tl2br w:val="nil"/>
                    <w:tr2bl w:val="nil"/>
                  </w:tcBorders>
                  <w:shd w:val="clear" w:color="auto" w:fill="auto"/>
                  <w:noWrap/>
                  <w:vAlign w:val="center"/>
                </w:tcPr>
                <w:p w14:paraId="77C2616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0.0004</w:t>
                  </w:r>
                </w:p>
              </w:tc>
              <w:tc>
                <w:tcPr>
                  <w:tcW w:w="911" w:type="dxa"/>
                  <w:tcBorders>
                    <w:tl2br w:val="nil"/>
                    <w:tr2bl w:val="nil"/>
                  </w:tcBorders>
                  <w:shd w:val="clear" w:color="auto" w:fill="auto"/>
                  <w:noWrap/>
                  <w:vAlign w:val="center"/>
                </w:tcPr>
                <w:p w14:paraId="08CF94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c>
                <w:tcPr>
                  <w:tcW w:w="635" w:type="dxa"/>
                  <w:tcBorders>
                    <w:tl2br w:val="nil"/>
                    <w:tr2bl w:val="nil"/>
                  </w:tcBorders>
                  <w:shd w:val="clear" w:color="auto" w:fill="auto"/>
                  <w:noWrap/>
                  <w:vAlign w:val="center"/>
                </w:tcPr>
                <w:p w14:paraId="161E7F6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05" w:type="dxa"/>
                  <w:tcBorders>
                    <w:tl2br w:val="nil"/>
                    <w:tr2bl w:val="nil"/>
                  </w:tcBorders>
                  <w:shd w:val="clear" w:color="auto" w:fill="auto"/>
                  <w:noWrap/>
                  <w:vAlign w:val="center"/>
                </w:tcPr>
                <w:p w14:paraId="47F7D24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058" w:type="dxa"/>
                  <w:tcBorders>
                    <w:tl2br w:val="nil"/>
                    <w:tr2bl w:val="nil"/>
                  </w:tcBorders>
                  <w:shd w:val="clear" w:color="auto" w:fill="auto"/>
                  <w:vAlign w:val="center"/>
                </w:tcPr>
                <w:p w14:paraId="20C526D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移动式布袋除尘器</w:t>
                  </w:r>
                </w:p>
              </w:tc>
              <w:tc>
                <w:tcPr>
                  <w:tcW w:w="600" w:type="dxa"/>
                  <w:tcBorders>
                    <w:tl2br w:val="nil"/>
                    <w:tr2bl w:val="nil"/>
                  </w:tcBorders>
                  <w:shd w:val="clear" w:color="auto" w:fill="auto"/>
                  <w:noWrap/>
                  <w:vAlign w:val="center"/>
                </w:tcPr>
                <w:p w14:paraId="312DD1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426" w:type="dxa"/>
                  <w:tcBorders>
                    <w:tl2br w:val="nil"/>
                    <w:tr2bl w:val="nil"/>
                  </w:tcBorders>
                  <w:shd w:val="clear" w:color="auto" w:fill="auto"/>
                  <w:noWrap/>
                  <w:vAlign w:val="center"/>
                </w:tcPr>
                <w:p w14:paraId="2C498E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688" w:type="dxa"/>
                  <w:tcBorders>
                    <w:tl2br w:val="nil"/>
                    <w:tr2bl w:val="nil"/>
                  </w:tcBorders>
                  <w:shd w:val="clear" w:color="auto" w:fill="auto"/>
                  <w:noWrap/>
                  <w:vAlign w:val="center"/>
                </w:tcPr>
                <w:p w14:paraId="5F5A2B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5AD119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0.00002</w:t>
                  </w:r>
                </w:p>
              </w:tc>
              <w:tc>
                <w:tcPr>
                  <w:tcW w:w="793" w:type="dxa"/>
                  <w:tcBorders>
                    <w:tl2br w:val="nil"/>
                    <w:tr2bl w:val="nil"/>
                  </w:tcBorders>
                  <w:shd w:val="clear" w:color="auto" w:fill="auto"/>
                  <w:noWrap/>
                  <w:vAlign w:val="center"/>
                </w:tcPr>
                <w:p w14:paraId="0D9DB7F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755" w:type="dxa"/>
                  <w:tcBorders>
                    <w:tl2br w:val="nil"/>
                    <w:tr2bl w:val="nil"/>
                  </w:tcBorders>
                  <w:shd w:val="clear" w:color="auto" w:fill="auto"/>
                  <w:noWrap/>
                  <w:vAlign w:val="center"/>
                </w:tcPr>
                <w:p w14:paraId="4B3EDD4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76F0BB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0" w:hRule="atLeast"/>
              </w:trPr>
              <w:tc>
                <w:tcPr>
                  <w:tcW w:w="635" w:type="dxa"/>
                  <w:vMerge w:val="continue"/>
                  <w:tcBorders>
                    <w:tl2br w:val="nil"/>
                    <w:tr2bl w:val="nil"/>
                  </w:tcBorders>
                  <w:shd w:val="clear" w:color="auto" w:fill="auto"/>
                  <w:vAlign w:val="center"/>
                </w:tcPr>
                <w:p w14:paraId="7AEFC57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514" w:type="dxa"/>
                  <w:vMerge w:val="continue"/>
                  <w:tcBorders>
                    <w:tl2br w:val="nil"/>
                    <w:tr2bl w:val="nil"/>
                  </w:tcBorders>
                  <w:shd w:val="clear" w:color="auto" w:fill="auto"/>
                  <w:noWrap/>
                  <w:vAlign w:val="center"/>
                </w:tcPr>
                <w:p w14:paraId="4CBB0F2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844" w:type="dxa"/>
                  <w:tcBorders>
                    <w:tl2br w:val="nil"/>
                    <w:tr2bl w:val="nil"/>
                  </w:tcBorders>
                  <w:shd w:val="clear" w:color="auto" w:fill="auto"/>
                  <w:noWrap/>
                  <w:vAlign w:val="center"/>
                </w:tcPr>
                <w:p w14:paraId="04C4C30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未收集</w:t>
                  </w:r>
                </w:p>
              </w:tc>
              <w:tc>
                <w:tcPr>
                  <w:tcW w:w="425" w:type="dxa"/>
                  <w:tcBorders>
                    <w:tl2br w:val="nil"/>
                    <w:tr2bl w:val="nil"/>
                  </w:tcBorders>
                  <w:shd w:val="clear" w:color="auto" w:fill="auto"/>
                  <w:vAlign w:val="center"/>
                </w:tcPr>
                <w:p w14:paraId="0E1B500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688" w:type="dxa"/>
                  <w:tcBorders>
                    <w:tl2br w:val="nil"/>
                    <w:tr2bl w:val="nil"/>
                  </w:tcBorders>
                  <w:shd w:val="clear" w:color="auto" w:fill="auto"/>
                  <w:noWrap/>
                  <w:vAlign w:val="center"/>
                </w:tcPr>
                <w:p w14:paraId="0381287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32" w:type="dxa"/>
                  <w:gridSpan w:val="2"/>
                  <w:tcBorders>
                    <w:tl2br w:val="nil"/>
                    <w:tr2bl w:val="nil"/>
                  </w:tcBorders>
                  <w:shd w:val="clear" w:color="auto" w:fill="auto"/>
                  <w:noWrap/>
                  <w:vAlign w:val="center"/>
                </w:tcPr>
                <w:p w14:paraId="163493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911" w:type="dxa"/>
                  <w:tcBorders>
                    <w:tl2br w:val="nil"/>
                    <w:tr2bl w:val="nil"/>
                  </w:tcBorders>
                  <w:shd w:val="clear" w:color="auto" w:fill="auto"/>
                  <w:noWrap/>
                  <w:vAlign w:val="center"/>
                </w:tcPr>
                <w:p w14:paraId="3F9DB0A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w:t>
                  </w:r>
                </w:p>
              </w:tc>
              <w:tc>
                <w:tcPr>
                  <w:tcW w:w="635" w:type="dxa"/>
                  <w:tcBorders>
                    <w:tl2br w:val="nil"/>
                    <w:tr2bl w:val="nil"/>
                  </w:tcBorders>
                  <w:shd w:val="clear" w:color="auto" w:fill="auto"/>
                  <w:noWrap/>
                  <w:vAlign w:val="center"/>
                </w:tcPr>
                <w:p w14:paraId="2502D2C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05" w:type="dxa"/>
                  <w:tcBorders>
                    <w:tl2br w:val="nil"/>
                    <w:tr2bl w:val="nil"/>
                  </w:tcBorders>
                  <w:shd w:val="clear" w:color="auto" w:fill="auto"/>
                  <w:noWrap/>
                  <w:vAlign w:val="center"/>
                </w:tcPr>
                <w:p w14:paraId="09D5B7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58" w:type="dxa"/>
                  <w:tcBorders>
                    <w:tl2br w:val="nil"/>
                    <w:tr2bl w:val="nil"/>
                  </w:tcBorders>
                  <w:shd w:val="clear" w:color="auto" w:fill="auto"/>
                  <w:vAlign w:val="center"/>
                </w:tcPr>
                <w:p w14:paraId="1099D6A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00" w:type="dxa"/>
                  <w:tcBorders>
                    <w:tl2br w:val="nil"/>
                    <w:tr2bl w:val="nil"/>
                  </w:tcBorders>
                  <w:shd w:val="clear" w:color="auto" w:fill="auto"/>
                  <w:noWrap/>
                  <w:vAlign w:val="center"/>
                </w:tcPr>
                <w:p w14:paraId="6C496C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26" w:type="dxa"/>
                  <w:tcBorders>
                    <w:tl2br w:val="nil"/>
                    <w:tr2bl w:val="nil"/>
                  </w:tcBorders>
                  <w:shd w:val="clear" w:color="auto" w:fill="auto"/>
                  <w:noWrap/>
                  <w:vAlign w:val="center"/>
                </w:tcPr>
                <w:p w14:paraId="5D49AE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88" w:type="dxa"/>
                  <w:tcBorders>
                    <w:tl2br w:val="nil"/>
                    <w:tr2bl w:val="nil"/>
                  </w:tcBorders>
                  <w:shd w:val="clear" w:color="auto" w:fill="auto"/>
                  <w:noWrap/>
                  <w:vAlign w:val="center"/>
                </w:tcPr>
                <w:p w14:paraId="76ED859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97" w:type="dxa"/>
                  <w:tcBorders>
                    <w:tl2br w:val="nil"/>
                    <w:tr2bl w:val="nil"/>
                  </w:tcBorders>
                  <w:shd w:val="clear" w:color="auto" w:fill="auto"/>
                  <w:noWrap/>
                  <w:vAlign w:val="center"/>
                </w:tcPr>
                <w:p w14:paraId="4AED03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793" w:type="dxa"/>
                  <w:tcBorders>
                    <w:tl2br w:val="nil"/>
                    <w:tr2bl w:val="nil"/>
                  </w:tcBorders>
                  <w:shd w:val="clear" w:color="auto" w:fill="auto"/>
                  <w:noWrap/>
                  <w:vAlign w:val="center"/>
                </w:tcPr>
                <w:p w14:paraId="131480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w:t>
                  </w:r>
                </w:p>
              </w:tc>
              <w:tc>
                <w:tcPr>
                  <w:tcW w:w="755" w:type="dxa"/>
                  <w:tcBorders>
                    <w:tl2br w:val="nil"/>
                    <w:tr2bl w:val="nil"/>
                  </w:tcBorders>
                  <w:shd w:val="clear" w:color="auto" w:fill="auto"/>
                  <w:noWrap/>
                  <w:vAlign w:val="center"/>
                </w:tcPr>
                <w:p w14:paraId="1977076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39D2A1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83" w:hRule="atLeast"/>
              </w:trPr>
              <w:tc>
                <w:tcPr>
                  <w:tcW w:w="635" w:type="dxa"/>
                  <w:vMerge w:val="restart"/>
                  <w:tcBorders>
                    <w:tl2br w:val="nil"/>
                    <w:tr2bl w:val="nil"/>
                  </w:tcBorders>
                  <w:shd w:val="clear" w:color="auto" w:fill="auto"/>
                  <w:vAlign w:val="center"/>
                </w:tcPr>
                <w:p w14:paraId="6FC8C5B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sz w:val="21"/>
                      <w:szCs w:val="21"/>
                      <w:highlight w:val="none"/>
                      <w:u w:val="none"/>
                      <w:lang w:val="en-US" w:eastAsia="zh-CN"/>
                    </w:rPr>
                    <w:t>上色过程漆雾</w:t>
                  </w:r>
                </w:p>
              </w:tc>
              <w:tc>
                <w:tcPr>
                  <w:tcW w:w="1514" w:type="dxa"/>
                  <w:vMerge w:val="restart"/>
                  <w:tcBorders>
                    <w:tl2br w:val="nil"/>
                    <w:tr2bl w:val="nil"/>
                  </w:tcBorders>
                  <w:shd w:val="clear" w:color="auto" w:fill="auto"/>
                  <w:noWrap/>
                  <w:vAlign w:val="center"/>
                </w:tcPr>
                <w:p w14:paraId="68A397D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无组织</w:t>
                  </w:r>
                </w:p>
              </w:tc>
              <w:tc>
                <w:tcPr>
                  <w:tcW w:w="844" w:type="dxa"/>
                  <w:tcBorders>
                    <w:tl2br w:val="nil"/>
                    <w:tr2bl w:val="nil"/>
                  </w:tcBorders>
                  <w:shd w:val="clear" w:color="auto" w:fill="auto"/>
                  <w:noWrap/>
                  <w:vAlign w:val="center"/>
                </w:tcPr>
                <w:p w14:paraId="4FCD22A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收集</w:t>
                  </w:r>
                </w:p>
              </w:tc>
              <w:tc>
                <w:tcPr>
                  <w:tcW w:w="425" w:type="dxa"/>
                  <w:tcBorders>
                    <w:tl2br w:val="nil"/>
                    <w:tr2bl w:val="nil"/>
                  </w:tcBorders>
                  <w:shd w:val="clear" w:color="auto" w:fill="auto"/>
                  <w:vAlign w:val="center"/>
                </w:tcPr>
                <w:p w14:paraId="31BF01B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颗粒物</w:t>
                  </w:r>
                </w:p>
              </w:tc>
              <w:tc>
                <w:tcPr>
                  <w:tcW w:w="688" w:type="dxa"/>
                  <w:tcBorders>
                    <w:tl2br w:val="nil"/>
                    <w:tr2bl w:val="nil"/>
                  </w:tcBorders>
                  <w:shd w:val="clear" w:color="auto" w:fill="auto"/>
                  <w:noWrap/>
                  <w:vAlign w:val="center"/>
                </w:tcPr>
                <w:p w14:paraId="2D86F79F">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1832" w:type="dxa"/>
                  <w:gridSpan w:val="2"/>
                  <w:tcBorders>
                    <w:tl2br w:val="nil"/>
                    <w:tr2bl w:val="nil"/>
                  </w:tcBorders>
                  <w:shd w:val="clear" w:color="auto" w:fill="auto"/>
                  <w:noWrap/>
                  <w:vAlign w:val="center"/>
                </w:tcPr>
                <w:p w14:paraId="4B1CF4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0.092</w:t>
                  </w:r>
                </w:p>
              </w:tc>
              <w:tc>
                <w:tcPr>
                  <w:tcW w:w="911" w:type="dxa"/>
                  <w:tcBorders>
                    <w:tl2br w:val="nil"/>
                    <w:tr2bl w:val="nil"/>
                  </w:tcBorders>
                  <w:shd w:val="clear" w:color="auto" w:fill="auto"/>
                  <w:noWrap/>
                  <w:vAlign w:val="center"/>
                </w:tcPr>
                <w:p w14:paraId="6E3DA2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635" w:type="dxa"/>
                  <w:tcBorders>
                    <w:tl2br w:val="nil"/>
                    <w:tr2bl w:val="nil"/>
                  </w:tcBorders>
                  <w:shd w:val="clear" w:color="auto" w:fill="auto"/>
                  <w:noWrap/>
                  <w:vAlign w:val="center"/>
                </w:tcPr>
                <w:p w14:paraId="58DEEC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05" w:type="dxa"/>
                  <w:tcBorders>
                    <w:tl2br w:val="nil"/>
                    <w:tr2bl w:val="nil"/>
                  </w:tcBorders>
                  <w:shd w:val="clear" w:color="auto" w:fill="auto"/>
                  <w:noWrap/>
                  <w:vAlign w:val="center"/>
                </w:tcPr>
                <w:p w14:paraId="330B4A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058" w:type="dxa"/>
                  <w:tcBorders>
                    <w:tl2br w:val="nil"/>
                    <w:tr2bl w:val="nil"/>
                  </w:tcBorders>
                  <w:shd w:val="clear" w:color="auto" w:fill="auto"/>
                  <w:vAlign w:val="center"/>
                </w:tcPr>
                <w:p w14:paraId="7AD7B2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水喷淋装置</w:t>
                  </w:r>
                </w:p>
              </w:tc>
              <w:tc>
                <w:tcPr>
                  <w:tcW w:w="600" w:type="dxa"/>
                  <w:tcBorders>
                    <w:tl2br w:val="nil"/>
                    <w:tr2bl w:val="nil"/>
                  </w:tcBorders>
                  <w:shd w:val="clear" w:color="auto" w:fill="auto"/>
                  <w:noWrap/>
                  <w:vAlign w:val="center"/>
                </w:tcPr>
                <w:p w14:paraId="39C76A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426" w:type="dxa"/>
                  <w:tcBorders>
                    <w:tl2br w:val="nil"/>
                    <w:tr2bl w:val="nil"/>
                  </w:tcBorders>
                  <w:shd w:val="clear" w:color="auto" w:fill="auto"/>
                  <w:noWrap/>
                  <w:vAlign w:val="center"/>
                </w:tcPr>
                <w:p w14:paraId="13590F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688" w:type="dxa"/>
                  <w:tcBorders>
                    <w:tl2br w:val="nil"/>
                    <w:tr2bl w:val="nil"/>
                  </w:tcBorders>
                  <w:shd w:val="clear" w:color="auto" w:fill="auto"/>
                  <w:noWrap/>
                  <w:vAlign w:val="center"/>
                </w:tcPr>
                <w:p w14:paraId="5779AE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897" w:type="dxa"/>
                  <w:tcBorders>
                    <w:tl2br w:val="nil"/>
                    <w:tr2bl w:val="nil"/>
                  </w:tcBorders>
                  <w:shd w:val="clear" w:color="auto" w:fill="auto"/>
                  <w:noWrap/>
                  <w:vAlign w:val="center"/>
                </w:tcPr>
                <w:p w14:paraId="087F3B7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0.018</w:t>
                  </w:r>
                </w:p>
              </w:tc>
              <w:tc>
                <w:tcPr>
                  <w:tcW w:w="793" w:type="dxa"/>
                  <w:tcBorders>
                    <w:tl2br w:val="nil"/>
                    <w:tr2bl w:val="nil"/>
                  </w:tcBorders>
                  <w:shd w:val="clear" w:color="auto" w:fill="auto"/>
                  <w:noWrap/>
                  <w:vAlign w:val="center"/>
                </w:tcPr>
                <w:p w14:paraId="4CCE15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0.088</w:t>
                  </w:r>
                </w:p>
              </w:tc>
              <w:tc>
                <w:tcPr>
                  <w:tcW w:w="755" w:type="dxa"/>
                  <w:tcBorders>
                    <w:tl2br w:val="nil"/>
                    <w:tr2bl w:val="nil"/>
                  </w:tcBorders>
                  <w:shd w:val="clear" w:color="auto" w:fill="auto"/>
                  <w:noWrap/>
                  <w:vAlign w:val="center"/>
                </w:tcPr>
                <w:p w14:paraId="36A4155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6189F4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83" w:hRule="atLeast"/>
              </w:trPr>
              <w:tc>
                <w:tcPr>
                  <w:tcW w:w="635" w:type="dxa"/>
                  <w:vMerge w:val="continue"/>
                  <w:tcBorders>
                    <w:tl2br w:val="nil"/>
                    <w:tr2bl w:val="nil"/>
                  </w:tcBorders>
                  <w:shd w:val="clear" w:color="auto" w:fill="auto"/>
                  <w:vAlign w:val="center"/>
                </w:tcPr>
                <w:p w14:paraId="5318DFA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514" w:type="dxa"/>
                  <w:vMerge w:val="continue"/>
                  <w:tcBorders>
                    <w:tl2br w:val="nil"/>
                    <w:tr2bl w:val="nil"/>
                  </w:tcBorders>
                  <w:shd w:val="clear" w:color="auto" w:fill="auto"/>
                  <w:noWrap/>
                  <w:vAlign w:val="center"/>
                </w:tcPr>
                <w:p w14:paraId="0DE5BF2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844" w:type="dxa"/>
                  <w:tcBorders>
                    <w:tl2br w:val="nil"/>
                    <w:tr2bl w:val="nil"/>
                  </w:tcBorders>
                  <w:shd w:val="clear" w:color="auto" w:fill="auto"/>
                  <w:noWrap/>
                  <w:vAlign w:val="center"/>
                </w:tcPr>
                <w:p w14:paraId="2DB1090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未收集</w:t>
                  </w:r>
                </w:p>
              </w:tc>
              <w:tc>
                <w:tcPr>
                  <w:tcW w:w="425" w:type="dxa"/>
                  <w:tcBorders>
                    <w:tl2br w:val="nil"/>
                    <w:tr2bl w:val="nil"/>
                  </w:tcBorders>
                  <w:shd w:val="clear" w:color="auto" w:fill="auto"/>
                  <w:vAlign w:val="center"/>
                </w:tcPr>
                <w:p w14:paraId="4372EE1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颗粒物</w:t>
                  </w:r>
                </w:p>
              </w:tc>
              <w:tc>
                <w:tcPr>
                  <w:tcW w:w="688" w:type="dxa"/>
                  <w:tcBorders>
                    <w:tl2br w:val="nil"/>
                    <w:tr2bl w:val="nil"/>
                  </w:tcBorders>
                  <w:shd w:val="clear" w:color="auto" w:fill="auto"/>
                  <w:noWrap/>
                  <w:vAlign w:val="center"/>
                </w:tcPr>
                <w:p w14:paraId="477FF57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32" w:type="dxa"/>
                  <w:gridSpan w:val="2"/>
                  <w:tcBorders>
                    <w:tl2br w:val="nil"/>
                    <w:tr2bl w:val="nil"/>
                  </w:tcBorders>
                  <w:shd w:val="clear" w:color="auto" w:fill="auto"/>
                  <w:noWrap/>
                  <w:vAlign w:val="center"/>
                </w:tcPr>
                <w:p w14:paraId="7E93A5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911" w:type="dxa"/>
                  <w:tcBorders>
                    <w:tl2br w:val="nil"/>
                    <w:tr2bl w:val="nil"/>
                  </w:tcBorders>
                  <w:shd w:val="clear" w:color="auto" w:fill="auto"/>
                  <w:noWrap/>
                  <w:vAlign w:val="center"/>
                </w:tcPr>
                <w:p w14:paraId="24F81A0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0.238</w:t>
                  </w:r>
                </w:p>
              </w:tc>
              <w:tc>
                <w:tcPr>
                  <w:tcW w:w="635" w:type="dxa"/>
                  <w:tcBorders>
                    <w:tl2br w:val="nil"/>
                    <w:tr2bl w:val="nil"/>
                  </w:tcBorders>
                  <w:shd w:val="clear" w:color="auto" w:fill="auto"/>
                  <w:noWrap/>
                  <w:vAlign w:val="center"/>
                </w:tcPr>
                <w:p w14:paraId="710E96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05" w:type="dxa"/>
                  <w:tcBorders>
                    <w:tl2br w:val="nil"/>
                    <w:tr2bl w:val="nil"/>
                  </w:tcBorders>
                  <w:shd w:val="clear" w:color="auto" w:fill="auto"/>
                  <w:noWrap/>
                  <w:vAlign w:val="center"/>
                </w:tcPr>
                <w:p w14:paraId="1522288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58" w:type="dxa"/>
                  <w:tcBorders>
                    <w:tl2br w:val="nil"/>
                    <w:tr2bl w:val="nil"/>
                  </w:tcBorders>
                  <w:shd w:val="clear" w:color="auto" w:fill="auto"/>
                  <w:vAlign w:val="center"/>
                </w:tcPr>
                <w:p w14:paraId="0EFA2B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自然沉降</w:t>
                  </w:r>
                </w:p>
              </w:tc>
              <w:tc>
                <w:tcPr>
                  <w:tcW w:w="600" w:type="dxa"/>
                  <w:tcBorders>
                    <w:tl2br w:val="nil"/>
                    <w:tr2bl w:val="nil"/>
                  </w:tcBorders>
                  <w:shd w:val="clear" w:color="auto" w:fill="auto"/>
                  <w:noWrap/>
                  <w:vAlign w:val="center"/>
                </w:tcPr>
                <w:p w14:paraId="1F5B18B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426" w:type="dxa"/>
                  <w:tcBorders>
                    <w:tl2br w:val="nil"/>
                    <w:tr2bl w:val="nil"/>
                  </w:tcBorders>
                  <w:shd w:val="clear" w:color="auto" w:fill="auto"/>
                  <w:noWrap/>
                  <w:vAlign w:val="center"/>
                </w:tcPr>
                <w:p w14:paraId="0BC108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688" w:type="dxa"/>
                  <w:tcBorders>
                    <w:tl2br w:val="nil"/>
                    <w:tr2bl w:val="nil"/>
                  </w:tcBorders>
                  <w:shd w:val="clear" w:color="auto" w:fill="auto"/>
                  <w:noWrap/>
                  <w:vAlign w:val="center"/>
                </w:tcPr>
                <w:p w14:paraId="16B20A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897" w:type="dxa"/>
                  <w:tcBorders>
                    <w:tl2br w:val="nil"/>
                    <w:tr2bl w:val="nil"/>
                  </w:tcBorders>
                  <w:shd w:val="clear" w:color="auto" w:fill="auto"/>
                  <w:noWrap/>
                  <w:vAlign w:val="center"/>
                </w:tcPr>
                <w:p w14:paraId="6CE32FC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793" w:type="dxa"/>
                  <w:tcBorders>
                    <w:tl2br w:val="nil"/>
                    <w:tr2bl w:val="nil"/>
                  </w:tcBorders>
                  <w:shd w:val="clear" w:color="auto" w:fill="auto"/>
                  <w:noWrap/>
                  <w:vAlign w:val="center"/>
                </w:tcPr>
                <w:p w14:paraId="589D46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0.048</w:t>
                  </w:r>
                </w:p>
              </w:tc>
              <w:tc>
                <w:tcPr>
                  <w:tcW w:w="755" w:type="dxa"/>
                  <w:tcBorders>
                    <w:tl2br w:val="nil"/>
                    <w:tr2bl w:val="nil"/>
                  </w:tcBorders>
                  <w:shd w:val="clear" w:color="auto" w:fill="auto"/>
                  <w:noWrap/>
                  <w:vAlign w:val="center"/>
                </w:tcPr>
                <w:p w14:paraId="45BA343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bl>
          <w:p w14:paraId="27D977DB">
            <w:pPr>
              <w:pStyle w:val="5"/>
              <w:pageBreakBefore w:val="0"/>
              <w:numPr>
                <w:ilvl w:val="3"/>
                <w:numId w:val="0"/>
              </w:numPr>
              <w:suppressLineNumbers w:val="0"/>
              <w:wordWrap w:val="0"/>
              <w:bidi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、监测要求</w:t>
            </w:r>
          </w:p>
          <w:p w14:paraId="1FE2DA63">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 总则》（HJ819-2017）</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以及参考</w:t>
            </w:r>
            <w:r>
              <w:rPr>
                <w:rFonts w:hint="default" w:ascii="Times New Roman" w:hAnsi="Times New Roman" w:cs="Times New Roman"/>
                <w:color w:val="auto"/>
                <w:highlight w:val="none"/>
                <w:lang w:eastAsia="zh-CN"/>
              </w:rPr>
              <w:t>排污许可证申请与核发技术规范 陶瓷砖瓦工业(HJ954—2018)</w:t>
            </w:r>
            <w:r>
              <w:rPr>
                <w:rFonts w:hint="default" w:ascii="Times New Roman" w:hAnsi="Times New Roman" w:cs="Times New Roman"/>
                <w:color w:val="auto"/>
                <w:highlight w:val="none"/>
                <w:lang w:val="en-US" w:eastAsia="zh-CN"/>
              </w:rPr>
              <w:t>内容，本项目各废气污染物</w:t>
            </w:r>
            <w:r>
              <w:rPr>
                <w:rFonts w:hint="default" w:ascii="Times New Roman" w:hAnsi="Times New Roman" w:cs="Times New Roman"/>
                <w:color w:val="auto"/>
                <w:highlight w:val="none"/>
              </w:rPr>
              <w:t>监测要求见下表。</w:t>
            </w:r>
          </w:p>
          <w:p w14:paraId="63DA3120">
            <w:pPr>
              <w:pStyle w:val="12"/>
              <w:keepNext w:val="0"/>
              <w:keepLines w:val="0"/>
              <w:pageBreakBefore w:val="0"/>
              <w:numPr>
                <w:ilvl w:val="0"/>
                <w:numId w:val="0"/>
              </w:numPr>
              <w:suppressLineNumbers w:val="0"/>
              <w:tabs>
                <w:tab w:val="left" w:pos="0"/>
              </w:tabs>
              <w:wordWrap w:val="0"/>
              <w:bidi w:val="0"/>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9 </w:t>
            </w:r>
            <w:r>
              <w:rPr>
                <w:rFonts w:hint="default" w:ascii="Times New Roman" w:hAnsi="Times New Roman" w:cs="Times New Roman"/>
                <w:b/>
                <w:bCs/>
                <w:color w:val="auto"/>
                <w:highlight w:val="none"/>
                <w:lang w:val="en-US" w:eastAsia="zh-CN"/>
              </w:rPr>
              <w:t>废气自行</w:t>
            </w:r>
            <w:r>
              <w:rPr>
                <w:rFonts w:hint="default" w:ascii="Times New Roman" w:hAnsi="Times New Roman" w:cs="Times New Roman"/>
                <w:b/>
                <w:bCs/>
                <w:color w:val="auto"/>
                <w:highlight w:val="none"/>
              </w:rPr>
              <w:t>监测要求</w:t>
            </w:r>
          </w:p>
          <w:tbl>
            <w:tblPr>
              <w:tblStyle w:val="3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9"/>
              <w:gridCol w:w="1839"/>
              <w:gridCol w:w="1839"/>
              <w:gridCol w:w="8244"/>
            </w:tblGrid>
            <w:tr w14:paraId="244FF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25" w:type="pct"/>
                  <w:vAlign w:val="center"/>
                </w:tcPr>
                <w:p w14:paraId="0C8AD9B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监测点位</w:t>
                  </w:r>
                </w:p>
              </w:tc>
              <w:tc>
                <w:tcPr>
                  <w:tcW w:w="690" w:type="pct"/>
                  <w:vAlign w:val="center"/>
                </w:tcPr>
                <w:p w14:paraId="16EEA13C">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监测指标</w:t>
                  </w:r>
                </w:p>
              </w:tc>
              <w:tc>
                <w:tcPr>
                  <w:tcW w:w="690" w:type="pct"/>
                  <w:vAlign w:val="center"/>
                </w:tcPr>
                <w:p w14:paraId="3ABADD33">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监测频次</w:t>
                  </w:r>
                </w:p>
              </w:tc>
              <w:tc>
                <w:tcPr>
                  <w:tcW w:w="3093" w:type="pct"/>
                  <w:vAlign w:val="center"/>
                </w:tcPr>
                <w:p w14:paraId="04A88F4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执行排放标准</w:t>
                  </w:r>
                </w:p>
              </w:tc>
            </w:tr>
            <w:tr w14:paraId="1614B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restart"/>
                  <w:vAlign w:val="center"/>
                </w:tcPr>
                <w:p w14:paraId="785F54C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DA001</w:t>
                  </w:r>
                </w:p>
              </w:tc>
              <w:tc>
                <w:tcPr>
                  <w:tcW w:w="690" w:type="pct"/>
                  <w:vAlign w:val="center"/>
                </w:tcPr>
                <w:p w14:paraId="7B472A5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NMHC</w:t>
                  </w:r>
                </w:p>
              </w:tc>
              <w:tc>
                <w:tcPr>
                  <w:tcW w:w="690" w:type="pct"/>
                  <w:vAlign w:val="center"/>
                </w:tcPr>
                <w:p w14:paraId="54FD524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Merge w:val="restart"/>
                  <w:vAlign w:val="center"/>
                </w:tcPr>
                <w:p w14:paraId="51E95B2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rPr>
                    <w:t>广东省《固定污染源挥发性有机物综合排放标准》（DB44/2367-2022）中表1挥发性有机物排放限值</w:t>
                  </w:r>
                </w:p>
              </w:tc>
            </w:tr>
            <w:tr w14:paraId="5038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52024B3A">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690" w:type="pct"/>
                  <w:vAlign w:val="center"/>
                </w:tcPr>
                <w:p w14:paraId="5176FF1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苯系物</w:t>
                  </w:r>
                </w:p>
              </w:tc>
              <w:tc>
                <w:tcPr>
                  <w:tcW w:w="690" w:type="pct"/>
                  <w:vAlign w:val="center"/>
                </w:tcPr>
                <w:p w14:paraId="5E3B50F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Merge w:val="continue"/>
                  <w:vAlign w:val="center"/>
                </w:tcPr>
                <w:p w14:paraId="211605F3">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r>
            <w:tr w14:paraId="5D035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3F62710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690" w:type="pct"/>
                  <w:vAlign w:val="center"/>
                </w:tcPr>
                <w:p w14:paraId="1F0A9E8B">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颗粒物</w:t>
                  </w:r>
                </w:p>
              </w:tc>
              <w:tc>
                <w:tcPr>
                  <w:tcW w:w="690" w:type="pct"/>
                  <w:vAlign w:val="center"/>
                </w:tcPr>
                <w:p w14:paraId="060FF2F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Merge w:val="restart"/>
                  <w:vAlign w:val="center"/>
                </w:tcPr>
                <w:p w14:paraId="4FDB02AA">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b w:val="0"/>
                      <w:bCs w:val="0"/>
                      <w:color w:val="auto"/>
                      <w:kern w:val="2"/>
                      <w:sz w:val="21"/>
                      <w:szCs w:val="21"/>
                      <w:highlight w:val="none"/>
                    </w:rPr>
                    <w:t>《关于贯彻落实&lt;工业炉窑大气污染综合治理方案&gt;的实施意见》（粤环函〔2019〕1112号）</w:t>
                  </w:r>
                  <w:r>
                    <w:rPr>
                      <w:rFonts w:hint="default" w:ascii="Times New Roman" w:hAnsi="Times New Roman" w:cs="Times New Roman"/>
                      <w:b w:val="0"/>
                      <w:bCs w:val="0"/>
                      <w:color w:val="auto"/>
                      <w:kern w:val="2"/>
                      <w:sz w:val="21"/>
                      <w:szCs w:val="21"/>
                      <w:highlight w:val="none"/>
                      <w:lang w:val="en-US" w:eastAsia="zh-CN"/>
                    </w:rPr>
                    <w:t>限值要求</w:t>
                  </w:r>
                </w:p>
              </w:tc>
            </w:tr>
            <w:tr w14:paraId="351CA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6812699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690" w:type="pct"/>
                  <w:vAlign w:val="center"/>
                </w:tcPr>
                <w:p w14:paraId="3B96668C">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二氧化硫</w:t>
                  </w:r>
                </w:p>
              </w:tc>
              <w:tc>
                <w:tcPr>
                  <w:tcW w:w="690" w:type="pct"/>
                  <w:vAlign w:val="center"/>
                </w:tcPr>
                <w:p w14:paraId="44D7BF4E">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Merge w:val="continue"/>
                  <w:vAlign w:val="center"/>
                </w:tcPr>
                <w:p w14:paraId="2FE4ADAB">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r>
            <w:tr w14:paraId="0B22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0178CA16">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690" w:type="pct"/>
                  <w:vAlign w:val="center"/>
                </w:tcPr>
                <w:p w14:paraId="7F9645DD">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氮氧化物</w:t>
                  </w:r>
                </w:p>
              </w:tc>
              <w:tc>
                <w:tcPr>
                  <w:tcW w:w="690" w:type="pct"/>
                  <w:vAlign w:val="center"/>
                </w:tcPr>
                <w:p w14:paraId="32E043E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Merge w:val="continue"/>
                  <w:vAlign w:val="center"/>
                </w:tcPr>
                <w:p w14:paraId="6F7FCF46">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r>
            <w:tr w14:paraId="3E39C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55C6A49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690" w:type="pct"/>
                  <w:vAlign w:val="center"/>
                </w:tcPr>
                <w:p w14:paraId="739AA5E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烟气黑度</w:t>
                  </w:r>
                </w:p>
              </w:tc>
              <w:tc>
                <w:tcPr>
                  <w:tcW w:w="690" w:type="pct"/>
                  <w:vAlign w:val="center"/>
                </w:tcPr>
                <w:p w14:paraId="113B7EED">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Align w:val="center"/>
                </w:tcPr>
                <w:p w14:paraId="2185AF9A">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《工业炉窑大气污染物排放标准》（GB9078—1996）表2</w:t>
                  </w:r>
                  <w:r>
                    <w:rPr>
                      <w:rFonts w:hint="default" w:ascii="Times New Roman" w:hAnsi="Times New Roman" w:cs="Times New Roman"/>
                      <w:color w:val="auto"/>
                      <w:kern w:val="2"/>
                      <w:sz w:val="21"/>
                      <w:szCs w:val="21"/>
                      <w:highlight w:val="none"/>
                      <w:lang w:val="en-US" w:eastAsia="zh-CN"/>
                    </w:rPr>
                    <w:t>限值要求</w:t>
                  </w:r>
                </w:p>
              </w:tc>
            </w:tr>
            <w:tr w14:paraId="70CE4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1FECFC9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690" w:type="pct"/>
                  <w:vAlign w:val="center"/>
                </w:tcPr>
                <w:p w14:paraId="3DAC21E5">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臭气浓度</w:t>
                  </w:r>
                </w:p>
              </w:tc>
              <w:tc>
                <w:tcPr>
                  <w:tcW w:w="690" w:type="pct"/>
                  <w:vAlign w:val="center"/>
                </w:tcPr>
                <w:p w14:paraId="1E4C2033">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1次/</w:t>
                  </w:r>
                  <w:r>
                    <w:rPr>
                      <w:rFonts w:hint="eastAsia" w:ascii="Times New Roman" w:hAnsi="Times New Roman" w:cs="Times New Roman"/>
                      <w:color w:val="auto"/>
                      <w:kern w:val="0"/>
                      <w:sz w:val="21"/>
                      <w:szCs w:val="21"/>
                      <w:highlight w:val="none"/>
                      <w:lang w:val="en-US" w:eastAsia="zh-CN" w:bidi="ar"/>
                    </w:rPr>
                    <w:t>半</w:t>
                  </w:r>
                  <w:r>
                    <w:rPr>
                      <w:rFonts w:hint="default" w:ascii="Times New Roman" w:hAnsi="Times New Roman" w:eastAsia="宋体" w:cs="Times New Roman"/>
                      <w:color w:val="auto"/>
                      <w:kern w:val="0"/>
                      <w:sz w:val="21"/>
                      <w:szCs w:val="21"/>
                      <w:highlight w:val="none"/>
                      <w:lang w:val="en-US" w:eastAsia="zh-CN" w:bidi="ar"/>
                    </w:rPr>
                    <w:t>年</w:t>
                  </w:r>
                </w:p>
              </w:tc>
              <w:tc>
                <w:tcPr>
                  <w:tcW w:w="3093" w:type="pct"/>
                  <w:vAlign w:val="center"/>
                </w:tcPr>
                <w:p w14:paraId="488A258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spacing w:val="-2"/>
                      <w:kern w:val="2"/>
                      <w:sz w:val="21"/>
                      <w:szCs w:val="21"/>
                      <w:highlight w:val="none"/>
                      <w:lang w:val="en-US" w:eastAsia="zh-CN" w:bidi="ar"/>
                    </w:rPr>
                    <w:t>《恶</w:t>
                  </w:r>
                  <w:r>
                    <w:rPr>
                      <w:rFonts w:hint="default" w:ascii="Times New Roman" w:hAnsi="Times New Roman" w:eastAsia="宋体" w:cs="Times New Roman"/>
                      <w:color w:val="auto"/>
                      <w:kern w:val="0"/>
                      <w:sz w:val="21"/>
                      <w:szCs w:val="21"/>
                      <w:highlight w:val="none"/>
                      <w:lang w:val="en-US" w:eastAsia="zh-CN" w:bidi="ar"/>
                    </w:rPr>
                    <w:t>臭污染物排放标准》（GB14554-93）表2恶臭污染物排放标准限值</w:t>
                  </w:r>
                </w:p>
              </w:tc>
            </w:tr>
            <w:tr w14:paraId="07974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restart"/>
                  <w:vAlign w:val="center"/>
                </w:tcPr>
                <w:p w14:paraId="7EC5042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厂区内</w:t>
                  </w:r>
                </w:p>
              </w:tc>
              <w:tc>
                <w:tcPr>
                  <w:tcW w:w="690" w:type="pct"/>
                  <w:vAlign w:val="center"/>
                </w:tcPr>
                <w:p w14:paraId="2E3E25CC">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NMHC</w:t>
                  </w:r>
                </w:p>
              </w:tc>
              <w:tc>
                <w:tcPr>
                  <w:tcW w:w="690" w:type="pct"/>
                  <w:vAlign w:val="center"/>
                </w:tcPr>
                <w:p w14:paraId="790FC916">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1次/年</w:t>
                  </w:r>
                </w:p>
              </w:tc>
              <w:tc>
                <w:tcPr>
                  <w:tcW w:w="3093" w:type="pct"/>
                  <w:vAlign w:val="center"/>
                </w:tcPr>
                <w:p w14:paraId="6C934E29">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pacing w:val="-2"/>
                      <w:kern w:val="2"/>
                      <w:sz w:val="21"/>
                      <w:szCs w:val="21"/>
                      <w:highlight w:val="none"/>
                      <w:lang w:val="en-US" w:eastAsia="zh-CN" w:bidi="ar"/>
                    </w:rPr>
                  </w:pPr>
                  <w:r>
                    <w:rPr>
                      <w:rFonts w:hint="default" w:ascii="Times New Roman" w:hAnsi="Times New Roman" w:eastAsia="宋体" w:cs="Times New Roman"/>
                      <w:color w:val="auto"/>
                      <w:spacing w:val="-2"/>
                      <w:kern w:val="2"/>
                      <w:sz w:val="21"/>
                      <w:szCs w:val="21"/>
                      <w:highlight w:val="none"/>
                      <w:lang w:val="en-US" w:eastAsia="zh-CN" w:bidi="ar"/>
                    </w:rPr>
                    <w:t>广东省《固定污染源挥发性有机物综合排放标准》（DB44/2367-2022）中表3厂区内VOCs无组织排放限值</w:t>
                  </w:r>
                </w:p>
              </w:tc>
            </w:tr>
            <w:tr w14:paraId="708D1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01FD006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rPr>
                  </w:pPr>
                </w:p>
              </w:tc>
              <w:tc>
                <w:tcPr>
                  <w:tcW w:w="690" w:type="pct"/>
                  <w:vAlign w:val="center"/>
                </w:tcPr>
                <w:p w14:paraId="33C3E74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颗粒物</w:t>
                  </w:r>
                </w:p>
              </w:tc>
              <w:tc>
                <w:tcPr>
                  <w:tcW w:w="690" w:type="pct"/>
                  <w:vAlign w:val="center"/>
                </w:tcPr>
                <w:p w14:paraId="4A2D2D4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1次/年</w:t>
                  </w:r>
                </w:p>
              </w:tc>
              <w:tc>
                <w:tcPr>
                  <w:tcW w:w="3093" w:type="pct"/>
                  <w:vAlign w:val="center"/>
                </w:tcPr>
                <w:p w14:paraId="5029363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pacing w:val="-2"/>
                      <w:kern w:val="2"/>
                      <w:sz w:val="21"/>
                      <w:szCs w:val="21"/>
                      <w:highlight w:val="none"/>
                      <w:lang w:val="en-US" w:eastAsia="zh-CN" w:bidi="ar"/>
                    </w:rPr>
                  </w:pPr>
                  <w:r>
                    <w:rPr>
                      <w:rFonts w:hint="default" w:ascii="Times New Roman" w:hAnsi="Times New Roman" w:cs="Times New Roman"/>
                      <w:color w:val="auto"/>
                      <w:kern w:val="2"/>
                      <w:sz w:val="21"/>
                      <w:szCs w:val="21"/>
                      <w:highlight w:val="none"/>
                      <w:lang w:eastAsia="zh-CN"/>
                    </w:rPr>
                    <w:t>《工业炉窑大气污染物排放标准》（GB9078—1996）表3</w:t>
                  </w:r>
                  <w:r>
                    <w:rPr>
                      <w:rFonts w:hint="default" w:ascii="Times New Roman" w:hAnsi="Times New Roman" w:cs="Times New Roman"/>
                      <w:color w:val="auto"/>
                      <w:kern w:val="2"/>
                      <w:sz w:val="21"/>
                      <w:szCs w:val="21"/>
                      <w:highlight w:val="none"/>
                      <w:lang w:val="en-US" w:eastAsia="zh-CN"/>
                    </w:rPr>
                    <w:t>限值要求</w:t>
                  </w:r>
                </w:p>
              </w:tc>
            </w:tr>
            <w:tr w14:paraId="433E4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restart"/>
                  <w:vAlign w:val="center"/>
                </w:tcPr>
                <w:p w14:paraId="7E5E7F2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厂界</w:t>
                  </w:r>
                </w:p>
              </w:tc>
              <w:tc>
                <w:tcPr>
                  <w:tcW w:w="690" w:type="pct"/>
                  <w:vAlign w:val="center"/>
                </w:tcPr>
                <w:p w14:paraId="6BF31ADB">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颗粒物</w:t>
                  </w:r>
                </w:p>
              </w:tc>
              <w:tc>
                <w:tcPr>
                  <w:tcW w:w="690" w:type="pct"/>
                  <w:vAlign w:val="center"/>
                </w:tcPr>
                <w:p w14:paraId="4553EF0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1次/年</w:t>
                  </w:r>
                </w:p>
              </w:tc>
              <w:tc>
                <w:tcPr>
                  <w:tcW w:w="3093" w:type="pct"/>
                  <w:vMerge w:val="restart"/>
                  <w:vAlign w:val="center"/>
                </w:tcPr>
                <w:p w14:paraId="1980BE9B">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广东省《大气污染物排放限值》（DB44/27-2001）第二时段无组织排放监控浓度限值</w:t>
                  </w:r>
                </w:p>
              </w:tc>
            </w:tr>
            <w:tr w14:paraId="6CCA7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4BB6A0BB">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p>
              </w:tc>
              <w:tc>
                <w:tcPr>
                  <w:tcW w:w="690" w:type="pct"/>
                  <w:vAlign w:val="center"/>
                </w:tcPr>
                <w:p w14:paraId="4F9C376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2"/>
                      <w:sz w:val="21"/>
                      <w:szCs w:val="21"/>
                      <w:highlight w:val="none"/>
                    </w:rPr>
                    <w:t>二氧化硫</w:t>
                  </w:r>
                </w:p>
              </w:tc>
              <w:tc>
                <w:tcPr>
                  <w:tcW w:w="690" w:type="pct"/>
                  <w:vAlign w:val="center"/>
                </w:tcPr>
                <w:p w14:paraId="0F884021">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1次/年</w:t>
                  </w:r>
                </w:p>
              </w:tc>
              <w:tc>
                <w:tcPr>
                  <w:tcW w:w="3093" w:type="pct"/>
                  <w:vMerge w:val="continue"/>
                  <w:vAlign w:val="center"/>
                </w:tcPr>
                <w:p w14:paraId="63CB256A">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p>
              </w:tc>
            </w:tr>
            <w:tr w14:paraId="02662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Merge w:val="continue"/>
                  <w:vAlign w:val="center"/>
                </w:tcPr>
                <w:p w14:paraId="4764B6EE">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p>
              </w:tc>
              <w:tc>
                <w:tcPr>
                  <w:tcW w:w="690" w:type="pct"/>
                  <w:vAlign w:val="center"/>
                </w:tcPr>
                <w:p w14:paraId="2B218115">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2"/>
                      <w:sz w:val="21"/>
                      <w:szCs w:val="21"/>
                      <w:highlight w:val="none"/>
                    </w:rPr>
                    <w:t>氮氧化物</w:t>
                  </w:r>
                </w:p>
              </w:tc>
              <w:tc>
                <w:tcPr>
                  <w:tcW w:w="690" w:type="pct"/>
                  <w:vAlign w:val="center"/>
                </w:tcPr>
                <w:p w14:paraId="49CE5366">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1次/年</w:t>
                  </w:r>
                </w:p>
              </w:tc>
              <w:tc>
                <w:tcPr>
                  <w:tcW w:w="3093" w:type="pct"/>
                  <w:vMerge w:val="continue"/>
                  <w:vAlign w:val="center"/>
                </w:tcPr>
                <w:p w14:paraId="6EB99318">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p>
              </w:tc>
            </w:tr>
            <w:tr w14:paraId="353E8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5" w:type="pct"/>
                  <w:vMerge w:val="continue"/>
                  <w:vAlign w:val="center"/>
                </w:tcPr>
                <w:p w14:paraId="50FF06E1">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0"/>
                      <w:sz w:val="21"/>
                      <w:szCs w:val="21"/>
                      <w:highlight w:val="none"/>
                      <w:lang w:bidi="ar"/>
                    </w:rPr>
                  </w:pPr>
                </w:p>
              </w:tc>
              <w:tc>
                <w:tcPr>
                  <w:tcW w:w="690" w:type="pct"/>
                  <w:vAlign w:val="center"/>
                </w:tcPr>
                <w:p w14:paraId="3A2070A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0"/>
                      <w:sz w:val="21"/>
                      <w:szCs w:val="21"/>
                      <w:highlight w:val="none"/>
                      <w:lang w:val="en-US" w:bidi="ar"/>
                    </w:rPr>
                  </w:pPr>
                  <w:r>
                    <w:rPr>
                      <w:rFonts w:hint="default" w:ascii="Times New Roman" w:hAnsi="Times New Roman" w:cs="Times New Roman"/>
                      <w:color w:val="auto"/>
                      <w:kern w:val="0"/>
                      <w:sz w:val="21"/>
                      <w:szCs w:val="21"/>
                      <w:highlight w:val="none"/>
                      <w:lang w:val="en-US" w:eastAsia="zh-CN" w:bidi="ar"/>
                    </w:rPr>
                    <w:t>臭气浓度</w:t>
                  </w:r>
                </w:p>
              </w:tc>
              <w:tc>
                <w:tcPr>
                  <w:tcW w:w="690" w:type="pct"/>
                  <w:vAlign w:val="center"/>
                </w:tcPr>
                <w:p w14:paraId="6EBEB0B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1次/年</w:t>
                  </w:r>
                </w:p>
              </w:tc>
              <w:tc>
                <w:tcPr>
                  <w:tcW w:w="3093" w:type="pct"/>
                  <w:vAlign w:val="center"/>
                </w:tcPr>
                <w:p w14:paraId="012D355D">
                  <w:pPr>
                    <w:pStyle w:val="32"/>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firstLine="412" w:firstLineChars="200"/>
                    <w:jc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color w:val="auto"/>
                      <w:spacing w:val="-2"/>
                      <w:kern w:val="2"/>
                      <w:sz w:val="21"/>
                      <w:szCs w:val="21"/>
                      <w:highlight w:val="none"/>
                      <w:lang w:val="en-US" w:eastAsia="zh-CN" w:bidi="ar"/>
                    </w:rPr>
                    <w:t>《恶</w:t>
                  </w:r>
                  <w:r>
                    <w:rPr>
                      <w:rFonts w:hint="default" w:ascii="Times New Roman" w:hAnsi="Times New Roman" w:eastAsia="宋体" w:cs="Times New Roman"/>
                      <w:color w:val="auto"/>
                      <w:kern w:val="0"/>
                      <w:sz w:val="21"/>
                      <w:szCs w:val="21"/>
                      <w:highlight w:val="none"/>
                      <w:lang w:val="en-US" w:eastAsia="zh-CN" w:bidi="ar"/>
                    </w:rPr>
                    <w:t>臭污染物排放标准》（GB14554-93）表1新扩改建二级厂界标准值；</w:t>
                  </w:r>
                </w:p>
              </w:tc>
            </w:tr>
          </w:tbl>
          <w:p w14:paraId="091C433E">
            <w:pPr>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highlight w:val="none"/>
                <w:lang w:val="en-US" w:eastAsia="zh-CN"/>
              </w:rPr>
              <w:t>项</w:t>
            </w:r>
            <w:r>
              <w:rPr>
                <w:rFonts w:hint="default" w:ascii="Times New Roman" w:hAnsi="Times New Roman" w:cs="Times New Roman"/>
                <w:color w:val="auto"/>
                <w:sz w:val="24"/>
                <w:highlight w:val="none"/>
              </w:rPr>
              <w:t>目</w:t>
            </w:r>
            <w:r>
              <w:rPr>
                <w:rFonts w:hint="default" w:ascii="Times New Roman" w:hAnsi="Times New Roman" w:cs="Times New Roman"/>
                <w:color w:val="auto"/>
                <w:sz w:val="24"/>
                <w:highlight w:val="none"/>
                <w:lang w:val="en-US" w:eastAsia="zh-CN"/>
              </w:rPr>
              <w:t>总体</w:t>
            </w:r>
            <w:r>
              <w:rPr>
                <w:rFonts w:hint="default" w:ascii="Times New Roman" w:hAnsi="Times New Roman" w:cs="Times New Roman"/>
                <w:color w:val="auto"/>
                <w:sz w:val="24"/>
                <w:highlight w:val="none"/>
              </w:rPr>
              <w:t>废气产排情况见下表</w:t>
            </w:r>
            <w:r>
              <w:rPr>
                <w:rFonts w:hint="default" w:ascii="Times New Roman" w:hAnsi="Times New Roman" w:cs="Times New Roman"/>
                <w:color w:val="auto"/>
                <w:sz w:val="24"/>
                <w:highlight w:val="none"/>
                <w:lang w:eastAsia="zh-CN"/>
              </w:rPr>
              <w:t>：</w:t>
            </w:r>
          </w:p>
          <w:p w14:paraId="2DE1AE3D">
            <w:pPr>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 xml:space="preserve">4-10 </w:t>
            </w:r>
            <w:r>
              <w:rPr>
                <w:rFonts w:hint="default" w:ascii="Times New Roman" w:hAnsi="Times New Roman" w:cs="Times New Roman"/>
                <w:b/>
                <w:color w:val="auto"/>
                <w:sz w:val="21"/>
                <w:szCs w:val="21"/>
                <w:highlight w:val="none"/>
                <w:lang w:val="en-US" w:eastAsia="zh-CN"/>
              </w:rPr>
              <w:t>本项目废气有组织、无组织产排情况</w:t>
            </w:r>
            <w:r>
              <w:rPr>
                <w:rFonts w:hint="default" w:ascii="Times New Roman" w:hAnsi="Times New Roman" w:cs="Times New Roman"/>
                <w:b/>
                <w:color w:val="auto"/>
                <w:sz w:val="21"/>
                <w:szCs w:val="21"/>
                <w:highlight w:val="none"/>
              </w:rPr>
              <w:t>一览表</w:t>
            </w:r>
          </w:p>
          <w:tbl>
            <w:tblPr>
              <w:tblStyle w:val="36"/>
              <w:tblW w:w="497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597"/>
              <w:gridCol w:w="1888"/>
              <w:gridCol w:w="2933"/>
              <w:gridCol w:w="8"/>
              <w:gridCol w:w="2914"/>
              <w:gridCol w:w="2922"/>
            </w:tblGrid>
            <w:tr w14:paraId="00B73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988" w:type="pct"/>
                  <w:tcBorders>
                    <w:tl2br w:val="nil"/>
                    <w:tr2bl w:val="nil"/>
                  </w:tcBorders>
                  <w:shd w:val="clear" w:color="auto" w:fill="auto"/>
                  <w:vAlign w:val="center"/>
                </w:tcPr>
                <w:p w14:paraId="4BB34D6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cs="Times New Roman"/>
                      <w:b/>
                      <w:bCs/>
                      <w:i w:val="0"/>
                      <w:iCs w:val="0"/>
                      <w:color w:val="auto"/>
                      <w:kern w:val="0"/>
                      <w:sz w:val="21"/>
                      <w:szCs w:val="21"/>
                      <w:highlight w:val="none"/>
                      <w:u w:val="none"/>
                      <w:lang w:val="en-US" w:eastAsia="zh-CN" w:bidi="ar"/>
                    </w:rPr>
                    <w:t>污染物</w:t>
                  </w:r>
                </w:p>
              </w:tc>
              <w:tc>
                <w:tcPr>
                  <w:tcW w:w="721" w:type="pct"/>
                  <w:tcBorders>
                    <w:tl2br w:val="nil"/>
                    <w:tr2bl w:val="nil"/>
                  </w:tcBorders>
                  <w:shd w:val="clear" w:color="auto" w:fill="auto"/>
                  <w:vAlign w:val="center"/>
                </w:tcPr>
                <w:p w14:paraId="663B41F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排放形式</w:t>
                  </w:r>
                </w:p>
              </w:tc>
              <w:tc>
                <w:tcPr>
                  <w:tcW w:w="1099" w:type="pct"/>
                  <w:tcBorders>
                    <w:tl2br w:val="nil"/>
                    <w:tr2bl w:val="nil"/>
                  </w:tcBorders>
                  <w:shd w:val="clear" w:color="auto" w:fill="auto"/>
                  <w:noWrap/>
                  <w:vAlign w:val="center"/>
                </w:tcPr>
                <w:p w14:paraId="66F4106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095" w:type="pct"/>
                  <w:gridSpan w:val="2"/>
                  <w:tcBorders>
                    <w:tl2br w:val="nil"/>
                    <w:tr2bl w:val="nil"/>
                  </w:tcBorders>
                  <w:shd w:val="clear" w:color="auto" w:fill="auto"/>
                  <w:noWrap/>
                  <w:vAlign w:val="center"/>
                </w:tcPr>
                <w:p w14:paraId="06F656D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c>
                <w:tcPr>
                  <w:tcW w:w="1095" w:type="pct"/>
                  <w:tcBorders>
                    <w:tl2br w:val="nil"/>
                    <w:tr2bl w:val="nil"/>
                  </w:tcBorders>
                  <w:shd w:val="clear" w:color="auto" w:fill="auto"/>
                  <w:noWrap/>
                  <w:vAlign w:val="center"/>
                </w:tcPr>
                <w:p w14:paraId="3E74BDA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排放总量t/a</w:t>
                  </w:r>
                </w:p>
              </w:tc>
            </w:tr>
            <w:tr w14:paraId="79922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pct"/>
                  <w:vMerge w:val="restart"/>
                  <w:tcBorders>
                    <w:tl2br w:val="nil"/>
                    <w:tr2bl w:val="nil"/>
                  </w:tcBorders>
                  <w:shd w:val="clear" w:color="auto" w:fill="auto"/>
                  <w:vAlign w:val="center"/>
                </w:tcPr>
                <w:p w14:paraId="19CFC9F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颗粒物</w:t>
                  </w:r>
                </w:p>
              </w:tc>
              <w:tc>
                <w:tcPr>
                  <w:tcW w:w="721" w:type="pct"/>
                  <w:tcBorders>
                    <w:tl2br w:val="nil"/>
                    <w:tr2bl w:val="nil"/>
                  </w:tcBorders>
                  <w:shd w:val="clear" w:color="auto" w:fill="auto"/>
                  <w:noWrap/>
                  <w:vAlign w:val="center"/>
                </w:tcPr>
                <w:p w14:paraId="43A14D5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有</w:t>
                  </w:r>
                  <w:r>
                    <w:rPr>
                      <w:rFonts w:hint="default" w:ascii="Times New Roman" w:hAnsi="Times New Roman" w:eastAsia="宋体" w:cs="Times New Roman"/>
                      <w:i w:val="0"/>
                      <w:iCs w:val="0"/>
                      <w:color w:val="auto"/>
                      <w:kern w:val="0"/>
                      <w:sz w:val="21"/>
                      <w:szCs w:val="21"/>
                      <w:highlight w:val="none"/>
                      <w:u w:val="none"/>
                      <w:lang w:val="en-US" w:eastAsia="zh-CN" w:bidi="ar"/>
                    </w:rPr>
                    <w:t>组织</w:t>
                  </w:r>
                </w:p>
              </w:tc>
              <w:tc>
                <w:tcPr>
                  <w:tcW w:w="2941" w:type="dxa"/>
                  <w:gridSpan w:val="2"/>
                  <w:tcBorders>
                    <w:tl2br w:val="nil"/>
                    <w:tr2bl w:val="nil"/>
                  </w:tcBorders>
                  <w:shd w:val="clear" w:color="auto" w:fill="auto"/>
                  <w:noWrap/>
                  <w:vAlign w:val="center"/>
                </w:tcPr>
                <w:p w14:paraId="412FEC4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0.105</w:t>
                  </w:r>
                </w:p>
              </w:tc>
              <w:tc>
                <w:tcPr>
                  <w:tcW w:w="2914" w:type="dxa"/>
                  <w:tcBorders>
                    <w:tl2br w:val="nil"/>
                    <w:tr2bl w:val="nil"/>
                  </w:tcBorders>
                  <w:shd w:val="clear" w:color="auto" w:fill="auto"/>
                  <w:noWrap/>
                  <w:vAlign w:val="center"/>
                </w:tcPr>
                <w:p w14:paraId="6CE988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0.105</w:t>
                  </w:r>
                </w:p>
              </w:tc>
              <w:tc>
                <w:tcPr>
                  <w:tcW w:w="2922" w:type="dxa"/>
                  <w:vMerge w:val="restart"/>
                  <w:tcBorders>
                    <w:tl2br w:val="nil"/>
                    <w:tr2bl w:val="nil"/>
                  </w:tcBorders>
                  <w:shd w:val="clear" w:color="auto" w:fill="auto"/>
                  <w:noWrap/>
                  <w:vAlign w:val="center"/>
                </w:tcPr>
                <w:p w14:paraId="323206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0.2471</w:t>
                  </w:r>
                </w:p>
              </w:tc>
            </w:tr>
            <w:tr w14:paraId="5769E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988" w:type="pct"/>
                  <w:vMerge w:val="continue"/>
                  <w:tcBorders>
                    <w:tl2br w:val="nil"/>
                    <w:tr2bl w:val="nil"/>
                  </w:tcBorders>
                  <w:shd w:val="clear" w:color="auto" w:fill="auto"/>
                  <w:vAlign w:val="center"/>
                </w:tcPr>
                <w:p w14:paraId="60EDAF6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21" w:type="pct"/>
                  <w:tcBorders>
                    <w:tl2br w:val="nil"/>
                    <w:tr2bl w:val="nil"/>
                  </w:tcBorders>
                  <w:shd w:val="clear" w:color="auto" w:fill="auto"/>
                  <w:noWrap/>
                  <w:vAlign w:val="center"/>
                </w:tcPr>
                <w:p w14:paraId="1DD369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无组织</w:t>
                  </w:r>
                </w:p>
              </w:tc>
              <w:tc>
                <w:tcPr>
                  <w:tcW w:w="2941" w:type="dxa"/>
                  <w:gridSpan w:val="2"/>
                  <w:tcBorders>
                    <w:tl2br w:val="nil"/>
                    <w:tr2bl w:val="nil"/>
                  </w:tcBorders>
                  <w:shd w:val="clear" w:color="auto" w:fill="auto"/>
                  <w:noWrap/>
                  <w:vAlign w:val="center"/>
                </w:tcPr>
                <w:p w14:paraId="167CB5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0.1421</w:t>
                  </w:r>
                </w:p>
              </w:tc>
              <w:tc>
                <w:tcPr>
                  <w:tcW w:w="2914" w:type="dxa"/>
                  <w:tcBorders>
                    <w:tl2br w:val="nil"/>
                    <w:tr2bl w:val="nil"/>
                  </w:tcBorders>
                  <w:shd w:val="clear" w:color="auto" w:fill="auto"/>
                  <w:noWrap/>
                  <w:vAlign w:val="center"/>
                </w:tcPr>
                <w:p w14:paraId="08827E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0.1421</w:t>
                  </w:r>
                </w:p>
              </w:tc>
              <w:tc>
                <w:tcPr>
                  <w:tcW w:w="2922" w:type="dxa"/>
                  <w:vMerge w:val="continue"/>
                  <w:tcBorders>
                    <w:tl2br w:val="nil"/>
                    <w:tr2bl w:val="nil"/>
                  </w:tcBorders>
                  <w:shd w:val="clear" w:color="auto" w:fill="auto"/>
                  <w:noWrap/>
                  <w:vAlign w:val="center"/>
                </w:tcPr>
                <w:p w14:paraId="718B8D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i w:val="0"/>
                      <w:iCs w:val="0"/>
                      <w:color w:val="auto"/>
                      <w:kern w:val="0"/>
                      <w:sz w:val="21"/>
                      <w:szCs w:val="21"/>
                      <w:highlight w:val="none"/>
                      <w:u w:val="none"/>
                      <w:lang w:val="en-US" w:eastAsia="zh-CN" w:bidi="ar"/>
                    </w:rPr>
                  </w:pPr>
                </w:p>
              </w:tc>
            </w:tr>
            <w:tr w14:paraId="39130E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pct"/>
                  <w:vMerge w:val="restart"/>
                  <w:tcBorders>
                    <w:tl2br w:val="nil"/>
                    <w:tr2bl w:val="nil"/>
                  </w:tcBorders>
                  <w:shd w:val="clear" w:color="auto" w:fill="auto"/>
                  <w:vAlign w:val="center"/>
                </w:tcPr>
                <w:p w14:paraId="56380A8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NMHC</w:t>
                  </w:r>
                </w:p>
              </w:tc>
              <w:tc>
                <w:tcPr>
                  <w:tcW w:w="721" w:type="pct"/>
                  <w:tcBorders>
                    <w:tl2br w:val="nil"/>
                    <w:tr2bl w:val="nil"/>
                  </w:tcBorders>
                  <w:shd w:val="clear" w:color="auto" w:fill="auto"/>
                  <w:noWrap/>
                  <w:vAlign w:val="center"/>
                </w:tcPr>
                <w:p w14:paraId="4A05689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2941" w:type="dxa"/>
                  <w:gridSpan w:val="2"/>
                  <w:tcBorders>
                    <w:tl2br w:val="nil"/>
                    <w:tr2bl w:val="nil"/>
                  </w:tcBorders>
                  <w:shd w:val="clear" w:color="auto" w:fill="auto"/>
                  <w:noWrap/>
                  <w:vAlign w:val="center"/>
                </w:tcPr>
                <w:p w14:paraId="2C316D6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0.0852</w:t>
                  </w:r>
                </w:p>
              </w:tc>
              <w:tc>
                <w:tcPr>
                  <w:tcW w:w="2914" w:type="dxa"/>
                  <w:tcBorders>
                    <w:tl2br w:val="nil"/>
                    <w:tr2bl w:val="nil"/>
                  </w:tcBorders>
                  <w:shd w:val="clear" w:color="auto" w:fill="auto"/>
                  <w:noWrap/>
                  <w:vAlign w:val="center"/>
                </w:tcPr>
                <w:p w14:paraId="04A8EAB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2922" w:type="dxa"/>
                  <w:vMerge w:val="restart"/>
                  <w:tcBorders>
                    <w:tl2br w:val="nil"/>
                    <w:tr2bl w:val="nil"/>
                  </w:tcBorders>
                  <w:shd w:val="clear" w:color="auto" w:fill="auto"/>
                  <w:noWrap/>
                  <w:vAlign w:val="center"/>
                </w:tcPr>
                <w:p w14:paraId="4255663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0.036</w:t>
                  </w:r>
                </w:p>
              </w:tc>
            </w:tr>
            <w:tr w14:paraId="6E4D71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988" w:type="pct"/>
                  <w:vMerge w:val="continue"/>
                  <w:tcBorders>
                    <w:tl2br w:val="nil"/>
                    <w:tr2bl w:val="nil"/>
                  </w:tcBorders>
                  <w:shd w:val="clear" w:color="auto" w:fill="auto"/>
                  <w:vAlign w:val="center"/>
                </w:tcPr>
                <w:p w14:paraId="4ADFF6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21" w:type="pct"/>
                  <w:tcBorders>
                    <w:tl2br w:val="nil"/>
                    <w:tr2bl w:val="nil"/>
                  </w:tcBorders>
                  <w:shd w:val="clear" w:color="auto" w:fill="auto"/>
                  <w:noWrap/>
                  <w:vAlign w:val="center"/>
                </w:tcPr>
                <w:p w14:paraId="4957737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无组织</w:t>
                  </w:r>
                </w:p>
              </w:tc>
              <w:tc>
                <w:tcPr>
                  <w:tcW w:w="2941" w:type="dxa"/>
                  <w:gridSpan w:val="2"/>
                  <w:tcBorders>
                    <w:tl2br w:val="nil"/>
                    <w:tr2bl w:val="nil"/>
                  </w:tcBorders>
                  <w:shd w:val="clear" w:color="auto" w:fill="auto"/>
                  <w:noWrap/>
                  <w:vAlign w:val="center"/>
                </w:tcPr>
                <w:p w14:paraId="7B9BD6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2914" w:type="dxa"/>
                  <w:tcBorders>
                    <w:tl2br w:val="nil"/>
                    <w:tr2bl w:val="nil"/>
                  </w:tcBorders>
                  <w:shd w:val="clear" w:color="auto" w:fill="auto"/>
                  <w:noWrap/>
                  <w:vAlign w:val="center"/>
                </w:tcPr>
                <w:p w14:paraId="717DAF8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2922" w:type="dxa"/>
                  <w:vMerge w:val="continue"/>
                  <w:tcBorders>
                    <w:tl2br w:val="nil"/>
                    <w:tr2bl w:val="nil"/>
                  </w:tcBorders>
                  <w:shd w:val="clear" w:color="auto" w:fill="auto"/>
                  <w:noWrap/>
                  <w:vAlign w:val="center"/>
                </w:tcPr>
                <w:p w14:paraId="6AA08D2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20BD75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pct"/>
                  <w:vMerge w:val="restart"/>
                  <w:tcBorders>
                    <w:tl2br w:val="nil"/>
                    <w:tr2bl w:val="nil"/>
                  </w:tcBorders>
                  <w:shd w:val="clear" w:color="auto" w:fill="auto"/>
                  <w:vAlign w:val="center"/>
                </w:tcPr>
                <w:p w14:paraId="72011D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苯系物</w:t>
                  </w:r>
                </w:p>
              </w:tc>
              <w:tc>
                <w:tcPr>
                  <w:tcW w:w="721" w:type="pct"/>
                  <w:tcBorders>
                    <w:tl2br w:val="nil"/>
                    <w:tr2bl w:val="nil"/>
                  </w:tcBorders>
                  <w:shd w:val="clear" w:color="auto" w:fill="auto"/>
                  <w:noWrap/>
                  <w:vAlign w:val="center"/>
                </w:tcPr>
                <w:p w14:paraId="6A212D2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2941" w:type="dxa"/>
                  <w:gridSpan w:val="2"/>
                  <w:tcBorders>
                    <w:tl2br w:val="nil"/>
                    <w:tr2bl w:val="nil"/>
                  </w:tcBorders>
                  <w:shd w:val="clear" w:color="auto" w:fill="auto"/>
                  <w:noWrap/>
                  <w:vAlign w:val="center"/>
                </w:tcPr>
                <w:p w14:paraId="4D10F0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0.0021</w:t>
                  </w:r>
                </w:p>
              </w:tc>
              <w:tc>
                <w:tcPr>
                  <w:tcW w:w="2914" w:type="dxa"/>
                  <w:tcBorders>
                    <w:tl2br w:val="nil"/>
                    <w:tr2bl w:val="nil"/>
                  </w:tcBorders>
                  <w:shd w:val="clear" w:color="auto" w:fill="auto"/>
                  <w:noWrap/>
                  <w:vAlign w:val="center"/>
                </w:tcPr>
                <w:p w14:paraId="22047BD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2922" w:type="dxa"/>
                  <w:vMerge w:val="restart"/>
                  <w:tcBorders>
                    <w:tl2br w:val="nil"/>
                    <w:tr2bl w:val="nil"/>
                  </w:tcBorders>
                  <w:shd w:val="clear" w:color="auto" w:fill="auto"/>
                  <w:noWrap/>
                  <w:vAlign w:val="center"/>
                </w:tcPr>
                <w:p w14:paraId="02A380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0.0002</w:t>
                  </w:r>
                </w:p>
              </w:tc>
            </w:tr>
            <w:tr w14:paraId="184A69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988" w:type="pct"/>
                  <w:vMerge w:val="continue"/>
                  <w:tcBorders>
                    <w:tl2br w:val="nil"/>
                    <w:tr2bl w:val="nil"/>
                  </w:tcBorders>
                  <w:shd w:val="clear" w:color="auto" w:fill="auto"/>
                  <w:vAlign w:val="center"/>
                </w:tcPr>
                <w:p w14:paraId="59C83B7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21" w:type="pct"/>
                  <w:tcBorders>
                    <w:tl2br w:val="nil"/>
                    <w:tr2bl w:val="nil"/>
                  </w:tcBorders>
                  <w:shd w:val="clear" w:color="auto" w:fill="auto"/>
                  <w:noWrap/>
                  <w:vAlign w:val="center"/>
                </w:tcPr>
                <w:p w14:paraId="1454C1F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无组织</w:t>
                  </w:r>
                </w:p>
              </w:tc>
              <w:tc>
                <w:tcPr>
                  <w:tcW w:w="2941" w:type="dxa"/>
                  <w:gridSpan w:val="2"/>
                  <w:tcBorders>
                    <w:tl2br w:val="nil"/>
                    <w:tr2bl w:val="nil"/>
                  </w:tcBorders>
                  <w:shd w:val="clear" w:color="auto" w:fill="auto"/>
                  <w:noWrap/>
                  <w:vAlign w:val="center"/>
                </w:tcPr>
                <w:p w14:paraId="500754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2914" w:type="dxa"/>
                  <w:tcBorders>
                    <w:tl2br w:val="nil"/>
                    <w:tr2bl w:val="nil"/>
                  </w:tcBorders>
                  <w:shd w:val="clear" w:color="auto" w:fill="auto"/>
                  <w:noWrap/>
                  <w:vAlign w:val="center"/>
                </w:tcPr>
                <w:p w14:paraId="18A811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0.0001</w:t>
                  </w:r>
                </w:p>
              </w:tc>
              <w:tc>
                <w:tcPr>
                  <w:tcW w:w="2922" w:type="dxa"/>
                  <w:vMerge w:val="continue"/>
                  <w:tcBorders>
                    <w:tl2br w:val="nil"/>
                    <w:tr2bl w:val="nil"/>
                  </w:tcBorders>
                  <w:shd w:val="clear" w:color="auto" w:fill="auto"/>
                  <w:noWrap/>
                  <w:vAlign w:val="center"/>
                </w:tcPr>
                <w:p w14:paraId="18D36F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ED58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pct"/>
                  <w:tcBorders>
                    <w:tl2br w:val="nil"/>
                    <w:tr2bl w:val="nil"/>
                  </w:tcBorders>
                  <w:shd w:val="clear" w:color="auto" w:fill="auto"/>
                  <w:vAlign w:val="center"/>
                </w:tcPr>
                <w:p w14:paraId="1F08EBB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二氧化硫</w:t>
                  </w:r>
                </w:p>
              </w:tc>
              <w:tc>
                <w:tcPr>
                  <w:tcW w:w="721" w:type="pct"/>
                  <w:tcBorders>
                    <w:tl2br w:val="nil"/>
                    <w:tr2bl w:val="nil"/>
                  </w:tcBorders>
                  <w:shd w:val="clear" w:color="auto" w:fill="auto"/>
                  <w:noWrap/>
                  <w:vAlign w:val="center"/>
                </w:tcPr>
                <w:p w14:paraId="099D6F3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有组织</w:t>
                  </w:r>
                </w:p>
              </w:tc>
              <w:tc>
                <w:tcPr>
                  <w:tcW w:w="2941" w:type="dxa"/>
                  <w:gridSpan w:val="2"/>
                  <w:tcBorders>
                    <w:tl2br w:val="nil"/>
                    <w:tr2bl w:val="nil"/>
                  </w:tcBorders>
                  <w:shd w:val="clear" w:color="auto" w:fill="auto"/>
                  <w:noWrap/>
                  <w:vAlign w:val="center"/>
                </w:tcPr>
                <w:p w14:paraId="75438F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2914" w:type="dxa"/>
                  <w:tcBorders>
                    <w:tl2br w:val="nil"/>
                    <w:tr2bl w:val="nil"/>
                  </w:tcBorders>
                  <w:shd w:val="clear" w:color="auto" w:fill="auto"/>
                  <w:noWrap/>
                  <w:vAlign w:val="center"/>
                </w:tcPr>
                <w:p w14:paraId="475FA0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2922" w:type="dxa"/>
                  <w:tcBorders>
                    <w:tl2br w:val="nil"/>
                    <w:tr2bl w:val="nil"/>
                  </w:tcBorders>
                  <w:shd w:val="clear" w:color="auto" w:fill="auto"/>
                  <w:noWrap/>
                  <w:vAlign w:val="center"/>
                </w:tcPr>
                <w:p w14:paraId="754A851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r>
            <w:tr w14:paraId="796EE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pct"/>
                  <w:tcBorders>
                    <w:tl2br w:val="nil"/>
                    <w:tr2bl w:val="nil"/>
                  </w:tcBorders>
                  <w:shd w:val="clear" w:color="auto" w:fill="auto"/>
                  <w:vAlign w:val="center"/>
                </w:tcPr>
                <w:p w14:paraId="0663812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氮氧化物</w:t>
                  </w:r>
                </w:p>
              </w:tc>
              <w:tc>
                <w:tcPr>
                  <w:tcW w:w="721" w:type="pct"/>
                  <w:tcBorders>
                    <w:tl2br w:val="nil"/>
                    <w:tr2bl w:val="nil"/>
                  </w:tcBorders>
                  <w:shd w:val="clear" w:color="auto" w:fill="auto"/>
                  <w:noWrap/>
                  <w:vAlign w:val="center"/>
                </w:tcPr>
                <w:p w14:paraId="67D78FC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sz w:val="21"/>
                      <w:szCs w:val="21"/>
                      <w:highlight w:val="none"/>
                      <w:u w:val="none"/>
                      <w:lang w:val="en-US" w:eastAsia="zh-CN"/>
                    </w:rPr>
                    <w:t>有组织</w:t>
                  </w:r>
                </w:p>
              </w:tc>
              <w:tc>
                <w:tcPr>
                  <w:tcW w:w="2941" w:type="dxa"/>
                  <w:gridSpan w:val="2"/>
                  <w:tcBorders>
                    <w:tl2br w:val="nil"/>
                    <w:tr2bl w:val="nil"/>
                  </w:tcBorders>
                  <w:shd w:val="clear" w:color="auto" w:fill="auto"/>
                  <w:noWrap/>
                  <w:vAlign w:val="center"/>
                </w:tcPr>
                <w:p w14:paraId="5667C70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2914" w:type="dxa"/>
                  <w:tcBorders>
                    <w:tl2br w:val="nil"/>
                    <w:tr2bl w:val="nil"/>
                  </w:tcBorders>
                  <w:shd w:val="clear" w:color="auto" w:fill="auto"/>
                  <w:noWrap/>
                  <w:vAlign w:val="center"/>
                </w:tcPr>
                <w:p w14:paraId="4240A2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2922" w:type="dxa"/>
                  <w:tcBorders>
                    <w:tl2br w:val="nil"/>
                    <w:tr2bl w:val="nil"/>
                  </w:tcBorders>
                  <w:shd w:val="clear" w:color="auto" w:fill="auto"/>
                  <w:noWrap/>
                  <w:vAlign w:val="center"/>
                </w:tcPr>
                <w:p w14:paraId="02D486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r>
            <w:tr w14:paraId="797766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988" w:type="pct"/>
                  <w:vMerge w:val="restart"/>
                  <w:tcBorders>
                    <w:tl2br w:val="nil"/>
                    <w:tr2bl w:val="nil"/>
                  </w:tcBorders>
                  <w:shd w:val="clear" w:color="auto" w:fill="auto"/>
                  <w:vAlign w:val="center"/>
                </w:tcPr>
                <w:p w14:paraId="14384EC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臭气浓度</w:t>
                  </w:r>
                </w:p>
              </w:tc>
              <w:tc>
                <w:tcPr>
                  <w:tcW w:w="721" w:type="pct"/>
                  <w:tcBorders>
                    <w:tl2br w:val="nil"/>
                    <w:tr2bl w:val="nil"/>
                  </w:tcBorders>
                  <w:shd w:val="clear" w:color="auto" w:fill="auto"/>
                  <w:noWrap/>
                  <w:vAlign w:val="center"/>
                </w:tcPr>
                <w:p w14:paraId="29663DD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sz w:val="21"/>
                      <w:szCs w:val="21"/>
                      <w:highlight w:val="none"/>
                      <w:u w:val="none"/>
                      <w:lang w:val="en-US" w:eastAsia="zh-CN"/>
                    </w:rPr>
                    <w:t>有组织</w:t>
                  </w:r>
                </w:p>
              </w:tc>
              <w:tc>
                <w:tcPr>
                  <w:tcW w:w="1102" w:type="pct"/>
                  <w:gridSpan w:val="2"/>
                  <w:tcBorders>
                    <w:tl2br w:val="nil"/>
                    <w:tr2bl w:val="nil"/>
                  </w:tcBorders>
                  <w:shd w:val="clear" w:color="auto" w:fill="auto"/>
                  <w:noWrap/>
                  <w:vAlign w:val="center"/>
                </w:tcPr>
                <w:p w14:paraId="0CB660D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少量</w:t>
                  </w:r>
                </w:p>
              </w:tc>
              <w:tc>
                <w:tcPr>
                  <w:tcW w:w="1092" w:type="pct"/>
                  <w:tcBorders>
                    <w:tl2br w:val="nil"/>
                    <w:tr2bl w:val="nil"/>
                  </w:tcBorders>
                  <w:shd w:val="clear" w:color="auto" w:fill="auto"/>
                  <w:noWrap/>
                  <w:vAlign w:val="center"/>
                </w:tcPr>
                <w:p w14:paraId="2447E86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sz w:val="21"/>
                      <w:szCs w:val="21"/>
                      <w:highlight w:val="none"/>
                      <w:u w:val="none"/>
                      <w:lang w:val="en-US" w:eastAsia="zh-CN"/>
                    </w:rPr>
                    <w:t>少量</w:t>
                  </w:r>
                </w:p>
              </w:tc>
              <w:tc>
                <w:tcPr>
                  <w:tcW w:w="1095" w:type="pct"/>
                  <w:vMerge w:val="restart"/>
                  <w:tcBorders>
                    <w:tl2br w:val="nil"/>
                    <w:tr2bl w:val="nil"/>
                  </w:tcBorders>
                  <w:shd w:val="clear" w:color="auto" w:fill="auto"/>
                  <w:noWrap/>
                  <w:vAlign w:val="center"/>
                </w:tcPr>
                <w:p w14:paraId="33D40B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少量</w:t>
                  </w:r>
                </w:p>
              </w:tc>
            </w:tr>
            <w:tr w14:paraId="4A0154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pct"/>
                  <w:vMerge w:val="continue"/>
                  <w:tcBorders>
                    <w:tl2br w:val="nil"/>
                    <w:tr2bl w:val="nil"/>
                  </w:tcBorders>
                  <w:shd w:val="clear" w:color="auto" w:fill="auto"/>
                  <w:vAlign w:val="center"/>
                </w:tcPr>
                <w:p w14:paraId="71B151E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21" w:type="pct"/>
                  <w:tcBorders>
                    <w:tl2br w:val="nil"/>
                    <w:tr2bl w:val="nil"/>
                  </w:tcBorders>
                  <w:shd w:val="clear" w:color="auto" w:fill="auto"/>
                  <w:noWrap/>
                  <w:vAlign w:val="center"/>
                </w:tcPr>
                <w:p w14:paraId="530AF6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无</w:t>
                  </w:r>
                  <w:r>
                    <w:rPr>
                      <w:rFonts w:hint="default" w:ascii="Times New Roman" w:hAnsi="Times New Roman" w:eastAsia="宋体" w:cs="Times New Roman"/>
                      <w:i w:val="0"/>
                      <w:iCs w:val="0"/>
                      <w:color w:val="auto"/>
                      <w:kern w:val="0"/>
                      <w:sz w:val="21"/>
                      <w:szCs w:val="21"/>
                      <w:highlight w:val="none"/>
                      <w:u w:val="none"/>
                      <w:lang w:val="en-US" w:eastAsia="zh-CN" w:bidi="ar"/>
                    </w:rPr>
                    <w:t>组织</w:t>
                  </w:r>
                </w:p>
              </w:tc>
              <w:tc>
                <w:tcPr>
                  <w:tcW w:w="1102" w:type="pct"/>
                  <w:gridSpan w:val="2"/>
                  <w:tcBorders>
                    <w:tl2br w:val="nil"/>
                    <w:tr2bl w:val="nil"/>
                  </w:tcBorders>
                  <w:shd w:val="clear" w:color="auto" w:fill="auto"/>
                  <w:noWrap/>
                  <w:vAlign w:val="center"/>
                </w:tcPr>
                <w:p w14:paraId="714AF19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少量</w:t>
                  </w:r>
                </w:p>
              </w:tc>
              <w:tc>
                <w:tcPr>
                  <w:tcW w:w="1092" w:type="pct"/>
                  <w:tcBorders>
                    <w:tl2br w:val="nil"/>
                    <w:tr2bl w:val="nil"/>
                  </w:tcBorders>
                  <w:shd w:val="clear" w:color="auto" w:fill="auto"/>
                  <w:noWrap/>
                  <w:vAlign w:val="center"/>
                </w:tcPr>
                <w:p w14:paraId="4E7D895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sz w:val="21"/>
                      <w:szCs w:val="21"/>
                      <w:highlight w:val="none"/>
                      <w:u w:val="none"/>
                      <w:lang w:val="en-US" w:eastAsia="zh-CN"/>
                    </w:rPr>
                    <w:t>少量</w:t>
                  </w:r>
                </w:p>
              </w:tc>
              <w:tc>
                <w:tcPr>
                  <w:tcW w:w="1095" w:type="pct"/>
                  <w:vMerge w:val="continue"/>
                  <w:tcBorders>
                    <w:tl2br w:val="nil"/>
                    <w:tr2bl w:val="nil"/>
                  </w:tcBorders>
                  <w:shd w:val="clear" w:color="auto" w:fill="auto"/>
                  <w:noWrap/>
                  <w:vAlign w:val="center"/>
                </w:tcPr>
                <w:p w14:paraId="506543F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p>
              </w:tc>
            </w:tr>
          </w:tbl>
          <w:p w14:paraId="18C6EF73">
            <w:pPr>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color w:val="auto"/>
                <w:highlight w:val="none"/>
              </w:rPr>
            </w:pPr>
          </w:p>
        </w:tc>
      </w:tr>
    </w:tbl>
    <w:p w14:paraId="432EDF2B">
      <w:pPr>
        <w:pageBreakBefore w:val="0"/>
        <w:wordWrap w:val="0"/>
        <w:bidi w:val="0"/>
        <w:rPr>
          <w:rFonts w:hint="default" w:ascii="Times New Roman" w:hAnsi="Times New Roman" w:cs="Times New Roman"/>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104"/>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3717"/>
      </w:tblGrid>
      <w:tr w14:paraId="69CA8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8" w:hRule="atLeast"/>
        </w:trPr>
        <w:tc>
          <w:tcPr>
            <w:tcW w:w="137" w:type="pct"/>
            <w:vAlign w:val="center"/>
          </w:tcPr>
          <w:p w14:paraId="4B43395A">
            <w:pPr>
              <w:keepNext w:val="0"/>
              <w:keepLines w:val="0"/>
              <w:pageBreakBefore w:val="0"/>
              <w:widowControl w:val="0"/>
              <w:suppressLineNumbers w:val="0"/>
              <w:kinsoku/>
              <w:wordWrap w:val="0"/>
              <w:overflowPunct/>
              <w:topLinePunct w:val="0"/>
              <w:autoSpaceDE/>
              <w:autoSpaceDN/>
              <w:bidi w:val="0"/>
              <w:adjustRightInd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b/>
                <w:bCs/>
                <w:color w:val="auto"/>
                <w:kern w:val="2"/>
                <w:highlight w:val="none"/>
              </w:rPr>
              <w:t>运营期环境影响和保护措施</w:t>
            </w:r>
          </w:p>
        </w:tc>
        <w:tc>
          <w:tcPr>
            <w:tcW w:w="4862" w:type="pct"/>
          </w:tcPr>
          <w:p w14:paraId="52869C58">
            <w:pPr>
              <w:pStyle w:val="4"/>
              <w:pageBreakBefore w:val="0"/>
              <w:numPr>
                <w:ilvl w:val="2"/>
                <w:numId w:val="0"/>
              </w:numPr>
              <w:suppressLineNumbers w:val="0"/>
              <w:wordWrap w:val="0"/>
              <w:bidi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二、废水污染源</w:t>
            </w:r>
          </w:p>
          <w:p w14:paraId="4BE996D4">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7469380B">
            <w:pPr>
              <w:keepNext/>
              <w:keepLines/>
              <w:pageBreakBefore w:val="0"/>
              <w:numPr>
                <w:ilvl w:val="4"/>
                <w:numId w:val="0"/>
              </w:numPr>
              <w:suppressLineNumbers w:val="0"/>
              <w:tabs>
                <w:tab w:val="left" w:pos="0"/>
              </w:tabs>
              <w:wordWrap w:val="0"/>
              <w:bidi w:val="0"/>
              <w:spacing w:before="0" w:beforeAutospacing="0" w:after="0" w:afterAutospacing="0"/>
              <w:ind w:left="-960" w:right="0" w:firstLine="144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（1）生活污水</w:t>
            </w:r>
          </w:p>
          <w:p w14:paraId="02594F53">
            <w:pPr>
              <w:pStyle w:val="109"/>
              <w:keepNext w:val="0"/>
              <w:keepLines w:val="0"/>
              <w:pageBreakBefore w:val="0"/>
              <w:suppressLineNumbers w:val="0"/>
              <w:wordWrap w:val="0"/>
              <w:bidi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lang w:val="en-US" w:eastAsia="zh-CN"/>
              </w:rPr>
              <w:t>本</w:t>
            </w:r>
            <w:r>
              <w:rPr>
                <w:rFonts w:hint="default" w:ascii="Times New Roman" w:hAnsi="Times New Roman" w:cs="Times New Roman"/>
                <w:color w:val="auto"/>
                <w:kern w:val="0"/>
                <w:highlight w:val="none"/>
              </w:rPr>
              <w:t>项目</w:t>
            </w:r>
            <w:r>
              <w:rPr>
                <w:rFonts w:hint="default" w:ascii="Times New Roman" w:hAnsi="Times New Roman" w:cs="Times New Roman"/>
                <w:color w:val="auto"/>
                <w:highlight w:val="none"/>
              </w:rPr>
              <w:t>劳动定员</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名</w:t>
            </w:r>
            <w:r>
              <w:rPr>
                <w:rFonts w:hint="default" w:ascii="Times New Roman" w:hAnsi="Times New Roman" w:cs="Times New Roman"/>
                <w:color w:val="auto"/>
                <w:kern w:val="0"/>
                <w:highlight w:val="none"/>
              </w:rPr>
              <w:t>，参考《广东省用水定额 第3部分：生活》（DB44/T 1461.3-2021）中，“表A</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kern w:val="0"/>
                <w:highlight w:val="none"/>
              </w:rPr>
              <w:t xml:space="preserve">1 </w:t>
            </w:r>
            <w:r>
              <w:rPr>
                <w:rFonts w:hint="default" w:ascii="Times New Roman" w:hAnsi="Times New Roman" w:cs="Times New Roman"/>
                <w:color w:val="auto"/>
                <w:highlight w:val="none"/>
                <w:lang w:val="en-US" w:eastAsia="zh-CN"/>
              </w:rPr>
              <w:t>国家机构无食堂和浴室，</w:t>
            </w:r>
            <w:r>
              <w:rPr>
                <w:rFonts w:hint="default" w:ascii="Times New Roman" w:hAnsi="Times New Roman" w:cs="Times New Roman"/>
                <w:color w:val="auto"/>
                <w:kern w:val="0"/>
                <w:highlight w:val="none"/>
              </w:rPr>
              <w:t>取</w:t>
            </w:r>
            <w:r>
              <w:rPr>
                <w:rFonts w:hint="default" w:ascii="Times New Roman" w:hAnsi="Times New Roman" w:cs="Times New Roman"/>
                <w:color w:val="auto"/>
                <w:kern w:val="0"/>
                <w:highlight w:val="none"/>
                <w:lang w:val="en-US" w:eastAsia="zh-CN"/>
              </w:rPr>
              <w:t>10m</w:t>
            </w:r>
            <w:r>
              <w:rPr>
                <w:rFonts w:hint="default" w:ascii="Times New Roman" w:hAnsi="Times New Roman" w:cs="Times New Roman"/>
                <w:color w:val="auto"/>
                <w:kern w:val="0"/>
                <w:highlight w:val="none"/>
                <w:vertAlign w:val="superscript"/>
                <w:lang w:val="en-US" w:eastAsia="zh-CN"/>
              </w:rPr>
              <w:t>3</w:t>
            </w:r>
            <w:r>
              <w:rPr>
                <w:rFonts w:hint="default" w:ascii="Times New Roman" w:hAnsi="Times New Roman" w:cs="Times New Roman"/>
                <w:color w:val="auto"/>
                <w:kern w:val="0"/>
                <w:highlight w:val="none"/>
              </w:rPr>
              <w:t>/（人·</w:t>
            </w:r>
            <w:r>
              <w:rPr>
                <w:rFonts w:hint="default" w:ascii="Times New Roman" w:hAnsi="Times New Roman" w:cs="Times New Roman"/>
                <w:color w:val="auto"/>
                <w:kern w:val="0"/>
                <w:highlight w:val="none"/>
                <w:lang w:val="en-US" w:eastAsia="zh-CN"/>
              </w:rPr>
              <w:t>a</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计算得</w:t>
            </w:r>
            <w:r>
              <w:rPr>
                <w:rFonts w:hint="default" w:ascii="Times New Roman" w:hAnsi="Times New Roman" w:cs="Times New Roman"/>
                <w:color w:val="auto"/>
                <w:kern w:val="0"/>
                <w:highlight w:val="none"/>
              </w:rPr>
              <w:t>生活用水量为</w:t>
            </w:r>
            <w:r>
              <w:rPr>
                <w:rFonts w:hint="default" w:ascii="Times New Roman" w:hAnsi="Times New Roman" w:cs="Times New Roman"/>
                <w:color w:val="auto"/>
                <w:kern w:val="0"/>
                <w:highlight w:val="none"/>
                <w:lang w:val="en-US" w:eastAsia="zh-CN"/>
              </w:rPr>
              <w:t>400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w:t>
            </w:r>
          </w:p>
          <w:p w14:paraId="7BB3D201">
            <w:pPr>
              <w:pStyle w:val="109"/>
              <w:keepNext w:val="0"/>
              <w:keepLines w:val="0"/>
              <w:pageBreakBefore w:val="0"/>
              <w:suppressLineNumbers w:val="0"/>
              <w:wordWrap w:val="0"/>
              <w:bidi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lang w:eastAsia="zh"/>
              </w:rPr>
            </w:pPr>
            <w:r>
              <w:rPr>
                <w:rFonts w:hint="default" w:ascii="Times New Roman" w:hAnsi="Times New Roman" w:cs="Times New Roman"/>
                <w:color w:val="auto"/>
                <w:kern w:val="0"/>
                <w:highlight w:val="none"/>
              </w:rPr>
              <w:t>按照排污系数0.9计算，则生活污水排放量为</w:t>
            </w:r>
            <w:r>
              <w:rPr>
                <w:rFonts w:hint="default" w:ascii="Times New Roman" w:hAnsi="Times New Roman" w:cs="Times New Roman"/>
                <w:color w:val="auto"/>
                <w:kern w:val="0"/>
                <w:highlight w:val="none"/>
                <w:lang w:val="en-US" w:eastAsia="zh-CN"/>
              </w:rPr>
              <w:t>360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。本项目办公生活污水经过三级化粪池处理后经管网排入园区污水处理厂，处理达标后排入武江（乐昌城-犁市河段）</w:t>
            </w:r>
            <w:r>
              <w:rPr>
                <w:rFonts w:hint="default" w:ascii="Times New Roman" w:hAnsi="Times New Roman" w:cs="Times New Roman"/>
                <w:color w:val="auto"/>
                <w:kern w:val="0"/>
                <w:highlight w:val="none"/>
                <w:lang w:eastAsia="zh"/>
              </w:rPr>
              <w:t>。</w:t>
            </w:r>
          </w:p>
          <w:p w14:paraId="63667857">
            <w:pPr>
              <w:pStyle w:val="12"/>
              <w:keepNext w:val="0"/>
              <w:keepLines w:val="0"/>
              <w:pageBreakBefore w:val="0"/>
              <w:numPr>
                <w:ilvl w:val="0"/>
                <w:numId w:val="0"/>
              </w:numPr>
              <w:suppressLineNumbers w:val="0"/>
              <w:tabs>
                <w:tab w:val="left" w:pos="0"/>
              </w:tabs>
              <w:wordWrap w:val="0"/>
              <w:bidi w:val="0"/>
              <w:spacing w:before="0" w:beforeAutospacing="0" w:after="0" w:afterAutospacing="0" w:line="240" w:lineRule="auto"/>
              <w:ind w:left="0" w:leftChars="0" w:right="0" w:rightChars="0" w:firstLine="40" w:firstLineChars="0"/>
              <w:jc w:val="center"/>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表4-1</w:t>
            </w:r>
            <w:r>
              <w:rPr>
                <w:rFonts w:hint="default" w:ascii="Times New Roman" w:hAnsi="Times New Roman" w:cs="Times New Roman"/>
                <w:b/>
                <w:bCs/>
                <w:color w:val="auto"/>
                <w:kern w:val="2"/>
                <w:sz w:val="21"/>
                <w:szCs w:val="21"/>
                <w:highlight w:val="none"/>
                <w:lang w:val="en-US" w:eastAsia="zh-CN" w:bidi="ar-SA"/>
              </w:rPr>
              <w:t xml:space="preserve">1 </w:t>
            </w:r>
            <w:r>
              <w:rPr>
                <w:rFonts w:hint="default" w:ascii="Times New Roman" w:hAnsi="Times New Roman" w:cs="Times New Roman"/>
                <w:b/>
                <w:bCs/>
                <w:color w:val="auto"/>
                <w:highlight w:val="none"/>
              </w:rPr>
              <w:t>污水污染源源强核算结果及相关参数一览表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59"/>
              <w:gridCol w:w="2103"/>
              <w:gridCol w:w="2034"/>
              <w:gridCol w:w="1813"/>
              <w:gridCol w:w="1530"/>
              <w:gridCol w:w="1745"/>
              <w:gridCol w:w="1745"/>
              <w:gridCol w:w="57"/>
            </w:tblGrid>
            <w:tr w14:paraId="75DE3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9" w:type="pct"/>
                <w:trHeight w:val="495" w:hRule="atLeast"/>
                <w:jc w:val="center"/>
              </w:trPr>
              <w:tc>
                <w:tcPr>
                  <w:tcW w:w="912" w:type="pct"/>
                  <w:shd w:val="clear" w:color="auto" w:fill="auto"/>
                  <w:vAlign w:val="center"/>
                </w:tcPr>
                <w:p w14:paraId="5D8C7CD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污水种类</w:t>
                  </w:r>
                </w:p>
              </w:tc>
              <w:tc>
                <w:tcPr>
                  <w:tcW w:w="780" w:type="pct"/>
                  <w:shd w:val="clear" w:color="auto" w:fill="auto"/>
                  <w:vAlign w:val="center"/>
                </w:tcPr>
                <w:p w14:paraId="5CD5169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754" w:type="pct"/>
                  <w:shd w:val="clear" w:color="auto" w:fill="auto"/>
                  <w:vAlign w:val="center"/>
                </w:tcPr>
                <w:p w14:paraId="1148559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产生浓度（mg/L）</w:t>
                  </w:r>
                </w:p>
              </w:tc>
              <w:tc>
                <w:tcPr>
                  <w:tcW w:w="672" w:type="pct"/>
                  <w:shd w:val="clear" w:color="auto" w:fill="auto"/>
                  <w:vAlign w:val="center"/>
                </w:tcPr>
                <w:p w14:paraId="43410E9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567" w:type="pct"/>
                  <w:shd w:val="clear" w:color="auto" w:fill="auto"/>
                  <w:noWrap/>
                  <w:vAlign w:val="center"/>
                </w:tcPr>
                <w:p w14:paraId="52CA287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647" w:type="pct"/>
                  <w:shd w:val="clear" w:color="auto" w:fill="auto"/>
                  <w:vAlign w:val="center"/>
                </w:tcPr>
                <w:p w14:paraId="78CE8F2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647" w:type="pct"/>
                  <w:shd w:val="clear" w:color="auto" w:fill="auto"/>
                  <w:vAlign w:val="center"/>
                </w:tcPr>
                <w:p w14:paraId="6CABC1F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r>
            <w:tr w14:paraId="52F4A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9" w:type="pct"/>
                <w:trHeight w:val="330" w:hRule="atLeast"/>
                <w:jc w:val="center"/>
              </w:trPr>
              <w:tc>
                <w:tcPr>
                  <w:tcW w:w="912" w:type="pct"/>
                  <w:vMerge w:val="restart"/>
                  <w:shd w:val="clear" w:color="auto" w:fill="auto"/>
                  <w:vAlign w:val="center"/>
                </w:tcPr>
                <w:p w14:paraId="2457E22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生活污水</w:t>
                  </w:r>
                </w:p>
                <w:p w14:paraId="5952247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360</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/a</w:t>
                  </w:r>
                </w:p>
              </w:tc>
              <w:tc>
                <w:tcPr>
                  <w:tcW w:w="780" w:type="pct"/>
                  <w:shd w:val="clear" w:color="auto" w:fill="auto"/>
                  <w:vAlign w:val="center"/>
                </w:tcPr>
                <w:p w14:paraId="344AA4D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COD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Cr</w:t>
                  </w:r>
                </w:p>
              </w:tc>
              <w:tc>
                <w:tcPr>
                  <w:tcW w:w="2034" w:type="dxa"/>
                  <w:shd w:val="clear" w:color="auto" w:fill="auto"/>
                  <w:vAlign w:val="center"/>
                </w:tcPr>
                <w:p w14:paraId="4D2FAC32">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813" w:type="dxa"/>
                  <w:shd w:val="clear" w:color="auto" w:fill="auto"/>
                  <w:vAlign w:val="center"/>
                </w:tcPr>
                <w:p w14:paraId="6B5349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0.09</w:t>
                  </w:r>
                </w:p>
              </w:tc>
              <w:tc>
                <w:tcPr>
                  <w:tcW w:w="1530" w:type="dxa"/>
                  <w:shd w:val="clear" w:color="auto" w:fill="auto"/>
                  <w:noWrap/>
                  <w:vAlign w:val="center"/>
                </w:tcPr>
                <w:p w14:paraId="1E6C8C19">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745" w:type="dxa"/>
                  <w:shd w:val="clear" w:color="auto" w:fill="auto"/>
                  <w:vAlign w:val="center"/>
                </w:tcPr>
                <w:p w14:paraId="73BCAD75">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1745" w:type="dxa"/>
                  <w:shd w:val="clear" w:color="auto" w:fill="auto"/>
                  <w:vAlign w:val="center"/>
                </w:tcPr>
                <w:p w14:paraId="18F27B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r>
            <w:tr w14:paraId="0691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9" w:type="pct"/>
                <w:trHeight w:val="330" w:hRule="atLeast"/>
                <w:jc w:val="center"/>
              </w:trPr>
              <w:tc>
                <w:tcPr>
                  <w:tcW w:w="912" w:type="pct"/>
                  <w:vMerge w:val="continue"/>
                  <w:shd w:val="clear" w:color="auto" w:fill="auto"/>
                  <w:vAlign w:val="center"/>
                </w:tcPr>
                <w:p w14:paraId="3855100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780" w:type="pct"/>
                  <w:shd w:val="clear" w:color="auto" w:fill="auto"/>
                  <w:vAlign w:val="center"/>
                </w:tcPr>
                <w:p w14:paraId="3804077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BOD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5</w:t>
                  </w:r>
                </w:p>
              </w:tc>
              <w:tc>
                <w:tcPr>
                  <w:tcW w:w="2034" w:type="dxa"/>
                  <w:shd w:val="clear" w:color="auto" w:fill="auto"/>
                  <w:vAlign w:val="center"/>
                </w:tcPr>
                <w:p w14:paraId="6DF7A104">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813" w:type="dxa"/>
                  <w:shd w:val="clear" w:color="auto" w:fill="auto"/>
                  <w:vAlign w:val="center"/>
                </w:tcPr>
                <w:p w14:paraId="61327F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0.054</w:t>
                  </w:r>
                </w:p>
              </w:tc>
              <w:tc>
                <w:tcPr>
                  <w:tcW w:w="1530" w:type="dxa"/>
                  <w:shd w:val="clear" w:color="auto" w:fill="auto"/>
                  <w:noWrap/>
                  <w:vAlign w:val="center"/>
                </w:tcPr>
                <w:p w14:paraId="5937EBC2">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745" w:type="dxa"/>
                  <w:shd w:val="clear" w:color="auto" w:fill="auto"/>
                  <w:vAlign w:val="center"/>
                </w:tcPr>
                <w:p w14:paraId="72F91CCC">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142</w:t>
                  </w:r>
                </w:p>
              </w:tc>
              <w:tc>
                <w:tcPr>
                  <w:tcW w:w="1745" w:type="dxa"/>
                  <w:shd w:val="clear" w:color="auto" w:fill="auto"/>
                  <w:vAlign w:val="center"/>
                </w:tcPr>
                <w:p w14:paraId="62966E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0.051</w:t>
                  </w:r>
                </w:p>
              </w:tc>
            </w:tr>
            <w:tr w14:paraId="1198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9" w:type="pct"/>
                <w:trHeight w:val="255" w:hRule="atLeast"/>
                <w:jc w:val="center"/>
              </w:trPr>
              <w:tc>
                <w:tcPr>
                  <w:tcW w:w="912" w:type="pct"/>
                  <w:vMerge w:val="continue"/>
                  <w:shd w:val="clear" w:color="auto" w:fill="auto"/>
                  <w:noWrap/>
                  <w:vAlign w:val="center"/>
                </w:tcPr>
                <w:p w14:paraId="2E98EF5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780" w:type="pct"/>
                  <w:shd w:val="clear" w:color="auto" w:fill="auto"/>
                  <w:vAlign w:val="center"/>
                </w:tcPr>
                <w:p w14:paraId="25095AC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SS</w:t>
                  </w:r>
                </w:p>
              </w:tc>
              <w:tc>
                <w:tcPr>
                  <w:tcW w:w="2034" w:type="dxa"/>
                  <w:shd w:val="clear" w:color="auto" w:fill="auto"/>
                  <w:vAlign w:val="center"/>
                </w:tcPr>
                <w:p w14:paraId="5405858F">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813" w:type="dxa"/>
                  <w:shd w:val="clear" w:color="auto" w:fill="auto"/>
                  <w:vAlign w:val="center"/>
                </w:tcPr>
                <w:p w14:paraId="458E1D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0.054</w:t>
                  </w:r>
                </w:p>
              </w:tc>
              <w:tc>
                <w:tcPr>
                  <w:tcW w:w="1530" w:type="dxa"/>
                  <w:shd w:val="clear" w:color="auto" w:fill="auto"/>
                  <w:noWrap/>
                  <w:vAlign w:val="center"/>
                </w:tcPr>
                <w:p w14:paraId="512BF30C">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745" w:type="dxa"/>
                  <w:shd w:val="clear" w:color="auto" w:fill="auto"/>
                  <w:vAlign w:val="center"/>
                </w:tcPr>
                <w:p w14:paraId="46D42480">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106</w:t>
                  </w:r>
                </w:p>
              </w:tc>
              <w:tc>
                <w:tcPr>
                  <w:tcW w:w="1745" w:type="dxa"/>
                  <w:shd w:val="clear" w:color="auto" w:fill="auto"/>
                  <w:vAlign w:val="center"/>
                </w:tcPr>
                <w:p w14:paraId="5E2E7C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0.038</w:t>
                  </w:r>
                </w:p>
              </w:tc>
            </w:tr>
            <w:tr w14:paraId="3B8F1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9" w:type="pct"/>
                <w:trHeight w:val="330" w:hRule="atLeast"/>
                <w:jc w:val="center"/>
              </w:trPr>
              <w:tc>
                <w:tcPr>
                  <w:tcW w:w="912" w:type="pct"/>
                  <w:vMerge w:val="continue"/>
                  <w:shd w:val="clear" w:color="auto" w:fill="auto"/>
                  <w:noWrap/>
                  <w:vAlign w:val="center"/>
                </w:tcPr>
                <w:p w14:paraId="2A24C9C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0" w:type="pct"/>
                  <w:shd w:val="clear" w:color="auto" w:fill="auto"/>
                  <w:vAlign w:val="center"/>
                </w:tcPr>
                <w:p w14:paraId="550BC0A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NH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3</w:t>
                  </w:r>
                  <w:r>
                    <w:rPr>
                      <w:rFonts w:hint="default" w:ascii="Times New Roman" w:hAnsi="Times New Roman" w:eastAsia="宋体" w:cs="Times New Roman"/>
                      <w:i w:val="0"/>
                      <w:iCs w:val="0"/>
                      <w:color w:val="auto"/>
                      <w:kern w:val="0"/>
                      <w:sz w:val="20"/>
                      <w:szCs w:val="20"/>
                      <w:highlight w:val="none"/>
                      <w:u w:val="none"/>
                      <w:lang w:val="en-US" w:eastAsia="zh-CN" w:bidi="ar"/>
                    </w:rPr>
                    <w:t>-N</w:t>
                  </w:r>
                </w:p>
              </w:tc>
              <w:tc>
                <w:tcPr>
                  <w:tcW w:w="2034" w:type="dxa"/>
                  <w:shd w:val="clear" w:color="auto" w:fill="auto"/>
                  <w:vAlign w:val="center"/>
                </w:tcPr>
                <w:p w14:paraId="2DE519BA">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813" w:type="dxa"/>
                  <w:shd w:val="clear" w:color="auto" w:fill="auto"/>
                  <w:vAlign w:val="center"/>
                </w:tcPr>
                <w:p w14:paraId="1A026D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0.011</w:t>
                  </w:r>
                </w:p>
              </w:tc>
              <w:tc>
                <w:tcPr>
                  <w:tcW w:w="1530" w:type="dxa"/>
                  <w:shd w:val="clear" w:color="auto" w:fill="auto"/>
                  <w:noWrap/>
                  <w:vAlign w:val="center"/>
                </w:tcPr>
                <w:p w14:paraId="1F32E505">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45" w:type="dxa"/>
                  <w:shd w:val="clear" w:color="auto" w:fill="auto"/>
                  <w:vAlign w:val="center"/>
                </w:tcPr>
                <w:p w14:paraId="0CA45BCB">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31</w:t>
                  </w:r>
                </w:p>
              </w:tc>
              <w:tc>
                <w:tcPr>
                  <w:tcW w:w="1745" w:type="dxa"/>
                  <w:shd w:val="clear" w:color="auto" w:fill="auto"/>
                  <w:vAlign w:val="center"/>
                </w:tcPr>
                <w:p w14:paraId="5D0ADD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r>
            <w:tr w14:paraId="78C86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0" w:hRule="atLeast"/>
                <w:jc w:val="center"/>
              </w:trPr>
              <w:tc>
                <w:tcPr>
                  <w:tcW w:w="5000" w:type="pct"/>
                  <w:gridSpan w:val="8"/>
                  <w:vMerge w:val="restart"/>
                  <w:shd w:val="clear" w:color="auto" w:fill="auto"/>
                  <w:vAlign w:val="center"/>
                </w:tcPr>
                <w:p w14:paraId="7D86177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注：</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1、项目生活污水主要污染物为COD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Cr</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、SS、NH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-N，生活污水产生浓度参照《给水排水设计手册（第五册城镇排水）》（中国建筑工业出版社）表4-1典型生活污水水质示例中浓度</w:t>
                  </w:r>
                  <w:r>
                    <w:rPr>
                      <w:rFonts w:hint="default" w:ascii="Times New Roman" w:hAnsi="Times New Roman" w:cs="Times New Roman"/>
                      <w:b w:val="0"/>
                      <w:bCs w:val="0"/>
                      <w:i w:val="0"/>
                      <w:iCs w:val="0"/>
                      <w:color w:val="auto"/>
                      <w:kern w:val="0"/>
                      <w:sz w:val="21"/>
                      <w:szCs w:val="21"/>
                      <w:highlight w:val="none"/>
                      <w:u w:val="none"/>
                      <w:lang w:val="en-US" w:eastAsia="zh-CN" w:bidi="ar"/>
                    </w:rPr>
                    <w:t>；</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2、根据《室外排水设计规范（2011年版）》（GB50014-2006）、《村镇生活污染防治最佳可行技术指南（试行）》（HJ-BAT-9）三级化粪池对COD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Cr</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、SS</w:t>
                  </w:r>
                  <w:r>
                    <w:rPr>
                      <w:rFonts w:hint="default" w:ascii="Times New Roman" w:hAnsi="Times New Roman" w:cs="Times New Roman"/>
                      <w:b w:val="0"/>
                      <w:bCs w:val="0"/>
                      <w:i w:val="0"/>
                      <w:iCs w:val="0"/>
                      <w:color w:val="auto"/>
                      <w:kern w:val="0"/>
                      <w:sz w:val="21"/>
                      <w:szCs w:val="21"/>
                      <w:highlight w:val="none"/>
                      <w:u w:val="none"/>
                      <w:lang w:val="en-US" w:eastAsia="zh-CN" w:bidi="ar"/>
                    </w:rPr>
                    <w:t>、</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-N分别的处理效率为20%、5%、30%</w:t>
                  </w:r>
                  <w:r>
                    <w:rPr>
                      <w:rFonts w:hint="default" w:ascii="Times New Roman" w:hAnsi="Times New Roman" w:cs="Times New Roman"/>
                      <w:b w:val="0"/>
                      <w:bCs w:val="0"/>
                      <w:i w:val="0"/>
                      <w:iCs w:val="0"/>
                      <w:color w:val="auto"/>
                      <w:kern w:val="0"/>
                      <w:sz w:val="21"/>
                      <w:szCs w:val="21"/>
                      <w:highlight w:val="none"/>
                      <w:u w:val="none"/>
                      <w:lang w:val="en-US" w:eastAsia="zh-CN" w:bidi="ar"/>
                    </w:rPr>
                    <w:t>、</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p>
              </w:tc>
            </w:tr>
            <w:tr w14:paraId="1C8D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5000" w:type="pct"/>
                  <w:gridSpan w:val="8"/>
                  <w:vMerge w:val="continue"/>
                  <w:shd w:val="clear" w:color="auto" w:fill="auto"/>
                  <w:vAlign w:val="center"/>
                </w:tcPr>
                <w:p w14:paraId="5653601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b w:val="0"/>
                      <w:bCs w:val="0"/>
                      <w:i w:val="0"/>
                      <w:iCs w:val="0"/>
                      <w:color w:val="auto"/>
                      <w:sz w:val="21"/>
                      <w:szCs w:val="21"/>
                      <w:highlight w:val="none"/>
                      <w:u w:val="none"/>
                    </w:rPr>
                  </w:pPr>
                </w:p>
              </w:tc>
            </w:tr>
          </w:tbl>
          <w:p w14:paraId="70555787">
            <w:pPr>
              <w:pStyle w:val="6"/>
              <w:pageBreakBefore w:val="0"/>
              <w:widowControl/>
              <w:numPr>
                <w:ilvl w:val="4"/>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 w:val="0"/>
                <w:bCs w:val="0"/>
                <w:color w:val="auto"/>
                <w:kern w:val="2"/>
                <w:highlight w:val="none"/>
                <w:lang w:val="en-US" w:eastAsia="zh-CN"/>
              </w:rPr>
            </w:pPr>
            <w:r>
              <w:rPr>
                <w:rFonts w:hint="default" w:ascii="Times New Roman" w:hAnsi="Times New Roman" w:cs="Times New Roman"/>
                <w:b w:val="0"/>
                <w:bCs w:val="0"/>
                <w:color w:val="auto"/>
                <w:kern w:val="2"/>
                <w:highlight w:val="none"/>
                <w:lang w:eastAsia="zh-CN"/>
              </w:rPr>
              <w:t>（</w:t>
            </w:r>
            <w:r>
              <w:rPr>
                <w:rFonts w:hint="default" w:ascii="Times New Roman" w:hAnsi="Times New Roman" w:cs="Times New Roman"/>
                <w:b w:val="0"/>
                <w:bCs w:val="0"/>
                <w:color w:val="auto"/>
                <w:kern w:val="2"/>
                <w:highlight w:val="none"/>
                <w:lang w:val="en-US" w:eastAsia="zh-CN"/>
              </w:rPr>
              <w:t>2</w:t>
            </w:r>
            <w:r>
              <w:rPr>
                <w:rFonts w:hint="default" w:ascii="Times New Roman" w:hAnsi="Times New Roman" w:cs="Times New Roman"/>
                <w:b w:val="0"/>
                <w:bCs w:val="0"/>
                <w:color w:val="auto"/>
                <w:kern w:val="2"/>
                <w:highlight w:val="none"/>
                <w:lang w:eastAsia="zh-CN"/>
              </w:rPr>
              <w:t>）</w:t>
            </w:r>
            <w:r>
              <w:rPr>
                <w:rFonts w:hint="default" w:ascii="Times New Roman" w:hAnsi="Times New Roman" w:cs="Times New Roman"/>
                <w:b w:val="0"/>
                <w:bCs w:val="0"/>
                <w:color w:val="auto"/>
                <w:kern w:val="2"/>
                <w:highlight w:val="none"/>
                <w:lang w:val="en-US" w:eastAsia="zh-CN"/>
              </w:rPr>
              <w:t>生产废水</w:t>
            </w:r>
          </w:p>
          <w:p w14:paraId="559D0A84">
            <w:pPr>
              <w:pStyle w:val="6"/>
              <w:pageBreakBefore w:val="0"/>
              <w:widowControl/>
              <w:numPr>
                <w:ilvl w:val="4"/>
                <w:numId w:val="0"/>
              </w:numPr>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b w:val="0"/>
                <w:bCs w:val="0"/>
                <w:color w:val="auto"/>
                <w:kern w:val="2"/>
                <w:highlight w:val="none"/>
                <w:lang w:val="en-US" w:eastAsia="zh-CN"/>
              </w:rPr>
            </w:pPr>
            <w:r>
              <w:rPr>
                <w:rFonts w:hint="default" w:ascii="Times New Roman" w:hAnsi="Times New Roman" w:cs="Times New Roman"/>
                <w:b w:val="0"/>
                <w:bCs w:val="0"/>
                <w:color w:val="auto"/>
                <w:kern w:val="2"/>
                <w:highlight w:val="none"/>
                <w:lang w:val="en-US" w:eastAsia="zh-CN"/>
              </w:rPr>
              <w:t>本项目生产用水为物料调配用水，用量为0.5m</w:t>
            </w:r>
            <w:r>
              <w:rPr>
                <w:rFonts w:hint="default" w:ascii="Times New Roman" w:hAnsi="Times New Roman" w:cs="Times New Roman"/>
                <w:b w:val="0"/>
                <w:bCs w:val="0"/>
                <w:color w:val="auto"/>
                <w:kern w:val="2"/>
                <w:highlight w:val="none"/>
                <w:vertAlign w:val="superscript"/>
                <w:lang w:val="en-US" w:eastAsia="zh-CN"/>
              </w:rPr>
              <w:t>3</w:t>
            </w:r>
            <w:r>
              <w:rPr>
                <w:rFonts w:hint="default" w:ascii="Times New Roman" w:hAnsi="Times New Roman" w:cs="Times New Roman"/>
                <w:b w:val="0"/>
                <w:bCs w:val="0"/>
                <w:color w:val="auto"/>
                <w:kern w:val="2"/>
                <w:highlight w:val="none"/>
                <w:lang w:val="en-US" w:eastAsia="zh-CN"/>
              </w:rPr>
              <w:t>/a，全部进入物料中，无生产废水排放；喷枪清洗用水0.6m</w:t>
            </w:r>
            <w:r>
              <w:rPr>
                <w:rFonts w:hint="default" w:ascii="Times New Roman" w:hAnsi="Times New Roman" w:cs="Times New Roman"/>
                <w:b w:val="0"/>
                <w:bCs w:val="0"/>
                <w:color w:val="auto"/>
                <w:kern w:val="2"/>
                <w:highlight w:val="none"/>
                <w:vertAlign w:val="superscript"/>
                <w:lang w:val="en-US" w:eastAsia="zh-CN"/>
              </w:rPr>
              <w:t>3</w:t>
            </w:r>
            <w:r>
              <w:rPr>
                <w:rFonts w:hint="default" w:ascii="Times New Roman" w:hAnsi="Times New Roman" w:cs="Times New Roman"/>
                <w:b w:val="0"/>
                <w:bCs w:val="0"/>
                <w:color w:val="auto"/>
                <w:kern w:val="2"/>
                <w:highlight w:val="none"/>
                <w:lang w:val="en-US" w:eastAsia="zh-CN"/>
              </w:rPr>
              <w:t>/a，全部作为危险废物交由有资质单位转运处理，无生产废水排放；水帘柜喷淋用水483m</w:t>
            </w:r>
            <w:r>
              <w:rPr>
                <w:rFonts w:hint="default" w:ascii="Times New Roman" w:hAnsi="Times New Roman" w:cs="Times New Roman"/>
                <w:b w:val="0"/>
                <w:bCs w:val="0"/>
                <w:color w:val="auto"/>
                <w:kern w:val="2"/>
                <w:highlight w:val="none"/>
                <w:vertAlign w:val="superscript"/>
                <w:lang w:val="en-US" w:eastAsia="zh-CN"/>
              </w:rPr>
              <w:t>3</w:t>
            </w:r>
            <w:r>
              <w:rPr>
                <w:rFonts w:hint="default" w:ascii="Times New Roman" w:hAnsi="Times New Roman" w:cs="Times New Roman"/>
                <w:b w:val="0"/>
                <w:bCs w:val="0"/>
                <w:color w:val="auto"/>
                <w:kern w:val="2"/>
                <w:highlight w:val="none"/>
                <w:lang w:val="en-US" w:eastAsia="zh-CN"/>
              </w:rPr>
              <w:t>/a，除蒸发损耗补充用水480m</w:t>
            </w:r>
            <w:r>
              <w:rPr>
                <w:rFonts w:hint="default" w:ascii="Times New Roman" w:hAnsi="Times New Roman" w:cs="Times New Roman"/>
                <w:b w:val="0"/>
                <w:bCs w:val="0"/>
                <w:color w:val="auto"/>
                <w:kern w:val="2"/>
                <w:highlight w:val="none"/>
                <w:vertAlign w:val="superscript"/>
                <w:lang w:val="en-US" w:eastAsia="zh-CN"/>
              </w:rPr>
              <w:t>3</w:t>
            </w:r>
            <w:r>
              <w:rPr>
                <w:rFonts w:hint="default" w:ascii="Times New Roman" w:hAnsi="Times New Roman" w:cs="Times New Roman"/>
                <w:b w:val="0"/>
                <w:bCs w:val="0"/>
                <w:color w:val="auto"/>
                <w:kern w:val="2"/>
                <w:highlight w:val="none"/>
                <w:lang w:val="en-US" w:eastAsia="zh-CN"/>
              </w:rPr>
              <w:t>/a外，剩余定期更换产生的水帘柜喷淋废水3m</w:t>
            </w:r>
            <w:r>
              <w:rPr>
                <w:rFonts w:hint="default" w:ascii="Times New Roman" w:hAnsi="Times New Roman" w:cs="Times New Roman"/>
                <w:b w:val="0"/>
                <w:bCs w:val="0"/>
                <w:color w:val="auto"/>
                <w:kern w:val="2"/>
                <w:highlight w:val="none"/>
                <w:vertAlign w:val="superscript"/>
                <w:lang w:val="en-US" w:eastAsia="zh-CN"/>
              </w:rPr>
              <w:t>3</w:t>
            </w:r>
            <w:r>
              <w:rPr>
                <w:rFonts w:hint="default" w:ascii="Times New Roman" w:hAnsi="Times New Roman" w:cs="Times New Roman"/>
                <w:b w:val="0"/>
                <w:bCs w:val="0"/>
                <w:color w:val="auto"/>
                <w:kern w:val="2"/>
                <w:highlight w:val="none"/>
                <w:lang w:val="en-US" w:eastAsia="zh-CN"/>
              </w:rPr>
              <w:t>/a全部作为危险废物交由有资质单位转运处理，无生产废水排放。</w:t>
            </w:r>
          </w:p>
          <w:p w14:paraId="46F78FFB">
            <w:pPr>
              <w:pStyle w:val="6"/>
              <w:pageBreakBefore w:val="0"/>
              <w:widowControl/>
              <w:numPr>
                <w:ilvl w:val="4"/>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b w:val="0"/>
                <w:bCs w:val="0"/>
                <w:color w:val="auto"/>
                <w:kern w:val="2"/>
                <w:highlight w:val="none"/>
              </w:rPr>
              <w:t>综上，本项目用水情况见下表。</w:t>
            </w:r>
          </w:p>
          <w:p w14:paraId="4F543D25">
            <w:pPr>
              <w:pStyle w:val="12"/>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40" w:firstLineChars="0"/>
              <w:textAlignment w:val="auto"/>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-12 </w:t>
            </w:r>
            <w:r>
              <w:rPr>
                <w:rFonts w:hint="default" w:ascii="Times New Roman" w:hAnsi="Times New Roman" w:cs="Times New Roman"/>
                <w:b/>
                <w:bCs/>
                <w:color w:val="auto"/>
                <w:highlight w:val="none"/>
              </w:rPr>
              <w:t>项目用水情况统计表</w:t>
            </w:r>
          </w:p>
          <w:tbl>
            <w:tblPr>
              <w:tblStyle w:val="3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1"/>
              <w:gridCol w:w="2151"/>
              <w:gridCol w:w="4588"/>
              <w:gridCol w:w="2167"/>
              <w:gridCol w:w="2151"/>
            </w:tblGrid>
            <w:tr w14:paraId="6C3B1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01" w:type="pct"/>
                  <w:vAlign w:val="center"/>
                </w:tcPr>
                <w:p w14:paraId="1D8AD323">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用水单元</w:t>
                  </w:r>
                </w:p>
              </w:tc>
              <w:tc>
                <w:tcPr>
                  <w:tcW w:w="797" w:type="pct"/>
                  <w:vAlign w:val="center"/>
                </w:tcPr>
                <w:p w14:paraId="0F77D7F4">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b/>
                      <w:bCs/>
                      <w:color w:val="auto"/>
                      <w:kern w:val="2"/>
                      <w:highlight w:val="none"/>
                      <w:lang w:val="en-US" w:eastAsia="zh-CN"/>
                    </w:rPr>
                  </w:pPr>
                  <w:r>
                    <w:rPr>
                      <w:rFonts w:hint="default" w:ascii="Times New Roman" w:hAnsi="Times New Roman" w:cs="Times New Roman"/>
                      <w:b/>
                      <w:bCs/>
                      <w:color w:val="auto"/>
                      <w:kern w:val="2"/>
                      <w:highlight w:val="none"/>
                    </w:rPr>
                    <w:t>新鲜用水量m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val="en-US" w:eastAsia="zh-CN"/>
                    </w:rPr>
                    <w:t>a</w:t>
                  </w:r>
                </w:p>
              </w:tc>
              <w:tc>
                <w:tcPr>
                  <w:tcW w:w="1700" w:type="pct"/>
                  <w:vAlign w:val="center"/>
                </w:tcPr>
                <w:p w14:paraId="6143A0B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b/>
                      <w:bCs/>
                      <w:color w:val="auto"/>
                      <w:kern w:val="2"/>
                      <w:highlight w:val="none"/>
                      <w:lang w:eastAsia="zh-CN"/>
                    </w:rPr>
                  </w:pPr>
                  <w:r>
                    <w:rPr>
                      <w:rFonts w:hint="default" w:ascii="Times New Roman" w:hAnsi="Times New Roman" w:cs="Times New Roman"/>
                      <w:b/>
                      <w:bCs/>
                      <w:color w:val="auto"/>
                      <w:kern w:val="2"/>
                      <w:highlight w:val="none"/>
                    </w:rPr>
                    <w:t>损耗量m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val="en-US" w:eastAsia="zh-CN"/>
                    </w:rPr>
                    <w:t>a</w:t>
                  </w:r>
                </w:p>
              </w:tc>
              <w:tc>
                <w:tcPr>
                  <w:tcW w:w="803" w:type="pct"/>
                  <w:vAlign w:val="center"/>
                </w:tcPr>
                <w:p w14:paraId="713182B9">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b/>
                      <w:bCs/>
                      <w:color w:val="auto"/>
                      <w:kern w:val="2"/>
                      <w:highlight w:val="none"/>
                      <w:lang w:val="en-US" w:eastAsia="zh-CN"/>
                    </w:rPr>
                  </w:pPr>
                  <w:r>
                    <w:rPr>
                      <w:rFonts w:hint="default" w:ascii="Times New Roman" w:hAnsi="Times New Roman" w:cs="Times New Roman"/>
                      <w:b/>
                      <w:bCs/>
                      <w:color w:val="auto"/>
                      <w:kern w:val="2"/>
                      <w:highlight w:val="none"/>
                    </w:rPr>
                    <w:t>废水外排量m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val="en-US" w:eastAsia="zh-CN"/>
                    </w:rPr>
                    <w:t>d</w:t>
                  </w:r>
                </w:p>
              </w:tc>
              <w:tc>
                <w:tcPr>
                  <w:tcW w:w="797" w:type="pct"/>
                  <w:vAlign w:val="center"/>
                </w:tcPr>
                <w:p w14:paraId="2FE352A0">
                  <w:pPr>
                    <w:pStyle w:val="59"/>
                    <w:keepNext w:val="0"/>
                    <w:keepLines w:val="0"/>
                    <w:pageBreakBefore w:val="0"/>
                    <w:widowControl/>
                    <w:suppressLineNumbers w:val="0"/>
                    <w:wordWrap w:val="0"/>
                    <w:bidi w:val="0"/>
                    <w:spacing w:before="0" w:beforeAutospacing="0" w:after="0" w:afterAutospacing="0" w:line="240" w:lineRule="auto"/>
                    <w:ind w:left="0" w:leftChars="0" w:right="0" w:rightChars="0"/>
                    <w:rPr>
                      <w:rFonts w:hint="default" w:ascii="Times New Roman" w:hAnsi="Times New Roman" w:eastAsia="宋体" w:cs="Times New Roman"/>
                      <w:b/>
                      <w:bCs/>
                      <w:color w:val="auto"/>
                      <w:kern w:val="2"/>
                      <w:highlight w:val="none"/>
                      <w:lang w:eastAsia="zh-CN"/>
                    </w:rPr>
                  </w:pPr>
                  <w:r>
                    <w:rPr>
                      <w:rFonts w:hint="default" w:ascii="Times New Roman" w:hAnsi="Times New Roman" w:cs="Times New Roman"/>
                      <w:b/>
                      <w:bCs/>
                      <w:color w:val="auto"/>
                      <w:kern w:val="2"/>
                      <w:highlight w:val="none"/>
                    </w:rPr>
                    <w:t>废水</w:t>
                  </w:r>
                  <w:r>
                    <w:rPr>
                      <w:rFonts w:hint="default" w:ascii="Times New Roman" w:hAnsi="Times New Roman" w:cs="Times New Roman"/>
                      <w:b/>
                      <w:bCs/>
                      <w:color w:val="auto"/>
                      <w:kern w:val="2"/>
                      <w:highlight w:val="none"/>
                      <w:lang w:val="en-US" w:eastAsia="zh-CN"/>
                    </w:rPr>
                    <w:t>排放量</w:t>
                  </w:r>
                  <w:r>
                    <w:rPr>
                      <w:rFonts w:hint="default" w:ascii="Times New Roman" w:hAnsi="Times New Roman" w:cs="Times New Roman"/>
                      <w:b/>
                      <w:bCs/>
                      <w:color w:val="auto"/>
                      <w:kern w:val="2"/>
                      <w:highlight w:val="none"/>
                    </w:rPr>
                    <w:t>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val="en-US" w:eastAsia="zh-CN"/>
                    </w:rPr>
                    <w:t>a</w:t>
                  </w:r>
                </w:p>
              </w:tc>
            </w:tr>
            <w:tr w14:paraId="0A3DD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01" w:type="pct"/>
                  <w:vAlign w:val="center"/>
                </w:tcPr>
                <w:p w14:paraId="0AD7E19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员工办公生活用水</w:t>
                  </w:r>
                </w:p>
              </w:tc>
              <w:tc>
                <w:tcPr>
                  <w:tcW w:w="797" w:type="pct"/>
                  <w:vAlign w:val="center"/>
                </w:tcPr>
                <w:p w14:paraId="7E3B0F0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400</w:t>
                  </w:r>
                </w:p>
              </w:tc>
              <w:tc>
                <w:tcPr>
                  <w:tcW w:w="1700" w:type="pct"/>
                  <w:vAlign w:val="center"/>
                </w:tcPr>
                <w:p w14:paraId="5175232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40</w:t>
                  </w:r>
                </w:p>
              </w:tc>
              <w:tc>
                <w:tcPr>
                  <w:tcW w:w="803" w:type="pct"/>
                  <w:vAlign w:val="center"/>
                </w:tcPr>
                <w:p w14:paraId="5F57899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1.2</w:t>
                  </w:r>
                </w:p>
              </w:tc>
              <w:tc>
                <w:tcPr>
                  <w:tcW w:w="797" w:type="pct"/>
                  <w:vAlign w:val="center"/>
                </w:tcPr>
                <w:p w14:paraId="22404B0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360</w:t>
                  </w:r>
                </w:p>
              </w:tc>
            </w:tr>
            <w:tr w14:paraId="487AD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01" w:type="pct"/>
                  <w:vAlign w:val="center"/>
                </w:tcPr>
                <w:p w14:paraId="72F60A2E">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kern w:val="0"/>
                      <w:sz w:val="21"/>
                      <w:szCs w:val="21"/>
                      <w:highlight w:val="none"/>
                      <w:lang w:val="en-US" w:eastAsia="zh-CN" w:bidi="ar"/>
                    </w:rPr>
                    <w:t>物料调配用水</w:t>
                  </w:r>
                </w:p>
              </w:tc>
              <w:tc>
                <w:tcPr>
                  <w:tcW w:w="797" w:type="pct"/>
                  <w:vAlign w:val="center"/>
                </w:tcPr>
                <w:p w14:paraId="21BCC59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0.5</w:t>
                  </w:r>
                </w:p>
              </w:tc>
              <w:tc>
                <w:tcPr>
                  <w:tcW w:w="1700" w:type="pct"/>
                  <w:vAlign w:val="center"/>
                </w:tcPr>
                <w:p w14:paraId="10C7215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0.5（全部进入产品）</w:t>
                  </w:r>
                </w:p>
              </w:tc>
              <w:tc>
                <w:tcPr>
                  <w:tcW w:w="803" w:type="pct"/>
                  <w:vAlign w:val="center"/>
                </w:tcPr>
                <w:p w14:paraId="1E0F8F3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797" w:type="pct"/>
                  <w:vAlign w:val="center"/>
                </w:tcPr>
                <w:p w14:paraId="2265421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r>
            <w:tr w14:paraId="38A61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01" w:type="pct"/>
                  <w:vAlign w:val="center"/>
                </w:tcPr>
                <w:p w14:paraId="4C130A21">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喷枪清洗用水</w:t>
                  </w:r>
                </w:p>
              </w:tc>
              <w:tc>
                <w:tcPr>
                  <w:tcW w:w="797" w:type="pct"/>
                  <w:vAlign w:val="center"/>
                </w:tcPr>
                <w:p w14:paraId="4BFCB7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0.6</w:t>
                  </w:r>
                </w:p>
              </w:tc>
              <w:tc>
                <w:tcPr>
                  <w:tcW w:w="1700" w:type="pct"/>
                  <w:vAlign w:val="center"/>
                </w:tcPr>
                <w:p w14:paraId="3DD823A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0.6（全部作危废）</w:t>
                  </w:r>
                </w:p>
              </w:tc>
              <w:tc>
                <w:tcPr>
                  <w:tcW w:w="803" w:type="pct"/>
                  <w:vAlign w:val="center"/>
                </w:tcPr>
                <w:p w14:paraId="413B191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797" w:type="pct"/>
                  <w:vAlign w:val="center"/>
                </w:tcPr>
                <w:p w14:paraId="7B2CBDD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r>
            <w:tr w14:paraId="165D9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01" w:type="pct"/>
                  <w:vAlign w:val="center"/>
                </w:tcPr>
                <w:p w14:paraId="5C673B53">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水帘柜喷淋用水</w:t>
                  </w:r>
                </w:p>
              </w:tc>
              <w:tc>
                <w:tcPr>
                  <w:tcW w:w="797" w:type="pct"/>
                  <w:vAlign w:val="center"/>
                </w:tcPr>
                <w:p w14:paraId="6D38D8A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483</w:t>
                  </w:r>
                </w:p>
              </w:tc>
              <w:tc>
                <w:tcPr>
                  <w:tcW w:w="1700" w:type="pct"/>
                  <w:vAlign w:val="center"/>
                </w:tcPr>
                <w:p w14:paraId="79AB738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483</w:t>
                  </w:r>
                </w:p>
                <w:p w14:paraId="2ED60C8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（其中3作危废，其余为蒸发损耗）</w:t>
                  </w:r>
                </w:p>
              </w:tc>
              <w:tc>
                <w:tcPr>
                  <w:tcW w:w="803" w:type="pct"/>
                  <w:vAlign w:val="center"/>
                </w:tcPr>
                <w:p w14:paraId="5ABC56E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797" w:type="pct"/>
                  <w:vAlign w:val="center"/>
                </w:tcPr>
                <w:p w14:paraId="68319DC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r>
            <w:tr w14:paraId="3D4D0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901" w:type="pct"/>
                  <w:vAlign w:val="center"/>
                </w:tcPr>
                <w:p w14:paraId="3CF5F93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合计</w:t>
                  </w:r>
                </w:p>
              </w:tc>
              <w:tc>
                <w:tcPr>
                  <w:tcW w:w="797" w:type="pct"/>
                  <w:vAlign w:val="center"/>
                </w:tcPr>
                <w:p w14:paraId="19FADFC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884.1</w:t>
                  </w:r>
                </w:p>
              </w:tc>
              <w:tc>
                <w:tcPr>
                  <w:tcW w:w="1700" w:type="pct"/>
                  <w:vAlign w:val="center"/>
                </w:tcPr>
                <w:p w14:paraId="1B68F96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521.1</w:t>
                  </w:r>
                </w:p>
              </w:tc>
              <w:tc>
                <w:tcPr>
                  <w:tcW w:w="803" w:type="pct"/>
                  <w:vAlign w:val="center"/>
                </w:tcPr>
                <w:p w14:paraId="67E5A2A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797" w:type="pct"/>
                  <w:vAlign w:val="center"/>
                </w:tcPr>
                <w:p w14:paraId="3F3002E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360</w:t>
                  </w:r>
                </w:p>
              </w:tc>
            </w:tr>
          </w:tbl>
          <w:p w14:paraId="2F32080B">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生活污水经三级化粪池处理后达到广东省地方标准《水污染物排放限值》（DB44/26-2001）第二时段三级标准及园区污水处理厂接管水质要求两者较严值要求后，</w:t>
            </w:r>
            <w:r>
              <w:rPr>
                <w:rFonts w:hint="default" w:ascii="Times New Roman" w:hAnsi="Times New Roman" w:cs="Times New Roman"/>
                <w:color w:val="auto"/>
                <w:highlight w:val="none"/>
              </w:rPr>
              <w:t>排入园区污水处理厂处理</w:t>
            </w:r>
            <w:r>
              <w:rPr>
                <w:rFonts w:hint="default" w:ascii="Times New Roman" w:hAnsi="Times New Roman" w:cs="Times New Roman"/>
                <w:color w:val="auto"/>
                <w:highlight w:val="none"/>
                <w:lang w:eastAsia="zh-CN"/>
              </w:rPr>
              <w:t>。</w:t>
            </w:r>
          </w:p>
          <w:p w14:paraId="5C33B84D">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2、排放口基本情况</w:t>
            </w:r>
          </w:p>
          <w:p w14:paraId="62827E06">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营运期排放的废水主要为生活污水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排放量</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360</w:t>
            </w:r>
            <w:r>
              <w:rPr>
                <w:rFonts w:hint="default" w:ascii="Times New Roman" w:hAnsi="Times New Roman" w:cs="Times New Roman"/>
                <w:color w:val="auto"/>
                <w:highlight w:val="none"/>
              </w:rPr>
              <w:t>t/a，主要污染物为COD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、SS、氨氮。本项目生活污水经三级化粪处理后排入园区污水处理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进一步处理后排放，不新增污水排放口，属于一般排放口。</w:t>
            </w:r>
          </w:p>
          <w:p w14:paraId="25B3D954">
            <w:pPr>
              <w:pStyle w:val="12"/>
              <w:keepNext w:val="0"/>
              <w:keepLines w:val="0"/>
              <w:pageBreakBefore w:val="0"/>
              <w:numPr>
                <w:ilvl w:val="0"/>
                <w:numId w:val="0"/>
              </w:numPr>
              <w:suppressLineNumbers w:val="0"/>
              <w:tabs>
                <w:tab w:val="left" w:pos="0"/>
              </w:tabs>
              <w:wordWrap w:val="0"/>
              <w:bidi w:val="0"/>
              <w:spacing w:before="0" w:beforeAutospacing="0" w:after="0" w:afterAutospacing="0" w:line="240" w:lineRule="auto"/>
              <w:ind w:left="0" w:leftChars="0" w:right="0" w:rightChars="0" w:firstLine="40" w:firstLineChars="0"/>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13 </w:t>
            </w:r>
            <w:r>
              <w:rPr>
                <w:rFonts w:hint="default" w:ascii="Times New Roman" w:hAnsi="Times New Roman" w:cs="Times New Roman"/>
                <w:b/>
                <w:bCs/>
                <w:color w:val="auto"/>
                <w:highlight w:val="none"/>
              </w:rPr>
              <w:t>项目废水排放口基本情况表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30"/>
              <w:gridCol w:w="830"/>
              <w:gridCol w:w="342"/>
              <w:gridCol w:w="341"/>
              <w:gridCol w:w="1186"/>
              <w:gridCol w:w="1135"/>
              <w:gridCol w:w="2260"/>
              <w:gridCol w:w="630"/>
              <w:gridCol w:w="1881"/>
              <w:gridCol w:w="397"/>
              <w:gridCol w:w="830"/>
              <w:gridCol w:w="932"/>
              <w:gridCol w:w="2097"/>
            </w:tblGrid>
            <w:tr w14:paraId="20CDB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restart"/>
                  <w:vAlign w:val="center"/>
                </w:tcPr>
                <w:p w14:paraId="5292130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排放口编号</w:t>
                  </w:r>
                </w:p>
              </w:tc>
              <w:tc>
                <w:tcPr>
                  <w:tcW w:w="0" w:type="auto"/>
                  <w:vMerge w:val="restart"/>
                  <w:vAlign w:val="center"/>
                </w:tcPr>
                <w:p w14:paraId="4096FA8B">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排放口名称</w:t>
                  </w:r>
                </w:p>
              </w:tc>
              <w:tc>
                <w:tcPr>
                  <w:tcW w:w="0" w:type="auto"/>
                  <w:gridSpan w:val="2"/>
                  <w:vAlign w:val="center"/>
                </w:tcPr>
                <w:p w14:paraId="2758815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排放口坐标</w:t>
                  </w:r>
                </w:p>
              </w:tc>
              <w:tc>
                <w:tcPr>
                  <w:tcW w:w="0" w:type="auto"/>
                  <w:vMerge w:val="restart"/>
                  <w:vAlign w:val="center"/>
                </w:tcPr>
                <w:p w14:paraId="297FA32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废水排放量/（万t/a）</w:t>
                  </w:r>
                </w:p>
              </w:tc>
              <w:tc>
                <w:tcPr>
                  <w:tcW w:w="0" w:type="auto"/>
                  <w:vMerge w:val="restart"/>
                  <w:vAlign w:val="center"/>
                </w:tcPr>
                <w:p w14:paraId="18105DA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排放去向</w:t>
                  </w:r>
                </w:p>
              </w:tc>
              <w:tc>
                <w:tcPr>
                  <w:tcW w:w="0" w:type="auto"/>
                  <w:vMerge w:val="restart"/>
                  <w:vAlign w:val="center"/>
                </w:tcPr>
                <w:p w14:paraId="344218D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排放规律</w:t>
                  </w:r>
                </w:p>
              </w:tc>
              <w:tc>
                <w:tcPr>
                  <w:tcW w:w="0" w:type="auto"/>
                  <w:vMerge w:val="restart"/>
                  <w:vAlign w:val="center"/>
                </w:tcPr>
                <w:p w14:paraId="08B4F24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排放口类型</w:t>
                  </w:r>
                </w:p>
              </w:tc>
              <w:tc>
                <w:tcPr>
                  <w:tcW w:w="0" w:type="auto"/>
                  <w:gridSpan w:val="2"/>
                  <w:vMerge w:val="restart"/>
                  <w:vAlign w:val="center"/>
                </w:tcPr>
                <w:p w14:paraId="1E5C4C8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b/>
                      <w:bCs/>
                      <w:color w:val="auto"/>
                      <w:kern w:val="2"/>
                      <w:sz w:val="21"/>
                      <w:szCs w:val="21"/>
                      <w:highlight w:val="none"/>
                      <w:lang w:val="en-US" w:eastAsia="zh-CN"/>
                    </w:rPr>
                  </w:pPr>
                  <w:r>
                    <w:rPr>
                      <w:rFonts w:hint="eastAsia" w:ascii="Times New Roman" w:hAnsi="Times New Roman" w:cs="Times New Roman"/>
                      <w:b/>
                      <w:bCs/>
                      <w:color w:val="auto"/>
                      <w:kern w:val="2"/>
                      <w:sz w:val="21"/>
                      <w:szCs w:val="21"/>
                      <w:highlight w:val="none"/>
                      <w:lang w:val="en-US" w:eastAsia="zh-CN"/>
                    </w:rPr>
                    <w:t>本项目废水排放口执行标准浓度限值（</w:t>
                  </w:r>
                  <w:r>
                    <w:rPr>
                      <w:rFonts w:hint="default" w:ascii="Times New Roman" w:hAnsi="Times New Roman" w:cs="Times New Roman"/>
                      <w:b/>
                      <w:bCs/>
                      <w:color w:val="auto"/>
                      <w:kern w:val="2"/>
                      <w:sz w:val="21"/>
                      <w:szCs w:val="21"/>
                      <w:highlight w:val="none"/>
                    </w:rPr>
                    <w:t>mg/L</w:t>
                  </w:r>
                  <w:r>
                    <w:rPr>
                      <w:rFonts w:hint="eastAsia" w:ascii="Times New Roman" w:hAnsi="Times New Roman" w:cs="Times New Roman"/>
                      <w:b/>
                      <w:bCs/>
                      <w:color w:val="auto"/>
                      <w:kern w:val="2"/>
                      <w:sz w:val="21"/>
                      <w:szCs w:val="21"/>
                      <w:highlight w:val="none"/>
                      <w:lang w:val="en-US" w:eastAsia="zh-CN"/>
                    </w:rPr>
                    <w:t>）</w:t>
                  </w:r>
                </w:p>
              </w:tc>
              <w:tc>
                <w:tcPr>
                  <w:tcW w:w="0" w:type="auto"/>
                  <w:gridSpan w:val="3"/>
                  <w:vAlign w:val="center"/>
                </w:tcPr>
                <w:p w14:paraId="6E29BB0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受纳污水处理厂信息</w:t>
                  </w:r>
                </w:p>
              </w:tc>
            </w:tr>
            <w:tr w14:paraId="6F1B9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0" w:type="auto"/>
                  <w:vMerge w:val="continue"/>
                  <w:vAlign w:val="center"/>
                </w:tcPr>
                <w:p w14:paraId="1FC242A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vMerge w:val="continue"/>
                  <w:vAlign w:val="center"/>
                </w:tcPr>
                <w:p w14:paraId="7A7DE12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vAlign w:val="center"/>
                </w:tcPr>
                <w:p w14:paraId="23C3E9D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X</w:t>
                  </w:r>
                </w:p>
              </w:tc>
              <w:tc>
                <w:tcPr>
                  <w:tcW w:w="0" w:type="auto"/>
                  <w:vAlign w:val="center"/>
                </w:tcPr>
                <w:p w14:paraId="1C54A3E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Y</w:t>
                  </w:r>
                </w:p>
              </w:tc>
              <w:tc>
                <w:tcPr>
                  <w:tcW w:w="0" w:type="auto"/>
                  <w:vMerge w:val="continue"/>
                  <w:vAlign w:val="center"/>
                </w:tcPr>
                <w:p w14:paraId="3D980BB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vMerge w:val="continue"/>
                  <w:vAlign w:val="center"/>
                </w:tcPr>
                <w:p w14:paraId="0B32780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vMerge w:val="continue"/>
                  <w:vAlign w:val="center"/>
                </w:tcPr>
                <w:p w14:paraId="2DADAE2A">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vMerge w:val="continue"/>
                  <w:vAlign w:val="center"/>
                </w:tcPr>
                <w:p w14:paraId="7D6F2B1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gridSpan w:val="2"/>
                  <w:vMerge w:val="continue"/>
                  <w:vAlign w:val="center"/>
                </w:tcPr>
                <w:p w14:paraId="48B8AD8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0" w:type="auto"/>
                  <w:vAlign w:val="center"/>
                </w:tcPr>
                <w:p w14:paraId="173B122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0" w:type="auto"/>
                  <w:vAlign w:val="center"/>
                </w:tcPr>
                <w:p w14:paraId="470ED49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污染物种类</w:t>
                  </w:r>
                </w:p>
              </w:tc>
              <w:tc>
                <w:tcPr>
                  <w:tcW w:w="0" w:type="auto"/>
                  <w:vAlign w:val="center"/>
                </w:tcPr>
                <w:p w14:paraId="634F153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国家或地方污染物排放标准浓度限值/(mg/L)</w:t>
                  </w:r>
                </w:p>
              </w:tc>
            </w:tr>
            <w:tr w14:paraId="1CB0C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restart"/>
                  <w:vAlign w:val="center"/>
                </w:tcPr>
                <w:p w14:paraId="20BA7CF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DW0</w:t>
                  </w:r>
                  <w:r>
                    <w:rPr>
                      <w:rFonts w:hint="default" w:ascii="Times New Roman" w:hAnsi="Times New Roman"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rPr>
                    <w:t>1</w:t>
                  </w:r>
                </w:p>
              </w:tc>
              <w:tc>
                <w:tcPr>
                  <w:tcW w:w="0" w:type="auto"/>
                  <w:vMerge w:val="restart"/>
                  <w:vAlign w:val="center"/>
                </w:tcPr>
                <w:p w14:paraId="11D8149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综合废水排放口</w:t>
                  </w:r>
                </w:p>
              </w:tc>
              <w:tc>
                <w:tcPr>
                  <w:tcW w:w="0" w:type="auto"/>
                  <w:vMerge w:val="restart"/>
                  <w:vAlign w:val="center"/>
                </w:tcPr>
                <w:p w14:paraId="31EA6B5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w:t>
                  </w:r>
                </w:p>
              </w:tc>
              <w:tc>
                <w:tcPr>
                  <w:tcW w:w="0" w:type="auto"/>
                  <w:vMerge w:val="restart"/>
                  <w:vAlign w:val="center"/>
                </w:tcPr>
                <w:p w14:paraId="0B205B1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w:t>
                  </w:r>
                </w:p>
              </w:tc>
              <w:tc>
                <w:tcPr>
                  <w:tcW w:w="0" w:type="auto"/>
                  <w:vMerge w:val="restart"/>
                  <w:shd w:val="clear" w:color="auto" w:fill="auto"/>
                  <w:vAlign w:val="center"/>
                </w:tcPr>
                <w:p w14:paraId="13ABEC4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0.036</w:t>
                  </w:r>
                </w:p>
              </w:tc>
              <w:tc>
                <w:tcPr>
                  <w:tcW w:w="0" w:type="auto"/>
                  <w:vMerge w:val="restart"/>
                  <w:vAlign w:val="center"/>
                </w:tcPr>
                <w:p w14:paraId="53DD9D3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集中式工业污水处理厂</w:t>
                  </w:r>
                </w:p>
              </w:tc>
              <w:tc>
                <w:tcPr>
                  <w:tcW w:w="0" w:type="auto"/>
                  <w:vMerge w:val="restart"/>
                  <w:vAlign w:val="center"/>
                </w:tcPr>
                <w:p w14:paraId="7ACEEDD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间歇排放，流量不稳定，但不属于冲击型排放</w:t>
                  </w:r>
                </w:p>
              </w:tc>
              <w:tc>
                <w:tcPr>
                  <w:tcW w:w="0" w:type="auto"/>
                  <w:vMerge w:val="restart"/>
                  <w:vAlign w:val="center"/>
                </w:tcPr>
                <w:p w14:paraId="1ED29F1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一般排放口</w:t>
                  </w:r>
                </w:p>
              </w:tc>
              <w:tc>
                <w:tcPr>
                  <w:tcW w:w="0" w:type="auto"/>
                  <w:vAlign w:val="center"/>
                </w:tcPr>
                <w:p w14:paraId="5CAAC26A">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b w:val="0"/>
                      <w:bCs w:val="0"/>
                      <w:color w:val="auto"/>
                      <w:kern w:val="2"/>
                      <w:sz w:val="21"/>
                      <w:szCs w:val="21"/>
                      <w:highlight w:val="none"/>
                    </w:rPr>
                    <w:t>pH</w:t>
                  </w:r>
                </w:p>
              </w:tc>
              <w:tc>
                <w:tcPr>
                  <w:tcW w:w="0" w:type="auto"/>
                  <w:vAlign w:val="center"/>
                </w:tcPr>
                <w:p w14:paraId="4F1D136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6-9</w:t>
                  </w:r>
                </w:p>
              </w:tc>
              <w:tc>
                <w:tcPr>
                  <w:tcW w:w="0" w:type="auto"/>
                  <w:vMerge w:val="restart"/>
                  <w:vAlign w:val="center"/>
                </w:tcPr>
                <w:p w14:paraId="0FD7CAD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园区污水处理厂</w:t>
                  </w:r>
                </w:p>
              </w:tc>
              <w:tc>
                <w:tcPr>
                  <w:tcW w:w="0" w:type="auto"/>
                  <w:vAlign w:val="center"/>
                </w:tcPr>
                <w:p w14:paraId="15F261A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pH</w:t>
                  </w:r>
                </w:p>
              </w:tc>
              <w:tc>
                <w:tcPr>
                  <w:tcW w:w="0" w:type="auto"/>
                  <w:vAlign w:val="center"/>
                </w:tcPr>
                <w:p w14:paraId="0EEB8788">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6~9</w:t>
                  </w:r>
                </w:p>
              </w:tc>
            </w:tr>
            <w:tr w14:paraId="5C3C9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06CECED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F3F04D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AE44A3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162B4D6B">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1E300B9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EC800C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A1C542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A2077B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5FE1E9C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b w:val="0"/>
                      <w:bCs w:val="0"/>
                      <w:color w:val="auto"/>
                      <w:kern w:val="2"/>
                      <w:sz w:val="21"/>
                      <w:szCs w:val="21"/>
                      <w:highlight w:val="none"/>
                    </w:rPr>
                    <w:t>COD</w:t>
                  </w:r>
                  <w:r>
                    <w:rPr>
                      <w:rFonts w:hint="default" w:ascii="Times New Roman" w:hAnsi="Times New Roman" w:cs="Times New Roman"/>
                      <w:b w:val="0"/>
                      <w:bCs w:val="0"/>
                      <w:color w:val="auto"/>
                      <w:kern w:val="2"/>
                      <w:sz w:val="21"/>
                      <w:szCs w:val="21"/>
                      <w:highlight w:val="none"/>
                      <w:vertAlign w:val="subscript"/>
                    </w:rPr>
                    <w:t>Cr</w:t>
                  </w:r>
                </w:p>
              </w:tc>
              <w:tc>
                <w:tcPr>
                  <w:tcW w:w="0" w:type="auto"/>
                  <w:vAlign w:val="center"/>
                </w:tcPr>
                <w:p w14:paraId="776D00C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300</w:t>
                  </w:r>
                </w:p>
              </w:tc>
              <w:tc>
                <w:tcPr>
                  <w:tcW w:w="0" w:type="auto"/>
                  <w:vMerge w:val="continue"/>
                  <w:vAlign w:val="center"/>
                </w:tcPr>
                <w:p w14:paraId="2470115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0" w:type="auto"/>
                  <w:vAlign w:val="center"/>
                </w:tcPr>
                <w:p w14:paraId="78733F6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COD</w:t>
                  </w:r>
                  <w:r>
                    <w:rPr>
                      <w:rFonts w:hint="default" w:ascii="Times New Roman" w:hAnsi="Times New Roman" w:cs="Times New Roman"/>
                      <w:b w:val="0"/>
                      <w:bCs w:val="0"/>
                      <w:color w:val="auto"/>
                      <w:kern w:val="2"/>
                      <w:sz w:val="21"/>
                      <w:szCs w:val="21"/>
                      <w:highlight w:val="none"/>
                      <w:vertAlign w:val="subscript"/>
                    </w:rPr>
                    <w:t>Cr</w:t>
                  </w:r>
                </w:p>
              </w:tc>
              <w:tc>
                <w:tcPr>
                  <w:tcW w:w="0" w:type="auto"/>
                  <w:vAlign w:val="center"/>
                </w:tcPr>
                <w:p w14:paraId="0ED53654">
                  <w:pPr>
                    <w:keepNext w:val="0"/>
                    <w:keepLines w:val="0"/>
                    <w:pageBreakBefore w:val="0"/>
                    <w:suppressLineNumbers w:val="0"/>
                    <w:kinsoku/>
                    <w:wordWrap w:val="0"/>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40</w:t>
                  </w:r>
                </w:p>
              </w:tc>
            </w:tr>
            <w:tr w14:paraId="20F62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1C68DF3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03B2510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2EDE04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A2FABC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85F713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01B67A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7A03910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5FCBA62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52AE491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b w:val="0"/>
                      <w:bCs w:val="0"/>
                      <w:color w:val="auto"/>
                      <w:kern w:val="2"/>
                      <w:sz w:val="21"/>
                      <w:szCs w:val="21"/>
                      <w:highlight w:val="none"/>
                    </w:rPr>
                    <w:t>BOD</w:t>
                  </w:r>
                  <w:r>
                    <w:rPr>
                      <w:rFonts w:hint="default" w:ascii="Times New Roman" w:hAnsi="Times New Roman" w:cs="Times New Roman"/>
                      <w:b w:val="0"/>
                      <w:bCs w:val="0"/>
                      <w:color w:val="auto"/>
                      <w:kern w:val="2"/>
                      <w:sz w:val="21"/>
                      <w:szCs w:val="21"/>
                      <w:highlight w:val="none"/>
                      <w:vertAlign w:val="subscript"/>
                    </w:rPr>
                    <w:t>5</w:t>
                  </w:r>
                </w:p>
              </w:tc>
              <w:tc>
                <w:tcPr>
                  <w:tcW w:w="0" w:type="auto"/>
                  <w:vAlign w:val="center"/>
                </w:tcPr>
                <w:p w14:paraId="0D76AA0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150</w:t>
                  </w:r>
                </w:p>
              </w:tc>
              <w:tc>
                <w:tcPr>
                  <w:tcW w:w="0" w:type="auto"/>
                  <w:vMerge w:val="continue"/>
                  <w:vAlign w:val="center"/>
                </w:tcPr>
                <w:p w14:paraId="1CD0183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0" w:type="auto"/>
                  <w:vAlign w:val="center"/>
                </w:tcPr>
                <w:p w14:paraId="5B97C88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BOD</w:t>
                  </w:r>
                  <w:r>
                    <w:rPr>
                      <w:rFonts w:hint="default" w:ascii="Times New Roman" w:hAnsi="Times New Roman" w:cs="Times New Roman"/>
                      <w:b w:val="0"/>
                      <w:bCs w:val="0"/>
                      <w:color w:val="auto"/>
                      <w:kern w:val="2"/>
                      <w:sz w:val="21"/>
                      <w:szCs w:val="21"/>
                      <w:highlight w:val="none"/>
                      <w:vertAlign w:val="subscript"/>
                    </w:rPr>
                    <w:t>5</w:t>
                  </w:r>
                </w:p>
              </w:tc>
              <w:tc>
                <w:tcPr>
                  <w:tcW w:w="0" w:type="auto"/>
                  <w:vAlign w:val="center"/>
                </w:tcPr>
                <w:p w14:paraId="05345932">
                  <w:pPr>
                    <w:keepNext w:val="0"/>
                    <w:keepLines w:val="0"/>
                    <w:pageBreakBefore w:val="0"/>
                    <w:suppressLineNumbers w:val="0"/>
                    <w:kinsoku/>
                    <w:wordWrap w:val="0"/>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r>
            <w:tr w14:paraId="0CEC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1B68660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C683F8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80ACD0B">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F5E0CE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CB2CE2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F98BBB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B4E8E2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589525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5D40328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SS</w:t>
                  </w:r>
                </w:p>
              </w:tc>
              <w:tc>
                <w:tcPr>
                  <w:tcW w:w="0" w:type="auto"/>
                  <w:vAlign w:val="center"/>
                </w:tcPr>
                <w:p w14:paraId="54BFB18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250</w:t>
                  </w:r>
                </w:p>
              </w:tc>
              <w:tc>
                <w:tcPr>
                  <w:tcW w:w="0" w:type="auto"/>
                  <w:vMerge w:val="continue"/>
                  <w:vAlign w:val="center"/>
                </w:tcPr>
                <w:p w14:paraId="0AFDA43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5A1884D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SS</w:t>
                  </w:r>
                </w:p>
              </w:tc>
              <w:tc>
                <w:tcPr>
                  <w:tcW w:w="0" w:type="auto"/>
                  <w:vAlign w:val="center"/>
                </w:tcPr>
                <w:p w14:paraId="4C5AC8AD">
                  <w:pPr>
                    <w:keepNext w:val="0"/>
                    <w:keepLines w:val="0"/>
                    <w:pageBreakBefore w:val="0"/>
                    <w:suppressLineNumbers w:val="0"/>
                    <w:kinsoku/>
                    <w:wordWrap w:val="0"/>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r>
            <w:tr w14:paraId="24DA9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6000A6E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082CA31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17C550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994AD5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1AB5006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79C2D148">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30F0C2A">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70909D6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1E11381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氨氮</w:t>
                  </w:r>
                </w:p>
              </w:tc>
              <w:tc>
                <w:tcPr>
                  <w:tcW w:w="0" w:type="auto"/>
                  <w:vAlign w:val="center"/>
                </w:tcPr>
                <w:p w14:paraId="563A39C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40</w:t>
                  </w:r>
                </w:p>
              </w:tc>
              <w:tc>
                <w:tcPr>
                  <w:tcW w:w="0" w:type="auto"/>
                  <w:vMerge w:val="continue"/>
                  <w:vAlign w:val="center"/>
                </w:tcPr>
                <w:p w14:paraId="2B24DE3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6E11A11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氨氮</w:t>
                  </w:r>
                </w:p>
              </w:tc>
              <w:tc>
                <w:tcPr>
                  <w:tcW w:w="0" w:type="auto"/>
                  <w:vAlign w:val="center"/>
                </w:tcPr>
                <w:p w14:paraId="7D693AB8">
                  <w:pPr>
                    <w:keepNext w:val="0"/>
                    <w:keepLines w:val="0"/>
                    <w:pageBreakBefore w:val="0"/>
                    <w:suppressLineNumbers w:val="0"/>
                    <w:kinsoku/>
                    <w:wordWrap w:val="0"/>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r>
            <w:tr w14:paraId="224E2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3B62F42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45C276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305C1A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4DD313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4B4FFA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04AA89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3749CA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2C00E8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6329954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总磷</w:t>
                  </w:r>
                </w:p>
              </w:tc>
              <w:tc>
                <w:tcPr>
                  <w:tcW w:w="0" w:type="auto"/>
                  <w:vAlign w:val="center"/>
                </w:tcPr>
                <w:p w14:paraId="4254D5B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c>
                <w:tcPr>
                  <w:tcW w:w="0" w:type="auto"/>
                  <w:vMerge w:val="continue"/>
                  <w:vAlign w:val="center"/>
                </w:tcPr>
                <w:p w14:paraId="61CDEBF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3B44C5B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总磷</w:t>
                  </w:r>
                </w:p>
              </w:tc>
              <w:tc>
                <w:tcPr>
                  <w:tcW w:w="0" w:type="auto"/>
                  <w:vAlign w:val="center"/>
                </w:tcPr>
                <w:p w14:paraId="6C24DBB7">
                  <w:pPr>
                    <w:keepNext w:val="0"/>
                    <w:keepLines w:val="0"/>
                    <w:pageBreakBefore w:val="0"/>
                    <w:suppressLineNumbers w:val="0"/>
                    <w:kinsoku/>
                    <w:wordWrap w:val="0"/>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rPr>
                    <w:t>0.5</w:t>
                  </w:r>
                </w:p>
              </w:tc>
            </w:tr>
            <w:tr w14:paraId="746F1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28A3B47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43A7DE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8A53B26">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0B3E614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0F8505AE">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3456806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B396FF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190EAFD8">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4D9840A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阴离子表面活性剂</w:t>
                  </w:r>
                </w:p>
              </w:tc>
              <w:tc>
                <w:tcPr>
                  <w:tcW w:w="0" w:type="auto"/>
                  <w:vAlign w:val="center"/>
                </w:tcPr>
                <w:p w14:paraId="7B839FFA">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c>
                <w:tcPr>
                  <w:tcW w:w="0" w:type="auto"/>
                  <w:vMerge w:val="continue"/>
                  <w:vAlign w:val="center"/>
                </w:tcPr>
                <w:p w14:paraId="1C9BE52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19C36032">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阴离子表面活性剂</w:t>
                  </w:r>
                </w:p>
              </w:tc>
              <w:tc>
                <w:tcPr>
                  <w:tcW w:w="0" w:type="auto"/>
                  <w:vAlign w:val="center"/>
                </w:tcPr>
                <w:p w14:paraId="5823C0C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1.0</w:t>
                  </w:r>
                </w:p>
              </w:tc>
            </w:tr>
            <w:tr w14:paraId="69C8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0" w:type="auto"/>
                  <w:vMerge w:val="continue"/>
                  <w:vAlign w:val="center"/>
                </w:tcPr>
                <w:p w14:paraId="1967C230">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7788151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65B727F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1DC4EAC5">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0FD99141">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7E5E716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42CD7DE3">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Merge w:val="continue"/>
                  <w:vAlign w:val="center"/>
                </w:tcPr>
                <w:p w14:paraId="2321073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4EBAB84D">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石油类</w:t>
                  </w:r>
                </w:p>
              </w:tc>
              <w:tc>
                <w:tcPr>
                  <w:tcW w:w="0" w:type="auto"/>
                  <w:vAlign w:val="center"/>
                </w:tcPr>
                <w:p w14:paraId="5CC6E5FC">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c>
                <w:tcPr>
                  <w:tcW w:w="0" w:type="auto"/>
                  <w:vMerge w:val="continue"/>
                  <w:vAlign w:val="center"/>
                </w:tcPr>
                <w:p w14:paraId="7D337859">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0" w:type="auto"/>
                  <w:vAlign w:val="center"/>
                </w:tcPr>
                <w:p w14:paraId="1D08B707">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石油类</w:t>
                  </w:r>
                </w:p>
              </w:tc>
              <w:tc>
                <w:tcPr>
                  <w:tcW w:w="0" w:type="auto"/>
                  <w:vAlign w:val="center"/>
                </w:tcPr>
                <w:p w14:paraId="789B6914">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3.0</w:t>
                  </w:r>
                </w:p>
              </w:tc>
            </w:tr>
            <w:tr w14:paraId="741E0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0" w:type="auto"/>
                  <w:gridSpan w:val="13"/>
                  <w:vAlign w:val="center"/>
                </w:tcPr>
                <w:p w14:paraId="4857C2BF">
                  <w:pPr>
                    <w:pStyle w:val="59"/>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left"/>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注：项目废水排放执行广东省地方标准《水污染物排放限值》（DB44/26-2001）第二时段三级标准及园区污水处理厂接管水质要求两者较严值。</w:t>
                  </w:r>
                </w:p>
              </w:tc>
            </w:tr>
          </w:tbl>
          <w:p w14:paraId="00E5E452">
            <w:pPr>
              <w:keepNext w:val="0"/>
              <w:keepLines w:val="0"/>
              <w:pageBreakBefore w:val="0"/>
              <w:numPr>
                <w:ilvl w:val="0"/>
                <w:numId w:val="0"/>
              </w:numPr>
              <w:suppressLineNumbers w:val="0"/>
              <w:tabs>
                <w:tab w:val="left" w:pos="0"/>
              </w:tabs>
              <w:wordWrap w:val="0"/>
              <w:autoSpaceDE w:val="0"/>
              <w:autoSpaceDN w:val="0"/>
              <w:bidi w:val="0"/>
              <w:spacing w:before="0" w:beforeAutospacing="0" w:after="0" w:afterAutospacing="0" w:line="240" w:lineRule="auto"/>
              <w:ind w:left="0" w:leftChars="0" w:right="0" w:rightChars="0" w:firstLine="40" w:firstLineChars="0"/>
              <w:jc w:val="center"/>
              <w:textAlignment w:val="baseline"/>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default" w:ascii="Times New Roman" w:hAnsi="Times New Roman" w:cs="Times New Roman"/>
                <w:b/>
                <w:color w:val="auto"/>
                <w:kern w:val="2"/>
                <w:sz w:val="21"/>
                <w:szCs w:val="21"/>
                <w:highlight w:val="none"/>
                <w:lang w:val="en-US" w:eastAsia="zh-CN" w:bidi="ar-SA"/>
              </w:rPr>
              <w:t xml:space="preserve">14 </w:t>
            </w:r>
            <w:r>
              <w:rPr>
                <w:rFonts w:hint="default" w:ascii="Times New Roman" w:hAnsi="Times New Roman" w:cs="Times New Roman"/>
                <w:b/>
                <w:color w:val="auto"/>
                <w:sz w:val="21"/>
                <w:szCs w:val="21"/>
                <w:highlight w:val="none"/>
              </w:rPr>
              <w:t>废水污染物排放信息表</w:t>
            </w:r>
          </w:p>
          <w:tbl>
            <w:tblPr>
              <w:tblStyle w:val="36"/>
              <w:tblW w:w="504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43"/>
              <w:gridCol w:w="2025"/>
              <w:gridCol w:w="2747"/>
              <w:gridCol w:w="2575"/>
              <w:gridCol w:w="2673"/>
              <w:gridCol w:w="2660"/>
            </w:tblGrid>
            <w:tr w14:paraId="03761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2"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D3E7A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79DB8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EE2A3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9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1C3F5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9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2E778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全厂日排放量/（</w:t>
                  </w:r>
                  <w:r>
                    <w:rPr>
                      <w:rFonts w:hint="default" w:ascii="Times New Roman" w:hAnsi="Times New Roman" w:cs="Times New Roman"/>
                      <w:b/>
                      <w:bCs/>
                      <w:i w:val="0"/>
                      <w:iCs w:val="0"/>
                      <w:color w:val="auto"/>
                      <w:kern w:val="0"/>
                      <w:sz w:val="21"/>
                      <w:szCs w:val="21"/>
                      <w:highlight w:val="none"/>
                      <w:u w:val="none"/>
                      <w:lang w:val="en-US" w:eastAsia="zh-CN" w:bidi="ar"/>
                    </w:rPr>
                    <w:t>kg</w:t>
                  </w:r>
                  <w:r>
                    <w:rPr>
                      <w:rFonts w:hint="default" w:ascii="Times New Roman" w:hAnsi="Times New Roman" w:eastAsia="宋体" w:cs="Times New Roman"/>
                      <w:b/>
                      <w:bCs/>
                      <w:i w:val="0"/>
                      <w:iCs w:val="0"/>
                      <w:color w:val="auto"/>
                      <w:kern w:val="0"/>
                      <w:sz w:val="21"/>
                      <w:szCs w:val="21"/>
                      <w:highlight w:val="none"/>
                      <w:u w:val="none"/>
                      <w:lang w:val="en-US" w:eastAsia="zh-CN" w:bidi="ar"/>
                    </w:rPr>
                    <w:t>/d）</w:t>
                  </w:r>
                </w:p>
              </w:tc>
              <w:tc>
                <w:tcPr>
                  <w:tcW w:w="97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E1227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全厂年排放量/（t/a）</w:t>
                  </w:r>
                </w:p>
              </w:tc>
            </w:tr>
            <w:tr w14:paraId="148CA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4E33F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43" w:type="pct"/>
                  <w:vMerge w:val="restart"/>
                  <w:tcBorders>
                    <w:top w:val="single" w:color="000000" w:sz="4" w:space="0"/>
                    <w:left w:val="single" w:color="000000" w:sz="4" w:space="0"/>
                    <w:right w:val="single" w:color="000000" w:sz="4" w:space="0"/>
                  </w:tcBorders>
                  <w:shd w:val="clear" w:color="auto" w:fill="FFFFFF"/>
                  <w:vAlign w:val="center"/>
                </w:tcPr>
                <w:p w14:paraId="27052F4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A6BEF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4D1F84">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2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619A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0.24</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C4CF9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r>
            <w:tr w14:paraId="2639D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1F26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43" w:type="pct"/>
                  <w:vMerge w:val="continue"/>
                  <w:tcBorders>
                    <w:left w:val="single" w:color="000000" w:sz="4" w:space="0"/>
                    <w:right w:val="single" w:color="000000" w:sz="4" w:space="0"/>
                  </w:tcBorders>
                  <w:shd w:val="clear" w:color="auto" w:fill="FFFFFF"/>
                  <w:vAlign w:val="center"/>
                </w:tcPr>
                <w:p w14:paraId="4785829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0616E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0F8AC4">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142</w:t>
                  </w:r>
                </w:p>
              </w:tc>
              <w:tc>
                <w:tcPr>
                  <w:tcW w:w="2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DDE6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2F0C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0.051</w:t>
                  </w:r>
                </w:p>
              </w:tc>
            </w:tr>
            <w:tr w14:paraId="6117A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51BD3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743" w:type="pct"/>
                  <w:vMerge w:val="continue"/>
                  <w:tcBorders>
                    <w:left w:val="single" w:color="000000" w:sz="4" w:space="0"/>
                    <w:right w:val="single" w:color="000000" w:sz="4" w:space="0"/>
                  </w:tcBorders>
                  <w:shd w:val="clear" w:color="auto" w:fill="FFFFFF"/>
                  <w:vAlign w:val="center"/>
                </w:tcPr>
                <w:p w14:paraId="594D793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B6463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B06AE">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106</w:t>
                  </w:r>
                </w:p>
              </w:tc>
              <w:tc>
                <w:tcPr>
                  <w:tcW w:w="2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A3A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54FEF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0.038</w:t>
                  </w:r>
                </w:p>
              </w:tc>
            </w:tr>
            <w:tr w14:paraId="2C30B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0AF06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43" w:type="pct"/>
                  <w:vMerge w:val="continue"/>
                  <w:tcBorders>
                    <w:left w:val="single" w:color="000000" w:sz="4" w:space="0"/>
                    <w:right w:val="single" w:color="000000" w:sz="4" w:space="0"/>
                  </w:tcBorders>
                  <w:shd w:val="clear" w:color="auto" w:fill="FFFFFF"/>
                  <w:vAlign w:val="center"/>
                </w:tcPr>
                <w:p w14:paraId="6E24B63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5815B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281180">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31</w:t>
                  </w:r>
                </w:p>
              </w:tc>
              <w:tc>
                <w:tcPr>
                  <w:tcW w:w="26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5904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4C6D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r>
            <w:tr w14:paraId="56B9E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9" w:type="pct"/>
                  <w:gridSpan w:val="2"/>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1AA269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22C791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FA81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r>
            <w:tr w14:paraId="57A4D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C7E8A9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3D2B3D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CCF1A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0.051</w:t>
                  </w:r>
                </w:p>
              </w:tc>
            </w:tr>
            <w:tr w14:paraId="2F84A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C9920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0D9CC2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298C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0.038</w:t>
                  </w:r>
                </w:p>
              </w:tc>
            </w:tr>
            <w:tr w14:paraId="7F172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6D544B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A3DE19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5AA7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r>
          </w:tbl>
          <w:p w14:paraId="79A4E9B0">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4、污染治理设施情况</w:t>
            </w:r>
          </w:p>
          <w:p w14:paraId="1B0B9E36">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园区污水处理厂纳污范围内，生活污水经三级化粪池预处理后达到广东省地方标准《水污染物排放限值》（DB44/26-2001）第二时段三级标准及园区污水处理厂接管水质要求两者较严值后排入园区污水处理厂。</w:t>
            </w:r>
          </w:p>
          <w:p w14:paraId="26C5B86C">
            <w:pPr>
              <w:pStyle w:val="12"/>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15</w:t>
            </w:r>
            <w:r>
              <w:rPr>
                <w:rFonts w:hint="default" w:ascii="Times New Roman" w:hAnsi="Times New Roman" w:cs="Times New Roman"/>
                <w:b/>
                <w:bCs/>
                <w:color w:val="auto"/>
                <w:highlight w:val="none"/>
              </w:rPr>
              <w:t>废水类别、污染物及污染治理设施信息表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06"/>
              <w:gridCol w:w="1849"/>
              <w:gridCol w:w="874"/>
              <w:gridCol w:w="1517"/>
              <w:gridCol w:w="1144"/>
              <w:gridCol w:w="1339"/>
              <w:gridCol w:w="1274"/>
              <w:gridCol w:w="893"/>
              <w:gridCol w:w="1320"/>
              <w:gridCol w:w="2370"/>
            </w:tblGrid>
            <w:tr w14:paraId="03068D1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350" w:hRule="atLeast"/>
                <w:jc w:val="center"/>
              </w:trPr>
              <w:tc>
                <w:tcPr>
                  <w:tcW w:w="336" w:type="pct"/>
                  <w:vMerge w:val="restart"/>
                  <w:vAlign w:val="center"/>
                </w:tcPr>
                <w:p w14:paraId="624FF9F9">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废水类别</w:t>
                  </w:r>
                </w:p>
              </w:tc>
              <w:tc>
                <w:tcPr>
                  <w:tcW w:w="685" w:type="pct"/>
                  <w:vMerge w:val="restart"/>
                  <w:vAlign w:val="center"/>
                </w:tcPr>
                <w:p w14:paraId="7F328AE1">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污染物种类</w:t>
                  </w:r>
                </w:p>
              </w:tc>
              <w:tc>
                <w:tcPr>
                  <w:tcW w:w="324" w:type="pct"/>
                  <w:vMerge w:val="restart"/>
                  <w:vAlign w:val="center"/>
                </w:tcPr>
                <w:p w14:paraId="29303FC9">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排放去向</w:t>
                  </w:r>
                </w:p>
              </w:tc>
              <w:tc>
                <w:tcPr>
                  <w:tcW w:w="562" w:type="pct"/>
                  <w:vMerge w:val="restart"/>
                  <w:vAlign w:val="center"/>
                </w:tcPr>
                <w:p w14:paraId="721E6443">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排放规律</w:t>
                  </w:r>
                </w:p>
              </w:tc>
              <w:tc>
                <w:tcPr>
                  <w:tcW w:w="1392" w:type="pct"/>
                  <w:gridSpan w:val="3"/>
                  <w:vAlign w:val="center"/>
                </w:tcPr>
                <w:p w14:paraId="7283BEA1">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w:t>
                  </w:r>
                </w:p>
              </w:tc>
              <w:tc>
                <w:tcPr>
                  <w:tcW w:w="331" w:type="pct"/>
                  <w:vMerge w:val="restart"/>
                  <w:vAlign w:val="center"/>
                </w:tcPr>
                <w:p w14:paraId="282309BC">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排放口编号</w:t>
                  </w:r>
                </w:p>
              </w:tc>
              <w:tc>
                <w:tcPr>
                  <w:tcW w:w="489" w:type="pct"/>
                  <w:vMerge w:val="restart"/>
                  <w:vAlign w:val="center"/>
                </w:tcPr>
                <w:p w14:paraId="1AF7FC08">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排放口设置是否符合要求</w:t>
                  </w:r>
                </w:p>
              </w:tc>
              <w:tc>
                <w:tcPr>
                  <w:tcW w:w="878" w:type="pct"/>
                  <w:vMerge w:val="restart"/>
                  <w:vAlign w:val="center"/>
                </w:tcPr>
                <w:p w14:paraId="77F75975">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排放口类型</w:t>
                  </w:r>
                </w:p>
              </w:tc>
            </w:tr>
            <w:tr w14:paraId="58091E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89" w:hRule="atLeast"/>
                <w:jc w:val="center"/>
              </w:trPr>
              <w:tc>
                <w:tcPr>
                  <w:tcW w:w="336" w:type="pct"/>
                  <w:vMerge w:val="continue"/>
                  <w:vAlign w:val="center"/>
                </w:tcPr>
                <w:p w14:paraId="1B76EC45">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685" w:type="pct"/>
                  <w:vMerge w:val="continue"/>
                  <w:vAlign w:val="center"/>
                </w:tcPr>
                <w:p w14:paraId="397AAC6E">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324" w:type="pct"/>
                  <w:vMerge w:val="continue"/>
                  <w:vAlign w:val="center"/>
                </w:tcPr>
                <w:p w14:paraId="052DBA26">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562" w:type="pct"/>
                  <w:vMerge w:val="continue"/>
                  <w:vAlign w:val="center"/>
                </w:tcPr>
                <w:p w14:paraId="7FE00E95">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24" w:type="pct"/>
                  <w:vAlign w:val="center"/>
                </w:tcPr>
                <w:p w14:paraId="502B235D">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污染治理设施编号</w:t>
                  </w:r>
                </w:p>
              </w:tc>
              <w:tc>
                <w:tcPr>
                  <w:tcW w:w="496" w:type="pct"/>
                  <w:vAlign w:val="center"/>
                </w:tcPr>
                <w:p w14:paraId="75E84879">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污染治理设施名称</w:t>
                  </w:r>
                </w:p>
              </w:tc>
              <w:tc>
                <w:tcPr>
                  <w:tcW w:w="471" w:type="pct"/>
                  <w:vAlign w:val="center"/>
                </w:tcPr>
                <w:p w14:paraId="2F1DD816">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污染治理设施工艺</w:t>
                  </w:r>
                </w:p>
              </w:tc>
              <w:tc>
                <w:tcPr>
                  <w:tcW w:w="331" w:type="pct"/>
                  <w:vMerge w:val="continue"/>
                  <w:vAlign w:val="center"/>
                </w:tcPr>
                <w:p w14:paraId="6D66998F">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89" w:type="pct"/>
                  <w:vMerge w:val="continue"/>
                  <w:vAlign w:val="center"/>
                </w:tcPr>
                <w:p w14:paraId="601685A7">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878" w:type="pct"/>
                  <w:vMerge w:val="continue"/>
                  <w:vAlign w:val="center"/>
                </w:tcPr>
                <w:p w14:paraId="2667E797">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6C812F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738" w:hRule="atLeast"/>
                <w:jc w:val="center"/>
              </w:trPr>
              <w:tc>
                <w:tcPr>
                  <w:tcW w:w="336" w:type="pct"/>
                  <w:vAlign w:val="center"/>
                </w:tcPr>
                <w:p w14:paraId="6E206515">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生活污水</w:t>
                  </w:r>
                </w:p>
              </w:tc>
              <w:tc>
                <w:tcPr>
                  <w:tcW w:w="685" w:type="pct"/>
                  <w:vAlign w:val="center"/>
                </w:tcPr>
                <w:p w14:paraId="73BF87B4">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pH、COD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rPr>
                    <w:t>、BOD</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、SS、氨氮</w:t>
                  </w:r>
                </w:p>
              </w:tc>
              <w:tc>
                <w:tcPr>
                  <w:tcW w:w="324" w:type="pct"/>
                  <w:vAlign w:val="center"/>
                </w:tcPr>
                <w:p w14:paraId="38F88B17">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进入园区污水处理厂</w:t>
                  </w:r>
                </w:p>
              </w:tc>
              <w:tc>
                <w:tcPr>
                  <w:tcW w:w="562" w:type="pct"/>
                  <w:vAlign w:val="center"/>
                </w:tcPr>
                <w:p w14:paraId="789C3F8B">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间歇排放，流量不稳定，但不属于冲击型排放</w:t>
                  </w:r>
                </w:p>
              </w:tc>
              <w:tc>
                <w:tcPr>
                  <w:tcW w:w="424" w:type="pct"/>
                  <w:vAlign w:val="center"/>
                </w:tcPr>
                <w:p w14:paraId="3B8E8301">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TW001</w:t>
                  </w:r>
                </w:p>
              </w:tc>
              <w:tc>
                <w:tcPr>
                  <w:tcW w:w="496" w:type="pct"/>
                  <w:vAlign w:val="center"/>
                </w:tcPr>
                <w:p w14:paraId="0DD2C59E">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三级化粪池</w:t>
                  </w:r>
                </w:p>
              </w:tc>
              <w:tc>
                <w:tcPr>
                  <w:tcW w:w="471" w:type="pct"/>
                  <w:vAlign w:val="center"/>
                </w:tcPr>
                <w:p w14:paraId="08E4FA78">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化粪池</w:t>
                  </w:r>
                </w:p>
              </w:tc>
              <w:tc>
                <w:tcPr>
                  <w:tcW w:w="331" w:type="pct"/>
                  <w:vAlign w:val="center"/>
                </w:tcPr>
                <w:p w14:paraId="0BE74259">
                  <w:pPr>
                    <w:pStyle w:val="59"/>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DW001</w:t>
                  </w:r>
                </w:p>
              </w:tc>
              <w:tc>
                <w:tcPr>
                  <w:tcW w:w="489" w:type="pct"/>
                  <w:vAlign w:val="center"/>
                </w:tcPr>
                <w:p w14:paraId="4EDBEBF4">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是</w:t>
                  </w:r>
                </w:p>
                <w:p w14:paraId="2AB8DCE5">
                  <w:pPr>
                    <w:keepNext/>
                    <w:keepLines/>
                    <w:pageBreakBefore w:val="0"/>
                    <w:widowControl w:val="0"/>
                    <w:suppressLineNumbers w:val="0"/>
                    <w:kinsoku/>
                    <w:wordWrap w:val="0"/>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否</w:t>
                  </w:r>
                </w:p>
              </w:tc>
              <w:tc>
                <w:tcPr>
                  <w:tcW w:w="878" w:type="pct"/>
                  <w:vAlign w:val="center"/>
                </w:tcPr>
                <w:p w14:paraId="1B5338B9">
                  <w:pPr>
                    <w:keepNext/>
                    <w:keepLines/>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企业总排</w:t>
                  </w:r>
                </w:p>
                <w:p w14:paraId="133BAEB3">
                  <w:pPr>
                    <w:keepNext/>
                    <w:keepLines/>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雨水排放</w:t>
                  </w:r>
                </w:p>
                <w:p w14:paraId="57B236F6">
                  <w:pPr>
                    <w:keepNext/>
                    <w:keepLines/>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清净下水排放</w:t>
                  </w:r>
                </w:p>
                <w:p w14:paraId="35F26BCB">
                  <w:pPr>
                    <w:keepNext/>
                    <w:keepLines/>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温排水排放</w:t>
                  </w:r>
                </w:p>
                <w:p w14:paraId="68D31296">
                  <w:pPr>
                    <w:keepNext/>
                    <w:keepLines/>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车间或车间处理设施排放口</w:t>
                  </w:r>
                </w:p>
              </w:tc>
            </w:tr>
          </w:tbl>
          <w:p w14:paraId="31A55005">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5、达标情况分析</w:t>
            </w:r>
          </w:p>
          <w:p w14:paraId="2A72F80C">
            <w:pPr>
              <w:pStyle w:val="16"/>
              <w:keepNext w:val="0"/>
              <w:keepLines w:val="0"/>
              <w:pageBreakBefore w:val="0"/>
              <w:suppressLineNumbers w:val="0"/>
              <w:wordWrap w:val="0"/>
              <w:bidi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kern w:val="2"/>
                <w:highlight w:val="none"/>
              </w:rPr>
              <w:t>（1）</w:t>
            </w:r>
            <w:r>
              <w:rPr>
                <w:rFonts w:hint="default" w:ascii="Times New Roman" w:hAnsi="Times New Roman" w:cs="Times New Roman"/>
                <w:b/>
                <w:bCs/>
                <w:color w:val="auto"/>
                <w:highlight w:val="none"/>
              </w:rPr>
              <w:t>依托污水设施的环境可行性评价</w:t>
            </w:r>
          </w:p>
          <w:p w14:paraId="2A73E8F4">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产业园范围内已有乐昌产业转移工业园污水处理厂，</w:t>
            </w:r>
            <w:r>
              <w:rPr>
                <w:rFonts w:hint="default" w:ascii="Times New Roman" w:hAnsi="Times New Roman" w:cs="Times New Roman"/>
                <w:color w:val="auto"/>
                <w:highlight w:val="none"/>
                <w:lang w:val="en-US" w:eastAsia="zh-CN"/>
              </w:rPr>
              <w:t>根据乐昌产业转移工业园管网分布图可知，本项目所在地块已纳入现状排污管收集范围内。</w:t>
            </w:r>
            <w:r>
              <w:rPr>
                <w:rFonts w:hint="default" w:ascii="Times New Roman" w:hAnsi="Times New Roman" w:cs="Times New Roman"/>
                <w:color w:val="auto"/>
                <w:highlight w:val="none"/>
              </w:rPr>
              <w:t>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1ED2B332">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F</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后，预处理达到广东省《水污染</w:t>
            </w:r>
            <w:r>
              <w:rPr>
                <w:rFonts w:hint="default" w:ascii="Times New Roman" w:hAnsi="Times New Roman" w:cs="Times New Roman"/>
                <w:color w:val="auto"/>
                <w:highlight w:val="none"/>
                <w:lang w:val="en-US" w:eastAsia="zh-CN"/>
              </w:rPr>
              <w:t>物</w:t>
            </w:r>
            <w:r>
              <w:rPr>
                <w:rFonts w:hint="default" w:ascii="Times New Roman" w:hAnsi="Times New Roman" w:cs="Times New Roman"/>
                <w:color w:val="auto"/>
                <w:highlight w:val="none"/>
              </w:rPr>
              <w:t>排放限值》(DB44/26-2001)第二时段三级标准</w:t>
            </w:r>
            <w:r>
              <w:rPr>
                <w:rFonts w:hint="default" w:ascii="Times New Roman" w:hAnsi="Times New Roman" w:cs="Times New Roman"/>
                <w:color w:val="auto"/>
                <w:highlight w:val="none"/>
                <w:lang w:eastAsia="zh-CN"/>
              </w:rPr>
              <w:t>。</w:t>
            </w:r>
          </w:p>
          <w:p w14:paraId="0EA3CC9E">
            <w:pPr>
              <w:pStyle w:val="14"/>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产业园污水处理厂目前已建成正常运行，并安装了在线监控设施并</w:t>
            </w:r>
            <w:r>
              <w:rPr>
                <w:rFonts w:hint="default" w:ascii="Times New Roman" w:hAnsi="Times New Roman" w:cs="Times New Roman"/>
                <w:color w:val="auto"/>
                <w:sz w:val="24"/>
                <w:highlight w:val="none"/>
                <w:lang w:eastAsia="zh-CN"/>
              </w:rPr>
              <w:t>与</w:t>
            </w:r>
            <w:r>
              <w:rPr>
                <w:rFonts w:hint="default" w:ascii="Times New Roman" w:hAnsi="Times New Roman" w:cs="Times New Roman"/>
                <w:color w:val="auto"/>
                <w:sz w:val="24"/>
                <w:highlight w:val="none"/>
              </w:rPr>
              <w:t>环保部门联网，园区污水处理厂占地面积15400m²，设计处理能力为10000m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/d，分两期建设，一期处理能力5000m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/d，二期处理能力5000m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/d，现状首期5000m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/d已经建成运行。</w:t>
            </w:r>
          </w:p>
          <w:p w14:paraId="21687775">
            <w:pPr>
              <w:keepNext w:val="0"/>
              <w:keepLines w:val="0"/>
              <w:pageBreakBefore w:val="0"/>
              <w:widowControl/>
              <w:suppressLineNumbers w:val="0"/>
              <w:wordWrap w:val="0"/>
              <w:bidi w:val="0"/>
              <w:spacing w:before="0" w:beforeAutospacing="0" w:after="0" w:afterAutospacing="0"/>
              <w:ind w:left="0" w:right="0"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highlight w:val="none"/>
                <w:lang w:val="en-US" w:eastAsia="zh-CN"/>
              </w:rPr>
              <w:t>根据乐昌产业转移工业园管委会提供的资料显示：2025年1月至6月期间，乐昌市产业转移工业园污水处理厂接纳污水总量为404312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最大接纳污水量为6月</w:t>
            </w:r>
            <w:r>
              <w:rPr>
                <w:rFonts w:hint="default" w:ascii="Times New Roman" w:hAnsi="Times New Roman" w:cs="Times New Roman"/>
                <w:color w:val="auto"/>
                <w:highlight w:val="none"/>
                <w:lang w:val="en-US" w:eastAsia="zh-CN"/>
              </w:rPr>
              <w:t>110739</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最小接纳污水量为1月</w:t>
            </w:r>
            <w:r>
              <w:rPr>
                <w:rFonts w:hint="default" w:ascii="Times New Roman" w:hAnsi="Times New Roman" w:cs="Times New Roman"/>
                <w:color w:val="auto"/>
                <w:highlight w:val="none"/>
                <w:lang w:val="en-US" w:eastAsia="zh-CN"/>
              </w:rPr>
              <w:t>32168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平均每月接纳污水总量为80862.4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val="en-US" w:eastAsia="zh-CN"/>
              </w:rPr>
              <w:t>，按每月30日折算</w:t>
            </w:r>
            <w:r>
              <w:rPr>
                <w:rFonts w:hint="default" w:ascii="Times New Roman" w:hAnsi="Times New Roman" w:cs="Times New Roman"/>
                <w:color w:val="auto"/>
                <w:kern w:val="0"/>
                <w:sz w:val="24"/>
                <w:szCs w:val="24"/>
                <w:highlight w:val="none"/>
                <w:lang w:val="en-US" w:eastAsia="zh-CN" w:bidi="ar"/>
              </w:rPr>
              <w:t>日处理量约为2695.4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/d，则剩余接纳污水能力为</w:t>
            </w:r>
            <w:r>
              <w:rPr>
                <w:rFonts w:hint="default" w:ascii="Times New Roman" w:hAnsi="Times New Roman" w:cs="Times New Roman"/>
                <w:color w:val="auto"/>
                <w:sz w:val="24"/>
                <w:highlight w:val="none"/>
              </w:rPr>
              <w:t>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kern w:val="0"/>
                <w:sz w:val="24"/>
                <w:szCs w:val="24"/>
                <w:highlight w:val="none"/>
                <w:lang w:val="en-US" w:eastAsia="zh-CN" w:bidi="ar"/>
              </w:rPr>
              <w:t>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/d=2304.6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w:t>
            </w:r>
          </w:p>
          <w:p w14:paraId="10D49C63">
            <w:pPr>
              <w:pStyle w:val="14"/>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本项目纳入污水处理厂的污水排放量为</w:t>
            </w:r>
            <w:r>
              <w:rPr>
                <w:rFonts w:hint="default"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val="en-US" w:eastAsia="zh-CN"/>
              </w:rPr>
              <w:t>约</w:t>
            </w:r>
            <w:r>
              <w:rPr>
                <w:rFonts w:hint="default" w:ascii="Times New Roman" w:hAnsi="Times New Roman" w:cs="Times New Roman"/>
                <w:color w:val="auto"/>
                <w:sz w:val="24"/>
                <w:highlight w:val="none"/>
                <w:lang w:eastAsia="zh-CN"/>
              </w:rPr>
              <w:t>占剩余处理能力的</w:t>
            </w:r>
            <w:r>
              <w:rPr>
                <w:rFonts w:hint="default" w:ascii="Times New Roman" w:hAnsi="Times New Roman" w:cs="Times New Roman"/>
                <w:color w:val="auto"/>
                <w:sz w:val="24"/>
                <w:highlight w:val="none"/>
                <w:lang w:val="en-US" w:eastAsia="zh-CN"/>
              </w:rPr>
              <w:t>0.05%。</w:t>
            </w:r>
            <w:r>
              <w:rPr>
                <w:rFonts w:hint="default" w:ascii="Times New Roman" w:hAnsi="Times New Roman" w:cs="Times New Roman"/>
                <w:color w:val="auto"/>
                <w:sz w:val="24"/>
                <w:highlight w:val="none"/>
              </w:rPr>
              <w:t>污水中的污染物主要为SS、COD</w:t>
            </w:r>
            <w:r>
              <w:rPr>
                <w:rFonts w:hint="default" w:ascii="Times New Roman" w:hAnsi="Times New Roman" w:cs="Times New Roman"/>
                <w:color w:val="auto"/>
                <w:sz w:val="24"/>
                <w:highlight w:val="none"/>
                <w:vertAlign w:val="subscript"/>
                <w:lang w:val="en-US" w:eastAsia="zh-CN"/>
              </w:rPr>
              <w:t>Cr</w:t>
            </w: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rPr>
              <w:t>、NH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-N等，污染物种类较简单</w:t>
            </w:r>
            <w:r>
              <w:rPr>
                <w:rFonts w:hint="default" w:ascii="Times New Roman" w:hAnsi="Times New Roman" w:cs="Times New Roman"/>
                <w:color w:val="auto"/>
                <w:sz w:val="24"/>
                <w:highlight w:val="none"/>
                <w:lang w:eastAsia="zh-CN"/>
              </w:rPr>
              <w:t>。</w:t>
            </w:r>
          </w:p>
          <w:p w14:paraId="70607749">
            <w:pPr>
              <w:pStyle w:val="58"/>
              <w:keepNext w:val="0"/>
              <w:keepLines w:val="0"/>
              <w:pageBreakBefore w:val="0"/>
              <w:suppressLineNumbers w:val="0"/>
              <w:kinsoku/>
              <w:wordWrap w:val="0"/>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998210" cy="2321560"/>
                  <wp:effectExtent l="0" t="0" r="8890" b="254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6"/>
                          <a:stretch>
                            <a:fillRect/>
                          </a:stretch>
                        </pic:blipFill>
                        <pic:spPr>
                          <a:xfrm>
                            <a:off x="0" y="0"/>
                            <a:ext cx="5998210" cy="2321560"/>
                          </a:xfrm>
                          <a:prstGeom prst="rect">
                            <a:avLst/>
                          </a:prstGeom>
                          <a:noFill/>
                          <a:ln>
                            <a:noFill/>
                          </a:ln>
                        </pic:spPr>
                      </pic:pic>
                    </a:graphicData>
                  </a:graphic>
                </wp:inline>
              </w:drawing>
            </w:r>
          </w:p>
          <w:p w14:paraId="3895F72E">
            <w:pPr>
              <w:keepNext w:val="0"/>
              <w:keepLines w:val="0"/>
              <w:pageBreakBefore w:val="0"/>
              <w:widowControl/>
              <w:numPr>
                <w:ilvl w:val="0"/>
                <w:numId w:val="8"/>
              </w:numPr>
              <w:suppressLineNumbers w:val="0"/>
              <w:kinsoku/>
              <w:wordWrap w:val="0"/>
              <w:overflowPunct/>
              <w:topLinePunct w:val="0"/>
              <w:autoSpaceDE/>
              <w:autoSpaceDN/>
              <w:bidi w:val="0"/>
              <w:adjustRightInd/>
              <w:snapToGrid w:val="0"/>
              <w:spacing w:before="0" w:beforeAutospacing="0" w:after="0" w:afterAutospacing="0"/>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园区</w:t>
            </w:r>
            <w:r>
              <w:rPr>
                <w:rFonts w:hint="default" w:ascii="Times New Roman" w:hAnsi="Times New Roman" w:eastAsia="宋体" w:cs="Times New Roman"/>
                <w:b/>
                <w:bCs/>
                <w:color w:val="auto"/>
                <w:kern w:val="0"/>
                <w:sz w:val="21"/>
                <w:szCs w:val="21"/>
                <w:highlight w:val="none"/>
                <w:lang w:val="en-US" w:eastAsia="zh-CN" w:bidi="ar"/>
              </w:rPr>
              <w:t>污水处理厂工艺流程图</w:t>
            </w:r>
          </w:p>
          <w:p w14:paraId="1C108F10">
            <w:pPr>
              <w:pStyle w:val="16"/>
              <w:keepNext w:val="0"/>
              <w:keepLines w:val="0"/>
              <w:pageBreakBefore w:val="0"/>
              <w:suppressLineNumbers w:val="0"/>
              <w:wordWrap w:val="0"/>
              <w:bidi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5、监测要求</w:t>
            </w:r>
          </w:p>
          <w:p w14:paraId="44E1758B">
            <w:pPr>
              <w:pStyle w:val="15"/>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总则》(HJ819-2017)，制定本项目生产废水自行监测计划，监测要求见下表。</w:t>
            </w:r>
          </w:p>
          <w:p w14:paraId="2EACFE73">
            <w:pPr>
              <w:pStyle w:val="12"/>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4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16 </w:t>
            </w:r>
            <w:r>
              <w:rPr>
                <w:rFonts w:hint="default" w:ascii="Times New Roman" w:hAnsi="Times New Roman" w:cs="Times New Roman"/>
                <w:b/>
                <w:bCs/>
                <w:color w:val="auto"/>
                <w:highlight w:val="none"/>
              </w:rPr>
              <w:t>监测要求</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2"/>
              <w:gridCol w:w="2950"/>
              <w:gridCol w:w="2016"/>
              <w:gridCol w:w="6093"/>
            </w:tblGrid>
            <w:tr w14:paraId="160A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901" w:type="pct"/>
                  <w:vAlign w:val="center"/>
                </w:tcPr>
                <w:p w14:paraId="52680B0D">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监测点位</w:t>
                  </w:r>
                </w:p>
              </w:tc>
              <w:tc>
                <w:tcPr>
                  <w:tcW w:w="1093" w:type="pct"/>
                  <w:vAlign w:val="center"/>
                </w:tcPr>
                <w:p w14:paraId="5964CD67">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监测指标</w:t>
                  </w:r>
                </w:p>
              </w:tc>
              <w:tc>
                <w:tcPr>
                  <w:tcW w:w="747" w:type="pct"/>
                  <w:vAlign w:val="center"/>
                </w:tcPr>
                <w:p w14:paraId="1C04DED4">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监测频次</w:t>
                  </w:r>
                </w:p>
              </w:tc>
              <w:tc>
                <w:tcPr>
                  <w:tcW w:w="2257" w:type="pct"/>
                  <w:vAlign w:val="center"/>
                </w:tcPr>
                <w:p w14:paraId="1A7D289B">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监测标准</w:t>
                  </w:r>
                </w:p>
              </w:tc>
            </w:tr>
            <w:tr w14:paraId="0C08A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901" w:type="pct"/>
                  <w:vAlign w:val="center"/>
                </w:tcPr>
                <w:p w14:paraId="51A87D7E">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综合废水排放口</w:t>
                  </w:r>
                </w:p>
                <w:p w14:paraId="2CED01DF">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DW001</w:t>
                  </w:r>
                </w:p>
              </w:tc>
              <w:tc>
                <w:tcPr>
                  <w:tcW w:w="1093" w:type="pct"/>
                  <w:vAlign w:val="center"/>
                </w:tcPr>
                <w:p w14:paraId="6EC4062B">
                  <w:pPr>
                    <w:pStyle w:val="15"/>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pH、COD</w:t>
                  </w:r>
                  <w:r>
                    <w:rPr>
                      <w:rFonts w:hint="default" w:ascii="Times New Roman" w:hAnsi="Times New Roman" w:cs="Times New Roman"/>
                      <w:color w:val="auto"/>
                      <w:sz w:val="21"/>
                      <w:szCs w:val="21"/>
                      <w:highlight w:val="none"/>
                      <w:vertAlign w:val="subscript"/>
                    </w:rPr>
                    <w:t>Cr</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rPr>
                    <w:t>、SS、氨氮</w:t>
                  </w:r>
                </w:p>
              </w:tc>
              <w:tc>
                <w:tcPr>
                  <w:tcW w:w="747" w:type="pct"/>
                  <w:vAlign w:val="center"/>
                </w:tcPr>
                <w:p w14:paraId="0A9000FC">
                  <w:pPr>
                    <w:pStyle w:val="59"/>
                    <w:keepNext w:val="0"/>
                    <w:keepLines w:val="0"/>
                    <w:pageBreakBefore w:val="0"/>
                    <w:widowControl/>
                    <w:suppressLineNumbers w:val="0"/>
                    <w:wordWrap w:val="0"/>
                    <w:bidi w:val="0"/>
                    <w:spacing w:before="0" w:beforeAutospacing="0" w:after="0" w:afterAutospacing="0"/>
                    <w:ind w:left="0" w:right="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1次/</w:t>
                  </w:r>
                  <w:r>
                    <w:rPr>
                      <w:rFonts w:hint="default" w:ascii="Times New Roman" w:hAnsi="Times New Roman" w:cs="Times New Roman"/>
                      <w:color w:val="auto"/>
                      <w:kern w:val="2"/>
                      <w:highlight w:val="none"/>
                      <w:lang w:val="en-US" w:eastAsia="zh-CN"/>
                    </w:rPr>
                    <w:t>年</w:t>
                  </w:r>
                </w:p>
              </w:tc>
              <w:tc>
                <w:tcPr>
                  <w:tcW w:w="2257" w:type="pct"/>
                  <w:vAlign w:val="center"/>
                </w:tcPr>
                <w:p w14:paraId="1D6F6E9F">
                  <w:pPr>
                    <w:pStyle w:val="59"/>
                    <w:keepNext w:val="0"/>
                    <w:keepLines w:val="0"/>
                    <w:pageBreakBefore w:val="0"/>
                    <w:widowControl/>
                    <w:suppressLineNumbers w:val="0"/>
                    <w:wordWrap w:val="0"/>
                    <w:bidi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广东省地方标准《水污染物排放限值》（DB44/26-2001）第二时段三级标准及园区污水处理厂接管水质要求两者较严值</w:t>
                  </w:r>
                </w:p>
              </w:tc>
            </w:tr>
          </w:tbl>
          <w:p w14:paraId="2A47FC14">
            <w:pPr>
              <w:keepNext/>
              <w:keepLines/>
              <w:pageBreakBefore w:val="0"/>
              <w:suppressLineNumbers w:val="0"/>
              <w:tabs>
                <w:tab w:val="left" w:pos="0"/>
              </w:tabs>
              <w:wordWrap w:val="0"/>
              <w:bidi w:val="0"/>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三、噪声污染源</w:t>
            </w:r>
          </w:p>
          <w:p w14:paraId="2AE21A60">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1346A90F">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本项目运营期主要噪声为</w:t>
            </w:r>
            <w:r>
              <w:rPr>
                <w:rFonts w:hint="default" w:ascii="Times New Roman" w:hAnsi="Times New Roman" w:cs="Times New Roman"/>
                <w:bCs/>
                <w:color w:val="auto"/>
                <w:highlight w:val="none"/>
                <w:lang w:val="en-US" w:eastAsia="zh-CN"/>
              </w:rPr>
              <w:t>软瓷</w:t>
            </w:r>
            <w:r>
              <w:rPr>
                <w:rFonts w:hint="default" w:ascii="Times New Roman" w:hAnsi="Times New Roman" w:cs="Times New Roman"/>
                <w:bCs/>
                <w:color w:val="auto"/>
                <w:highlight w:val="none"/>
              </w:rPr>
              <w:t>生产线的</w:t>
            </w:r>
            <w:r>
              <w:rPr>
                <w:rFonts w:hint="default" w:ascii="Times New Roman" w:hAnsi="Times New Roman" w:cs="Times New Roman"/>
                <w:bCs/>
                <w:color w:val="auto"/>
                <w:highlight w:val="none"/>
                <w:lang w:val="en-US" w:eastAsia="zh-CN"/>
              </w:rPr>
              <w:t>配套</w:t>
            </w:r>
            <w:r>
              <w:rPr>
                <w:rFonts w:hint="default" w:ascii="Times New Roman" w:hAnsi="Times New Roman" w:cs="Times New Roman"/>
                <w:bCs/>
                <w:color w:val="auto"/>
                <w:highlight w:val="none"/>
              </w:rPr>
              <w:t>燃烧机</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搅拌机、切割机、喷漆机、空压机组</w:t>
            </w:r>
            <w:r>
              <w:rPr>
                <w:rFonts w:hint="default" w:ascii="Times New Roman" w:hAnsi="Times New Roman" w:cs="Times New Roman"/>
                <w:bCs/>
                <w:color w:val="auto"/>
                <w:highlight w:val="none"/>
              </w:rPr>
              <w:t>等机械设备运行时所产生的机械噪声，根据建设单位提供的设备资料，噪声级从6</w:t>
            </w:r>
            <w:r>
              <w:rPr>
                <w:rFonts w:hint="default" w:ascii="Times New Roman" w:hAnsi="Times New Roman" w:cs="Times New Roman"/>
                <w:bCs/>
                <w:color w:val="auto"/>
                <w:highlight w:val="none"/>
                <w:lang w:val="en-US" w:eastAsia="zh-CN"/>
              </w:rPr>
              <w:t>5</w:t>
            </w:r>
            <w:r>
              <w:rPr>
                <w:rFonts w:hint="default" w:ascii="Times New Roman" w:hAnsi="Times New Roman" w:cs="Times New Roman"/>
                <w:bCs/>
                <w:color w:val="auto"/>
                <w:highlight w:val="none"/>
              </w:rPr>
              <w:t>~85dB(A)不等，</w:t>
            </w:r>
            <w:r>
              <w:rPr>
                <w:rFonts w:hint="default" w:ascii="Times New Roman" w:hAnsi="Times New Roman" w:cs="Times New Roman"/>
                <w:bCs/>
                <w:color w:val="auto"/>
                <w:kern w:val="0"/>
                <w:highlight w:val="none"/>
              </w:rPr>
              <w:t>噪声特征以连续性噪声为主，间歇性噪声为辅，</w:t>
            </w:r>
            <w:r>
              <w:rPr>
                <w:rFonts w:hint="default" w:ascii="Times New Roman" w:hAnsi="Times New Roman" w:cs="Times New Roman"/>
                <w:bCs/>
                <w:color w:val="auto"/>
                <w:highlight w:val="none"/>
              </w:rPr>
              <w:t>噪声污染源源强核算结果见下表。</w:t>
            </w:r>
          </w:p>
          <w:p w14:paraId="14774FCB">
            <w:pPr>
              <w:pStyle w:val="12"/>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17 </w:t>
            </w:r>
            <w:r>
              <w:rPr>
                <w:rFonts w:hint="default" w:ascii="Times New Roman" w:hAnsi="Times New Roman" w:cs="Times New Roman"/>
                <w:b/>
                <w:bCs/>
                <w:color w:val="auto"/>
                <w:highlight w:val="none"/>
              </w:rPr>
              <w:t>工业企业噪声源强调查清单（室内声源）</w:t>
            </w:r>
          </w:p>
          <w:tbl>
            <w:tblPr>
              <w:tblStyle w:val="3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Layout w:type="autofit"/>
              <w:tblCellMar>
                <w:top w:w="0" w:type="dxa"/>
                <w:left w:w="108" w:type="dxa"/>
                <w:bottom w:w="0" w:type="dxa"/>
                <w:right w:w="108" w:type="dxa"/>
              </w:tblCellMar>
            </w:tblPr>
            <w:tblGrid>
              <w:gridCol w:w="427"/>
              <w:gridCol w:w="427"/>
              <w:gridCol w:w="638"/>
              <w:gridCol w:w="427"/>
              <w:gridCol w:w="775"/>
              <w:gridCol w:w="699"/>
              <w:gridCol w:w="636"/>
              <w:gridCol w:w="431"/>
              <w:gridCol w:w="431"/>
              <w:gridCol w:w="434"/>
              <w:gridCol w:w="427"/>
              <w:gridCol w:w="427"/>
              <w:gridCol w:w="427"/>
              <w:gridCol w:w="427"/>
              <w:gridCol w:w="427"/>
              <w:gridCol w:w="427"/>
              <w:gridCol w:w="427"/>
              <w:gridCol w:w="427"/>
              <w:gridCol w:w="815"/>
              <w:gridCol w:w="515"/>
              <w:gridCol w:w="427"/>
              <w:gridCol w:w="427"/>
              <w:gridCol w:w="427"/>
              <w:gridCol w:w="427"/>
              <w:gridCol w:w="427"/>
              <w:gridCol w:w="427"/>
              <w:gridCol w:w="427"/>
              <w:gridCol w:w="431"/>
            </w:tblGrid>
            <w:tr w14:paraId="01CA31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PrEx>
              <w:trPr>
                <w:trHeight w:val="300" w:hRule="atLeast"/>
                <w:jc w:val="center"/>
              </w:trPr>
              <w:tc>
                <w:tcPr>
                  <w:tcW w:w="410" w:type="dxa"/>
                  <w:vMerge w:val="restart"/>
                  <w:tcBorders>
                    <w:tl2br w:val="nil"/>
                    <w:tr2bl w:val="nil"/>
                  </w:tcBorders>
                  <w:shd w:val="clear" w:color="auto" w:fill="FFFFFF" w:themeFill="background1"/>
                  <w:vAlign w:val="center"/>
                </w:tcPr>
                <w:p w14:paraId="6B11F3B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建筑物名称</w:t>
                  </w:r>
                </w:p>
              </w:tc>
              <w:tc>
                <w:tcPr>
                  <w:tcW w:w="410" w:type="dxa"/>
                  <w:vMerge w:val="restart"/>
                  <w:tcBorders>
                    <w:tl2br w:val="nil"/>
                    <w:tr2bl w:val="nil"/>
                  </w:tcBorders>
                  <w:shd w:val="clear" w:color="auto" w:fill="FFFFFF" w:themeFill="background1"/>
                  <w:vAlign w:val="center"/>
                </w:tcPr>
                <w:p w14:paraId="1197677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声源名称</w:t>
                  </w:r>
                </w:p>
              </w:tc>
              <w:tc>
                <w:tcPr>
                  <w:tcW w:w="605" w:type="dxa"/>
                  <w:vMerge w:val="restart"/>
                  <w:tcBorders>
                    <w:tl2br w:val="nil"/>
                    <w:tr2bl w:val="nil"/>
                  </w:tcBorders>
                  <w:shd w:val="clear" w:color="auto" w:fill="FFFFFF" w:themeFill="background1"/>
                  <w:vAlign w:val="center"/>
                </w:tcPr>
                <w:p w14:paraId="2640D5C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（台/套）</w:t>
                  </w:r>
                </w:p>
              </w:tc>
              <w:tc>
                <w:tcPr>
                  <w:tcW w:w="410" w:type="dxa"/>
                  <w:vMerge w:val="restart"/>
                  <w:tcBorders>
                    <w:tl2br w:val="nil"/>
                    <w:tr2bl w:val="nil"/>
                  </w:tcBorders>
                  <w:shd w:val="clear" w:color="auto" w:fill="FFFFFF" w:themeFill="background1"/>
                  <w:vAlign w:val="center"/>
                </w:tcPr>
                <w:p w14:paraId="3AA9ECE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声源类型</w:t>
                  </w:r>
                </w:p>
              </w:tc>
              <w:tc>
                <w:tcPr>
                  <w:tcW w:w="1550" w:type="dxa"/>
                  <w:gridSpan w:val="2"/>
                  <w:tcBorders>
                    <w:tl2br w:val="nil"/>
                    <w:tr2bl w:val="nil"/>
                  </w:tcBorders>
                  <w:shd w:val="clear" w:color="auto" w:fill="FFFFFF" w:themeFill="background1"/>
                  <w:vAlign w:val="center"/>
                </w:tcPr>
                <w:p w14:paraId="0204F05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声源源强</w:t>
                  </w:r>
                </w:p>
              </w:tc>
              <w:tc>
                <w:tcPr>
                  <w:tcW w:w="603" w:type="dxa"/>
                  <w:vMerge w:val="restart"/>
                  <w:tcBorders>
                    <w:tl2br w:val="nil"/>
                    <w:tr2bl w:val="nil"/>
                  </w:tcBorders>
                  <w:shd w:val="clear" w:color="auto" w:fill="FFFFFF" w:themeFill="background1"/>
                  <w:vAlign w:val="center"/>
                </w:tcPr>
                <w:p w14:paraId="0EA0841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声源控制措施</w:t>
                  </w:r>
                </w:p>
              </w:tc>
              <w:tc>
                <w:tcPr>
                  <w:tcW w:w="1406" w:type="dxa"/>
                  <w:gridSpan w:val="3"/>
                  <w:tcBorders>
                    <w:tl2br w:val="nil"/>
                    <w:tr2bl w:val="nil"/>
                  </w:tcBorders>
                  <w:shd w:val="clear" w:color="auto" w:fill="FFFFFF" w:themeFill="background1"/>
                  <w:vAlign w:val="center"/>
                </w:tcPr>
                <w:p w14:paraId="4CE82F4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空间相对位置/m</w:t>
                  </w:r>
                </w:p>
              </w:tc>
              <w:tc>
                <w:tcPr>
                  <w:tcW w:w="1640" w:type="dxa"/>
                  <w:gridSpan w:val="4"/>
                  <w:tcBorders>
                    <w:tl2br w:val="nil"/>
                    <w:tr2bl w:val="nil"/>
                  </w:tcBorders>
                  <w:shd w:val="clear" w:color="auto" w:fill="FFFFFF" w:themeFill="background1"/>
                  <w:vAlign w:val="center"/>
                </w:tcPr>
                <w:p w14:paraId="1A661CC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距离室内边界距离/m</w:t>
                  </w:r>
                </w:p>
              </w:tc>
              <w:tc>
                <w:tcPr>
                  <w:tcW w:w="1640" w:type="dxa"/>
                  <w:gridSpan w:val="4"/>
                  <w:tcBorders>
                    <w:tl2br w:val="nil"/>
                    <w:tr2bl w:val="nil"/>
                  </w:tcBorders>
                  <w:shd w:val="clear" w:color="auto" w:fill="FFFFFF" w:themeFill="background1"/>
                  <w:vAlign w:val="center"/>
                </w:tcPr>
                <w:p w14:paraId="5C15019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室内边界声级/dB(A)</w:t>
                  </w:r>
                </w:p>
              </w:tc>
              <w:tc>
                <w:tcPr>
                  <w:tcW w:w="968" w:type="dxa"/>
                  <w:vMerge w:val="restart"/>
                  <w:tcBorders>
                    <w:tl2br w:val="nil"/>
                    <w:tr2bl w:val="nil"/>
                  </w:tcBorders>
                  <w:shd w:val="clear" w:color="auto" w:fill="FFFFFF" w:themeFill="background1"/>
                  <w:vAlign w:val="center"/>
                </w:tcPr>
                <w:p w14:paraId="5D1FFD2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运行时段</w:t>
                  </w:r>
                </w:p>
              </w:tc>
              <w:tc>
                <w:tcPr>
                  <w:tcW w:w="1783" w:type="dxa"/>
                  <w:gridSpan w:val="4"/>
                  <w:tcBorders>
                    <w:tl2br w:val="nil"/>
                    <w:tr2bl w:val="nil"/>
                  </w:tcBorders>
                  <w:shd w:val="clear" w:color="auto" w:fill="FFFFFF" w:themeFill="background1"/>
                  <w:vAlign w:val="center"/>
                </w:tcPr>
                <w:p w14:paraId="026F798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建筑物插入损失dB（A）</w:t>
                  </w:r>
                </w:p>
              </w:tc>
              <w:tc>
                <w:tcPr>
                  <w:tcW w:w="2077" w:type="dxa"/>
                  <w:gridSpan w:val="5"/>
                  <w:tcBorders>
                    <w:tl2br w:val="nil"/>
                    <w:tr2bl w:val="nil"/>
                  </w:tcBorders>
                  <w:shd w:val="clear" w:color="auto" w:fill="FFFFFF" w:themeFill="background1"/>
                  <w:vAlign w:val="center"/>
                </w:tcPr>
                <w:p w14:paraId="4EC85C7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建筑物外噪声</w:t>
                  </w:r>
                </w:p>
              </w:tc>
            </w:tr>
            <w:tr w14:paraId="61E5B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410" w:type="dxa"/>
                  <w:vMerge w:val="continue"/>
                  <w:tcBorders>
                    <w:tl2br w:val="nil"/>
                    <w:tr2bl w:val="nil"/>
                  </w:tcBorders>
                  <w:shd w:val="clear" w:color="auto" w:fill="FFFFFF" w:themeFill="background1"/>
                  <w:vAlign w:val="center"/>
                </w:tcPr>
                <w:p w14:paraId="4AFC334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73582AB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05" w:type="dxa"/>
                  <w:vMerge w:val="continue"/>
                  <w:tcBorders>
                    <w:tl2br w:val="nil"/>
                    <w:tr2bl w:val="nil"/>
                  </w:tcBorders>
                  <w:shd w:val="clear" w:color="auto" w:fill="FFFFFF" w:themeFill="background1"/>
                  <w:vAlign w:val="center"/>
                </w:tcPr>
                <w:p w14:paraId="74D9D69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743B0B1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5" w:type="dxa"/>
                  <w:vMerge w:val="restart"/>
                  <w:tcBorders>
                    <w:tl2br w:val="nil"/>
                    <w:tr2bl w:val="nil"/>
                  </w:tcBorders>
                  <w:shd w:val="clear" w:color="auto" w:fill="FFFFFF" w:themeFill="background1"/>
                  <w:vAlign w:val="center"/>
                </w:tcPr>
                <w:p w14:paraId="024A9BE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声功率级/dB(A)</w:t>
                  </w:r>
                </w:p>
              </w:tc>
              <w:tc>
                <w:tcPr>
                  <w:tcW w:w="775" w:type="dxa"/>
                  <w:vMerge w:val="restart"/>
                  <w:tcBorders>
                    <w:tl2br w:val="nil"/>
                    <w:tr2bl w:val="nil"/>
                  </w:tcBorders>
                  <w:shd w:val="clear" w:color="auto" w:fill="FFFFFF" w:themeFill="background1"/>
                  <w:vAlign w:val="center"/>
                </w:tcPr>
                <w:p w14:paraId="758F783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室内叠加后声功率级/dB(A)</w:t>
                  </w:r>
                </w:p>
              </w:tc>
              <w:tc>
                <w:tcPr>
                  <w:tcW w:w="603" w:type="dxa"/>
                  <w:vMerge w:val="continue"/>
                  <w:tcBorders>
                    <w:tl2br w:val="nil"/>
                    <w:tr2bl w:val="nil"/>
                  </w:tcBorders>
                  <w:shd w:val="clear" w:color="auto" w:fill="FFFFFF" w:themeFill="background1"/>
                  <w:vAlign w:val="center"/>
                </w:tcPr>
                <w:p w14:paraId="4616CF6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74" w:type="dxa"/>
                  <w:vMerge w:val="restart"/>
                  <w:tcBorders>
                    <w:tl2br w:val="nil"/>
                    <w:tr2bl w:val="nil"/>
                  </w:tcBorders>
                  <w:shd w:val="clear" w:color="auto" w:fill="FFFFFF" w:themeFill="background1"/>
                  <w:vAlign w:val="center"/>
                </w:tcPr>
                <w:p w14:paraId="4C420DC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474" w:type="dxa"/>
                  <w:vMerge w:val="restart"/>
                  <w:tcBorders>
                    <w:tl2br w:val="nil"/>
                    <w:tr2bl w:val="nil"/>
                  </w:tcBorders>
                  <w:shd w:val="clear" w:color="auto" w:fill="FFFFFF" w:themeFill="background1"/>
                  <w:vAlign w:val="center"/>
                </w:tcPr>
                <w:p w14:paraId="4B9C4DB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458" w:type="dxa"/>
                  <w:vMerge w:val="restart"/>
                  <w:tcBorders>
                    <w:tl2br w:val="nil"/>
                    <w:tr2bl w:val="nil"/>
                  </w:tcBorders>
                  <w:shd w:val="clear" w:color="auto" w:fill="FFFFFF" w:themeFill="background1"/>
                  <w:vAlign w:val="center"/>
                </w:tcPr>
                <w:p w14:paraId="6535724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z</w:t>
                  </w:r>
                </w:p>
              </w:tc>
              <w:tc>
                <w:tcPr>
                  <w:tcW w:w="410" w:type="dxa"/>
                  <w:vMerge w:val="restart"/>
                  <w:tcBorders>
                    <w:tl2br w:val="nil"/>
                    <w:tr2bl w:val="nil"/>
                  </w:tcBorders>
                  <w:shd w:val="clear" w:color="auto" w:fill="FFFFFF" w:themeFill="background1"/>
                  <w:vAlign w:val="center"/>
                </w:tcPr>
                <w:p w14:paraId="583FBFF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10" w:type="dxa"/>
                  <w:vMerge w:val="restart"/>
                  <w:tcBorders>
                    <w:tl2br w:val="nil"/>
                    <w:tr2bl w:val="nil"/>
                  </w:tcBorders>
                  <w:shd w:val="clear" w:color="auto" w:fill="FFFFFF" w:themeFill="background1"/>
                  <w:vAlign w:val="center"/>
                </w:tcPr>
                <w:p w14:paraId="6688532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10" w:type="dxa"/>
                  <w:vMerge w:val="restart"/>
                  <w:tcBorders>
                    <w:tl2br w:val="nil"/>
                    <w:tr2bl w:val="nil"/>
                  </w:tcBorders>
                  <w:shd w:val="clear" w:color="auto" w:fill="FFFFFF" w:themeFill="background1"/>
                  <w:vAlign w:val="center"/>
                </w:tcPr>
                <w:p w14:paraId="1680DA4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10" w:type="dxa"/>
                  <w:vMerge w:val="restart"/>
                  <w:tcBorders>
                    <w:tl2br w:val="nil"/>
                    <w:tr2bl w:val="nil"/>
                  </w:tcBorders>
                  <w:shd w:val="clear" w:color="auto" w:fill="FFFFFF" w:themeFill="background1"/>
                  <w:vAlign w:val="center"/>
                </w:tcPr>
                <w:p w14:paraId="0775A11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410" w:type="dxa"/>
                  <w:vMerge w:val="restart"/>
                  <w:tcBorders>
                    <w:tl2br w:val="nil"/>
                    <w:tr2bl w:val="nil"/>
                  </w:tcBorders>
                  <w:shd w:val="clear" w:color="auto" w:fill="FFFFFF" w:themeFill="background1"/>
                  <w:vAlign w:val="center"/>
                </w:tcPr>
                <w:p w14:paraId="37728F6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10" w:type="dxa"/>
                  <w:vMerge w:val="restart"/>
                  <w:tcBorders>
                    <w:tl2br w:val="nil"/>
                    <w:tr2bl w:val="nil"/>
                  </w:tcBorders>
                  <w:shd w:val="clear" w:color="auto" w:fill="FFFFFF" w:themeFill="background1"/>
                  <w:vAlign w:val="center"/>
                </w:tcPr>
                <w:p w14:paraId="1B48493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10" w:type="dxa"/>
                  <w:vMerge w:val="restart"/>
                  <w:tcBorders>
                    <w:tl2br w:val="nil"/>
                    <w:tr2bl w:val="nil"/>
                  </w:tcBorders>
                  <w:shd w:val="clear" w:color="auto" w:fill="FFFFFF" w:themeFill="background1"/>
                  <w:vAlign w:val="center"/>
                </w:tcPr>
                <w:p w14:paraId="1F5F6E7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10" w:type="dxa"/>
                  <w:vMerge w:val="restart"/>
                  <w:tcBorders>
                    <w:tl2br w:val="nil"/>
                    <w:tr2bl w:val="nil"/>
                  </w:tcBorders>
                  <w:shd w:val="clear" w:color="auto" w:fill="FFFFFF" w:themeFill="background1"/>
                  <w:vAlign w:val="center"/>
                </w:tcPr>
                <w:p w14:paraId="62F9853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968" w:type="dxa"/>
                  <w:vMerge w:val="continue"/>
                  <w:tcBorders>
                    <w:tl2br w:val="nil"/>
                    <w:tr2bl w:val="nil"/>
                  </w:tcBorders>
                  <w:shd w:val="clear" w:color="auto" w:fill="FFFFFF" w:themeFill="background1"/>
                  <w:vAlign w:val="center"/>
                </w:tcPr>
                <w:p w14:paraId="6813742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50" w:type="dxa"/>
                  <w:vMerge w:val="restart"/>
                  <w:tcBorders>
                    <w:tl2br w:val="nil"/>
                    <w:tr2bl w:val="nil"/>
                  </w:tcBorders>
                  <w:shd w:val="clear" w:color="auto" w:fill="FFFFFF" w:themeFill="background1"/>
                  <w:vAlign w:val="center"/>
                </w:tcPr>
                <w:p w14:paraId="53C4708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11" w:type="dxa"/>
                  <w:vMerge w:val="restart"/>
                  <w:tcBorders>
                    <w:tl2br w:val="nil"/>
                    <w:tr2bl w:val="nil"/>
                  </w:tcBorders>
                  <w:shd w:val="clear" w:color="auto" w:fill="FFFFFF" w:themeFill="background1"/>
                  <w:vAlign w:val="center"/>
                </w:tcPr>
                <w:p w14:paraId="10A4BC9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11" w:type="dxa"/>
                  <w:vMerge w:val="restart"/>
                  <w:tcBorders>
                    <w:tl2br w:val="nil"/>
                    <w:tr2bl w:val="nil"/>
                  </w:tcBorders>
                  <w:shd w:val="clear" w:color="auto" w:fill="FFFFFF" w:themeFill="background1"/>
                  <w:vAlign w:val="center"/>
                </w:tcPr>
                <w:p w14:paraId="5FD2C87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11" w:type="dxa"/>
                  <w:vMerge w:val="restart"/>
                  <w:tcBorders>
                    <w:tl2br w:val="nil"/>
                    <w:tr2bl w:val="nil"/>
                  </w:tcBorders>
                  <w:shd w:val="clear" w:color="auto" w:fill="FFFFFF" w:themeFill="background1"/>
                  <w:vAlign w:val="center"/>
                </w:tcPr>
                <w:p w14:paraId="76BD8EE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1644" w:type="dxa"/>
                  <w:gridSpan w:val="4"/>
                  <w:tcBorders>
                    <w:tl2br w:val="nil"/>
                    <w:tr2bl w:val="nil"/>
                  </w:tcBorders>
                  <w:shd w:val="clear" w:color="auto" w:fill="FFFFFF" w:themeFill="background1"/>
                  <w:vAlign w:val="center"/>
                </w:tcPr>
                <w:p w14:paraId="7A8CFE1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声压级/dB（A）</w:t>
                  </w:r>
                </w:p>
              </w:tc>
              <w:tc>
                <w:tcPr>
                  <w:tcW w:w="433" w:type="dxa"/>
                  <w:vMerge w:val="restart"/>
                  <w:tcBorders>
                    <w:tl2br w:val="nil"/>
                    <w:tr2bl w:val="nil"/>
                  </w:tcBorders>
                  <w:shd w:val="clear" w:color="auto" w:fill="FFFFFF" w:themeFill="background1"/>
                  <w:vAlign w:val="center"/>
                </w:tcPr>
                <w:p w14:paraId="14CC9F0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建筑物外距离/m</w:t>
                  </w:r>
                </w:p>
              </w:tc>
            </w:tr>
            <w:tr w14:paraId="4C5E43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810" w:hRule="atLeast"/>
                <w:jc w:val="center"/>
              </w:trPr>
              <w:tc>
                <w:tcPr>
                  <w:tcW w:w="410" w:type="dxa"/>
                  <w:vMerge w:val="continue"/>
                  <w:tcBorders>
                    <w:tl2br w:val="nil"/>
                    <w:tr2bl w:val="nil"/>
                  </w:tcBorders>
                  <w:shd w:val="clear" w:color="auto" w:fill="FFFFFF" w:themeFill="background1"/>
                  <w:vAlign w:val="center"/>
                </w:tcPr>
                <w:p w14:paraId="1488951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6FC3DB5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05" w:type="dxa"/>
                  <w:vMerge w:val="continue"/>
                  <w:tcBorders>
                    <w:tl2br w:val="nil"/>
                    <w:tr2bl w:val="nil"/>
                  </w:tcBorders>
                  <w:shd w:val="clear" w:color="auto" w:fill="FFFFFF" w:themeFill="background1"/>
                  <w:vAlign w:val="center"/>
                </w:tcPr>
                <w:p w14:paraId="5E62B69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26CA7C0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5" w:type="dxa"/>
                  <w:vMerge w:val="continue"/>
                  <w:tcBorders>
                    <w:tl2br w:val="nil"/>
                    <w:tr2bl w:val="nil"/>
                  </w:tcBorders>
                  <w:shd w:val="clear" w:color="auto" w:fill="FFFFFF" w:themeFill="background1"/>
                  <w:vAlign w:val="center"/>
                </w:tcPr>
                <w:p w14:paraId="27D38B2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5" w:type="dxa"/>
                  <w:vMerge w:val="continue"/>
                  <w:tcBorders>
                    <w:tl2br w:val="nil"/>
                    <w:tr2bl w:val="nil"/>
                  </w:tcBorders>
                  <w:shd w:val="clear" w:color="auto" w:fill="FFFFFF" w:themeFill="background1"/>
                  <w:vAlign w:val="center"/>
                </w:tcPr>
                <w:p w14:paraId="3B0C745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03" w:type="dxa"/>
                  <w:vMerge w:val="continue"/>
                  <w:tcBorders>
                    <w:tl2br w:val="nil"/>
                    <w:tr2bl w:val="nil"/>
                  </w:tcBorders>
                  <w:shd w:val="clear" w:color="auto" w:fill="FFFFFF" w:themeFill="background1"/>
                  <w:vAlign w:val="center"/>
                </w:tcPr>
                <w:p w14:paraId="2DAD6BF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74" w:type="dxa"/>
                  <w:vMerge w:val="continue"/>
                  <w:tcBorders>
                    <w:tl2br w:val="nil"/>
                    <w:tr2bl w:val="nil"/>
                  </w:tcBorders>
                  <w:shd w:val="clear" w:color="auto" w:fill="FFFFFF" w:themeFill="background1"/>
                  <w:vAlign w:val="center"/>
                </w:tcPr>
                <w:p w14:paraId="778DDA4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74" w:type="dxa"/>
                  <w:vMerge w:val="continue"/>
                  <w:tcBorders>
                    <w:tl2br w:val="nil"/>
                    <w:tr2bl w:val="nil"/>
                  </w:tcBorders>
                  <w:shd w:val="clear" w:color="auto" w:fill="FFFFFF" w:themeFill="background1"/>
                  <w:vAlign w:val="center"/>
                </w:tcPr>
                <w:p w14:paraId="5D291DA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58" w:type="dxa"/>
                  <w:vMerge w:val="continue"/>
                  <w:tcBorders>
                    <w:tl2br w:val="nil"/>
                    <w:tr2bl w:val="nil"/>
                  </w:tcBorders>
                  <w:shd w:val="clear" w:color="auto" w:fill="FFFFFF" w:themeFill="background1"/>
                  <w:vAlign w:val="center"/>
                </w:tcPr>
                <w:p w14:paraId="25110C4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40C397E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79E2BD6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7FE6EA1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4C965C0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5A4DD3A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1E4662F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2183FFF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dxa"/>
                  <w:vMerge w:val="continue"/>
                  <w:tcBorders>
                    <w:tl2br w:val="nil"/>
                    <w:tr2bl w:val="nil"/>
                  </w:tcBorders>
                  <w:shd w:val="clear" w:color="auto" w:fill="FFFFFF" w:themeFill="background1"/>
                  <w:vAlign w:val="center"/>
                </w:tcPr>
                <w:p w14:paraId="536C7D2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968" w:type="dxa"/>
                  <w:vMerge w:val="continue"/>
                  <w:tcBorders>
                    <w:tl2br w:val="nil"/>
                    <w:tr2bl w:val="nil"/>
                  </w:tcBorders>
                  <w:shd w:val="clear" w:color="auto" w:fill="FFFFFF" w:themeFill="background1"/>
                  <w:vAlign w:val="center"/>
                </w:tcPr>
                <w:p w14:paraId="3C3328E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50" w:type="dxa"/>
                  <w:vMerge w:val="continue"/>
                  <w:tcBorders>
                    <w:tl2br w:val="nil"/>
                    <w:tr2bl w:val="nil"/>
                  </w:tcBorders>
                  <w:shd w:val="clear" w:color="auto" w:fill="FFFFFF" w:themeFill="background1"/>
                  <w:vAlign w:val="center"/>
                </w:tcPr>
                <w:p w14:paraId="29B9765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1" w:type="dxa"/>
                  <w:vMerge w:val="continue"/>
                  <w:tcBorders>
                    <w:tl2br w:val="nil"/>
                    <w:tr2bl w:val="nil"/>
                  </w:tcBorders>
                  <w:shd w:val="clear" w:color="auto" w:fill="FFFFFF" w:themeFill="background1"/>
                  <w:vAlign w:val="center"/>
                </w:tcPr>
                <w:p w14:paraId="08E097B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1" w:type="dxa"/>
                  <w:vMerge w:val="continue"/>
                  <w:tcBorders>
                    <w:tl2br w:val="nil"/>
                    <w:tr2bl w:val="nil"/>
                  </w:tcBorders>
                  <w:shd w:val="clear" w:color="auto" w:fill="FFFFFF" w:themeFill="background1"/>
                  <w:vAlign w:val="center"/>
                </w:tcPr>
                <w:p w14:paraId="0F37293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1" w:type="dxa"/>
                  <w:vMerge w:val="continue"/>
                  <w:tcBorders>
                    <w:tl2br w:val="nil"/>
                    <w:tr2bl w:val="nil"/>
                  </w:tcBorders>
                  <w:shd w:val="clear" w:color="auto" w:fill="FFFFFF" w:themeFill="background1"/>
                  <w:vAlign w:val="center"/>
                </w:tcPr>
                <w:p w14:paraId="71A3A95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1" w:type="dxa"/>
                  <w:tcBorders>
                    <w:tl2br w:val="nil"/>
                    <w:tr2bl w:val="nil"/>
                  </w:tcBorders>
                  <w:shd w:val="clear" w:color="auto" w:fill="FFFFFF" w:themeFill="background1"/>
                  <w:vAlign w:val="center"/>
                </w:tcPr>
                <w:p w14:paraId="0C983C3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411" w:type="dxa"/>
                  <w:tcBorders>
                    <w:tl2br w:val="nil"/>
                    <w:tr2bl w:val="nil"/>
                  </w:tcBorders>
                  <w:shd w:val="clear" w:color="auto" w:fill="FFFFFF" w:themeFill="background1"/>
                  <w:vAlign w:val="center"/>
                </w:tcPr>
                <w:p w14:paraId="6C09E27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411" w:type="dxa"/>
                  <w:tcBorders>
                    <w:tl2br w:val="nil"/>
                    <w:tr2bl w:val="nil"/>
                  </w:tcBorders>
                  <w:shd w:val="clear" w:color="auto" w:fill="FFFFFF" w:themeFill="background1"/>
                  <w:vAlign w:val="center"/>
                </w:tcPr>
                <w:p w14:paraId="4C2AC4E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411" w:type="dxa"/>
                  <w:tcBorders>
                    <w:tl2br w:val="nil"/>
                    <w:tr2bl w:val="nil"/>
                  </w:tcBorders>
                  <w:shd w:val="clear" w:color="auto" w:fill="FFFFFF" w:themeFill="background1"/>
                  <w:vAlign w:val="center"/>
                </w:tcPr>
                <w:p w14:paraId="62677FA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433" w:type="dxa"/>
                  <w:vMerge w:val="continue"/>
                  <w:tcBorders>
                    <w:tl2br w:val="nil"/>
                    <w:tr2bl w:val="nil"/>
                  </w:tcBorders>
                  <w:shd w:val="clear" w:color="auto" w:fill="FFFFFF" w:themeFill="background1"/>
                  <w:vAlign w:val="center"/>
                </w:tcPr>
                <w:p w14:paraId="6811AF4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7EFCA1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4" w:hRule="atLeast"/>
                <w:jc w:val="center"/>
              </w:trPr>
              <w:tc>
                <w:tcPr>
                  <w:tcW w:w="410" w:type="dxa"/>
                  <w:vMerge w:val="restart"/>
                  <w:tcBorders>
                    <w:tl2br w:val="nil"/>
                    <w:tr2bl w:val="nil"/>
                  </w:tcBorders>
                  <w:shd w:val="clear" w:color="auto" w:fill="FFFFFF" w:themeFill="background1"/>
                  <w:vAlign w:val="center"/>
                </w:tcPr>
                <w:p w14:paraId="108744F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生产厂房</w:t>
                  </w:r>
                </w:p>
              </w:tc>
              <w:tc>
                <w:tcPr>
                  <w:tcW w:w="410" w:type="dxa"/>
                  <w:tcBorders>
                    <w:tl2br w:val="nil"/>
                    <w:tr2bl w:val="nil"/>
                  </w:tcBorders>
                  <w:shd w:val="clear" w:color="auto" w:fill="FFFFFF" w:themeFill="background1"/>
                  <w:vAlign w:val="center"/>
                </w:tcPr>
                <w:p w14:paraId="1C9C063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软瓷生产线</w:t>
                  </w:r>
                </w:p>
              </w:tc>
              <w:tc>
                <w:tcPr>
                  <w:tcW w:w="605" w:type="dxa"/>
                  <w:tcBorders>
                    <w:tl2br w:val="nil"/>
                    <w:tr2bl w:val="nil"/>
                  </w:tcBorders>
                  <w:shd w:val="clear" w:color="auto" w:fill="FFFFFF" w:themeFill="background1"/>
                  <w:noWrap/>
                  <w:vAlign w:val="center"/>
                </w:tcPr>
                <w:p w14:paraId="429BA4E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410" w:type="dxa"/>
                  <w:tcBorders>
                    <w:tl2br w:val="nil"/>
                    <w:tr2bl w:val="nil"/>
                  </w:tcBorders>
                  <w:shd w:val="clear" w:color="auto" w:fill="FFFFFF" w:themeFill="background1"/>
                  <w:vAlign w:val="center"/>
                </w:tcPr>
                <w:p w14:paraId="6497686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频发</w:t>
                  </w:r>
                </w:p>
              </w:tc>
              <w:tc>
                <w:tcPr>
                  <w:tcW w:w="775" w:type="dxa"/>
                  <w:tcBorders>
                    <w:tl2br w:val="nil"/>
                    <w:tr2bl w:val="nil"/>
                  </w:tcBorders>
                  <w:shd w:val="clear" w:color="auto" w:fill="FFFFFF" w:themeFill="background1"/>
                  <w:vAlign w:val="center"/>
                </w:tcPr>
                <w:p w14:paraId="61B9141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75" w:type="dxa"/>
                  <w:tcBorders>
                    <w:tl2br w:val="nil"/>
                    <w:tr2bl w:val="nil"/>
                  </w:tcBorders>
                  <w:shd w:val="clear" w:color="auto" w:fill="FFFFFF" w:themeFill="background1"/>
                  <w:vAlign w:val="center"/>
                </w:tcPr>
                <w:p w14:paraId="53D3311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603" w:type="dxa"/>
                  <w:vMerge w:val="restart"/>
                  <w:tcBorders>
                    <w:tl2br w:val="nil"/>
                    <w:tr2bl w:val="nil"/>
                  </w:tcBorders>
                  <w:shd w:val="clear" w:color="auto" w:fill="FFFFFF" w:themeFill="background1"/>
                  <w:vAlign w:val="center"/>
                </w:tcPr>
                <w:p w14:paraId="1FF6415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color w:val="auto"/>
                      <w:kern w:val="2"/>
                      <w:sz w:val="21"/>
                      <w:szCs w:val="21"/>
                      <w:highlight w:val="none"/>
                    </w:rPr>
                    <w:t>减振、吸声、隔声</w:t>
                  </w:r>
                </w:p>
              </w:tc>
              <w:tc>
                <w:tcPr>
                  <w:tcW w:w="474" w:type="dxa"/>
                  <w:tcBorders>
                    <w:tl2br w:val="nil"/>
                    <w:tr2bl w:val="nil"/>
                  </w:tcBorders>
                  <w:shd w:val="clear" w:color="auto" w:fill="FFFFFF" w:themeFill="background1"/>
                  <w:vAlign w:val="center"/>
                </w:tcPr>
                <w:p w14:paraId="0339361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74" w:type="dxa"/>
                  <w:tcBorders>
                    <w:tl2br w:val="nil"/>
                    <w:tr2bl w:val="nil"/>
                  </w:tcBorders>
                  <w:shd w:val="clear" w:color="auto" w:fill="FFFFFF" w:themeFill="background1"/>
                  <w:vAlign w:val="center"/>
                </w:tcPr>
                <w:p w14:paraId="1FC9E8D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58" w:type="dxa"/>
                  <w:tcBorders>
                    <w:tl2br w:val="nil"/>
                    <w:tr2bl w:val="nil"/>
                  </w:tcBorders>
                  <w:shd w:val="clear" w:color="auto" w:fill="FFFFFF" w:themeFill="background1"/>
                  <w:vAlign w:val="center"/>
                </w:tcPr>
                <w:p w14:paraId="14F94C1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1F3C26D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10" w:type="dxa"/>
                  <w:tcBorders>
                    <w:tl2br w:val="nil"/>
                    <w:tr2bl w:val="nil"/>
                  </w:tcBorders>
                  <w:shd w:val="clear" w:color="auto" w:fill="FFFFFF" w:themeFill="background1"/>
                  <w:noWrap/>
                  <w:vAlign w:val="center"/>
                </w:tcPr>
                <w:p w14:paraId="4DD6088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75FF8BA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3A0C1B0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410" w:type="dxa"/>
                  <w:tcBorders>
                    <w:tl2br w:val="nil"/>
                    <w:tr2bl w:val="nil"/>
                  </w:tcBorders>
                  <w:shd w:val="clear" w:color="auto" w:fill="FFFFFF" w:themeFill="background1"/>
                  <w:vAlign w:val="center"/>
                </w:tcPr>
                <w:p w14:paraId="0BD9C26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410" w:type="dxa"/>
                  <w:tcBorders>
                    <w:tl2br w:val="nil"/>
                    <w:tr2bl w:val="nil"/>
                  </w:tcBorders>
                  <w:shd w:val="clear" w:color="auto" w:fill="FFFFFF" w:themeFill="background1"/>
                  <w:vAlign w:val="center"/>
                </w:tcPr>
                <w:p w14:paraId="1FE909E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410" w:type="dxa"/>
                  <w:tcBorders>
                    <w:tl2br w:val="nil"/>
                    <w:tr2bl w:val="nil"/>
                  </w:tcBorders>
                  <w:shd w:val="clear" w:color="auto" w:fill="FFFFFF" w:themeFill="background1"/>
                  <w:vAlign w:val="center"/>
                </w:tcPr>
                <w:p w14:paraId="69D9C76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410" w:type="dxa"/>
                  <w:tcBorders>
                    <w:tl2br w:val="nil"/>
                    <w:tr2bl w:val="nil"/>
                  </w:tcBorders>
                  <w:shd w:val="clear" w:color="auto" w:fill="FFFFFF" w:themeFill="background1"/>
                  <w:vAlign w:val="center"/>
                </w:tcPr>
                <w:p w14:paraId="64F03E8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968" w:type="dxa"/>
                  <w:vMerge w:val="restart"/>
                  <w:tcBorders>
                    <w:tl2br w:val="nil"/>
                    <w:tr2bl w:val="nil"/>
                  </w:tcBorders>
                  <w:shd w:val="clear" w:color="auto" w:fill="FFFFFF" w:themeFill="background1"/>
                  <w:vAlign w:val="center"/>
                </w:tcPr>
                <w:p w14:paraId="01272D2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7:00~22:00</w:t>
                  </w:r>
                </w:p>
              </w:tc>
              <w:tc>
                <w:tcPr>
                  <w:tcW w:w="550" w:type="dxa"/>
                  <w:tcBorders>
                    <w:tl2br w:val="nil"/>
                    <w:tr2bl w:val="nil"/>
                  </w:tcBorders>
                  <w:shd w:val="clear" w:color="auto" w:fill="FFFFFF" w:themeFill="background1"/>
                  <w:vAlign w:val="center"/>
                </w:tcPr>
                <w:p w14:paraId="091C8AD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36F5FA4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631F57F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F5FD72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335450E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411" w:type="dxa"/>
                  <w:tcBorders>
                    <w:tl2br w:val="nil"/>
                    <w:tr2bl w:val="nil"/>
                  </w:tcBorders>
                  <w:shd w:val="clear" w:color="auto" w:fill="FFFFFF" w:themeFill="background1"/>
                  <w:vAlign w:val="center"/>
                </w:tcPr>
                <w:p w14:paraId="59C2A6E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411" w:type="dxa"/>
                  <w:tcBorders>
                    <w:tl2br w:val="nil"/>
                    <w:tr2bl w:val="nil"/>
                  </w:tcBorders>
                  <w:shd w:val="clear" w:color="auto" w:fill="FFFFFF" w:themeFill="background1"/>
                  <w:vAlign w:val="center"/>
                </w:tcPr>
                <w:p w14:paraId="5871D08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411" w:type="dxa"/>
                  <w:tcBorders>
                    <w:tl2br w:val="nil"/>
                    <w:tr2bl w:val="nil"/>
                  </w:tcBorders>
                  <w:shd w:val="clear" w:color="auto" w:fill="FFFFFF" w:themeFill="background1"/>
                  <w:vAlign w:val="center"/>
                </w:tcPr>
                <w:p w14:paraId="0BD5667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433" w:type="dxa"/>
                  <w:tcBorders>
                    <w:tl2br w:val="nil"/>
                    <w:tr2bl w:val="nil"/>
                  </w:tcBorders>
                  <w:shd w:val="clear" w:color="auto" w:fill="FFFFFF" w:themeFill="background1"/>
                  <w:vAlign w:val="center"/>
                </w:tcPr>
                <w:p w14:paraId="6555951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588F3C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30" w:hRule="atLeast"/>
                <w:jc w:val="center"/>
              </w:trPr>
              <w:tc>
                <w:tcPr>
                  <w:tcW w:w="410" w:type="dxa"/>
                  <w:vMerge w:val="continue"/>
                  <w:tcBorders>
                    <w:tl2br w:val="nil"/>
                    <w:tr2bl w:val="nil"/>
                  </w:tcBorders>
                  <w:shd w:val="clear" w:color="auto" w:fill="FFFFFF" w:themeFill="background1"/>
                  <w:vAlign w:val="center"/>
                </w:tcPr>
                <w:p w14:paraId="7A3F6DF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dxa"/>
                  <w:tcBorders>
                    <w:tl2br w:val="nil"/>
                    <w:tr2bl w:val="nil"/>
                  </w:tcBorders>
                  <w:shd w:val="clear" w:color="auto" w:fill="FFFFFF" w:themeFill="background1"/>
                  <w:vAlign w:val="center"/>
                </w:tcPr>
                <w:p w14:paraId="6848995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搅拌机</w:t>
                  </w:r>
                </w:p>
              </w:tc>
              <w:tc>
                <w:tcPr>
                  <w:tcW w:w="605" w:type="dxa"/>
                  <w:tcBorders>
                    <w:tl2br w:val="nil"/>
                    <w:tr2bl w:val="nil"/>
                  </w:tcBorders>
                  <w:shd w:val="clear" w:color="auto" w:fill="FFFFFF" w:themeFill="background1"/>
                  <w:noWrap/>
                  <w:vAlign w:val="center"/>
                </w:tcPr>
                <w:p w14:paraId="6D3D182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410" w:type="dxa"/>
                  <w:tcBorders>
                    <w:tl2br w:val="nil"/>
                    <w:tr2bl w:val="nil"/>
                  </w:tcBorders>
                  <w:shd w:val="clear" w:color="auto" w:fill="FFFFFF" w:themeFill="background1"/>
                  <w:vAlign w:val="center"/>
                </w:tcPr>
                <w:p w14:paraId="4C9480D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偶发</w:t>
                  </w:r>
                </w:p>
              </w:tc>
              <w:tc>
                <w:tcPr>
                  <w:tcW w:w="775" w:type="dxa"/>
                  <w:tcBorders>
                    <w:tl2br w:val="nil"/>
                    <w:tr2bl w:val="nil"/>
                  </w:tcBorders>
                  <w:shd w:val="clear" w:color="auto" w:fill="FFFFFF" w:themeFill="background1"/>
                  <w:vAlign w:val="center"/>
                </w:tcPr>
                <w:p w14:paraId="6CE04FD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775" w:type="dxa"/>
                  <w:tcBorders>
                    <w:tl2br w:val="nil"/>
                    <w:tr2bl w:val="nil"/>
                  </w:tcBorders>
                  <w:shd w:val="clear" w:color="auto" w:fill="FFFFFF" w:themeFill="background1"/>
                  <w:vAlign w:val="center"/>
                </w:tcPr>
                <w:p w14:paraId="00AEBAE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w:t>
                  </w:r>
                </w:p>
              </w:tc>
              <w:tc>
                <w:tcPr>
                  <w:tcW w:w="603" w:type="dxa"/>
                  <w:vMerge w:val="continue"/>
                  <w:tcBorders>
                    <w:tl2br w:val="nil"/>
                    <w:tr2bl w:val="nil"/>
                  </w:tcBorders>
                  <w:shd w:val="clear" w:color="auto" w:fill="FFFFFF" w:themeFill="background1"/>
                  <w:vAlign w:val="center"/>
                </w:tcPr>
                <w:p w14:paraId="0251A80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4" w:type="dxa"/>
                  <w:tcBorders>
                    <w:tl2br w:val="nil"/>
                    <w:tr2bl w:val="nil"/>
                  </w:tcBorders>
                  <w:shd w:val="clear" w:color="auto" w:fill="FFFFFF" w:themeFill="background1"/>
                  <w:vAlign w:val="center"/>
                </w:tcPr>
                <w:p w14:paraId="58FA91F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74" w:type="dxa"/>
                  <w:tcBorders>
                    <w:tl2br w:val="nil"/>
                    <w:tr2bl w:val="nil"/>
                  </w:tcBorders>
                  <w:shd w:val="clear" w:color="auto" w:fill="FFFFFF" w:themeFill="background1"/>
                  <w:vAlign w:val="center"/>
                </w:tcPr>
                <w:p w14:paraId="209F68C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58" w:type="dxa"/>
                  <w:tcBorders>
                    <w:tl2br w:val="nil"/>
                    <w:tr2bl w:val="nil"/>
                  </w:tcBorders>
                  <w:shd w:val="clear" w:color="auto" w:fill="FFFFFF" w:themeFill="background1"/>
                  <w:vAlign w:val="center"/>
                </w:tcPr>
                <w:p w14:paraId="66774BD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7C83541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10" w:type="dxa"/>
                  <w:tcBorders>
                    <w:tl2br w:val="nil"/>
                    <w:tr2bl w:val="nil"/>
                  </w:tcBorders>
                  <w:shd w:val="clear" w:color="auto" w:fill="FFFFFF" w:themeFill="background1"/>
                  <w:noWrap/>
                  <w:vAlign w:val="center"/>
                </w:tcPr>
                <w:p w14:paraId="0C0A105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2192206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50736B2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10" w:type="dxa"/>
                  <w:tcBorders>
                    <w:tl2br w:val="nil"/>
                    <w:tr2bl w:val="nil"/>
                  </w:tcBorders>
                  <w:shd w:val="clear" w:color="auto" w:fill="FFFFFF" w:themeFill="background1"/>
                  <w:vAlign w:val="center"/>
                </w:tcPr>
                <w:p w14:paraId="752E904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410" w:type="dxa"/>
                  <w:tcBorders>
                    <w:tl2br w:val="nil"/>
                    <w:tr2bl w:val="nil"/>
                  </w:tcBorders>
                  <w:shd w:val="clear" w:color="auto" w:fill="FFFFFF" w:themeFill="background1"/>
                  <w:vAlign w:val="center"/>
                </w:tcPr>
                <w:p w14:paraId="09ADCFA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410" w:type="dxa"/>
                  <w:tcBorders>
                    <w:tl2br w:val="nil"/>
                    <w:tr2bl w:val="nil"/>
                  </w:tcBorders>
                  <w:shd w:val="clear" w:color="auto" w:fill="FFFFFF" w:themeFill="background1"/>
                  <w:vAlign w:val="center"/>
                </w:tcPr>
                <w:p w14:paraId="55EACBD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410" w:type="dxa"/>
                  <w:tcBorders>
                    <w:tl2br w:val="nil"/>
                    <w:tr2bl w:val="nil"/>
                  </w:tcBorders>
                  <w:shd w:val="clear" w:color="auto" w:fill="FFFFFF" w:themeFill="background1"/>
                  <w:vAlign w:val="center"/>
                </w:tcPr>
                <w:p w14:paraId="4700C2A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968" w:type="dxa"/>
                  <w:vMerge w:val="continue"/>
                  <w:tcBorders>
                    <w:tl2br w:val="nil"/>
                    <w:tr2bl w:val="nil"/>
                  </w:tcBorders>
                  <w:shd w:val="clear" w:color="auto" w:fill="FFFFFF" w:themeFill="background1"/>
                  <w:vAlign w:val="center"/>
                </w:tcPr>
                <w:p w14:paraId="3B8D5E4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50" w:type="dxa"/>
                  <w:tcBorders>
                    <w:tl2br w:val="nil"/>
                    <w:tr2bl w:val="nil"/>
                  </w:tcBorders>
                  <w:shd w:val="clear" w:color="auto" w:fill="FFFFFF" w:themeFill="background1"/>
                  <w:vAlign w:val="center"/>
                </w:tcPr>
                <w:p w14:paraId="6576085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ACB145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BF9E9F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1E71810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6BE90E1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411" w:type="dxa"/>
                  <w:tcBorders>
                    <w:tl2br w:val="nil"/>
                    <w:tr2bl w:val="nil"/>
                  </w:tcBorders>
                  <w:shd w:val="clear" w:color="auto" w:fill="FFFFFF" w:themeFill="background1"/>
                  <w:vAlign w:val="center"/>
                </w:tcPr>
                <w:p w14:paraId="2CA8C37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411" w:type="dxa"/>
                  <w:tcBorders>
                    <w:tl2br w:val="nil"/>
                    <w:tr2bl w:val="nil"/>
                  </w:tcBorders>
                  <w:shd w:val="clear" w:color="auto" w:fill="FFFFFF" w:themeFill="background1"/>
                  <w:vAlign w:val="center"/>
                </w:tcPr>
                <w:p w14:paraId="6D324FC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411" w:type="dxa"/>
                  <w:tcBorders>
                    <w:tl2br w:val="nil"/>
                    <w:tr2bl w:val="nil"/>
                  </w:tcBorders>
                  <w:shd w:val="clear" w:color="auto" w:fill="FFFFFF" w:themeFill="background1"/>
                  <w:vAlign w:val="center"/>
                </w:tcPr>
                <w:p w14:paraId="7C055C1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433" w:type="dxa"/>
                  <w:tcBorders>
                    <w:tl2br w:val="nil"/>
                    <w:tr2bl w:val="nil"/>
                  </w:tcBorders>
                  <w:shd w:val="clear" w:color="auto" w:fill="FFFFFF" w:themeFill="background1"/>
                  <w:vAlign w:val="center"/>
                </w:tcPr>
                <w:p w14:paraId="1BCD906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3D112D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410" w:type="dxa"/>
                  <w:vMerge w:val="continue"/>
                  <w:tcBorders>
                    <w:tl2br w:val="nil"/>
                    <w:tr2bl w:val="nil"/>
                  </w:tcBorders>
                  <w:shd w:val="clear" w:color="auto" w:fill="FFFFFF" w:themeFill="background1"/>
                  <w:vAlign w:val="center"/>
                </w:tcPr>
                <w:p w14:paraId="5892DDF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dxa"/>
                  <w:tcBorders>
                    <w:tl2br w:val="nil"/>
                    <w:tr2bl w:val="nil"/>
                  </w:tcBorders>
                  <w:shd w:val="clear" w:color="auto" w:fill="FFFFFF" w:themeFill="background1"/>
                  <w:vAlign w:val="center"/>
                </w:tcPr>
                <w:p w14:paraId="2C597AB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切割机</w:t>
                  </w:r>
                </w:p>
              </w:tc>
              <w:tc>
                <w:tcPr>
                  <w:tcW w:w="605" w:type="dxa"/>
                  <w:tcBorders>
                    <w:tl2br w:val="nil"/>
                    <w:tr2bl w:val="nil"/>
                  </w:tcBorders>
                  <w:shd w:val="clear" w:color="auto" w:fill="FFFFFF" w:themeFill="background1"/>
                  <w:noWrap/>
                  <w:vAlign w:val="center"/>
                </w:tcPr>
                <w:p w14:paraId="255B4F9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0" w:type="dxa"/>
                  <w:tcBorders>
                    <w:tl2br w:val="nil"/>
                    <w:tr2bl w:val="nil"/>
                  </w:tcBorders>
                  <w:shd w:val="clear" w:color="auto" w:fill="FFFFFF" w:themeFill="background1"/>
                  <w:vAlign w:val="center"/>
                </w:tcPr>
                <w:p w14:paraId="641C4A1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频发</w:t>
                  </w:r>
                </w:p>
              </w:tc>
              <w:tc>
                <w:tcPr>
                  <w:tcW w:w="775" w:type="dxa"/>
                  <w:tcBorders>
                    <w:tl2br w:val="nil"/>
                    <w:tr2bl w:val="nil"/>
                  </w:tcBorders>
                  <w:shd w:val="clear" w:color="auto" w:fill="FFFFFF" w:themeFill="background1"/>
                  <w:vAlign w:val="center"/>
                </w:tcPr>
                <w:p w14:paraId="4E72C03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775" w:type="dxa"/>
                  <w:tcBorders>
                    <w:tl2br w:val="nil"/>
                    <w:tr2bl w:val="nil"/>
                  </w:tcBorders>
                  <w:shd w:val="clear" w:color="auto" w:fill="FFFFFF" w:themeFill="background1"/>
                  <w:vAlign w:val="center"/>
                </w:tcPr>
                <w:p w14:paraId="34857CF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603" w:type="dxa"/>
                  <w:vMerge w:val="continue"/>
                  <w:tcBorders>
                    <w:tl2br w:val="nil"/>
                    <w:tr2bl w:val="nil"/>
                  </w:tcBorders>
                  <w:shd w:val="clear" w:color="auto" w:fill="FFFFFF" w:themeFill="background1"/>
                  <w:vAlign w:val="center"/>
                </w:tcPr>
                <w:p w14:paraId="5C69C5C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4" w:type="dxa"/>
                  <w:tcBorders>
                    <w:tl2br w:val="nil"/>
                    <w:tr2bl w:val="nil"/>
                  </w:tcBorders>
                  <w:shd w:val="clear" w:color="auto" w:fill="FFFFFF" w:themeFill="background1"/>
                  <w:vAlign w:val="center"/>
                </w:tcPr>
                <w:p w14:paraId="5784478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74" w:type="dxa"/>
                  <w:tcBorders>
                    <w:tl2br w:val="nil"/>
                    <w:tr2bl w:val="nil"/>
                  </w:tcBorders>
                  <w:shd w:val="clear" w:color="auto" w:fill="FFFFFF" w:themeFill="background1"/>
                  <w:vAlign w:val="center"/>
                </w:tcPr>
                <w:p w14:paraId="34B1FB1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58" w:type="dxa"/>
                  <w:tcBorders>
                    <w:tl2br w:val="nil"/>
                    <w:tr2bl w:val="nil"/>
                  </w:tcBorders>
                  <w:shd w:val="clear" w:color="auto" w:fill="FFFFFF" w:themeFill="background1"/>
                  <w:vAlign w:val="center"/>
                </w:tcPr>
                <w:p w14:paraId="0AEAA7A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78757DE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10" w:type="dxa"/>
                  <w:tcBorders>
                    <w:tl2br w:val="nil"/>
                    <w:tr2bl w:val="nil"/>
                  </w:tcBorders>
                  <w:shd w:val="clear" w:color="auto" w:fill="FFFFFF" w:themeFill="background1"/>
                  <w:noWrap/>
                  <w:vAlign w:val="center"/>
                </w:tcPr>
                <w:p w14:paraId="775A822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1D7CB44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0EC614B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410" w:type="dxa"/>
                  <w:tcBorders>
                    <w:tl2br w:val="nil"/>
                    <w:tr2bl w:val="nil"/>
                  </w:tcBorders>
                  <w:shd w:val="clear" w:color="auto" w:fill="FFFFFF" w:themeFill="background1"/>
                  <w:vAlign w:val="center"/>
                </w:tcPr>
                <w:p w14:paraId="164C5CA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410" w:type="dxa"/>
                  <w:tcBorders>
                    <w:tl2br w:val="nil"/>
                    <w:tr2bl w:val="nil"/>
                  </w:tcBorders>
                  <w:shd w:val="clear" w:color="auto" w:fill="FFFFFF" w:themeFill="background1"/>
                  <w:vAlign w:val="center"/>
                </w:tcPr>
                <w:p w14:paraId="7C058E7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410" w:type="dxa"/>
                  <w:tcBorders>
                    <w:tl2br w:val="nil"/>
                    <w:tr2bl w:val="nil"/>
                  </w:tcBorders>
                  <w:shd w:val="clear" w:color="auto" w:fill="FFFFFF" w:themeFill="background1"/>
                  <w:vAlign w:val="center"/>
                </w:tcPr>
                <w:p w14:paraId="64F168A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410" w:type="dxa"/>
                  <w:tcBorders>
                    <w:tl2br w:val="nil"/>
                    <w:tr2bl w:val="nil"/>
                  </w:tcBorders>
                  <w:shd w:val="clear" w:color="auto" w:fill="FFFFFF" w:themeFill="background1"/>
                  <w:vAlign w:val="center"/>
                </w:tcPr>
                <w:p w14:paraId="4E48844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968" w:type="dxa"/>
                  <w:vMerge w:val="continue"/>
                  <w:tcBorders>
                    <w:tl2br w:val="nil"/>
                    <w:tr2bl w:val="nil"/>
                  </w:tcBorders>
                  <w:shd w:val="clear" w:color="auto" w:fill="FFFFFF" w:themeFill="background1"/>
                  <w:vAlign w:val="center"/>
                </w:tcPr>
                <w:p w14:paraId="42AD6CA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50" w:type="dxa"/>
                  <w:tcBorders>
                    <w:tl2br w:val="nil"/>
                    <w:tr2bl w:val="nil"/>
                  </w:tcBorders>
                  <w:shd w:val="clear" w:color="auto" w:fill="FFFFFF" w:themeFill="background1"/>
                  <w:vAlign w:val="center"/>
                </w:tcPr>
                <w:p w14:paraId="1E1AC62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E61457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1C85877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79938E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530A4BE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411" w:type="dxa"/>
                  <w:tcBorders>
                    <w:tl2br w:val="nil"/>
                    <w:tr2bl w:val="nil"/>
                  </w:tcBorders>
                  <w:shd w:val="clear" w:color="auto" w:fill="FFFFFF" w:themeFill="background1"/>
                  <w:vAlign w:val="center"/>
                </w:tcPr>
                <w:p w14:paraId="015C3D0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411" w:type="dxa"/>
                  <w:tcBorders>
                    <w:tl2br w:val="nil"/>
                    <w:tr2bl w:val="nil"/>
                  </w:tcBorders>
                  <w:shd w:val="clear" w:color="auto" w:fill="FFFFFF" w:themeFill="background1"/>
                  <w:vAlign w:val="center"/>
                </w:tcPr>
                <w:p w14:paraId="54102C6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11" w:type="dxa"/>
                  <w:tcBorders>
                    <w:tl2br w:val="nil"/>
                    <w:tr2bl w:val="nil"/>
                  </w:tcBorders>
                  <w:shd w:val="clear" w:color="auto" w:fill="FFFFFF" w:themeFill="background1"/>
                  <w:vAlign w:val="center"/>
                </w:tcPr>
                <w:p w14:paraId="2EB2E26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433" w:type="dxa"/>
                  <w:tcBorders>
                    <w:tl2br w:val="nil"/>
                    <w:tr2bl w:val="nil"/>
                  </w:tcBorders>
                  <w:shd w:val="clear" w:color="auto" w:fill="FFFFFF" w:themeFill="background1"/>
                  <w:vAlign w:val="center"/>
                </w:tcPr>
                <w:p w14:paraId="7DB60AC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6C730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410" w:type="dxa"/>
                  <w:vMerge w:val="continue"/>
                  <w:tcBorders>
                    <w:tl2br w:val="nil"/>
                    <w:tr2bl w:val="nil"/>
                  </w:tcBorders>
                  <w:shd w:val="clear" w:color="auto" w:fill="FFFFFF" w:themeFill="background1"/>
                  <w:vAlign w:val="center"/>
                </w:tcPr>
                <w:p w14:paraId="4F78BC9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dxa"/>
                  <w:tcBorders>
                    <w:tl2br w:val="nil"/>
                    <w:tr2bl w:val="nil"/>
                  </w:tcBorders>
                  <w:shd w:val="clear" w:color="auto" w:fill="FFFFFF" w:themeFill="background1"/>
                  <w:vAlign w:val="center"/>
                </w:tcPr>
                <w:p w14:paraId="526B9E3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喷漆机</w:t>
                  </w:r>
                </w:p>
              </w:tc>
              <w:tc>
                <w:tcPr>
                  <w:tcW w:w="605" w:type="dxa"/>
                  <w:tcBorders>
                    <w:tl2br w:val="nil"/>
                    <w:tr2bl w:val="nil"/>
                  </w:tcBorders>
                  <w:shd w:val="clear" w:color="auto" w:fill="FFFFFF" w:themeFill="background1"/>
                  <w:vAlign w:val="center"/>
                </w:tcPr>
                <w:p w14:paraId="2121CB1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0" w:type="dxa"/>
                  <w:tcBorders>
                    <w:tl2br w:val="nil"/>
                    <w:tr2bl w:val="nil"/>
                  </w:tcBorders>
                  <w:shd w:val="clear" w:color="auto" w:fill="FFFFFF" w:themeFill="background1"/>
                  <w:vAlign w:val="center"/>
                </w:tcPr>
                <w:p w14:paraId="75CB5C7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频发</w:t>
                  </w:r>
                </w:p>
              </w:tc>
              <w:tc>
                <w:tcPr>
                  <w:tcW w:w="775" w:type="dxa"/>
                  <w:tcBorders>
                    <w:tl2br w:val="nil"/>
                    <w:tr2bl w:val="nil"/>
                  </w:tcBorders>
                  <w:shd w:val="clear" w:color="auto" w:fill="FFFFFF" w:themeFill="background1"/>
                  <w:vAlign w:val="center"/>
                </w:tcPr>
                <w:p w14:paraId="7AC3BF9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75" w:type="dxa"/>
                  <w:tcBorders>
                    <w:tl2br w:val="nil"/>
                    <w:tr2bl w:val="nil"/>
                  </w:tcBorders>
                  <w:shd w:val="clear" w:color="auto" w:fill="FFFFFF" w:themeFill="background1"/>
                  <w:vAlign w:val="center"/>
                </w:tcPr>
                <w:p w14:paraId="2908420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603" w:type="dxa"/>
                  <w:vMerge w:val="continue"/>
                  <w:tcBorders>
                    <w:tl2br w:val="nil"/>
                    <w:tr2bl w:val="nil"/>
                  </w:tcBorders>
                  <w:shd w:val="clear" w:color="auto" w:fill="FFFFFF" w:themeFill="background1"/>
                  <w:vAlign w:val="center"/>
                </w:tcPr>
                <w:p w14:paraId="1901673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4" w:type="dxa"/>
                  <w:tcBorders>
                    <w:tl2br w:val="nil"/>
                    <w:tr2bl w:val="nil"/>
                  </w:tcBorders>
                  <w:shd w:val="clear" w:color="auto" w:fill="FFFFFF" w:themeFill="background1"/>
                  <w:vAlign w:val="center"/>
                </w:tcPr>
                <w:p w14:paraId="681FDFE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474" w:type="dxa"/>
                  <w:tcBorders>
                    <w:tl2br w:val="nil"/>
                    <w:tr2bl w:val="nil"/>
                  </w:tcBorders>
                  <w:shd w:val="clear" w:color="auto" w:fill="FFFFFF" w:themeFill="background1"/>
                  <w:vAlign w:val="center"/>
                </w:tcPr>
                <w:p w14:paraId="700A449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58" w:type="dxa"/>
                  <w:tcBorders>
                    <w:tl2br w:val="nil"/>
                    <w:tr2bl w:val="nil"/>
                  </w:tcBorders>
                  <w:shd w:val="clear" w:color="auto" w:fill="FFFFFF" w:themeFill="background1"/>
                  <w:vAlign w:val="center"/>
                </w:tcPr>
                <w:p w14:paraId="4802065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414315B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10" w:type="dxa"/>
                  <w:tcBorders>
                    <w:tl2br w:val="nil"/>
                    <w:tr2bl w:val="nil"/>
                  </w:tcBorders>
                  <w:shd w:val="clear" w:color="auto" w:fill="FFFFFF" w:themeFill="background1"/>
                  <w:noWrap/>
                  <w:vAlign w:val="center"/>
                </w:tcPr>
                <w:p w14:paraId="4DA0924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10" w:type="dxa"/>
                  <w:tcBorders>
                    <w:tl2br w:val="nil"/>
                    <w:tr2bl w:val="nil"/>
                  </w:tcBorders>
                  <w:shd w:val="clear" w:color="auto" w:fill="FFFFFF" w:themeFill="background1"/>
                  <w:noWrap/>
                  <w:vAlign w:val="center"/>
                </w:tcPr>
                <w:p w14:paraId="4475B3C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410" w:type="dxa"/>
                  <w:tcBorders>
                    <w:tl2br w:val="nil"/>
                    <w:tr2bl w:val="nil"/>
                  </w:tcBorders>
                  <w:shd w:val="clear" w:color="auto" w:fill="FFFFFF" w:themeFill="background1"/>
                  <w:noWrap/>
                  <w:vAlign w:val="center"/>
                </w:tcPr>
                <w:p w14:paraId="27311D4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vAlign w:val="center"/>
                </w:tcPr>
                <w:p w14:paraId="768568B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410" w:type="dxa"/>
                  <w:tcBorders>
                    <w:tl2br w:val="nil"/>
                    <w:tr2bl w:val="nil"/>
                  </w:tcBorders>
                  <w:shd w:val="clear" w:color="auto" w:fill="FFFFFF" w:themeFill="background1"/>
                  <w:vAlign w:val="center"/>
                </w:tcPr>
                <w:p w14:paraId="0C01242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w:t>
                  </w:r>
                </w:p>
              </w:tc>
              <w:tc>
                <w:tcPr>
                  <w:tcW w:w="410" w:type="dxa"/>
                  <w:tcBorders>
                    <w:tl2br w:val="nil"/>
                    <w:tr2bl w:val="nil"/>
                  </w:tcBorders>
                  <w:shd w:val="clear" w:color="auto" w:fill="FFFFFF" w:themeFill="background1"/>
                  <w:vAlign w:val="center"/>
                </w:tcPr>
                <w:p w14:paraId="6F0C8BC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410" w:type="dxa"/>
                  <w:tcBorders>
                    <w:tl2br w:val="nil"/>
                    <w:tr2bl w:val="nil"/>
                  </w:tcBorders>
                  <w:shd w:val="clear" w:color="auto" w:fill="FFFFFF" w:themeFill="background1"/>
                  <w:vAlign w:val="center"/>
                </w:tcPr>
                <w:p w14:paraId="1B73E67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968" w:type="dxa"/>
                  <w:vMerge w:val="continue"/>
                  <w:tcBorders>
                    <w:tl2br w:val="nil"/>
                    <w:tr2bl w:val="nil"/>
                  </w:tcBorders>
                  <w:shd w:val="clear" w:color="auto" w:fill="FFFFFF" w:themeFill="background1"/>
                  <w:vAlign w:val="center"/>
                </w:tcPr>
                <w:p w14:paraId="18DAAC8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50" w:type="dxa"/>
                  <w:tcBorders>
                    <w:tl2br w:val="nil"/>
                    <w:tr2bl w:val="nil"/>
                  </w:tcBorders>
                  <w:shd w:val="clear" w:color="auto" w:fill="FFFFFF" w:themeFill="background1"/>
                  <w:vAlign w:val="center"/>
                </w:tcPr>
                <w:p w14:paraId="79CE583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504117E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181228C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7E3B71D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ACE622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411" w:type="dxa"/>
                  <w:tcBorders>
                    <w:tl2br w:val="nil"/>
                    <w:tr2bl w:val="nil"/>
                  </w:tcBorders>
                  <w:shd w:val="clear" w:color="auto" w:fill="FFFFFF" w:themeFill="background1"/>
                  <w:vAlign w:val="center"/>
                </w:tcPr>
                <w:p w14:paraId="27178A1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411" w:type="dxa"/>
                  <w:tcBorders>
                    <w:tl2br w:val="nil"/>
                    <w:tr2bl w:val="nil"/>
                  </w:tcBorders>
                  <w:shd w:val="clear" w:color="auto" w:fill="FFFFFF" w:themeFill="background1"/>
                  <w:vAlign w:val="center"/>
                </w:tcPr>
                <w:p w14:paraId="5302B9E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411" w:type="dxa"/>
                  <w:tcBorders>
                    <w:tl2br w:val="nil"/>
                    <w:tr2bl w:val="nil"/>
                  </w:tcBorders>
                  <w:shd w:val="clear" w:color="auto" w:fill="FFFFFF" w:themeFill="background1"/>
                  <w:vAlign w:val="center"/>
                </w:tcPr>
                <w:p w14:paraId="2B664D3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433" w:type="dxa"/>
                  <w:tcBorders>
                    <w:tl2br w:val="nil"/>
                    <w:tr2bl w:val="nil"/>
                  </w:tcBorders>
                  <w:shd w:val="clear" w:color="auto" w:fill="FFFFFF" w:themeFill="background1"/>
                  <w:vAlign w:val="center"/>
                </w:tcPr>
                <w:p w14:paraId="69AF883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201F37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5" w:hRule="atLeast"/>
                <w:jc w:val="center"/>
              </w:trPr>
              <w:tc>
                <w:tcPr>
                  <w:tcW w:w="410" w:type="dxa"/>
                  <w:vMerge w:val="continue"/>
                  <w:tcBorders>
                    <w:tl2br w:val="nil"/>
                    <w:tr2bl w:val="nil"/>
                  </w:tcBorders>
                  <w:shd w:val="clear" w:color="auto" w:fill="FFFFFF" w:themeFill="background1"/>
                  <w:vAlign w:val="center"/>
                </w:tcPr>
                <w:p w14:paraId="70EE182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dxa"/>
                  <w:tcBorders>
                    <w:tl2br w:val="nil"/>
                    <w:tr2bl w:val="nil"/>
                  </w:tcBorders>
                  <w:shd w:val="clear" w:color="auto" w:fill="FFFFFF" w:themeFill="background1"/>
                  <w:vAlign w:val="center"/>
                </w:tcPr>
                <w:p w14:paraId="08E5287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空压机组</w:t>
                  </w:r>
                </w:p>
              </w:tc>
              <w:tc>
                <w:tcPr>
                  <w:tcW w:w="605" w:type="dxa"/>
                  <w:tcBorders>
                    <w:tl2br w:val="nil"/>
                    <w:tr2bl w:val="nil"/>
                  </w:tcBorders>
                  <w:shd w:val="clear" w:color="auto" w:fill="FFFFFF" w:themeFill="background1"/>
                  <w:vAlign w:val="center"/>
                </w:tcPr>
                <w:p w14:paraId="4A401D1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410" w:type="dxa"/>
                  <w:tcBorders>
                    <w:tl2br w:val="nil"/>
                    <w:tr2bl w:val="nil"/>
                  </w:tcBorders>
                  <w:shd w:val="clear" w:color="auto" w:fill="FFFFFF" w:themeFill="background1"/>
                  <w:vAlign w:val="center"/>
                </w:tcPr>
                <w:p w14:paraId="046D7D7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频发</w:t>
                  </w:r>
                </w:p>
              </w:tc>
              <w:tc>
                <w:tcPr>
                  <w:tcW w:w="775" w:type="dxa"/>
                  <w:tcBorders>
                    <w:tl2br w:val="nil"/>
                    <w:tr2bl w:val="nil"/>
                  </w:tcBorders>
                  <w:shd w:val="clear" w:color="auto" w:fill="FFFFFF" w:themeFill="background1"/>
                  <w:vAlign w:val="center"/>
                </w:tcPr>
                <w:p w14:paraId="49B85A6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775" w:type="dxa"/>
                  <w:tcBorders>
                    <w:tl2br w:val="nil"/>
                    <w:tr2bl w:val="nil"/>
                  </w:tcBorders>
                  <w:shd w:val="clear" w:color="auto" w:fill="FFFFFF" w:themeFill="background1"/>
                  <w:vAlign w:val="center"/>
                </w:tcPr>
                <w:p w14:paraId="4C87C8A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603" w:type="dxa"/>
                  <w:vMerge w:val="continue"/>
                  <w:tcBorders>
                    <w:tl2br w:val="nil"/>
                    <w:tr2bl w:val="nil"/>
                  </w:tcBorders>
                  <w:shd w:val="clear" w:color="auto" w:fill="FFFFFF" w:themeFill="background1"/>
                  <w:vAlign w:val="center"/>
                </w:tcPr>
                <w:p w14:paraId="135E414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4" w:type="dxa"/>
                  <w:tcBorders>
                    <w:tl2br w:val="nil"/>
                    <w:tr2bl w:val="nil"/>
                  </w:tcBorders>
                  <w:shd w:val="clear" w:color="auto" w:fill="FFFFFF" w:themeFill="background1"/>
                  <w:vAlign w:val="center"/>
                </w:tcPr>
                <w:p w14:paraId="396FDCB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74" w:type="dxa"/>
                  <w:tcBorders>
                    <w:tl2br w:val="nil"/>
                    <w:tr2bl w:val="nil"/>
                  </w:tcBorders>
                  <w:shd w:val="clear" w:color="auto" w:fill="FFFFFF" w:themeFill="background1"/>
                  <w:vAlign w:val="center"/>
                </w:tcPr>
                <w:p w14:paraId="276EA8F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58" w:type="dxa"/>
                  <w:tcBorders>
                    <w:tl2br w:val="nil"/>
                    <w:tr2bl w:val="nil"/>
                  </w:tcBorders>
                  <w:shd w:val="clear" w:color="auto" w:fill="FFFFFF" w:themeFill="background1"/>
                  <w:vAlign w:val="center"/>
                </w:tcPr>
                <w:p w14:paraId="0E0EAD9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77FCF0F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10" w:type="dxa"/>
                  <w:tcBorders>
                    <w:tl2br w:val="nil"/>
                    <w:tr2bl w:val="nil"/>
                  </w:tcBorders>
                  <w:shd w:val="clear" w:color="auto" w:fill="FFFFFF" w:themeFill="background1"/>
                  <w:noWrap/>
                  <w:vAlign w:val="center"/>
                </w:tcPr>
                <w:p w14:paraId="2D8B391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13B6D26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0653856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10" w:type="dxa"/>
                  <w:tcBorders>
                    <w:tl2br w:val="nil"/>
                    <w:tr2bl w:val="nil"/>
                  </w:tcBorders>
                  <w:shd w:val="clear" w:color="auto" w:fill="FFFFFF" w:themeFill="background1"/>
                  <w:vAlign w:val="center"/>
                </w:tcPr>
                <w:p w14:paraId="575A226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62</w:t>
                  </w:r>
                </w:p>
              </w:tc>
              <w:tc>
                <w:tcPr>
                  <w:tcW w:w="410" w:type="dxa"/>
                  <w:tcBorders>
                    <w:tl2br w:val="nil"/>
                    <w:tr2bl w:val="nil"/>
                  </w:tcBorders>
                  <w:shd w:val="clear" w:color="auto" w:fill="FFFFFF" w:themeFill="background1"/>
                  <w:vAlign w:val="center"/>
                </w:tcPr>
                <w:p w14:paraId="1069060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410" w:type="dxa"/>
                  <w:tcBorders>
                    <w:tl2br w:val="nil"/>
                    <w:tr2bl w:val="nil"/>
                  </w:tcBorders>
                  <w:shd w:val="clear" w:color="auto" w:fill="FFFFFF" w:themeFill="background1"/>
                  <w:vAlign w:val="center"/>
                </w:tcPr>
                <w:p w14:paraId="6BB1D67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410" w:type="dxa"/>
                  <w:tcBorders>
                    <w:tl2br w:val="nil"/>
                    <w:tr2bl w:val="nil"/>
                  </w:tcBorders>
                  <w:shd w:val="clear" w:color="auto" w:fill="FFFFFF" w:themeFill="background1"/>
                  <w:vAlign w:val="center"/>
                </w:tcPr>
                <w:p w14:paraId="3B48B35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968" w:type="dxa"/>
                  <w:vMerge w:val="continue"/>
                  <w:tcBorders>
                    <w:tl2br w:val="nil"/>
                    <w:tr2bl w:val="nil"/>
                  </w:tcBorders>
                  <w:shd w:val="clear" w:color="auto" w:fill="FFFFFF" w:themeFill="background1"/>
                  <w:vAlign w:val="center"/>
                </w:tcPr>
                <w:p w14:paraId="70627C9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50" w:type="dxa"/>
                  <w:tcBorders>
                    <w:tl2br w:val="nil"/>
                    <w:tr2bl w:val="nil"/>
                  </w:tcBorders>
                  <w:shd w:val="clear" w:color="auto" w:fill="FFFFFF" w:themeFill="background1"/>
                  <w:vAlign w:val="center"/>
                </w:tcPr>
                <w:p w14:paraId="6EE75D8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58040F0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004B163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1DF4841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6D3D62B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411" w:type="dxa"/>
                  <w:tcBorders>
                    <w:tl2br w:val="nil"/>
                    <w:tr2bl w:val="nil"/>
                  </w:tcBorders>
                  <w:shd w:val="clear" w:color="auto" w:fill="FFFFFF" w:themeFill="background1"/>
                  <w:vAlign w:val="center"/>
                </w:tcPr>
                <w:p w14:paraId="4EBF8F2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411" w:type="dxa"/>
                  <w:tcBorders>
                    <w:tl2br w:val="nil"/>
                    <w:tr2bl w:val="nil"/>
                  </w:tcBorders>
                  <w:shd w:val="clear" w:color="auto" w:fill="FFFFFF" w:themeFill="background1"/>
                  <w:vAlign w:val="center"/>
                </w:tcPr>
                <w:p w14:paraId="54844EE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411" w:type="dxa"/>
                  <w:tcBorders>
                    <w:tl2br w:val="nil"/>
                    <w:tr2bl w:val="nil"/>
                  </w:tcBorders>
                  <w:shd w:val="clear" w:color="auto" w:fill="FFFFFF" w:themeFill="background1"/>
                  <w:vAlign w:val="center"/>
                </w:tcPr>
                <w:p w14:paraId="20DCF3B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433" w:type="dxa"/>
                  <w:tcBorders>
                    <w:tl2br w:val="nil"/>
                    <w:tr2bl w:val="nil"/>
                  </w:tcBorders>
                  <w:shd w:val="clear" w:color="auto" w:fill="FFFFFF" w:themeFill="background1"/>
                  <w:vAlign w:val="center"/>
                </w:tcPr>
                <w:p w14:paraId="33D000D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31E69A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410" w:type="dxa"/>
                  <w:vMerge w:val="continue"/>
                  <w:tcBorders>
                    <w:tl2br w:val="nil"/>
                    <w:tr2bl w:val="nil"/>
                  </w:tcBorders>
                  <w:shd w:val="clear" w:color="auto" w:fill="FFFFFF" w:themeFill="background1"/>
                  <w:vAlign w:val="center"/>
                </w:tcPr>
                <w:p w14:paraId="28CD96F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dxa"/>
                  <w:tcBorders>
                    <w:tl2br w:val="nil"/>
                    <w:tr2bl w:val="nil"/>
                  </w:tcBorders>
                  <w:shd w:val="clear" w:color="auto" w:fill="FFFFFF" w:themeFill="background1"/>
                  <w:vAlign w:val="center"/>
                </w:tcPr>
                <w:p w14:paraId="3FC6ADF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燃烧机</w:t>
                  </w:r>
                </w:p>
              </w:tc>
              <w:tc>
                <w:tcPr>
                  <w:tcW w:w="605" w:type="dxa"/>
                  <w:tcBorders>
                    <w:tl2br w:val="nil"/>
                    <w:tr2bl w:val="nil"/>
                  </w:tcBorders>
                  <w:shd w:val="clear" w:color="auto" w:fill="FFFFFF" w:themeFill="background1"/>
                  <w:vAlign w:val="center"/>
                </w:tcPr>
                <w:p w14:paraId="67C380F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410" w:type="dxa"/>
                  <w:tcBorders>
                    <w:tl2br w:val="nil"/>
                    <w:tr2bl w:val="nil"/>
                  </w:tcBorders>
                  <w:shd w:val="clear" w:color="auto" w:fill="FFFFFF" w:themeFill="background1"/>
                  <w:vAlign w:val="center"/>
                </w:tcPr>
                <w:p w14:paraId="257A831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频发</w:t>
                  </w:r>
                </w:p>
              </w:tc>
              <w:tc>
                <w:tcPr>
                  <w:tcW w:w="775" w:type="dxa"/>
                  <w:tcBorders>
                    <w:tl2br w:val="nil"/>
                    <w:tr2bl w:val="nil"/>
                  </w:tcBorders>
                  <w:shd w:val="clear" w:color="auto" w:fill="FFFFFF" w:themeFill="background1"/>
                  <w:vAlign w:val="center"/>
                </w:tcPr>
                <w:p w14:paraId="76D77F7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75" w:type="dxa"/>
                  <w:tcBorders>
                    <w:tl2br w:val="nil"/>
                    <w:tr2bl w:val="nil"/>
                  </w:tcBorders>
                  <w:shd w:val="clear" w:color="auto" w:fill="FFFFFF" w:themeFill="background1"/>
                  <w:vAlign w:val="center"/>
                </w:tcPr>
                <w:p w14:paraId="202A960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603" w:type="dxa"/>
                  <w:vMerge w:val="continue"/>
                  <w:tcBorders>
                    <w:tl2br w:val="nil"/>
                    <w:tr2bl w:val="nil"/>
                  </w:tcBorders>
                  <w:shd w:val="clear" w:color="auto" w:fill="FFFFFF" w:themeFill="background1"/>
                  <w:vAlign w:val="center"/>
                </w:tcPr>
                <w:p w14:paraId="3A20070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4" w:type="dxa"/>
                  <w:tcBorders>
                    <w:tl2br w:val="nil"/>
                    <w:tr2bl w:val="nil"/>
                  </w:tcBorders>
                  <w:shd w:val="clear" w:color="auto" w:fill="FFFFFF" w:themeFill="background1"/>
                  <w:vAlign w:val="center"/>
                </w:tcPr>
                <w:p w14:paraId="0CF0CD2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74" w:type="dxa"/>
                  <w:tcBorders>
                    <w:tl2br w:val="nil"/>
                    <w:tr2bl w:val="nil"/>
                  </w:tcBorders>
                  <w:shd w:val="clear" w:color="auto" w:fill="FFFFFF" w:themeFill="background1"/>
                  <w:vAlign w:val="center"/>
                </w:tcPr>
                <w:p w14:paraId="467C172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58" w:type="dxa"/>
                  <w:tcBorders>
                    <w:tl2br w:val="nil"/>
                    <w:tr2bl w:val="nil"/>
                  </w:tcBorders>
                  <w:shd w:val="clear" w:color="auto" w:fill="FFFFFF" w:themeFill="background1"/>
                  <w:vAlign w:val="center"/>
                </w:tcPr>
                <w:p w14:paraId="68B31E4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0BFD4BB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10" w:type="dxa"/>
                  <w:tcBorders>
                    <w:tl2br w:val="nil"/>
                    <w:tr2bl w:val="nil"/>
                  </w:tcBorders>
                  <w:shd w:val="clear" w:color="auto" w:fill="FFFFFF" w:themeFill="background1"/>
                  <w:noWrap/>
                  <w:vAlign w:val="center"/>
                </w:tcPr>
                <w:p w14:paraId="5326562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132E058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noWrap/>
                  <w:vAlign w:val="center"/>
                </w:tcPr>
                <w:p w14:paraId="1E11A2A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10" w:type="dxa"/>
                  <w:tcBorders>
                    <w:tl2br w:val="nil"/>
                    <w:tr2bl w:val="nil"/>
                  </w:tcBorders>
                  <w:shd w:val="clear" w:color="auto" w:fill="FFFFFF" w:themeFill="background1"/>
                  <w:vAlign w:val="center"/>
                </w:tcPr>
                <w:p w14:paraId="40E7A3F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410" w:type="dxa"/>
                  <w:tcBorders>
                    <w:tl2br w:val="nil"/>
                    <w:tr2bl w:val="nil"/>
                  </w:tcBorders>
                  <w:shd w:val="clear" w:color="auto" w:fill="FFFFFF" w:themeFill="background1"/>
                  <w:vAlign w:val="center"/>
                </w:tcPr>
                <w:p w14:paraId="21C51AE4">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410" w:type="dxa"/>
                  <w:tcBorders>
                    <w:tl2br w:val="nil"/>
                    <w:tr2bl w:val="nil"/>
                  </w:tcBorders>
                  <w:shd w:val="clear" w:color="auto" w:fill="FFFFFF" w:themeFill="background1"/>
                  <w:vAlign w:val="center"/>
                </w:tcPr>
                <w:p w14:paraId="0639B7F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410" w:type="dxa"/>
                  <w:tcBorders>
                    <w:tl2br w:val="nil"/>
                    <w:tr2bl w:val="nil"/>
                  </w:tcBorders>
                  <w:shd w:val="clear" w:color="auto" w:fill="FFFFFF" w:themeFill="background1"/>
                  <w:vAlign w:val="center"/>
                </w:tcPr>
                <w:p w14:paraId="763AF5A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968" w:type="dxa"/>
                  <w:vMerge w:val="continue"/>
                  <w:tcBorders>
                    <w:tl2br w:val="nil"/>
                    <w:tr2bl w:val="nil"/>
                  </w:tcBorders>
                  <w:shd w:val="clear" w:color="auto" w:fill="FFFFFF" w:themeFill="background1"/>
                  <w:vAlign w:val="center"/>
                </w:tcPr>
                <w:p w14:paraId="1B27678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50" w:type="dxa"/>
                  <w:tcBorders>
                    <w:tl2br w:val="nil"/>
                    <w:tr2bl w:val="nil"/>
                  </w:tcBorders>
                  <w:shd w:val="clear" w:color="auto" w:fill="FFFFFF" w:themeFill="background1"/>
                  <w:vAlign w:val="center"/>
                </w:tcPr>
                <w:p w14:paraId="6B1C662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57DECE1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4B24721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2D534D9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140AF22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411" w:type="dxa"/>
                  <w:tcBorders>
                    <w:tl2br w:val="nil"/>
                    <w:tr2bl w:val="nil"/>
                  </w:tcBorders>
                  <w:shd w:val="clear" w:color="auto" w:fill="FFFFFF" w:themeFill="background1"/>
                  <w:vAlign w:val="center"/>
                </w:tcPr>
                <w:p w14:paraId="6F56FAA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411" w:type="dxa"/>
                  <w:tcBorders>
                    <w:tl2br w:val="nil"/>
                    <w:tr2bl w:val="nil"/>
                  </w:tcBorders>
                  <w:shd w:val="clear" w:color="auto" w:fill="FFFFFF" w:themeFill="background1"/>
                  <w:vAlign w:val="center"/>
                </w:tcPr>
                <w:p w14:paraId="0E69CF0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411" w:type="dxa"/>
                  <w:tcBorders>
                    <w:tl2br w:val="nil"/>
                    <w:tr2bl w:val="nil"/>
                  </w:tcBorders>
                  <w:shd w:val="clear" w:color="auto" w:fill="FFFFFF" w:themeFill="background1"/>
                  <w:vAlign w:val="center"/>
                </w:tcPr>
                <w:p w14:paraId="2B8E69E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433" w:type="dxa"/>
                  <w:tcBorders>
                    <w:tl2br w:val="nil"/>
                    <w:tr2bl w:val="nil"/>
                  </w:tcBorders>
                  <w:shd w:val="clear" w:color="auto" w:fill="FFFFFF" w:themeFill="background1"/>
                  <w:vAlign w:val="center"/>
                </w:tcPr>
                <w:p w14:paraId="49CD871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2EF8F1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5" w:hRule="atLeast"/>
                <w:jc w:val="center"/>
              </w:trPr>
              <w:tc>
                <w:tcPr>
                  <w:tcW w:w="410" w:type="dxa"/>
                  <w:vMerge w:val="continue"/>
                  <w:tcBorders>
                    <w:tl2br w:val="nil"/>
                    <w:tr2bl w:val="nil"/>
                  </w:tcBorders>
                  <w:shd w:val="clear" w:color="auto" w:fill="FFFFFF" w:themeFill="background1"/>
                  <w:vAlign w:val="center"/>
                </w:tcPr>
                <w:p w14:paraId="7CF3582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dxa"/>
                  <w:tcBorders>
                    <w:tl2br w:val="nil"/>
                    <w:tr2bl w:val="nil"/>
                  </w:tcBorders>
                  <w:shd w:val="clear" w:color="auto" w:fill="FFFFFF" w:themeFill="background1"/>
                  <w:vAlign w:val="center"/>
                </w:tcPr>
                <w:p w14:paraId="3C0C45C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水帘柜</w:t>
                  </w:r>
                </w:p>
              </w:tc>
              <w:tc>
                <w:tcPr>
                  <w:tcW w:w="605" w:type="dxa"/>
                  <w:tcBorders>
                    <w:tl2br w:val="nil"/>
                    <w:tr2bl w:val="nil"/>
                  </w:tcBorders>
                  <w:shd w:val="clear" w:color="auto" w:fill="FFFFFF" w:themeFill="background1"/>
                  <w:vAlign w:val="center"/>
                </w:tcPr>
                <w:p w14:paraId="2199E62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0" w:type="dxa"/>
                  <w:tcBorders>
                    <w:tl2br w:val="nil"/>
                    <w:tr2bl w:val="nil"/>
                  </w:tcBorders>
                  <w:shd w:val="clear" w:color="auto" w:fill="FFFFFF" w:themeFill="background1"/>
                  <w:vAlign w:val="center"/>
                </w:tcPr>
                <w:p w14:paraId="234E8AD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频发</w:t>
                  </w:r>
                </w:p>
              </w:tc>
              <w:tc>
                <w:tcPr>
                  <w:tcW w:w="775" w:type="dxa"/>
                  <w:tcBorders>
                    <w:tl2br w:val="nil"/>
                    <w:tr2bl w:val="nil"/>
                  </w:tcBorders>
                  <w:shd w:val="clear" w:color="auto" w:fill="FFFFFF" w:themeFill="background1"/>
                  <w:noWrap/>
                  <w:vAlign w:val="center"/>
                </w:tcPr>
                <w:p w14:paraId="5823F5B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775" w:type="dxa"/>
                  <w:tcBorders>
                    <w:tl2br w:val="nil"/>
                    <w:tr2bl w:val="nil"/>
                  </w:tcBorders>
                  <w:shd w:val="clear" w:color="auto" w:fill="FFFFFF" w:themeFill="background1"/>
                  <w:vAlign w:val="center"/>
                </w:tcPr>
                <w:p w14:paraId="3B7ED57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603" w:type="dxa"/>
                  <w:vMerge w:val="continue"/>
                  <w:tcBorders>
                    <w:tl2br w:val="nil"/>
                    <w:tr2bl w:val="nil"/>
                  </w:tcBorders>
                  <w:shd w:val="clear" w:color="auto" w:fill="FFFFFF" w:themeFill="background1"/>
                  <w:vAlign w:val="center"/>
                </w:tcPr>
                <w:p w14:paraId="1E448C52">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4" w:type="dxa"/>
                  <w:tcBorders>
                    <w:tl2br w:val="nil"/>
                    <w:tr2bl w:val="nil"/>
                  </w:tcBorders>
                  <w:shd w:val="clear" w:color="auto" w:fill="FFFFFF" w:themeFill="background1"/>
                  <w:vAlign w:val="center"/>
                </w:tcPr>
                <w:p w14:paraId="1048474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474" w:type="dxa"/>
                  <w:tcBorders>
                    <w:tl2br w:val="nil"/>
                    <w:tr2bl w:val="nil"/>
                  </w:tcBorders>
                  <w:shd w:val="clear" w:color="auto" w:fill="FFFFFF" w:themeFill="background1"/>
                  <w:vAlign w:val="center"/>
                </w:tcPr>
                <w:p w14:paraId="6EFAD5E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58" w:type="dxa"/>
                  <w:tcBorders>
                    <w:tl2br w:val="nil"/>
                    <w:tr2bl w:val="nil"/>
                  </w:tcBorders>
                  <w:shd w:val="clear" w:color="auto" w:fill="FFFFFF" w:themeFill="background1"/>
                  <w:vAlign w:val="center"/>
                </w:tcPr>
                <w:p w14:paraId="62DB6DD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0" w:type="dxa"/>
                  <w:tcBorders>
                    <w:tl2br w:val="nil"/>
                    <w:tr2bl w:val="nil"/>
                  </w:tcBorders>
                  <w:shd w:val="clear" w:color="auto" w:fill="FFFFFF" w:themeFill="background1"/>
                  <w:noWrap/>
                  <w:vAlign w:val="center"/>
                </w:tcPr>
                <w:p w14:paraId="3E92577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10" w:type="dxa"/>
                  <w:tcBorders>
                    <w:tl2br w:val="nil"/>
                    <w:tr2bl w:val="nil"/>
                  </w:tcBorders>
                  <w:shd w:val="clear" w:color="auto" w:fill="FFFFFF" w:themeFill="background1"/>
                  <w:noWrap/>
                  <w:vAlign w:val="center"/>
                </w:tcPr>
                <w:p w14:paraId="2D16825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410" w:type="dxa"/>
                  <w:tcBorders>
                    <w:tl2br w:val="nil"/>
                    <w:tr2bl w:val="nil"/>
                  </w:tcBorders>
                  <w:shd w:val="clear" w:color="auto" w:fill="FFFFFF" w:themeFill="background1"/>
                  <w:noWrap/>
                  <w:vAlign w:val="center"/>
                </w:tcPr>
                <w:p w14:paraId="2EA5D62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410" w:type="dxa"/>
                  <w:tcBorders>
                    <w:tl2br w:val="nil"/>
                    <w:tr2bl w:val="nil"/>
                  </w:tcBorders>
                  <w:shd w:val="clear" w:color="auto" w:fill="FFFFFF" w:themeFill="background1"/>
                  <w:noWrap/>
                  <w:vAlign w:val="center"/>
                </w:tcPr>
                <w:p w14:paraId="38F54AE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10" w:type="dxa"/>
                  <w:tcBorders>
                    <w:tl2br w:val="nil"/>
                    <w:tr2bl w:val="nil"/>
                  </w:tcBorders>
                  <w:shd w:val="clear" w:color="auto" w:fill="FFFFFF" w:themeFill="background1"/>
                  <w:vAlign w:val="center"/>
                </w:tcPr>
                <w:p w14:paraId="0A3D381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410" w:type="dxa"/>
                  <w:tcBorders>
                    <w:tl2br w:val="nil"/>
                    <w:tr2bl w:val="nil"/>
                  </w:tcBorders>
                  <w:shd w:val="clear" w:color="auto" w:fill="FFFFFF" w:themeFill="background1"/>
                  <w:vAlign w:val="center"/>
                </w:tcPr>
                <w:p w14:paraId="0CDC816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410" w:type="dxa"/>
                  <w:tcBorders>
                    <w:tl2br w:val="nil"/>
                    <w:tr2bl w:val="nil"/>
                  </w:tcBorders>
                  <w:shd w:val="clear" w:color="auto" w:fill="FFFFFF" w:themeFill="background1"/>
                  <w:vAlign w:val="center"/>
                </w:tcPr>
                <w:p w14:paraId="4FD5AEF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410" w:type="dxa"/>
                  <w:tcBorders>
                    <w:tl2br w:val="nil"/>
                    <w:tr2bl w:val="nil"/>
                  </w:tcBorders>
                  <w:shd w:val="clear" w:color="auto" w:fill="FFFFFF" w:themeFill="background1"/>
                  <w:vAlign w:val="center"/>
                </w:tcPr>
                <w:p w14:paraId="10539D6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968" w:type="dxa"/>
                  <w:vMerge w:val="continue"/>
                  <w:tcBorders>
                    <w:tl2br w:val="nil"/>
                    <w:tr2bl w:val="nil"/>
                  </w:tcBorders>
                  <w:shd w:val="clear" w:color="auto" w:fill="FFFFFF" w:themeFill="background1"/>
                  <w:vAlign w:val="center"/>
                </w:tcPr>
                <w:p w14:paraId="41D16C5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50" w:type="dxa"/>
                  <w:tcBorders>
                    <w:tl2br w:val="nil"/>
                    <w:tr2bl w:val="nil"/>
                  </w:tcBorders>
                  <w:shd w:val="clear" w:color="auto" w:fill="FFFFFF" w:themeFill="background1"/>
                  <w:vAlign w:val="center"/>
                </w:tcPr>
                <w:p w14:paraId="420AF36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1906B93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71D0013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088E13B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11" w:type="dxa"/>
                  <w:tcBorders>
                    <w:tl2br w:val="nil"/>
                    <w:tr2bl w:val="nil"/>
                  </w:tcBorders>
                  <w:shd w:val="clear" w:color="auto" w:fill="FFFFFF" w:themeFill="background1"/>
                  <w:vAlign w:val="center"/>
                </w:tcPr>
                <w:p w14:paraId="25B6E21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411" w:type="dxa"/>
                  <w:tcBorders>
                    <w:tl2br w:val="nil"/>
                    <w:tr2bl w:val="nil"/>
                  </w:tcBorders>
                  <w:shd w:val="clear" w:color="auto" w:fill="FFFFFF" w:themeFill="background1"/>
                  <w:vAlign w:val="center"/>
                </w:tcPr>
                <w:p w14:paraId="2E3AB7FD">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411" w:type="dxa"/>
                  <w:tcBorders>
                    <w:tl2br w:val="nil"/>
                    <w:tr2bl w:val="nil"/>
                  </w:tcBorders>
                  <w:shd w:val="clear" w:color="auto" w:fill="FFFFFF" w:themeFill="background1"/>
                  <w:vAlign w:val="center"/>
                </w:tcPr>
                <w:p w14:paraId="603EA9A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411" w:type="dxa"/>
                  <w:tcBorders>
                    <w:tl2br w:val="nil"/>
                    <w:tr2bl w:val="nil"/>
                  </w:tcBorders>
                  <w:shd w:val="clear" w:color="auto" w:fill="FFFFFF" w:themeFill="background1"/>
                  <w:vAlign w:val="center"/>
                </w:tcPr>
                <w:p w14:paraId="3CAECFF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433" w:type="dxa"/>
                  <w:tcBorders>
                    <w:tl2br w:val="nil"/>
                    <w:tr2bl w:val="nil"/>
                  </w:tcBorders>
                  <w:shd w:val="clear" w:color="auto" w:fill="FFFFFF" w:themeFill="background1"/>
                  <w:vAlign w:val="center"/>
                </w:tcPr>
                <w:p w14:paraId="1D8887D7">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bl>
          <w:p w14:paraId="1EA6B8E4">
            <w:pPr>
              <w:pStyle w:val="12"/>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rPr>
                <w:rFonts w:hint="default" w:ascii="Times New Roman" w:hAnsi="Times New Roman" w:cs="Times New Roman"/>
                <w:color w:val="auto"/>
                <w:highlight w:val="none"/>
              </w:rPr>
            </w:pPr>
          </w:p>
          <w:p w14:paraId="4E504C9B">
            <w:pPr>
              <w:pStyle w:val="94"/>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表4-18 项目噪声源强情况一览表（室外声源）</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3"/>
              <w:gridCol w:w="1403"/>
              <w:gridCol w:w="1398"/>
              <w:gridCol w:w="1293"/>
              <w:gridCol w:w="1341"/>
              <w:gridCol w:w="2229"/>
              <w:gridCol w:w="1125"/>
              <w:gridCol w:w="1534"/>
            </w:tblGrid>
            <w:tr w14:paraId="799B8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pct"/>
                  <w:vMerge w:val="restart"/>
                  <w:noWrap w:val="0"/>
                  <w:vAlign w:val="center"/>
                </w:tcPr>
                <w:p w14:paraId="2B595DE0">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声源名称</w:t>
                  </w:r>
                </w:p>
              </w:tc>
              <w:tc>
                <w:tcPr>
                  <w:tcW w:w="520" w:type="pct"/>
                  <w:vMerge w:val="restart"/>
                  <w:noWrap w:val="0"/>
                  <w:vAlign w:val="center"/>
                </w:tcPr>
                <w:p w14:paraId="4B347B34">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数量/台</w:t>
                  </w:r>
                </w:p>
              </w:tc>
              <w:tc>
                <w:tcPr>
                  <w:tcW w:w="1494" w:type="pct"/>
                  <w:gridSpan w:val="3"/>
                  <w:noWrap w:val="0"/>
                  <w:vAlign w:val="center"/>
                </w:tcPr>
                <w:p w14:paraId="201EEC08">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空间相对位置/m</w:t>
                  </w:r>
                </w:p>
              </w:tc>
              <w:tc>
                <w:tcPr>
                  <w:tcW w:w="826" w:type="pct"/>
                  <w:vMerge w:val="restart"/>
                  <w:noWrap w:val="0"/>
                  <w:vAlign w:val="center"/>
                </w:tcPr>
                <w:p w14:paraId="37365F5C">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声源源强声功率级</w:t>
                  </w:r>
                  <w:r>
                    <w:rPr>
                      <w:rStyle w:val="78"/>
                      <w:rFonts w:hint="default" w:ascii="Times New Roman" w:hAnsi="Times New Roman" w:eastAsia="宋体" w:cs="Times New Roman"/>
                      <w:b/>
                      <w:bCs/>
                      <w:color w:val="auto"/>
                      <w:sz w:val="21"/>
                      <w:szCs w:val="21"/>
                      <w:highlight w:val="none"/>
                      <w:lang w:val="en-US" w:eastAsia="zh-CN" w:bidi="ar"/>
                    </w:rPr>
                    <w:t>/dB(A)</w:t>
                  </w:r>
                </w:p>
              </w:tc>
              <w:tc>
                <w:tcPr>
                  <w:tcW w:w="417" w:type="pct"/>
                  <w:vMerge w:val="restart"/>
                  <w:noWrap w:val="0"/>
                  <w:vAlign w:val="center"/>
                </w:tcPr>
                <w:p w14:paraId="34A01F10">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降噪措施</w:t>
                  </w:r>
                </w:p>
              </w:tc>
              <w:tc>
                <w:tcPr>
                  <w:tcW w:w="568" w:type="pct"/>
                  <w:vMerge w:val="restart"/>
                  <w:noWrap w:val="0"/>
                  <w:vAlign w:val="center"/>
                </w:tcPr>
                <w:p w14:paraId="6362F0A1">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持续时间（h/a）</w:t>
                  </w:r>
                </w:p>
              </w:tc>
            </w:tr>
            <w:tr w14:paraId="22632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72" w:type="pct"/>
                  <w:vMerge w:val="continue"/>
                  <w:noWrap w:val="0"/>
                  <w:vAlign w:val="center"/>
                </w:tcPr>
                <w:p w14:paraId="65C5004C">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520" w:type="pct"/>
                  <w:vMerge w:val="continue"/>
                  <w:noWrap w:val="0"/>
                  <w:vAlign w:val="center"/>
                </w:tcPr>
                <w:p w14:paraId="6DD3DEF3">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518" w:type="pct"/>
                  <w:noWrap w:val="0"/>
                  <w:vAlign w:val="center"/>
                </w:tcPr>
                <w:p w14:paraId="4CDB578F">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X</w:t>
                  </w:r>
                </w:p>
              </w:tc>
              <w:tc>
                <w:tcPr>
                  <w:tcW w:w="479" w:type="pct"/>
                  <w:noWrap w:val="0"/>
                  <w:vAlign w:val="center"/>
                </w:tcPr>
                <w:p w14:paraId="3D63B708">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Y</w:t>
                  </w:r>
                </w:p>
              </w:tc>
              <w:tc>
                <w:tcPr>
                  <w:tcW w:w="497" w:type="pct"/>
                  <w:noWrap w:val="0"/>
                  <w:vAlign w:val="center"/>
                </w:tcPr>
                <w:p w14:paraId="75DD3343">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Z</w:t>
                  </w:r>
                </w:p>
              </w:tc>
              <w:tc>
                <w:tcPr>
                  <w:tcW w:w="826" w:type="pct"/>
                  <w:vMerge w:val="continue"/>
                  <w:noWrap w:val="0"/>
                  <w:vAlign w:val="center"/>
                </w:tcPr>
                <w:p w14:paraId="52686F9B">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417" w:type="pct"/>
                  <w:vMerge w:val="continue"/>
                  <w:noWrap w:val="0"/>
                  <w:vAlign w:val="center"/>
                </w:tcPr>
                <w:p w14:paraId="2D2EB3AF">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568" w:type="pct"/>
                  <w:vMerge w:val="continue"/>
                  <w:noWrap w:val="0"/>
                  <w:vAlign w:val="center"/>
                </w:tcPr>
                <w:p w14:paraId="10ACD490">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r>
            <w:tr w14:paraId="38435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72" w:type="pct"/>
                  <w:noWrap w:val="0"/>
                  <w:vAlign w:val="center"/>
                </w:tcPr>
                <w:p w14:paraId="09D851E1">
                  <w:pPr>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废气处理风机</w:t>
                  </w:r>
                </w:p>
              </w:tc>
              <w:tc>
                <w:tcPr>
                  <w:tcW w:w="520" w:type="pct"/>
                  <w:noWrap w:val="0"/>
                  <w:vAlign w:val="center"/>
                </w:tcPr>
                <w:p w14:paraId="2576E1F0">
                  <w:pPr>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1</w:t>
                  </w:r>
                </w:p>
              </w:tc>
              <w:tc>
                <w:tcPr>
                  <w:tcW w:w="518" w:type="pct"/>
                  <w:noWrap w:val="0"/>
                  <w:vAlign w:val="center"/>
                </w:tcPr>
                <w:p w14:paraId="5BFECCE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479" w:type="pct"/>
                  <w:noWrap w:val="0"/>
                  <w:vAlign w:val="center"/>
                </w:tcPr>
                <w:p w14:paraId="42ACFE1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40</w:t>
                  </w:r>
                </w:p>
              </w:tc>
              <w:tc>
                <w:tcPr>
                  <w:tcW w:w="497" w:type="pct"/>
                  <w:noWrap w:val="0"/>
                  <w:vAlign w:val="center"/>
                </w:tcPr>
                <w:p w14:paraId="49ADA9C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bidi="ar"/>
                    </w:rPr>
                  </w:pPr>
                  <w:r>
                    <w:rPr>
                      <w:rFonts w:hint="default" w:ascii="Times New Roman" w:hAnsi="Times New Roman" w:cs="Times New Roman"/>
                      <w:b w:val="0"/>
                      <w:bCs/>
                      <w:i w:val="0"/>
                      <w:iCs w:val="0"/>
                      <w:color w:val="auto"/>
                      <w:kern w:val="0"/>
                      <w:sz w:val="21"/>
                      <w:szCs w:val="21"/>
                      <w:highlight w:val="none"/>
                      <w:u w:val="none"/>
                      <w:lang w:val="en-US" w:eastAsia="zh-CN" w:bidi="ar"/>
                    </w:rPr>
                    <w:t>1</w:t>
                  </w:r>
                </w:p>
              </w:tc>
              <w:tc>
                <w:tcPr>
                  <w:tcW w:w="826" w:type="pct"/>
                  <w:noWrap w:val="0"/>
                  <w:vAlign w:val="center"/>
                </w:tcPr>
                <w:p w14:paraId="2ABCE1B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90</w:t>
                  </w:r>
                </w:p>
              </w:tc>
              <w:tc>
                <w:tcPr>
                  <w:tcW w:w="417" w:type="pct"/>
                  <w:noWrap w:val="0"/>
                  <w:vAlign w:val="center"/>
                </w:tcPr>
                <w:p w14:paraId="79A51645">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减振</w:t>
                  </w:r>
                </w:p>
              </w:tc>
              <w:tc>
                <w:tcPr>
                  <w:tcW w:w="568" w:type="pct"/>
                  <w:noWrap w:val="0"/>
                  <w:vAlign w:val="center"/>
                </w:tcPr>
                <w:p w14:paraId="2D2BB8D9">
                  <w:pPr>
                    <w:pStyle w:val="43"/>
                    <w:keepNext w:val="0"/>
                    <w:keepLines w:val="0"/>
                    <w:pageBreakBefore w:val="0"/>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cs="Times New Roman"/>
                      <w:b/>
                      <w:color w:val="auto"/>
                      <w:kern w:val="0"/>
                      <w:sz w:val="21"/>
                      <w:szCs w:val="21"/>
                      <w:highlight w:val="none"/>
                      <w:vertAlign w:val="baseline"/>
                      <w:lang w:val="en-US" w:eastAsia="zh-CN" w:bidi="ar"/>
                    </w:rPr>
                    <w:t>4800</w:t>
                  </w:r>
                </w:p>
              </w:tc>
            </w:tr>
          </w:tbl>
          <w:p w14:paraId="3C7107B4">
            <w:pPr>
              <w:pStyle w:val="4"/>
              <w:pageBreakBefore w:val="0"/>
              <w:numPr>
                <w:ilvl w:val="2"/>
                <w:numId w:val="0"/>
              </w:numPr>
              <w:suppressLineNumbers w:val="0"/>
              <w:wordWrap w:val="0"/>
              <w:bidi w:val="0"/>
              <w:spacing w:before="0" w:beforeAutospacing="0" w:after="0" w:afterAutospacing="0"/>
              <w:ind w:left="0" w:right="0"/>
              <w:rPr>
                <w:rFonts w:hint="default" w:ascii="Times New Roman" w:hAnsi="Times New Roman" w:cs="Times New Roman"/>
                <w:color w:val="auto"/>
                <w:highlight w:val="none"/>
              </w:rPr>
            </w:pPr>
          </w:p>
        </w:tc>
      </w:tr>
    </w:tbl>
    <w:p w14:paraId="09AE03AF">
      <w:pPr>
        <w:pageBreakBefore w:val="0"/>
        <w:wordWrap w:val="0"/>
        <w:bidi w:val="0"/>
        <w:rPr>
          <w:rFonts w:hint="default" w:ascii="Times New Roman" w:hAnsi="Times New Roman" w:cs="Times New Roman"/>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numberInDash"/>
          <w:cols w:space="0" w:num="1"/>
          <w:rtlGutter w:val="0"/>
          <w:docGrid w:type="linesAndChars" w:linePitch="336" w:charSpace="0"/>
        </w:sectPr>
      </w:pP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9345"/>
      </w:tblGrid>
      <w:tr w14:paraId="60571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508" w:type="dxa"/>
            <w:vAlign w:val="center"/>
          </w:tcPr>
          <w:p w14:paraId="0EC3B422">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color w:val="auto"/>
                <w:highlight w:val="none"/>
              </w:rPr>
            </w:pPr>
            <w:bookmarkStart w:id="131" w:name="_Toc7465"/>
            <w:r>
              <w:rPr>
                <w:rFonts w:hint="default" w:ascii="Times New Roman" w:hAnsi="Times New Roman" w:cs="Times New Roman"/>
                <w:b/>
                <w:bCs/>
                <w:color w:val="auto"/>
                <w:kern w:val="2"/>
                <w:highlight w:val="none"/>
              </w:rPr>
              <w:t>运营期环境影响和保护措施</w:t>
            </w:r>
          </w:p>
        </w:tc>
        <w:tc>
          <w:tcPr>
            <w:tcW w:w="9345" w:type="dxa"/>
          </w:tcPr>
          <w:p w14:paraId="2D7B277E">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2、达标分析</w:t>
            </w:r>
          </w:p>
          <w:p w14:paraId="66425394">
            <w:pPr>
              <w:keepNext w:val="0"/>
              <w:keepLines w:val="0"/>
              <w:pageBreakBefore w:val="0"/>
              <w:suppressLineNumbers w:val="0"/>
              <w:wordWrap w:val="0"/>
              <w:bidi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项目厂界外50米范围内无声环境保护目标。</w:t>
            </w:r>
            <w:r>
              <w:rPr>
                <w:rFonts w:hint="default" w:ascii="Times New Roman" w:hAnsi="Times New Roman" w:cs="Times New Roman"/>
                <w:bCs/>
                <w:color w:val="auto"/>
                <w:kern w:val="0"/>
                <w:highlight w:val="none"/>
              </w:rPr>
              <w:t>项目运营期产生的噪声主要为生产设备运行时产生的噪声，其噪声的强度值为60~85dB（A）之间。</w:t>
            </w:r>
          </w:p>
          <w:p w14:paraId="504AC6DF">
            <w:pPr>
              <w:pStyle w:val="82"/>
              <w:keepNext w:val="0"/>
              <w:keepLines w:val="0"/>
              <w:pageBreakBefore w:val="0"/>
              <w:widowControl w:val="0"/>
              <w:numPr>
                <w:ilvl w:val="0"/>
                <w:numId w:val="0"/>
              </w:numPr>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color w:val="auto"/>
                <w:kern w:val="0"/>
                <w:sz w:val="24"/>
                <w:highlight w:val="none"/>
                <w:lang w:eastAsia="zh-CN"/>
              </w:rPr>
            </w:pP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color w:val="auto"/>
                <w:sz w:val="24"/>
                <w:highlight w:val="none"/>
              </w:rPr>
              <w:t>《环境影响评价技术导则</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声环境》（HJ2.4-2021）</w:t>
            </w:r>
            <w:r>
              <w:rPr>
                <w:rFonts w:hint="default" w:ascii="Times New Roman" w:hAnsi="Times New Roman" w:cs="Times New Roman"/>
                <w:color w:val="auto"/>
                <w:sz w:val="24"/>
                <w:highlight w:val="none"/>
                <w:lang w:val="en-US" w:eastAsia="zh-CN"/>
              </w:rPr>
              <w:t>提出噪声</w:t>
            </w:r>
            <w:r>
              <w:rPr>
                <w:rFonts w:hint="default" w:ascii="Times New Roman" w:hAnsi="Times New Roman" w:cs="Times New Roman"/>
                <w:color w:val="auto"/>
                <w:sz w:val="24"/>
                <w:highlight w:val="none"/>
              </w:rPr>
              <w:t>预测方法，</w:t>
            </w:r>
            <w:r>
              <w:rPr>
                <w:rFonts w:hint="default" w:ascii="Times New Roman" w:hAnsi="Times New Roman" w:cs="Times New Roman"/>
                <w:color w:val="auto"/>
                <w:sz w:val="24"/>
                <w:highlight w:val="none"/>
                <w:lang w:val="en-US" w:eastAsia="zh-CN"/>
              </w:rPr>
              <w:t>对于生产车间内的</w:t>
            </w:r>
            <w:r>
              <w:rPr>
                <w:rFonts w:hint="default" w:ascii="Times New Roman" w:hAnsi="Times New Roman" w:cs="Times New Roman"/>
                <w:color w:val="auto"/>
                <w:sz w:val="24"/>
                <w:highlight w:val="none"/>
              </w:rPr>
              <w:t>室内声源</w:t>
            </w:r>
            <w:r>
              <w:rPr>
                <w:rFonts w:hint="default" w:ascii="Times New Roman" w:hAnsi="Times New Roman" w:cs="Times New Roman"/>
                <w:color w:val="auto"/>
                <w:sz w:val="24"/>
                <w:highlight w:val="none"/>
                <w:lang w:val="en-US" w:eastAsia="zh-CN"/>
              </w:rPr>
              <w:t>应先预测</w:t>
            </w:r>
            <w:r>
              <w:rPr>
                <w:rFonts w:hint="default" w:ascii="Times New Roman" w:hAnsi="Times New Roman" w:cs="Times New Roman"/>
                <w:color w:val="auto"/>
                <w:sz w:val="24"/>
                <w:highlight w:val="none"/>
              </w:rPr>
              <w:t>噪声源靠近围护结构处的噪声值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再根据建筑隔声情况采</w:t>
            </w:r>
            <w:r>
              <w:rPr>
                <w:rFonts w:hint="default" w:ascii="Times New Roman" w:hAnsi="Times New Roman" w:cs="Times New Roman"/>
                <w:color w:val="auto"/>
                <w:sz w:val="24"/>
                <w:highlight w:val="none"/>
              </w:rPr>
              <w:t>用等效室外声源声</w:t>
            </w:r>
            <w:r>
              <w:rPr>
                <w:rFonts w:hint="default" w:ascii="Times New Roman" w:hAnsi="Times New Roman" w:cs="Times New Roman"/>
                <w:color w:val="auto"/>
                <w:sz w:val="24"/>
                <w:highlight w:val="none"/>
                <w:lang w:val="en-US" w:eastAsia="zh-CN"/>
              </w:rPr>
              <w:t>压</w:t>
            </w:r>
            <w:r>
              <w:rPr>
                <w:rFonts w:hint="default" w:ascii="Times New Roman" w:hAnsi="Times New Roman" w:cs="Times New Roman"/>
                <w:color w:val="auto"/>
                <w:sz w:val="24"/>
                <w:highlight w:val="none"/>
              </w:rPr>
              <w:t>级法进行</w:t>
            </w:r>
            <w:r>
              <w:rPr>
                <w:rFonts w:hint="default" w:ascii="Times New Roman" w:hAnsi="Times New Roman" w:cs="Times New Roman"/>
                <w:color w:val="auto"/>
                <w:sz w:val="24"/>
                <w:highlight w:val="none"/>
                <w:lang w:val="en-US" w:eastAsia="zh-CN"/>
              </w:rPr>
              <w:t>换算；对于处于室外的噪声源</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在考虑相关降噪措施后按照噪声衰减公式进行预测。相关计算公式</w:t>
            </w:r>
            <w:r>
              <w:rPr>
                <w:rFonts w:hint="default" w:ascii="Times New Roman" w:hAnsi="Times New Roman" w:cs="Times New Roman"/>
                <w:color w:val="auto"/>
                <w:kern w:val="0"/>
                <w:sz w:val="24"/>
                <w:highlight w:val="none"/>
              </w:rPr>
              <w:t>如下</w:t>
            </w:r>
            <w:r>
              <w:rPr>
                <w:rFonts w:hint="default" w:ascii="Times New Roman" w:hAnsi="Times New Roman" w:cs="Times New Roman"/>
                <w:color w:val="auto"/>
                <w:kern w:val="0"/>
                <w:sz w:val="24"/>
                <w:highlight w:val="none"/>
                <w:lang w:eastAsia="zh-CN"/>
              </w:rPr>
              <w:t>：</w:t>
            </w:r>
          </w:p>
          <w:p w14:paraId="6D1776D7">
            <w:pPr>
              <w:pStyle w:val="82"/>
              <w:keepNext w:val="0"/>
              <w:keepLines w:val="0"/>
              <w:pageBreakBefore w:val="0"/>
              <w:widowControl w:val="0"/>
              <w:numPr>
                <w:ilvl w:val="0"/>
                <w:numId w:val="0"/>
              </w:numPr>
              <w:suppressLineNumbers w:val="0"/>
              <w:kinsoku/>
              <w:wordWrap w:val="0"/>
              <w:overflowPunct/>
              <w:topLinePunct w:val="0"/>
              <w:autoSpaceDE/>
              <w:autoSpaceDN/>
              <w:bidi w:val="0"/>
              <w:adjustRightInd/>
              <w:snapToGrid w:val="0"/>
              <w:spacing w:before="0" w:beforeAutospacing="0" w:after="0" w:afterAutospacing="0" w:line="360" w:lineRule="auto"/>
              <w:ind w:left="480" w:leftChars="200" w:right="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①</w:t>
            </w:r>
            <w:r>
              <w:rPr>
                <w:rFonts w:hint="default" w:ascii="Times New Roman" w:hAnsi="Times New Roman" w:cs="Times New Roman"/>
                <w:color w:val="auto"/>
                <w:sz w:val="24"/>
                <w:highlight w:val="none"/>
              </w:rPr>
              <w:t>噪声源靠近围护结构处的噪声值预测</w:t>
            </w:r>
          </w:p>
          <w:p w14:paraId="445C538A">
            <w:pPr>
              <w:pStyle w:val="82"/>
              <w:keepNext w:val="0"/>
              <w:keepLines w:val="0"/>
              <w:pageBreakBefore w:val="0"/>
              <w:widowControl w:val="0"/>
              <w:numPr>
                <w:ilvl w:val="0"/>
                <w:numId w:val="0"/>
              </w:numPr>
              <w:suppressLineNumbers w:val="0"/>
              <w:kinsoku/>
              <w:wordWrap w:val="0"/>
              <w:overflowPunct/>
              <w:topLinePunct w:val="0"/>
              <w:autoSpaceDE/>
              <w:autoSpaceDN/>
              <w:bidi w:val="0"/>
              <w:adjustRightInd/>
              <w:snapToGrid w:val="0"/>
              <w:spacing w:before="0" w:beforeAutospacing="0" w:after="0" w:afterAutospacing="0" w:line="360" w:lineRule="auto"/>
              <w:ind w:left="480" w:leftChars="200" w:right="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A.</w:t>
            </w:r>
            <w:r>
              <w:rPr>
                <w:rFonts w:hint="default" w:ascii="Times New Roman" w:hAnsi="Times New Roman" w:cs="Times New Roman"/>
                <w:color w:val="auto"/>
                <w:kern w:val="0"/>
                <w:sz w:val="24"/>
                <w:highlight w:val="none"/>
              </w:rPr>
              <w:t>计算某一室内声源靠近围护结构处产生的A声压级Lp1：</w:t>
            </w:r>
          </w:p>
          <w:p w14:paraId="2D10B9A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m:oMathPara>
              <m:oMath>
                <m:sSub>
                  <m:sSubPr>
                    <m:ctrlPr>
                      <w:rPr>
                        <w:rFonts w:hint="default" w:ascii="Cambria Math" w:hAnsi="Cambria Math" w:cs="Times New Roman"/>
                        <w:color w:val="auto"/>
                        <w:sz w:val="24"/>
                        <w:highlight w:val="none"/>
                      </w:rPr>
                    </m:ctrlPr>
                  </m:sSubPr>
                  <m:e>
                    <m:r>
                      <m:rPr>
                        <m:nor/>
                      </m:rPr>
                      <w:rPr>
                        <w:rFonts w:hint="default" w:ascii="Times New Roman" w:hAnsi="Times New Roman" w:cs="Times New Roman"/>
                        <w:i/>
                        <w:color w:val="auto"/>
                        <w:sz w:val="24"/>
                        <w:highlight w:val="none"/>
                      </w:rPr>
                      <m:t>L</m:t>
                    </m:r>
                    <m:ctrlPr>
                      <w:rPr>
                        <w:rFonts w:hint="default" w:ascii="Cambria Math" w:hAnsi="Cambria Math" w:cs="Times New Roman"/>
                        <w:color w:val="auto"/>
                        <w:sz w:val="24"/>
                        <w:highlight w:val="none"/>
                      </w:rPr>
                    </m:ctrlPr>
                  </m:e>
                  <m:sub>
                    <m:r>
                      <m:rPr>
                        <m:nor/>
                      </m:rPr>
                      <w:rPr>
                        <w:rFonts w:hint="default" w:ascii="Times New Roman" w:hAnsi="Times New Roman" w:cs="Times New Roman"/>
                        <w:i/>
                        <w:color w:val="auto"/>
                        <w:sz w:val="24"/>
                        <w:highlight w:val="none"/>
                      </w:rPr>
                      <m:t>p</m:t>
                    </m:r>
                    <m:r>
                      <m:rPr>
                        <m:nor/>
                        <m:sty m:val="p"/>
                      </m:rPr>
                      <w:rPr>
                        <w:rFonts w:hint="default" w:ascii="Times New Roman" w:hAnsi="Times New Roman" w:cs="Times New Roman"/>
                        <w:b w:val="0"/>
                        <w:i w:val="0"/>
                        <w:color w:val="auto"/>
                        <w:sz w:val="24"/>
                        <w:highlight w:val="none"/>
                      </w:rPr>
                      <m:t>1</m:t>
                    </m:r>
                    <m:ctrlPr>
                      <w:rPr>
                        <w:rFonts w:hint="default" w:ascii="Cambria Math" w:hAnsi="Cambria Math" w:cs="Times New Roman"/>
                        <w:color w:val="auto"/>
                        <w:sz w:val="24"/>
                        <w:highlight w:val="none"/>
                      </w:rPr>
                    </m:ctrlPr>
                  </m:sub>
                </m:sSub>
                <m:r>
                  <m:rPr>
                    <m:nor/>
                    <m:sty m:val="p"/>
                  </m:rPr>
                  <w:rPr>
                    <w:rFonts w:hint="default" w:ascii="Times New Roman" w:hAnsi="Times New Roman" w:cs="Times New Roman"/>
                    <w:b w:val="0"/>
                    <w:i w:val="0"/>
                    <w:color w:val="auto"/>
                    <w:sz w:val="24"/>
                    <w:highlight w:val="none"/>
                  </w:rPr>
                  <m:t>=</m:t>
                </m:r>
                <m:sSub>
                  <m:sSubPr>
                    <m:ctrlPr>
                      <w:rPr>
                        <w:rFonts w:hint="default" w:ascii="Cambria Math" w:hAnsi="Cambria Math" w:cs="Times New Roman"/>
                        <w:color w:val="auto"/>
                        <w:sz w:val="24"/>
                        <w:highlight w:val="none"/>
                      </w:rPr>
                    </m:ctrlPr>
                  </m:sSubPr>
                  <m:e>
                    <m:r>
                      <m:rPr>
                        <m:nor/>
                      </m:rPr>
                      <w:rPr>
                        <w:rFonts w:hint="default" w:ascii="Times New Roman" w:hAnsi="Times New Roman" w:cs="Times New Roman"/>
                        <w:i/>
                        <w:color w:val="auto"/>
                        <w:sz w:val="24"/>
                        <w:highlight w:val="none"/>
                      </w:rPr>
                      <m:t>L</m:t>
                    </m:r>
                    <m:ctrlPr>
                      <w:rPr>
                        <w:rFonts w:hint="default" w:ascii="Cambria Math" w:hAnsi="Cambria Math" w:cs="Times New Roman"/>
                        <w:color w:val="auto"/>
                        <w:sz w:val="24"/>
                        <w:highlight w:val="none"/>
                      </w:rPr>
                    </m:ctrlPr>
                  </m:e>
                  <m:sub>
                    <m:r>
                      <m:rPr>
                        <m:nor/>
                      </m:rPr>
                      <w:rPr>
                        <w:rFonts w:hint="default" w:ascii="Times New Roman" w:hAnsi="Times New Roman" w:cs="Times New Roman"/>
                        <w:i/>
                        <w:color w:val="auto"/>
                        <w:sz w:val="24"/>
                        <w:highlight w:val="none"/>
                      </w:rPr>
                      <m:t>w</m:t>
                    </m:r>
                    <m:ctrlPr>
                      <w:rPr>
                        <w:rFonts w:hint="default" w:ascii="Cambria Math" w:hAnsi="Cambria Math" w:cs="Times New Roman"/>
                        <w:color w:val="auto"/>
                        <w:sz w:val="24"/>
                        <w:highlight w:val="none"/>
                      </w:rPr>
                    </m:ctrlPr>
                  </m:sub>
                </m:sSub>
                <m:r>
                  <m:rPr>
                    <m:nor/>
                    <m:sty m:val="p"/>
                  </m:rPr>
                  <w:rPr>
                    <w:rFonts w:hint="default" w:ascii="Times New Roman" w:hAnsi="Times New Roman" w:cs="Times New Roman"/>
                    <w:b w:val="0"/>
                    <w:i w:val="0"/>
                    <w:color w:val="auto"/>
                    <w:sz w:val="24"/>
                    <w:highlight w:val="none"/>
                  </w:rPr>
                  <m:t>+10lg⁡(</m:t>
                </m:r>
                <m:f>
                  <m:fPr>
                    <m:ctrlPr>
                      <w:rPr>
                        <w:rFonts w:hint="default" w:ascii="Cambria Math" w:hAnsi="Cambria Math" w:cs="Times New Roman"/>
                        <w:color w:val="auto"/>
                        <w:sz w:val="24"/>
                        <w:highlight w:val="none"/>
                      </w:rPr>
                    </m:ctrlPr>
                  </m:fPr>
                  <m:num>
                    <m:r>
                      <m:rPr>
                        <m:nor/>
                      </m:rPr>
                      <w:rPr>
                        <w:rFonts w:hint="default" w:ascii="Times New Roman" w:hAnsi="Times New Roman" w:cs="Times New Roman"/>
                        <w:i/>
                        <w:color w:val="auto"/>
                        <w:sz w:val="24"/>
                        <w:highlight w:val="none"/>
                      </w:rPr>
                      <m:t>Q</m:t>
                    </m:r>
                    <m:ctrlPr>
                      <w:rPr>
                        <w:rFonts w:hint="default" w:ascii="Cambria Math" w:hAnsi="Cambria Math" w:cs="Times New Roman"/>
                        <w:color w:val="auto"/>
                        <w:sz w:val="24"/>
                        <w:highlight w:val="none"/>
                      </w:rPr>
                    </m:ctrlPr>
                  </m:num>
                  <m:den>
                    <m:r>
                      <m:rPr>
                        <m:nor/>
                        <m:sty m:val="p"/>
                      </m:rPr>
                      <w:rPr>
                        <w:rFonts w:hint="default" w:ascii="Times New Roman" w:hAnsi="Times New Roman" w:cs="Times New Roman"/>
                        <w:b w:val="0"/>
                        <w:i w:val="0"/>
                        <w:color w:val="auto"/>
                        <w:sz w:val="24"/>
                        <w:highlight w:val="none"/>
                      </w:rPr>
                      <m:t>4</m:t>
                    </m:r>
                    <m:r>
                      <m:rPr>
                        <m:nor/>
                      </m:rPr>
                      <w:rPr>
                        <w:rFonts w:hint="default" w:ascii="Times New Roman" w:hAnsi="Times New Roman" w:cs="Times New Roman"/>
                        <w:i/>
                        <w:color w:val="auto"/>
                        <w:sz w:val="24"/>
                        <w:highlight w:val="none"/>
                      </w:rPr>
                      <m:t>π</m:t>
                    </m:r>
                    <m:sSup>
                      <m:sSupPr>
                        <m:ctrlPr>
                          <w:rPr>
                            <w:rFonts w:hint="default" w:ascii="Cambria Math" w:hAnsi="Cambria Math" w:cs="Times New Roman"/>
                            <w:i/>
                            <w:color w:val="auto"/>
                            <w:sz w:val="24"/>
                            <w:highlight w:val="none"/>
                          </w:rPr>
                        </m:ctrlPr>
                      </m:sSupPr>
                      <m:e>
                        <m:r>
                          <m:rPr>
                            <m:nor/>
                          </m:rPr>
                          <w:rPr>
                            <w:rFonts w:hint="default" w:ascii="Times New Roman" w:hAnsi="Times New Roman" w:cs="Times New Roman"/>
                            <w:i/>
                            <w:color w:val="auto"/>
                            <w:sz w:val="24"/>
                            <w:highlight w:val="none"/>
                          </w:rPr>
                          <m:t>r</m:t>
                        </m:r>
                        <m:ctrlPr>
                          <w:rPr>
                            <w:rFonts w:hint="default" w:ascii="Cambria Math" w:hAnsi="Cambria Math" w:cs="Times New Roman"/>
                            <w:i/>
                            <w:color w:val="auto"/>
                            <w:sz w:val="24"/>
                            <w:highlight w:val="none"/>
                          </w:rPr>
                        </m:ctrlPr>
                      </m:e>
                      <m:sup>
                        <m:r>
                          <m:rPr>
                            <m:nor/>
                            <m:sty m:val="p"/>
                          </m:rPr>
                          <w:rPr>
                            <w:rFonts w:hint="default" w:ascii="Times New Roman" w:hAnsi="Times New Roman" w:cs="Times New Roman"/>
                            <w:b w:val="0"/>
                            <w:i w:val="0"/>
                            <w:color w:val="auto"/>
                            <w:sz w:val="24"/>
                            <w:highlight w:val="none"/>
                          </w:rPr>
                          <m:t>2</m:t>
                        </m:r>
                        <m:ctrlPr>
                          <w:rPr>
                            <w:rFonts w:hint="default" w:ascii="Cambria Math" w:hAnsi="Cambria Math" w:cs="Times New Roman"/>
                            <w:i/>
                            <w:color w:val="auto"/>
                            <w:sz w:val="24"/>
                            <w:highlight w:val="none"/>
                          </w:rPr>
                        </m:ctrlPr>
                      </m:sup>
                    </m:sSup>
                    <m:ctrlPr>
                      <w:rPr>
                        <w:rFonts w:hint="default" w:ascii="Cambria Math" w:hAnsi="Cambria Math" w:cs="Times New Roman"/>
                        <w:color w:val="auto"/>
                        <w:sz w:val="24"/>
                        <w:highlight w:val="none"/>
                      </w:rPr>
                    </m:ctrlPr>
                  </m:den>
                </m:f>
                <m:r>
                  <m:rPr>
                    <m:nor/>
                    <m:sty m:val="p"/>
                  </m:rPr>
                  <w:rPr>
                    <w:rFonts w:hint="default" w:ascii="Times New Roman" w:hAnsi="Times New Roman" w:cs="Times New Roman"/>
                    <w:b w:val="0"/>
                    <w:i w:val="0"/>
                    <w:color w:val="auto"/>
                    <w:sz w:val="24"/>
                    <w:highlight w:val="none"/>
                  </w:rPr>
                  <m:t>+</m:t>
                </m:r>
                <m:f>
                  <m:fPr>
                    <m:ctrlPr>
                      <w:rPr>
                        <w:rFonts w:hint="default" w:ascii="Cambria Math" w:hAnsi="Cambria Math" w:cs="Times New Roman"/>
                        <w:i/>
                        <w:color w:val="auto"/>
                        <w:sz w:val="24"/>
                        <w:highlight w:val="none"/>
                      </w:rPr>
                    </m:ctrlPr>
                  </m:fPr>
                  <m:num>
                    <m:r>
                      <m:rPr>
                        <m:nor/>
                        <m:sty m:val="p"/>
                      </m:rPr>
                      <w:rPr>
                        <w:rFonts w:hint="default" w:ascii="Times New Roman" w:hAnsi="Times New Roman" w:cs="Times New Roman"/>
                        <w:b w:val="0"/>
                        <w:i w:val="0"/>
                        <w:color w:val="auto"/>
                        <w:sz w:val="24"/>
                        <w:highlight w:val="none"/>
                      </w:rPr>
                      <m:t>4</m:t>
                    </m:r>
                    <m:ctrlPr>
                      <w:rPr>
                        <w:rFonts w:hint="default" w:ascii="Cambria Math" w:hAnsi="Cambria Math" w:cs="Times New Roman"/>
                        <w:i/>
                        <w:color w:val="auto"/>
                        <w:sz w:val="24"/>
                        <w:highlight w:val="none"/>
                      </w:rPr>
                    </m:ctrlPr>
                  </m:num>
                  <m:den>
                    <m:r>
                      <m:rPr>
                        <m:nor/>
                      </m:rPr>
                      <w:rPr>
                        <w:rFonts w:hint="default" w:ascii="Times New Roman" w:hAnsi="Times New Roman" w:cs="Times New Roman"/>
                        <w:i/>
                        <w:color w:val="auto"/>
                        <w:sz w:val="24"/>
                        <w:highlight w:val="none"/>
                      </w:rPr>
                      <m:t>R</m:t>
                    </m:r>
                    <m:ctrlPr>
                      <w:rPr>
                        <w:rFonts w:hint="default" w:ascii="Cambria Math" w:hAnsi="Cambria Math" w:cs="Times New Roman"/>
                        <w:i/>
                        <w:color w:val="auto"/>
                        <w:sz w:val="24"/>
                        <w:highlight w:val="none"/>
                      </w:rPr>
                    </m:ctrlPr>
                  </m:den>
                </m:f>
                <m:r>
                  <m:rPr>
                    <m:nor/>
                    <m:sty m:val="p"/>
                  </m:rPr>
                  <w:rPr>
                    <w:rFonts w:hint="default" w:ascii="Times New Roman" w:hAnsi="Times New Roman" w:cs="Times New Roman"/>
                    <w:b w:val="0"/>
                    <w:i w:val="0"/>
                    <w:color w:val="auto"/>
                    <w:sz w:val="24"/>
                    <w:highlight w:val="none"/>
                  </w:rPr>
                  <m:t>)</m:t>
                </m:r>
              </m:oMath>
            </m:oMathPara>
          </w:p>
          <w:p w14:paraId="1D582F9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0ECDF3C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Q－指向性因数：通常对无指向性声源，当声源放在房间中心时，Q=1；当放在一面墙的中心时，Q=2；当放在两面墙夹角时，Q=4；当放在三面墙夹角处时，Q=8。</w:t>
            </w:r>
          </w:p>
          <w:p w14:paraId="7896D5F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R－房间常数：R=Sa/(1-a)，S为房间内表面面积，m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；a为平均吸声系数。</w:t>
            </w:r>
          </w:p>
          <w:p w14:paraId="6D89AF4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r－声源到靠近围护结构某点处的距离，m。</w:t>
            </w:r>
          </w:p>
          <w:p w14:paraId="3B65BED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Lw为设备</w:t>
            </w:r>
            <w:r>
              <w:rPr>
                <w:rFonts w:hint="default" w:ascii="Times New Roman" w:hAnsi="Times New Roman" w:cs="Times New Roman"/>
                <w:color w:val="auto"/>
                <w:kern w:val="0"/>
                <w:sz w:val="24"/>
                <w:highlight w:val="none"/>
                <w:lang w:val="en-US" w:eastAsia="zh-CN"/>
              </w:rPr>
              <w:t>源强</w:t>
            </w:r>
            <w:r>
              <w:rPr>
                <w:rFonts w:hint="default" w:ascii="Times New Roman" w:hAnsi="Times New Roman" w:cs="Times New Roman"/>
                <w:color w:val="auto"/>
                <w:kern w:val="0"/>
                <w:sz w:val="24"/>
                <w:highlight w:val="none"/>
              </w:rPr>
              <w:t>声级。</w:t>
            </w:r>
          </w:p>
          <w:p w14:paraId="66691AE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B.</w:t>
            </w:r>
            <w:r>
              <w:rPr>
                <w:rFonts w:hint="default" w:ascii="Times New Roman" w:hAnsi="Times New Roman" w:cs="Times New Roman"/>
                <w:color w:val="auto"/>
                <w:kern w:val="0"/>
                <w:sz w:val="24"/>
                <w:highlight w:val="none"/>
              </w:rPr>
              <w:t>计算出所有室内声源在围护结构处产生的叠加A声压级：</w:t>
            </w:r>
          </w:p>
          <w:p w14:paraId="2552F10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m:oMathPara>
              <m:oMathParaPr>
                <m:jc m:val="center"/>
              </m:oMathParaPr>
              <m:oMath>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L</m:t>
                    </m:r>
                    <m:ctrlPr>
                      <w:rPr>
                        <w:rFonts w:hint="default" w:ascii="Cambria Math" w:hAnsi="Cambria Math" w:cs="Times New Roman"/>
                        <w:i/>
                        <w:color w:val="auto"/>
                        <w:sz w:val="24"/>
                        <w:highlight w:val="none"/>
                      </w:rPr>
                    </m:ctrlPr>
                  </m:e>
                  <m:sub>
                    <m:r>
                      <m:rPr>
                        <m:nor/>
                      </m:rPr>
                      <w:rPr>
                        <w:rFonts w:hint="default" w:ascii="Times New Roman" w:hAnsi="Times New Roman" w:cs="Times New Roman"/>
                        <w:i/>
                        <w:color w:val="auto"/>
                        <w:sz w:val="24"/>
                        <w:highlight w:val="none"/>
                      </w:rPr>
                      <m:t>P</m:t>
                    </m:r>
                    <m:r>
                      <m:rPr>
                        <m:nor/>
                        <m:sty m:val="p"/>
                      </m:rPr>
                      <w:rPr>
                        <w:rFonts w:hint="default" w:ascii="Times New Roman" w:hAnsi="Times New Roman" w:cs="Times New Roman"/>
                        <w:b w:val="0"/>
                        <w:i w:val="0"/>
                        <w:color w:val="auto"/>
                        <w:sz w:val="24"/>
                        <w:highlight w:val="none"/>
                      </w:rPr>
                      <m:t>1</m:t>
                    </m:r>
                    <m:ctrlPr>
                      <w:rPr>
                        <w:rFonts w:hint="default" w:ascii="Cambria Math" w:hAnsi="Cambria Math" w:cs="Times New Roman"/>
                        <w:i/>
                        <w:color w:val="auto"/>
                        <w:sz w:val="24"/>
                        <w:highlight w:val="none"/>
                      </w:rPr>
                    </m:ctrlPr>
                  </m:sub>
                </m:sSub>
                <m:r>
                  <m:rPr>
                    <m:nor/>
                    <m:sty m:val="p"/>
                  </m:rPr>
                  <w:rPr>
                    <w:rFonts w:hint="default" w:ascii="Times New Roman" w:hAnsi="Times New Roman" w:cs="Times New Roman"/>
                    <w:b w:val="0"/>
                    <w:i w:val="0"/>
                    <w:color w:val="auto"/>
                    <w:sz w:val="24"/>
                    <w:highlight w:val="none"/>
                  </w:rPr>
                  <m:t>(</m:t>
                </m:r>
                <m:r>
                  <m:rPr>
                    <m:nor/>
                  </m:rPr>
                  <w:rPr>
                    <w:rFonts w:hint="default" w:ascii="Times New Roman" w:hAnsi="Times New Roman" w:cs="Times New Roman"/>
                    <w:i/>
                    <w:color w:val="auto"/>
                    <w:sz w:val="24"/>
                    <w:highlight w:val="none"/>
                  </w:rPr>
                  <m:t>T</m:t>
                </m:r>
                <m:r>
                  <m:rPr>
                    <m:nor/>
                    <m:sty m:val="p"/>
                  </m:rPr>
                  <w:rPr>
                    <w:rFonts w:hint="default" w:ascii="Times New Roman" w:hAnsi="Times New Roman" w:cs="Times New Roman"/>
                    <w:b w:val="0"/>
                    <w:i w:val="0"/>
                    <w:color w:val="auto"/>
                    <w:sz w:val="24"/>
                    <w:highlight w:val="none"/>
                  </w:rPr>
                  <m:t>)=10lg</m:t>
                </m:r>
                <m:nary>
                  <m:naryPr>
                    <m:chr m:val="∑"/>
                    <m:limLoc m:val="undOvr"/>
                    <m:ctrlPr>
                      <w:rPr>
                        <w:rFonts w:hint="default" w:ascii="Cambria Math" w:hAnsi="Cambria Math" w:cs="Times New Roman"/>
                        <w:color w:val="auto"/>
                        <w:sz w:val="24"/>
                        <w:highlight w:val="none"/>
                      </w:rPr>
                    </m:ctrlPr>
                  </m:naryPr>
                  <m:sub>
                    <m:r>
                      <m:rPr>
                        <m:nor/>
                      </m:rPr>
                      <w:rPr>
                        <w:rFonts w:hint="default" w:ascii="Times New Roman" w:hAnsi="Times New Roman" w:cs="Times New Roman"/>
                        <w:i/>
                        <w:color w:val="auto"/>
                        <w:sz w:val="24"/>
                        <w:highlight w:val="none"/>
                      </w:rPr>
                      <m:t>i</m:t>
                    </m:r>
                    <m:r>
                      <m:rPr>
                        <m:nor/>
                        <m:sty m:val="p"/>
                      </m:rPr>
                      <w:rPr>
                        <w:rFonts w:hint="default" w:ascii="Times New Roman" w:hAnsi="Times New Roman" w:cs="Times New Roman"/>
                        <w:b w:val="0"/>
                        <w:i w:val="0"/>
                        <w:color w:val="auto"/>
                        <w:sz w:val="24"/>
                        <w:highlight w:val="none"/>
                      </w:rPr>
                      <m:t>=1</m:t>
                    </m:r>
                    <m:ctrlPr>
                      <w:rPr>
                        <w:rFonts w:hint="default" w:ascii="Cambria Math" w:hAnsi="Cambria Math" w:cs="Times New Roman"/>
                        <w:color w:val="auto"/>
                        <w:sz w:val="24"/>
                        <w:highlight w:val="none"/>
                      </w:rPr>
                    </m:ctrlPr>
                  </m:sub>
                  <m:sup>
                    <m:r>
                      <m:rPr>
                        <m:nor/>
                      </m:rPr>
                      <w:rPr>
                        <w:rFonts w:hint="default" w:ascii="Times New Roman" w:hAnsi="Times New Roman" w:cs="Times New Roman"/>
                        <w:i/>
                        <w:color w:val="auto"/>
                        <w:sz w:val="24"/>
                        <w:highlight w:val="none"/>
                      </w:rPr>
                      <m:t>n</m:t>
                    </m:r>
                    <m:ctrlPr>
                      <w:rPr>
                        <w:rFonts w:hint="default" w:ascii="Cambria Math" w:hAnsi="Cambria Math" w:cs="Times New Roman"/>
                        <w:color w:val="auto"/>
                        <w:sz w:val="24"/>
                        <w:highlight w:val="none"/>
                      </w:rPr>
                    </m:ctrlPr>
                  </m:sup>
                  <m:e>
                    <m:sSup>
                      <m:sSupPr>
                        <m:ctrlPr>
                          <w:rPr>
                            <w:rFonts w:hint="default" w:ascii="Cambria Math" w:hAnsi="Cambria Math" w:cs="Times New Roman"/>
                            <w:i/>
                            <w:color w:val="auto"/>
                            <w:sz w:val="24"/>
                            <w:highlight w:val="none"/>
                          </w:rPr>
                        </m:ctrlPr>
                      </m:sSupPr>
                      <m:e>
                        <m:r>
                          <m:rPr>
                            <m:nor/>
                            <m:sty m:val="p"/>
                          </m:rPr>
                          <w:rPr>
                            <w:rFonts w:hint="default" w:ascii="Times New Roman" w:hAnsi="Times New Roman" w:cs="Times New Roman"/>
                            <w:b w:val="0"/>
                            <w:i w:val="0"/>
                            <w:color w:val="auto"/>
                            <w:sz w:val="24"/>
                            <w:highlight w:val="none"/>
                          </w:rPr>
                          <m:t>10</m:t>
                        </m:r>
                        <m:ctrlPr>
                          <w:rPr>
                            <w:rFonts w:hint="default" w:ascii="Cambria Math" w:hAnsi="Cambria Math" w:cs="Times New Roman"/>
                            <w:i/>
                            <w:color w:val="auto"/>
                            <w:sz w:val="24"/>
                            <w:highlight w:val="none"/>
                          </w:rPr>
                        </m:ctrlPr>
                      </m:e>
                      <m:sup>
                        <m:r>
                          <m:rPr>
                            <m:nor/>
                            <m:sty m:val="p"/>
                          </m:rPr>
                          <w:rPr>
                            <w:rFonts w:hint="default" w:ascii="Times New Roman" w:hAnsi="Times New Roman" w:cs="Times New Roman"/>
                            <w:b w:val="0"/>
                            <w:i w:val="0"/>
                            <w:color w:val="auto"/>
                            <w:sz w:val="24"/>
                            <w:highlight w:val="none"/>
                          </w:rPr>
                          <m:t>0.1</m:t>
                        </m:r>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L</m:t>
                            </m:r>
                            <m:ctrlPr>
                              <w:rPr>
                                <w:rFonts w:hint="default" w:ascii="Cambria Math" w:hAnsi="Cambria Math" w:cs="Times New Roman"/>
                                <w:i/>
                                <w:color w:val="auto"/>
                                <w:sz w:val="24"/>
                                <w:highlight w:val="none"/>
                              </w:rPr>
                            </m:ctrlPr>
                          </m:e>
                          <m:sub>
                            <m:r>
                              <m:rPr>
                                <m:nor/>
                              </m:rPr>
                              <w:rPr>
                                <w:rFonts w:hint="default" w:ascii="Times New Roman" w:hAnsi="Times New Roman" w:cs="Times New Roman"/>
                                <w:i/>
                                <w:color w:val="auto"/>
                                <w:sz w:val="24"/>
                                <w:highlight w:val="none"/>
                              </w:rPr>
                              <m:t>P</m:t>
                            </m:r>
                            <m:r>
                              <m:rPr>
                                <m:nor/>
                                <m:sty m:val="p"/>
                              </m:rPr>
                              <w:rPr>
                                <w:rFonts w:hint="default" w:ascii="Times New Roman" w:hAnsi="Times New Roman" w:cs="Times New Roman"/>
                                <w:b w:val="0"/>
                                <w:i w:val="0"/>
                                <w:color w:val="auto"/>
                                <w:sz w:val="24"/>
                                <w:highlight w:val="none"/>
                              </w:rPr>
                              <m:t>1</m:t>
                            </m:r>
                            <m:r>
                              <m:rPr>
                                <m:nor/>
                              </m:rPr>
                              <w:rPr>
                                <w:rFonts w:hint="default" w:ascii="Times New Roman" w:hAnsi="Times New Roman" w:cs="Times New Roman"/>
                                <w:i/>
                                <w:color w:val="auto"/>
                                <w:sz w:val="24"/>
                                <w:highlight w:val="none"/>
                              </w:rPr>
                              <m:t>j</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sup>
                    </m:sSup>
                    <m:ctrlPr>
                      <w:rPr>
                        <w:rFonts w:hint="default" w:ascii="Cambria Math" w:hAnsi="Cambria Math" w:cs="Times New Roman"/>
                        <w:color w:val="auto"/>
                        <w:sz w:val="24"/>
                        <w:highlight w:val="none"/>
                      </w:rPr>
                    </m:ctrlPr>
                  </m:e>
                </m:nary>
              </m:oMath>
            </m:oMathPara>
          </w:p>
          <w:p w14:paraId="51CAF35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731CFD3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Lp1(T)--靠近围护结构处室内 N个声源叠加A声压级，dB(A)；</w:t>
            </w:r>
          </w:p>
          <w:p w14:paraId="337420E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sz w:val="24"/>
                <w:highlight w:val="none"/>
              </w:rPr>
              <w:t>Lp1j--室内 j声源的A声压级，dB(A)</w:t>
            </w:r>
            <w:r>
              <w:rPr>
                <w:rFonts w:hint="default" w:ascii="Times New Roman" w:hAnsi="Times New Roman" w:cs="Times New Roman"/>
                <w:color w:val="auto"/>
                <w:kern w:val="0"/>
                <w:sz w:val="24"/>
                <w:highlight w:val="none"/>
                <w:lang w:eastAsia="zh-CN"/>
              </w:rPr>
              <w:t>。</w:t>
            </w:r>
          </w:p>
          <w:p w14:paraId="69C04DE7">
            <w:pPr>
              <w:pStyle w:val="12"/>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19 </w:t>
            </w:r>
            <w:r>
              <w:rPr>
                <w:rFonts w:hint="default" w:ascii="Times New Roman" w:hAnsi="Times New Roman" w:cs="Times New Roman"/>
                <w:b/>
                <w:bCs/>
                <w:color w:val="auto"/>
                <w:highlight w:val="none"/>
                <w:lang w:val="en-US" w:eastAsia="zh-CN"/>
              </w:rPr>
              <w:t>项目各生产车间围护结构处噪声贡献值</w:t>
            </w:r>
          </w:p>
          <w:tbl>
            <w:tblPr>
              <w:tblStyle w:val="3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Layout w:type="autofit"/>
              <w:tblCellMar>
                <w:top w:w="0" w:type="dxa"/>
                <w:left w:w="108" w:type="dxa"/>
                <w:bottom w:w="0" w:type="dxa"/>
                <w:right w:w="108" w:type="dxa"/>
              </w:tblCellMar>
            </w:tblPr>
            <w:tblGrid>
              <w:gridCol w:w="1092"/>
              <w:gridCol w:w="565"/>
              <w:gridCol w:w="565"/>
              <w:gridCol w:w="565"/>
              <w:gridCol w:w="565"/>
              <w:gridCol w:w="832"/>
              <w:gridCol w:w="550"/>
              <w:gridCol w:w="595"/>
              <w:gridCol w:w="497"/>
              <w:gridCol w:w="572"/>
              <w:gridCol w:w="633"/>
              <w:gridCol w:w="522"/>
              <w:gridCol w:w="522"/>
              <w:gridCol w:w="522"/>
              <w:gridCol w:w="522"/>
            </w:tblGrid>
            <w:tr w14:paraId="4711DC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00" w:hRule="atLeast"/>
                <w:jc w:val="center"/>
              </w:trPr>
              <w:tc>
                <w:tcPr>
                  <w:tcW w:w="0" w:type="auto"/>
                  <w:vMerge w:val="restart"/>
                  <w:tcBorders>
                    <w:tl2br w:val="nil"/>
                    <w:tr2bl w:val="nil"/>
                  </w:tcBorders>
                  <w:shd w:val="clear" w:color="auto" w:fill="FFFFFF" w:themeFill="background1"/>
                  <w:vAlign w:val="center"/>
                </w:tcPr>
                <w:p w14:paraId="04228B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噪声源</w:t>
                  </w:r>
                </w:p>
              </w:tc>
              <w:tc>
                <w:tcPr>
                  <w:tcW w:w="0" w:type="auto"/>
                  <w:gridSpan w:val="4"/>
                  <w:vMerge w:val="restart"/>
                  <w:tcBorders>
                    <w:tl2br w:val="nil"/>
                    <w:tr2bl w:val="nil"/>
                  </w:tcBorders>
                  <w:shd w:val="clear" w:color="auto" w:fill="FFFFFF" w:themeFill="background1"/>
                  <w:vAlign w:val="center"/>
                </w:tcPr>
                <w:p w14:paraId="15588F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室外及等效室外源源强/dB(A)</w:t>
                  </w:r>
                </w:p>
              </w:tc>
              <w:tc>
                <w:tcPr>
                  <w:tcW w:w="0" w:type="auto"/>
                  <w:vMerge w:val="restart"/>
                  <w:tcBorders>
                    <w:tl2br w:val="nil"/>
                    <w:tr2bl w:val="nil"/>
                  </w:tcBorders>
                  <w:shd w:val="clear" w:color="auto" w:fill="FFFFFF" w:themeFill="background1"/>
                  <w:vAlign w:val="center"/>
                </w:tcPr>
                <w:p w14:paraId="24929B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衰减距离/m</w:t>
                  </w:r>
                </w:p>
              </w:tc>
              <w:tc>
                <w:tcPr>
                  <w:tcW w:w="0" w:type="auto"/>
                  <w:gridSpan w:val="5"/>
                  <w:tcBorders>
                    <w:tl2br w:val="nil"/>
                    <w:tr2bl w:val="nil"/>
                  </w:tcBorders>
                  <w:shd w:val="clear" w:color="auto" w:fill="FFFFFF" w:themeFill="background1"/>
                  <w:vAlign w:val="center"/>
                </w:tcPr>
                <w:p w14:paraId="2C0770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衰减量/dB(A)</w:t>
                  </w:r>
                </w:p>
              </w:tc>
              <w:tc>
                <w:tcPr>
                  <w:tcW w:w="0" w:type="auto"/>
                  <w:gridSpan w:val="4"/>
                  <w:tcBorders>
                    <w:tl2br w:val="nil"/>
                    <w:tr2bl w:val="nil"/>
                  </w:tcBorders>
                  <w:shd w:val="clear" w:color="auto" w:fill="FFFFFF" w:themeFill="background1"/>
                  <w:vAlign w:val="center"/>
                </w:tcPr>
                <w:p w14:paraId="4FE59C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厂界贡献值/dB(A)</w:t>
                  </w:r>
                </w:p>
              </w:tc>
            </w:tr>
            <w:tr w14:paraId="490D54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45" w:hRule="atLeast"/>
                <w:jc w:val="center"/>
              </w:trPr>
              <w:tc>
                <w:tcPr>
                  <w:tcW w:w="0" w:type="auto"/>
                  <w:vMerge w:val="continue"/>
                  <w:tcBorders>
                    <w:tl2br w:val="nil"/>
                    <w:tr2bl w:val="nil"/>
                  </w:tcBorders>
                  <w:shd w:val="clear" w:color="auto" w:fill="FFFFFF" w:themeFill="background1"/>
                  <w:vAlign w:val="center"/>
                </w:tcPr>
                <w:p w14:paraId="05E8CA1E">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gridSpan w:val="4"/>
                  <w:vMerge w:val="continue"/>
                  <w:tcBorders>
                    <w:tl2br w:val="nil"/>
                    <w:tr2bl w:val="nil"/>
                  </w:tcBorders>
                  <w:shd w:val="clear" w:color="auto" w:fill="FFFFFF" w:themeFill="background1"/>
                  <w:vAlign w:val="center"/>
                </w:tcPr>
                <w:p w14:paraId="7D82AF2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200E11F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0C700D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div</w:t>
                  </w:r>
                </w:p>
              </w:tc>
              <w:tc>
                <w:tcPr>
                  <w:tcW w:w="0" w:type="auto"/>
                  <w:tcBorders>
                    <w:tl2br w:val="nil"/>
                    <w:tr2bl w:val="nil"/>
                  </w:tcBorders>
                  <w:shd w:val="clear" w:color="auto" w:fill="FFFFFF" w:themeFill="background1"/>
                  <w:vAlign w:val="center"/>
                </w:tcPr>
                <w:p w14:paraId="1C3832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atm</w:t>
                  </w:r>
                </w:p>
              </w:tc>
              <w:tc>
                <w:tcPr>
                  <w:tcW w:w="0" w:type="auto"/>
                  <w:tcBorders>
                    <w:tl2br w:val="nil"/>
                    <w:tr2bl w:val="nil"/>
                  </w:tcBorders>
                  <w:shd w:val="clear" w:color="auto" w:fill="FFFFFF" w:themeFill="background1"/>
                  <w:vAlign w:val="center"/>
                </w:tcPr>
                <w:p w14:paraId="5873FB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gr</w:t>
                  </w:r>
                </w:p>
              </w:tc>
              <w:tc>
                <w:tcPr>
                  <w:tcW w:w="0" w:type="auto"/>
                  <w:tcBorders>
                    <w:tl2br w:val="nil"/>
                    <w:tr2bl w:val="nil"/>
                  </w:tcBorders>
                  <w:shd w:val="clear" w:color="auto" w:fill="FFFFFF" w:themeFill="background1"/>
                  <w:vAlign w:val="center"/>
                </w:tcPr>
                <w:p w14:paraId="32E5CA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bar</w:t>
                  </w:r>
                </w:p>
              </w:tc>
              <w:tc>
                <w:tcPr>
                  <w:tcW w:w="0" w:type="auto"/>
                  <w:tcBorders>
                    <w:tl2br w:val="nil"/>
                    <w:tr2bl w:val="nil"/>
                  </w:tcBorders>
                  <w:shd w:val="clear" w:color="auto" w:fill="FFFFFF" w:themeFill="background1"/>
                  <w:vAlign w:val="center"/>
                </w:tcPr>
                <w:p w14:paraId="568698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misc</w:t>
                  </w:r>
                </w:p>
              </w:tc>
              <w:tc>
                <w:tcPr>
                  <w:tcW w:w="0" w:type="auto"/>
                  <w:tcBorders>
                    <w:tl2br w:val="nil"/>
                    <w:tr2bl w:val="nil"/>
                  </w:tcBorders>
                  <w:shd w:val="clear" w:color="auto" w:fill="FFFFFF" w:themeFill="background1"/>
                  <w:vAlign w:val="center"/>
                </w:tcPr>
                <w:p w14:paraId="59ECD4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0" w:type="auto"/>
                  <w:tcBorders>
                    <w:tl2br w:val="nil"/>
                    <w:tr2bl w:val="nil"/>
                  </w:tcBorders>
                  <w:shd w:val="clear" w:color="auto" w:fill="FFFFFF" w:themeFill="background1"/>
                  <w:vAlign w:val="center"/>
                </w:tcPr>
                <w:p w14:paraId="7EAD28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0" w:type="auto"/>
                  <w:tcBorders>
                    <w:tl2br w:val="nil"/>
                    <w:tr2bl w:val="nil"/>
                  </w:tcBorders>
                  <w:shd w:val="clear" w:color="auto" w:fill="FFFFFF" w:themeFill="background1"/>
                  <w:vAlign w:val="center"/>
                </w:tcPr>
                <w:p w14:paraId="326774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0" w:type="auto"/>
                  <w:tcBorders>
                    <w:tl2br w:val="nil"/>
                    <w:tr2bl w:val="nil"/>
                  </w:tcBorders>
                  <w:shd w:val="clear" w:color="auto" w:fill="FFFFFF" w:themeFill="background1"/>
                  <w:vAlign w:val="center"/>
                </w:tcPr>
                <w:p w14:paraId="23647F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r>
            <w:tr w14:paraId="39DC8C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0" w:type="auto"/>
                  <w:tcBorders>
                    <w:tl2br w:val="nil"/>
                    <w:tr2bl w:val="nil"/>
                  </w:tcBorders>
                  <w:shd w:val="clear" w:color="auto" w:fill="FFFFFF" w:themeFill="background1"/>
                  <w:vAlign w:val="center"/>
                </w:tcPr>
                <w:p w14:paraId="04C546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软瓷生产线</w:t>
                  </w:r>
                </w:p>
              </w:tc>
              <w:tc>
                <w:tcPr>
                  <w:tcW w:w="0" w:type="auto"/>
                  <w:tcBorders>
                    <w:tl2br w:val="nil"/>
                    <w:tr2bl w:val="nil"/>
                  </w:tcBorders>
                  <w:shd w:val="clear" w:color="auto" w:fill="FFFFFF" w:themeFill="background1"/>
                  <w:vAlign w:val="center"/>
                </w:tcPr>
                <w:p w14:paraId="43527C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l2br w:val="nil"/>
                    <w:tr2bl w:val="nil"/>
                  </w:tcBorders>
                  <w:shd w:val="clear" w:color="auto" w:fill="FFFFFF" w:themeFill="background1"/>
                  <w:vAlign w:val="center"/>
                </w:tcPr>
                <w:p w14:paraId="4D4B35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l2br w:val="nil"/>
                    <w:tr2bl w:val="nil"/>
                  </w:tcBorders>
                  <w:shd w:val="clear" w:color="auto" w:fill="FFFFFF" w:themeFill="background1"/>
                  <w:vAlign w:val="center"/>
                </w:tcPr>
                <w:p w14:paraId="6524CE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l2br w:val="nil"/>
                    <w:tr2bl w:val="nil"/>
                  </w:tcBorders>
                  <w:shd w:val="clear" w:color="auto" w:fill="FFFFFF" w:themeFill="background1"/>
                  <w:vAlign w:val="center"/>
                </w:tcPr>
                <w:p w14:paraId="366C09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0" w:type="auto"/>
                  <w:tcBorders>
                    <w:tl2br w:val="nil"/>
                    <w:tr2bl w:val="nil"/>
                  </w:tcBorders>
                  <w:shd w:val="clear" w:color="auto" w:fill="FFFFFF" w:themeFill="background1"/>
                  <w:vAlign w:val="center"/>
                </w:tcPr>
                <w:p w14:paraId="736584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61FABE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2FC4A1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726B6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D6C80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081A5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AD58C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l2br w:val="nil"/>
                    <w:tr2bl w:val="nil"/>
                  </w:tcBorders>
                  <w:shd w:val="clear" w:color="auto" w:fill="FFFFFF" w:themeFill="background1"/>
                  <w:vAlign w:val="center"/>
                </w:tcPr>
                <w:p w14:paraId="7FDD9D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l2br w:val="nil"/>
                    <w:tr2bl w:val="nil"/>
                  </w:tcBorders>
                  <w:shd w:val="clear" w:color="auto" w:fill="FFFFFF" w:themeFill="background1"/>
                  <w:vAlign w:val="center"/>
                </w:tcPr>
                <w:p w14:paraId="29BF08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l2br w:val="nil"/>
                    <w:tr2bl w:val="nil"/>
                  </w:tcBorders>
                  <w:shd w:val="clear" w:color="auto" w:fill="FFFFFF" w:themeFill="background1"/>
                  <w:vAlign w:val="center"/>
                </w:tcPr>
                <w:p w14:paraId="2B6618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r>
            <w:tr w14:paraId="37476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00" w:hRule="atLeast"/>
                <w:jc w:val="center"/>
              </w:trPr>
              <w:tc>
                <w:tcPr>
                  <w:tcW w:w="0" w:type="auto"/>
                  <w:tcBorders>
                    <w:tl2br w:val="nil"/>
                    <w:tr2bl w:val="nil"/>
                  </w:tcBorders>
                  <w:shd w:val="clear" w:color="auto" w:fill="FFFFFF" w:themeFill="background1"/>
                  <w:vAlign w:val="center"/>
                </w:tcPr>
                <w:p w14:paraId="3F9820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搅拌机</w:t>
                  </w:r>
                </w:p>
              </w:tc>
              <w:tc>
                <w:tcPr>
                  <w:tcW w:w="0" w:type="auto"/>
                  <w:tcBorders>
                    <w:tl2br w:val="nil"/>
                    <w:tr2bl w:val="nil"/>
                  </w:tcBorders>
                  <w:shd w:val="clear" w:color="auto" w:fill="FFFFFF" w:themeFill="background1"/>
                  <w:vAlign w:val="center"/>
                </w:tcPr>
                <w:p w14:paraId="1B4FE1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0" w:type="auto"/>
                  <w:tcBorders>
                    <w:tl2br w:val="nil"/>
                    <w:tr2bl w:val="nil"/>
                  </w:tcBorders>
                  <w:shd w:val="clear" w:color="auto" w:fill="FFFFFF" w:themeFill="background1"/>
                  <w:vAlign w:val="center"/>
                </w:tcPr>
                <w:p w14:paraId="5DFBCB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0" w:type="auto"/>
                  <w:tcBorders>
                    <w:tl2br w:val="nil"/>
                    <w:tr2bl w:val="nil"/>
                  </w:tcBorders>
                  <w:shd w:val="clear" w:color="auto" w:fill="FFFFFF" w:themeFill="background1"/>
                  <w:vAlign w:val="center"/>
                </w:tcPr>
                <w:p w14:paraId="12E5F2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0" w:type="auto"/>
                  <w:tcBorders>
                    <w:tl2br w:val="nil"/>
                    <w:tr2bl w:val="nil"/>
                  </w:tcBorders>
                  <w:shd w:val="clear" w:color="auto" w:fill="FFFFFF" w:themeFill="background1"/>
                  <w:vAlign w:val="center"/>
                </w:tcPr>
                <w:p w14:paraId="505D89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0" w:type="auto"/>
                  <w:tcBorders>
                    <w:tl2br w:val="nil"/>
                    <w:tr2bl w:val="nil"/>
                  </w:tcBorders>
                  <w:shd w:val="clear" w:color="auto" w:fill="FFFFFF" w:themeFill="background1"/>
                  <w:vAlign w:val="center"/>
                </w:tcPr>
                <w:p w14:paraId="672EE3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79118F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6D85C0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2323C8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3748E5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7C8B8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A1EF0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0" w:type="auto"/>
                  <w:tcBorders>
                    <w:tl2br w:val="nil"/>
                    <w:tr2bl w:val="nil"/>
                  </w:tcBorders>
                  <w:shd w:val="clear" w:color="auto" w:fill="FFFFFF" w:themeFill="background1"/>
                  <w:vAlign w:val="center"/>
                </w:tcPr>
                <w:p w14:paraId="7FCAB2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0" w:type="auto"/>
                  <w:tcBorders>
                    <w:tl2br w:val="nil"/>
                    <w:tr2bl w:val="nil"/>
                  </w:tcBorders>
                  <w:shd w:val="clear" w:color="auto" w:fill="FFFFFF" w:themeFill="background1"/>
                  <w:vAlign w:val="center"/>
                </w:tcPr>
                <w:p w14:paraId="2705FB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0" w:type="auto"/>
                  <w:tcBorders>
                    <w:tl2br w:val="nil"/>
                    <w:tr2bl w:val="nil"/>
                  </w:tcBorders>
                  <w:shd w:val="clear" w:color="auto" w:fill="FFFFFF" w:themeFill="background1"/>
                  <w:vAlign w:val="center"/>
                </w:tcPr>
                <w:p w14:paraId="5856D6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r>
            <w:tr w14:paraId="7CC3F8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00" w:hRule="atLeast"/>
                <w:jc w:val="center"/>
              </w:trPr>
              <w:tc>
                <w:tcPr>
                  <w:tcW w:w="0" w:type="auto"/>
                  <w:tcBorders>
                    <w:tl2br w:val="nil"/>
                    <w:tr2bl w:val="nil"/>
                  </w:tcBorders>
                  <w:shd w:val="clear" w:color="auto" w:fill="FFFFFF" w:themeFill="background1"/>
                  <w:vAlign w:val="center"/>
                </w:tcPr>
                <w:p w14:paraId="7864D9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切割机</w:t>
                  </w:r>
                </w:p>
              </w:tc>
              <w:tc>
                <w:tcPr>
                  <w:tcW w:w="0" w:type="auto"/>
                  <w:tcBorders>
                    <w:tl2br w:val="nil"/>
                    <w:tr2bl w:val="nil"/>
                  </w:tcBorders>
                  <w:shd w:val="clear" w:color="auto" w:fill="FFFFFF" w:themeFill="background1"/>
                  <w:vAlign w:val="center"/>
                </w:tcPr>
                <w:p w14:paraId="62A457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0" w:type="auto"/>
                  <w:tcBorders>
                    <w:tl2br w:val="nil"/>
                    <w:tr2bl w:val="nil"/>
                  </w:tcBorders>
                  <w:shd w:val="clear" w:color="auto" w:fill="FFFFFF" w:themeFill="background1"/>
                  <w:vAlign w:val="center"/>
                </w:tcPr>
                <w:p w14:paraId="5611A4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l2br w:val="nil"/>
                    <w:tr2bl w:val="nil"/>
                  </w:tcBorders>
                  <w:shd w:val="clear" w:color="auto" w:fill="FFFFFF" w:themeFill="background1"/>
                  <w:vAlign w:val="center"/>
                </w:tcPr>
                <w:p w14:paraId="4A8E58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0" w:type="auto"/>
                  <w:tcBorders>
                    <w:tl2br w:val="nil"/>
                    <w:tr2bl w:val="nil"/>
                  </w:tcBorders>
                  <w:shd w:val="clear" w:color="auto" w:fill="FFFFFF" w:themeFill="background1"/>
                  <w:vAlign w:val="center"/>
                </w:tcPr>
                <w:p w14:paraId="62A054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0" w:type="auto"/>
                  <w:tcBorders>
                    <w:tl2br w:val="nil"/>
                    <w:tr2bl w:val="nil"/>
                  </w:tcBorders>
                  <w:shd w:val="clear" w:color="auto" w:fill="FFFFFF" w:themeFill="background1"/>
                  <w:vAlign w:val="center"/>
                </w:tcPr>
                <w:p w14:paraId="56278E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085058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2C9D69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537F2B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294D34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9E507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22B5FC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0" w:type="auto"/>
                  <w:tcBorders>
                    <w:tl2br w:val="nil"/>
                    <w:tr2bl w:val="nil"/>
                  </w:tcBorders>
                  <w:shd w:val="clear" w:color="auto" w:fill="FFFFFF" w:themeFill="background1"/>
                  <w:vAlign w:val="center"/>
                </w:tcPr>
                <w:p w14:paraId="5F65DB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l2br w:val="nil"/>
                    <w:tr2bl w:val="nil"/>
                  </w:tcBorders>
                  <w:shd w:val="clear" w:color="auto" w:fill="FFFFFF" w:themeFill="background1"/>
                  <w:vAlign w:val="center"/>
                </w:tcPr>
                <w:p w14:paraId="35F769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0" w:type="auto"/>
                  <w:tcBorders>
                    <w:tl2br w:val="nil"/>
                    <w:tr2bl w:val="nil"/>
                  </w:tcBorders>
                  <w:shd w:val="clear" w:color="auto" w:fill="FFFFFF" w:themeFill="background1"/>
                  <w:vAlign w:val="center"/>
                </w:tcPr>
                <w:p w14:paraId="109078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r>
            <w:tr w14:paraId="383249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00" w:hRule="atLeast"/>
                <w:jc w:val="center"/>
              </w:trPr>
              <w:tc>
                <w:tcPr>
                  <w:tcW w:w="0" w:type="auto"/>
                  <w:tcBorders>
                    <w:tl2br w:val="nil"/>
                    <w:tr2bl w:val="nil"/>
                  </w:tcBorders>
                  <w:shd w:val="clear" w:color="auto" w:fill="FFFFFF" w:themeFill="background1"/>
                  <w:vAlign w:val="center"/>
                </w:tcPr>
                <w:p w14:paraId="35C262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喷漆机</w:t>
                  </w:r>
                </w:p>
              </w:tc>
              <w:tc>
                <w:tcPr>
                  <w:tcW w:w="0" w:type="auto"/>
                  <w:tcBorders>
                    <w:tl2br w:val="nil"/>
                    <w:tr2bl w:val="nil"/>
                  </w:tcBorders>
                  <w:shd w:val="clear" w:color="auto" w:fill="FFFFFF" w:themeFill="background1"/>
                  <w:vAlign w:val="center"/>
                </w:tcPr>
                <w:p w14:paraId="232B15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0" w:type="auto"/>
                  <w:tcBorders>
                    <w:tl2br w:val="nil"/>
                    <w:tr2bl w:val="nil"/>
                  </w:tcBorders>
                  <w:shd w:val="clear" w:color="auto" w:fill="FFFFFF" w:themeFill="background1"/>
                  <w:vAlign w:val="center"/>
                </w:tcPr>
                <w:p w14:paraId="1C7884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0" w:type="auto"/>
                  <w:tcBorders>
                    <w:tl2br w:val="nil"/>
                    <w:tr2bl w:val="nil"/>
                  </w:tcBorders>
                  <w:shd w:val="clear" w:color="auto" w:fill="FFFFFF" w:themeFill="background1"/>
                  <w:vAlign w:val="center"/>
                </w:tcPr>
                <w:p w14:paraId="063F9C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0" w:type="auto"/>
                  <w:tcBorders>
                    <w:tl2br w:val="nil"/>
                    <w:tr2bl w:val="nil"/>
                  </w:tcBorders>
                  <w:shd w:val="clear" w:color="auto" w:fill="FFFFFF" w:themeFill="background1"/>
                  <w:vAlign w:val="center"/>
                </w:tcPr>
                <w:p w14:paraId="11F41C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l2br w:val="nil"/>
                    <w:tr2bl w:val="nil"/>
                  </w:tcBorders>
                  <w:shd w:val="clear" w:color="auto" w:fill="FFFFFF" w:themeFill="background1"/>
                  <w:vAlign w:val="center"/>
                </w:tcPr>
                <w:p w14:paraId="05F36B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4420C4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2D5454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68B0F5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5DF130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04A53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1F23B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0" w:type="auto"/>
                  <w:tcBorders>
                    <w:tl2br w:val="nil"/>
                    <w:tr2bl w:val="nil"/>
                  </w:tcBorders>
                  <w:shd w:val="clear" w:color="auto" w:fill="FFFFFF" w:themeFill="background1"/>
                  <w:vAlign w:val="center"/>
                </w:tcPr>
                <w:p w14:paraId="7C8289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0" w:type="auto"/>
                  <w:tcBorders>
                    <w:tl2br w:val="nil"/>
                    <w:tr2bl w:val="nil"/>
                  </w:tcBorders>
                  <w:shd w:val="clear" w:color="auto" w:fill="FFFFFF" w:themeFill="background1"/>
                  <w:vAlign w:val="center"/>
                </w:tcPr>
                <w:p w14:paraId="685252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0" w:type="auto"/>
                  <w:tcBorders>
                    <w:tl2br w:val="nil"/>
                    <w:tr2bl w:val="nil"/>
                  </w:tcBorders>
                  <w:shd w:val="clear" w:color="auto" w:fill="FFFFFF" w:themeFill="background1"/>
                  <w:vAlign w:val="center"/>
                </w:tcPr>
                <w:p w14:paraId="513032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r>
            <w:tr w14:paraId="1736B9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0" w:type="auto"/>
                  <w:tcBorders>
                    <w:tl2br w:val="nil"/>
                    <w:tr2bl w:val="nil"/>
                  </w:tcBorders>
                  <w:shd w:val="clear" w:color="auto" w:fill="FFFFFF" w:themeFill="background1"/>
                  <w:vAlign w:val="center"/>
                </w:tcPr>
                <w:p w14:paraId="2EE53E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空压机组</w:t>
                  </w:r>
                </w:p>
              </w:tc>
              <w:tc>
                <w:tcPr>
                  <w:tcW w:w="0" w:type="auto"/>
                  <w:tcBorders>
                    <w:tl2br w:val="nil"/>
                    <w:tr2bl w:val="nil"/>
                  </w:tcBorders>
                  <w:shd w:val="clear" w:color="auto" w:fill="FFFFFF" w:themeFill="background1"/>
                  <w:vAlign w:val="center"/>
                </w:tcPr>
                <w:p w14:paraId="302D80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0" w:type="auto"/>
                  <w:tcBorders>
                    <w:tl2br w:val="nil"/>
                    <w:tr2bl w:val="nil"/>
                  </w:tcBorders>
                  <w:shd w:val="clear" w:color="auto" w:fill="FFFFFF" w:themeFill="background1"/>
                  <w:vAlign w:val="center"/>
                </w:tcPr>
                <w:p w14:paraId="7DA473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0" w:type="auto"/>
                  <w:tcBorders>
                    <w:tl2br w:val="nil"/>
                    <w:tr2bl w:val="nil"/>
                  </w:tcBorders>
                  <w:shd w:val="clear" w:color="auto" w:fill="FFFFFF" w:themeFill="background1"/>
                  <w:vAlign w:val="center"/>
                </w:tcPr>
                <w:p w14:paraId="7FCA79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0" w:type="auto"/>
                  <w:tcBorders>
                    <w:tl2br w:val="nil"/>
                    <w:tr2bl w:val="nil"/>
                  </w:tcBorders>
                  <w:shd w:val="clear" w:color="auto" w:fill="FFFFFF" w:themeFill="background1"/>
                  <w:vAlign w:val="center"/>
                </w:tcPr>
                <w:p w14:paraId="09F323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l2br w:val="nil"/>
                    <w:tr2bl w:val="nil"/>
                  </w:tcBorders>
                  <w:shd w:val="clear" w:color="auto" w:fill="FFFFFF" w:themeFill="background1"/>
                  <w:vAlign w:val="center"/>
                </w:tcPr>
                <w:p w14:paraId="219FAA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741F61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563BF8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220470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6BD23E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D8AD4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C2C47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0" w:type="auto"/>
                  <w:tcBorders>
                    <w:tl2br w:val="nil"/>
                    <w:tr2bl w:val="nil"/>
                  </w:tcBorders>
                  <w:shd w:val="clear" w:color="auto" w:fill="FFFFFF" w:themeFill="background1"/>
                  <w:vAlign w:val="center"/>
                </w:tcPr>
                <w:p w14:paraId="359F31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0" w:type="auto"/>
                  <w:tcBorders>
                    <w:tl2br w:val="nil"/>
                    <w:tr2bl w:val="nil"/>
                  </w:tcBorders>
                  <w:shd w:val="clear" w:color="auto" w:fill="FFFFFF" w:themeFill="background1"/>
                  <w:vAlign w:val="center"/>
                </w:tcPr>
                <w:p w14:paraId="77226A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0" w:type="auto"/>
                  <w:tcBorders>
                    <w:tl2br w:val="nil"/>
                    <w:tr2bl w:val="nil"/>
                  </w:tcBorders>
                  <w:shd w:val="clear" w:color="auto" w:fill="FFFFFF" w:themeFill="background1"/>
                  <w:vAlign w:val="center"/>
                </w:tcPr>
                <w:p w14:paraId="126A32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r>
            <w:tr w14:paraId="4822AE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270" w:hRule="atLeast"/>
                <w:jc w:val="center"/>
              </w:trPr>
              <w:tc>
                <w:tcPr>
                  <w:tcW w:w="0" w:type="auto"/>
                  <w:tcBorders>
                    <w:tl2br w:val="nil"/>
                    <w:tr2bl w:val="nil"/>
                  </w:tcBorders>
                  <w:shd w:val="clear" w:color="auto" w:fill="FFFFFF" w:themeFill="background1"/>
                  <w:vAlign w:val="center"/>
                </w:tcPr>
                <w:p w14:paraId="2B201B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燃烧机</w:t>
                  </w:r>
                </w:p>
              </w:tc>
              <w:tc>
                <w:tcPr>
                  <w:tcW w:w="0" w:type="auto"/>
                  <w:tcBorders>
                    <w:tl2br w:val="nil"/>
                    <w:tr2bl w:val="nil"/>
                  </w:tcBorders>
                  <w:shd w:val="clear" w:color="auto" w:fill="FFFFFF" w:themeFill="background1"/>
                  <w:vAlign w:val="center"/>
                </w:tcPr>
                <w:p w14:paraId="564266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l2br w:val="nil"/>
                    <w:tr2bl w:val="nil"/>
                  </w:tcBorders>
                  <w:shd w:val="clear" w:color="auto" w:fill="FFFFFF" w:themeFill="background1"/>
                  <w:vAlign w:val="center"/>
                </w:tcPr>
                <w:p w14:paraId="5A77E1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0" w:type="auto"/>
                  <w:tcBorders>
                    <w:tl2br w:val="nil"/>
                    <w:tr2bl w:val="nil"/>
                  </w:tcBorders>
                  <w:shd w:val="clear" w:color="auto" w:fill="FFFFFF" w:themeFill="background1"/>
                  <w:vAlign w:val="center"/>
                </w:tcPr>
                <w:p w14:paraId="484B75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0" w:type="auto"/>
                  <w:tcBorders>
                    <w:tl2br w:val="nil"/>
                    <w:tr2bl w:val="nil"/>
                  </w:tcBorders>
                  <w:shd w:val="clear" w:color="auto" w:fill="FFFFFF" w:themeFill="background1"/>
                  <w:vAlign w:val="center"/>
                </w:tcPr>
                <w:p w14:paraId="4EA80C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0" w:type="auto"/>
                  <w:tcBorders>
                    <w:tl2br w:val="nil"/>
                    <w:tr2bl w:val="nil"/>
                  </w:tcBorders>
                  <w:shd w:val="clear" w:color="auto" w:fill="FFFFFF" w:themeFill="background1"/>
                  <w:vAlign w:val="center"/>
                </w:tcPr>
                <w:p w14:paraId="07958E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22A0AE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168C51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43CBF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4E450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902B8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3D346B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l2br w:val="nil"/>
                    <w:tr2bl w:val="nil"/>
                  </w:tcBorders>
                  <w:shd w:val="clear" w:color="auto" w:fill="FFFFFF" w:themeFill="background1"/>
                  <w:vAlign w:val="center"/>
                </w:tcPr>
                <w:p w14:paraId="5BA49B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0" w:type="auto"/>
                  <w:tcBorders>
                    <w:tl2br w:val="nil"/>
                    <w:tr2bl w:val="nil"/>
                  </w:tcBorders>
                  <w:shd w:val="clear" w:color="auto" w:fill="FFFFFF" w:themeFill="background1"/>
                  <w:vAlign w:val="center"/>
                </w:tcPr>
                <w:p w14:paraId="69D82C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0" w:type="auto"/>
                  <w:tcBorders>
                    <w:tl2br w:val="nil"/>
                    <w:tr2bl w:val="nil"/>
                  </w:tcBorders>
                  <w:shd w:val="clear" w:color="auto" w:fill="FFFFFF" w:themeFill="background1"/>
                  <w:vAlign w:val="center"/>
                </w:tcPr>
                <w:p w14:paraId="7FD9E0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r>
            <w:tr w14:paraId="5EC897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270" w:hRule="atLeast"/>
                <w:jc w:val="center"/>
              </w:trPr>
              <w:tc>
                <w:tcPr>
                  <w:tcW w:w="0" w:type="auto"/>
                  <w:tcBorders>
                    <w:tl2br w:val="nil"/>
                    <w:tr2bl w:val="nil"/>
                  </w:tcBorders>
                  <w:shd w:val="clear" w:color="auto" w:fill="FFFFFF" w:themeFill="background1"/>
                  <w:vAlign w:val="center"/>
                </w:tcPr>
                <w:p w14:paraId="74A5DE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水帘柜</w:t>
                  </w:r>
                </w:p>
              </w:tc>
              <w:tc>
                <w:tcPr>
                  <w:tcW w:w="0" w:type="auto"/>
                  <w:tcBorders>
                    <w:tl2br w:val="nil"/>
                    <w:tr2bl w:val="nil"/>
                  </w:tcBorders>
                  <w:shd w:val="clear" w:color="auto" w:fill="FFFFFF" w:themeFill="background1"/>
                  <w:vAlign w:val="center"/>
                </w:tcPr>
                <w:p w14:paraId="038DD1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0" w:type="auto"/>
                  <w:tcBorders>
                    <w:tl2br w:val="nil"/>
                    <w:tr2bl w:val="nil"/>
                  </w:tcBorders>
                  <w:shd w:val="clear" w:color="auto" w:fill="FFFFFF" w:themeFill="background1"/>
                  <w:vAlign w:val="center"/>
                </w:tcPr>
                <w:p w14:paraId="756DF9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0" w:type="auto"/>
                  <w:tcBorders>
                    <w:tl2br w:val="nil"/>
                    <w:tr2bl w:val="nil"/>
                  </w:tcBorders>
                  <w:shd w:val="clear" w:color="auto" w:fill="FFFFFF" w:themeFill="background1"/>
                  <w:vAlign w:val="center"/>
                </w:tcPr>
                <w:p w14:paraId="48D78C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l2br w:val="nil"/>
                    <w:tr2bl w:val="nil"/>
                  </w:tcBorders>
                  <w:shd w:val="clear" w:color="auto" w:fill="FFFFFF" w:themeFill="background1"/>
                  <w:vAlign w:val="center"/>
                </w:tcPr>
                <w:p w14:paraId="64F16A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0" w:type="auto"/>
                  <w:tcBorders>
                    <w:tl2br w:val="nil"/>
                    <w:tr2bl w:val="nil"/>
                  </w:tcBorders>
                  <w:shd w:val="clear" w:color="auto" w:fill="FFFFFF" w:themeFill="background1"/>
                  <w:vAlign w:val="center"/>
                </w:tcPr>
                <w:p w14:paraId="612CF3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l2br w:val="nil"/>
                    <w:tr2bl w:val="nil"/>
                  </w:tcBorders>
                  <w:shd w:val="clear" w:color="auto" w:fill="FFFFFF" w:themeFill="background1"/>
                  <w:vAlign w:val="center"/>
                </w:tcPr>
                <w:p w14:paraId="4A1AEE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l2br w:val="nil"/>
                    <w:tr2bl w:val="nil"/>
                  </w:tcBorders>
                  <w:shd w:val="clear" w:color="auto" w:fill="FFFFFF" w:themeFill="background1"/>
                  <w:vAlign w:val="center"/>
                </w:tcPr>
                <w:p w14:paraId="13BC22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25BBA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EA47B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9417D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3FBD2A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0" w:type="auto"/>
                  <w:tcBorders>
                    <w:tl2br w:val="nil"/>
                    <w:tr2bl w:val="nil"/>
                  </w:tcBorders>
                  <w:shd w:val="clear" w:color="auto" w:fill="FFFFFF" w:themeFill="background1"/>
                  <w:vAlign w:val="center"/>
                </w:tcPr>
                <w:p w14:paraId="7603B0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0" w:type="auto"/>
                  <w:tcBorders>
                    <w:tl2br w:val="nil"/>
                    <w:tr2bl w:val="nil"/>
                  </w:tcBorders>
                  <w:shd w:val="clear" w:color="auto" w:fill="FFFFFF" w:themeFill="background1"/>
                  <w:vAlign w:val="center"/>
                </w:tcPr>
                <w:p w14:paraId="3951A3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l2br w:val="nil"/>
                    <w:tr2bl w:val="nil"/>
                  </w:tcBorders>
                  <w:shd w:val="clear" w:color="auto" w:fill="FFFFFF" w:themeFill="background1"/>
                  <w:vAlign w:val="center"/>
                </w:tcPr>
                <w:p w14:paraId="47A216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r>
            <w:tr w14:paraId="30F8A8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510" w:hRule="atLeast"/>
                <w:jc w:val="center"/>
              </w:trPr>
              <w:tc>
                <w:tcPr>
                  <w:tcW w:w="0" w:type="auto"/>
                  <w:tcBorders>
                    <w:tl2br w:val="nil"/>
                    <w:tr2bl w:val="nil"/>
                  </w:tcBorders>
                  <w:shd w:val="clear" w:color="auto" w:fill="FFFFFF" w:themeFill="background1"/>
                  <w:vAlign w:val="center"/>
                </w:tcPr>
                <w:p w14:paraId="070A29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p>
              </w:tc>
              <w:tc>
                <w:tcPr>
                  <w:tcW w:w="0" w:type="auto"/>
                  <w:tcBorders>
                    <w:tl2br w:val="nil"/>
                    <w:tr2bl w:val="nil"/>
                  </w:tcBorders>
                  <w:shd w:val="clear" w:color="auto" w:fill="FFFFFF" w:themeFill="background1"/>
                  <w:vAlign w:val="center"/>
                </w:tcPr>
                <w:p w14:paraId="3DE7EF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tcBorders>
                    <w:tl2br w:val="nil"/>
                    <w:tr2bl w:val="nil"/>
                  </w:tcBorders>
                  <w:shd w:val="clear" w:color="auto" w:fill="FFFFFF" w:themeFill="background1"/>
                  <w:vAlign w:val="center"/>
                </w:tcPr>
                <w:p w14:paraId="7320F0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tcBorders>
                    <w:tl2br w:val="nil"/>
                    <w:tr2bl w:val="nil"/>
                  </w:tcBorders>
                  <w:shd w:val="clear" w:color="auto" w:fill="FFFFFF" w:themeFill="background1"/>
                  <w:vAlign w:val="center"/>
                </w:tcPr>
                <w:p w14:paraId="6327CC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tcBorders>
                    <w:tl2br w:val="nil"/>
                    <w:tr2bl w:val="nil"/>
                  </w:tcBorders>
                  <w:shd w:val="clear" w:color="auto" w:fill="FFFFFF" w:themeFill="background1"/>
                  <w:vAlign w:val="center"/>
                </w:tcPr>
                <w:p w14:paraId="7800AA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tcBorders>
                    <w:tl2br w:val="nil"/>
                    <w:tr2bl w:val="nil"/>
                  </w:tcBorders>
                  <w:shd w:val="clear" w:color="auto" w:fill="FFFFFF" w:themeFill="background1"/>
                  <w:vAlign w:val="center"/>
                </w:tcPr>
                <w:p w14:paraId="0843F9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tcBorders>
                    <w:tl2br w:val="nil"/>
                    <w:tr2bl w:val="nil"/>
                  </w:tcBorders>
                  <w:shd w:val="clear" w:color="auto" w:fill="FFFFFF" w:themeFill="background1"/>
                  <w:vAlign w:val="center"/>
                </w:tcPr>
                <w:p w14:paraId="295848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0" w:type="auto"/>
                  <w:tcBorders>
                    <w:tl2br w:val="nil"/>
                    <w:tr2bl w:val="nil"/>
                  </w:tcBorders>
                  <w:shd w:val="clear" w:color="auto" w:fill="FFFFFF" w:themeFill="background1"/>
                  <w:vAlign w:val="center"/>
                </w:tcPr>
                <w:p w14:paraId="06F15D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DC34E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6C7E45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56FEB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F41D9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0" w:type="auto"/>
                  <w:tcBorders>
                    <w:tl2br w:val="nil"/>
                    <w:tr2bl w:val="nil"/>
                  </w:tcBorders>
                  <w:shd w:val="clear" w:color="auto" w:fill="FFFFFF" w:themeFill="background1"/>
                  <w:vAlign w:val="center"/>
                </w:tcPr>
                <w:p w14:paraId="5459C5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0" w:type="auto"/>
                  <w:tcBorders>
                    <w:tl2br w:val="nil"/>
                    <w:tr2bl w:val="nil"/>
                  </w:tcBorders>
                  <w:shd w:val="clear" w:color="auto" w:fill="FFFFFF" w:themeFill="background1"/>
                  <w:vAlign w:val="center"/>
                </w:tcPr>
                <w:p w14:paraId="3D9B58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0" w:type="auto"/>
                  <w:tcBorders>
                    <w:tl2br w:val="nil"/>
                    <w:tr2bl w:val="nil"/>
                  </w:tcBorders>
                  <w:shd w:val="clear" w:color="auto" w:fill="FFFFFF" w:themeFill="background1"/>
                  <w:vAlign w:val="center"/>
                </w:tcPr>
                <w:p w14:paraId="158C72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r>
            <w:tr w14:paraId="126B61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270" w:hRule="atLeast"/>
                <w:jc w:val="center"/>
              </w:trPr>
              <w:tc>
                <w:tcPr>
                  <w:tcW w:w="0" w:type="auto"/>
                  <w:gridSpan w:val="11"/>
                  <w:tcBorders>
                    <w:tl2br w:val="nil"/>
                    <w:tr2bl w:val="nil"/>
                  </w:tcBorders>
                  <w:shd w:val="clear" w:color="auto" w:fill="FFFFFF" w:themeFill="background1"/>
                  <w:vAlign w:val="center"/>
                </w:tcPr>
                <w:p w14:paraId="1A1FDF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厂界边界叠加声压级/dB(A)</w:t>
                  </w:r>
                </w:p>
              </w:tc>
              <w:tc>
                <w:tcPr>
                  <w:tcW w:w="0" w:type="auto"/>
                  <w:tcBorders>
                    <w:tl2br w:val="nil"/>
                    <w:tr2bl w:val="nil"/>
                  </w:tcBorders>
                  <w:shd w:val="clear" w:color="auto" w:fill="FFFFFF" w:themeFill="background1"/>
                  <w:vAlign w:val="center"/>
                </w:tcPr>
                <w:p w14:paraId="5691A7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0" w:type="auto"/>
                  <w:tcBorders>
                    <w:tl2br w:val="nil"/>
                    <w:tr2bl w:val="nil"/>
                  </w:tcBorders>
                  <w:shd w:val="clear" w:color="auto" w:fill="FFFFFF" w:themeFill="background1"/>
                  <w:vAlign w:val="center"/>
                </w:tcPr>
                <w:p w14:paraId="49119D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0" w:type="auto"/>
                  <w:tcBorders>
                    <w:tl2br w:val="nil"/>
                    <w:tr2bl w:val="nil"/>
                  </w:tcBorders>
                  <w:shd w:val="clear" w:color="auto" w:fill="FFFFFF" w:themeFill="background1"/>
                  <w:vAlign w:val="center"/>
                </w:tcPr>
                <w:p w14:paraId="0CE6F0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0" w:type="auto"/>
                  <w:tcBorders>
                    <w:tl2br w:val="nil"/>
                    <w:tr2bl w:val="nil"/>
                  </w:tcBorders>
                  <w:shd w:val="clear" w:color="auto" w:fill="FFFFFF" w:themeFill="background1"/>
                  <w:vAlign w:val="center"/>
                </w:tcPr>
                <w:p w14:paraId="15FF74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r>
            <w:tr w14:paraId="390E9F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270" w:hRule="atLeast"/>
                <w:jc w:val="center"/>
              </w:trPr>
              <w:tc>
                <w:tcPr>
                  <w:tcW w:w="0" w:type="auto"/>
                  <w:gridSpan w:val="11"/>
                  <w:tcBorders>
                    <w:tl2br w:val="nil"/>
                    <w:tr2bl w:val="nil"/>
                  </w:tcBorders>
                  <w:shd w:val="clear" w:color="auto" w:fill="FFFFFF" w:themeFill="background1"/>
                  <w:vAlign w:val="center"/>
                </w:tcPr>
                <w:p w14:paraId="236853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标准值/dB(A)</w:t>
                  </w:r>
                </w:p>
              </w:tc>
              <w:tc>
                <w:tcPr>
                  <w:tcW w:w="0" w:type="auto"/>
                  <w:tcBorders>
                    <w:tl2br w:val="nil"/>
                    <w:tr2bl w:val="nil"/>
                  </w:tcBorders>
                  <w:shd w:val="clear" w:color="auto" w:fill="FFFFFF" w:themeFill="background1"/>
                  <w:vAlign w:val="center"/>
                </w:tcPr>
                <w:p w14:paraId="7EDA8A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l2br w:val="nil"/>
                    <w:tr2bl w:val="nil"/>
                  </w:tcBorders>
                  <w:shd w:val="clear" w:color="auto" w:fill="FFFFFF" w:themeFill="background1"/>
                  <w:vAlign w:val="center"/>
                </w:tcPr>
                <w:p w14:paraId="4A0052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l2br w:val="nil"/>
                    <w:tr2bl w:val="nil"/>
                  </w:tcBorders>
                  <w:shd w:val="clear" w:color="auto" w:fill="FFFFFF" w:themeFill="background1"/>
                  <w:vAlign w:val="center"/>
                </w:tcPr>
                <w:p w14:paraId="5D0943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l2br w:val="nil"/>
                    <w:tr2bl w:val="nil"/>
                  </w:tcBorders>
                  <w:shd w:val="clear" w:color="auto" w:fill="FFFFFF" w:themeFill="background1"/>
                  <w:vAlign w:val="center"/>
                </w:tcPr>
                <w:p w14:paraId="5BB35E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r>
            <w:tr w14:paraId="241B4C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270" w:hRule="atLeast"/>
                <w:jc w:val="center"/>
              </w:trPr>
              <w:tc>
                <w:tcPr>
                  <w:tcW w:w="0" w:type="auto"/>
                  <w:gridSpan w:val="11"/>
                  <w:tcBorders>
                    <w:tl2br w:val="nil"/>
                    <w:tr2bl w:val="nil"/>
                  </w:tcBorders>
                  <w:shd w:val="clear" w:color="auto" w:fill="FFFFFF" w:themeFill="background1"/>
                  <w:vAlign w:val="center"/>
                </w:tcPr>
                <w:p w14:paraId="4894C4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达标情况</w:t>
                  </w:r>
                </w:p>
              </w:tc>
              <w:tc>
                <w:tcPr>
                  <w:tcW w:w="0" w:type="auto"/>
                  <w:tcBorders>
                    <w:tl2br w:val="nil"/>
                    <w:tr2bl w:val="nil"/>
                  </w:tcBorders>
                  <w:shd w:val="clear" w:color="auto" w:fill="FFFFFF" w:themeFill="background1"/>
                  <w:vAlign w:val="center"/>
                </w:tcPr>
                <w:p w14:paraId="0BBD2F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tcBorders>
                    <w:tl2br w:val="nil"/>
                    <w:tr2bl w:val="nil"/>
                  </w:tcBorders>
                  <w:shd w:val="clear" w:color="auto" w:fill="FFFFFF" w:themeFill="background1"/>
                  <w:vAlign w:val="center"/>
                </w:tcPr>
                <w:p w14:paraId="57CE67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tcBorders>
                    <w:tl2br w:val="nil"/>
                    <w:tr2bl w:val="nil"/>
                  </w:tcBorders>
                  <w:shd w:val="clear" w:color="auto" w:fill="FFFFFF" w:themeFill="background1"/>
                  <w:vAlign w:val="center"/>
                </w:tcPr>
                <w:p w14:paraId="519D28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tcBorders>
                    <w:tl2br w:val="nil"/>
                    <w:tr2bl w:val="nil"/>
                  </w:tcBorders>
                  <w:shd w:val="clear" w:color="auto" w:fill="FFFFFF" w:themeFill="background1"/>
                  <w:vAlign w:val="center"/>
                </w:tcPr>
                <w:p w14:paraId="4F5273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4DBF69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270" w:hRule="atLeast"/>
                <w:jc w:val="center"/>
              </w:trPr>
              <w:tc>
                <w:tcPr>
                  <w:tcW w:w="0" w:type="auto"/>
                  <w:gridSpan w:val="15"/>
                  <w:tcBorders>
                    <w:tl2br w:val="nil"/>
                    <w:tr2bl w:val="nil"/>
                  </w:tcBorders>
                  <w:shd w:val="clear" w:color="auto" w:fill="FFFFFF" w:themeFill="background1"/>
                  <w:vAlign w:val="center"/>
                </w:tcPr>
                <w:p w14:paraId="1EFAD1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注：风机减震降噪效果为 15dB（A）；</w:t>
                  </w:r>
                </w:p>
              </w:tc>
            </w:tr>
          </w:tbl>
          <w:p w14:paraId="73B27379">
            <w:pPr>
              <w:pStyle w:val="43"/>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通过预测分析，生产噪声</w:t>
            </w:r>
            <w:r>
              <w:rPr>
                <w:rFonts w:hint="default" w:ascii="Times New Roman" w:hAnsi="Times New Roman" w:cs="Times New Roman"/>
                <w:color w:val="auto"/>
                <w:highlight w:val="none"/>
                <w:lang w:val="en-US" w:eastAsia="zh-CN"/>
              </w:rPr>
              <w:t>经过厂房内隔声以及</w:t>
            </w:r>
            <w:r>
              <w:rPr>
                <w:rFonts w:hint="default" w:ascii="Times New Roman" w:hAnsi="Times New Roman" w:cs="Times New Roman"/>
                <w:color w:val="auto"/>
                <w:highlight w:val="none"/>
              </w:rPr>
              <w:t>距离的衰减后，</w:t>
            </w:r>
            <w:r>
              <w:rPr>
                <w:rFonts w:hint="default" w:ascii="Times New Roman" w:hAnsi="Times New Roman" w:cs="Times New Roman"/>
                <w:color w:val="auto"/>
                <w:kern w:val="0"/>
                <w:highlight w:val="none"/>
              </w:rPr>
              <w:t>项目厂房厂界外1米处</w:t>
            </w:r>
            <w:r>
              <w:rPr>
                <w:rFonts w:hint="default" w:ascii="Times New Roman" w:hAnsi="Times New Roman" w:cs="Times New Roman"/>
                <w:color w:val="auto"/>
                <w:highlight w:val="none"/>
              </w:rPr>
              <w:t>可达到</w:t>
            </w:r>
            <w:r>
              <w:rPr>
                <w:rFonts w:hint="default" w:ascii="Times New Roman" w:hAnsi="Times New Roman" w:cs="Times New Roman"/>
                <w:color w:val="auto"/>
                <w:spacing w:val="-2"/>
                <w:highlight w:val="none"/>
              </w:rPr>
              <w:t>《工业企业场界环境噪声排放标准》（GB12348-2008）中的</w:t>
            </w:r>
            <w:r>
              <w:rPr>
                <w:rFonts w:hint="default" w:ascii="Times New Roman" w:hAnsi="Times New Roman" w:cs="Times New Roman"/>
                <w:color w:val="auto"/>
                <w:spacing w:val="-2"/>
                <w:highlight w:val="none"/>
                <w:lang w:val="en-US" w:eastAsia="zh-CN"/>
              </w:rPr>
              <w:t>3</w:t>
            </w:r>
            <w:r>
              <w:rPr>
                <w:rFonts w:hint="default" w:ascii="Times New Roman" w:hAnsi="Times New Roman" w:cs="Times New Roman"/>
                <w:color w:val="auto"/>
                <w:spacing w:val="-2"/>
                <w:highlight w:val="none"/>
              </w:rPr>
              <w:t>类标准</w:t>
            </w:r>
            <w:r>
              <w:rPr>
                <w:rFonts w:hint="default" w:ascii="Times New Roman" w:hAnsi="Times New Roman" w:cs="Times New Roman"/>
                <w:color w:val="auto"/>
                <w:highlight w:val="none"/>
              </w:rPr>
              <w:t>，即项目产生的噪声不会对周边环境造成太大影响。</w:t>
            </w:r>
          </w:p>
          <w:p w14:paraId="2411FEFE">
            <w:pPr>
              <w:pStyle w:val="5"/>
              <w:pageBreakBefore w:val="0"/>
              <w:numPr>
                <w:ilvl w:val="3"/>
                <w:numId w:val="0"/>
              </w:numPr>
              <w:suppressLineNumbers w:val="0"/>
              <w:wordWrap w:val="0"/>
              <w:bidi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3、污染防治措施</w:t>
            </w:r>
          </w:p>
          <w:p w14:paraId="0EFCF2F3">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为确保厂界噪声满足《工业企业厂界环境噪声排放标准》（GB12348-2008）中的相应标准，项目拟采取以下</w:t>
            </w:r>
            <w:r>
              <w:rPr>
                <w:rFonts w:hint="default" w:ascii="Times New Roman" w:hAnsi="Times New Roman" w:cs="Times New Roman"/>
                <w:color w:val="auto"/>
                <w:highlight w:val="none"/>
                <w:lang w:val="en-US" w:eastAsia="zh-CN"/>
              </w:rPr>
              <w:t>噪声与振动</w:t>
            </w:r>
            <w:r>
              <w:rPr>
                <w:rFonts w:hint="default" w:ascii="Times New Roman" w:hAnsi="Times New Roman" w:cs="Times New Roman"/>
                <w:color w:val="auto"/>
                <w:highlight w:val="none"/>
              </w:rPr>
              <w:t>治理措施：</w:t>
            </w:r>
          </w:p>
          <w:p w14:paraId="1178A22E">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①合理布局：尽量将高噪声设备布置在厂房中间，尽可能地选择远离厂界的位置。</w:t>
            </w:r>
          </w:p>
          <w:p w14:paraId="220C08E0">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②落实设备基础减振以及厂房隔声：</w:t>
            </w:r>
          </w:p>
          <w:p w14:paraId="0169426F">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A、在设备选型方面，在满足工艺生产的前提下，选用精度高、装配质量好、噪声低的设备；对设备基础进行减振；</w:t>
            </w:r>
          </w:p>
          <w:p w14:paraId="3B8CA995">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B、重视厂房的使用状况，不设门窗或设隔声玻璃门窗。</w:t>
            </w:r>
          </w:p>
          <w:p w14:paraId="36E9355A">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③加强内部管理：建立设备定期维护、保养的管理制度，以防止设备故障形成的非生产噪声，同时确保环保措施发挥最有效的功能；加强职工环保意识教育，提倡文明生产，防止人为噪声。</w:t>
            </w:r>
          </w:p>
          <w:p w14:paraId="1CACCF53">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④合理安排生产时间：尽可能地安排在昼间进行生产，若夜间必须生产应控制夜间生产时间，特别夜间应停止高噪声设备，减少机械的噪声影响。</w:t>
            </w:r>
          </w:p>
          <w:p w14:paraId="5DE115EF">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⑤针对</w:t>
            </w:r>
            <w:r>
              <w:rPr>
                <w:rFonts w:hint="eastAsia" w:cs="Times New Roman"/>
                <w:color w:val="auto"/>
                <w:highlight w:val="none"/>
                <w:lang w:val="en-US" w:eastAsia="zh-CN"/>
              </w:rPr>
              <w:t>搅拌机、切割机</w:t>
            </w:r>
            <w:r>
              <w:rPr>
                <w:rFonts w:hint="default" w:ascii="Times New Roman" w:hAnsi="Times New Roman" w:cs="Times New Roman"/>
                <w:color w:val="auto"/>
                <w:highlight w:val="none"/>
                <w:lang w:val="en-US" w:eastAsia="zh-CN"/>
              </w:rPr>
              <w:t>，安装减振垫（橡胶/NBR材质）或弹簧减振器，橡胶减振垫能有效吸收高频振动，降低噪音15~25dB，且安装简便，无需地脚螺栓固定；弹簧减振器则适用于低频振动隔离，通过调整预紧力可适配不同吨位设备，安装时需确保减振器与设备底座紧密连接，并定期检查螺栓紧固状态。</w:t>
            </w:r>
          </w:p>
          <w:p w14:paraId="4715F46B">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⑥通风管道采用橡胶软管或金属波纹管。橡胶软管适用于常温常压环境，但耐高温高压性较差</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金属波纹管则能耐高温、高压和腐蚀，适合制冷剂管路等苛刻工况。</w:t>
            </w:r>
          </w:p>
          <w:p w14:paraId="61BF8AEE">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⑦生产设备定期进行润滑处理，定期维护轴承、齿轮，使用高粘度润滑油减少轴承、齿轮摩擦噪声，并优化轴承预紧力以减少振动源。</w:t>
            </w:r>
          </w:p>
          <w:p w14:paraId="609982EC">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本项目周边50米范围内不存在声环境保护目标，经采取上述的降噪措施后，预计项目厂界噪声排放可达到《工业企业厂界环境噪声排放标准》（GB12348-2008）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类标准，噪声对声环境影响不大。</w:t>
            </w:r>
          </w:p>
          <w:p w14:paraId="4C1CFD14">
            <w:pPr>
              <w:keepNext/>
              <w:keepLines/>
              <w:pageBreakBefore w:val="0"/>
              <w:suppressLineNumbers w:val="0"/>
              <w:tabs>
                <w:tab w:val="left" w:pos="0"/>
              </w:tabs>
              <w:wordWrap w:val="0"/>
              <w:bidi w:val="0"/>
              <w:spacing w:before="0" w:beforeAutospacing="0" w:after="0" w:afterAutospacing="0"/>
              <w:ind w:left="0" w:right="0" w:firstLine="480" w:firstLineChars="200"/>
              <w:outlineLvl w:val="3"/>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4、监测要求</w:t>
            </w:r>
          </w:p>
          <w:p w14:paraId="159AE78B">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 总则》（HJ819-2017）</w:t>
            </w:r>
            <w:r>
              <w:rPr>
                <w:rFonts w:hint="default" w:ascii="Times New Roman" w:hAnsi="Times New Roman" w:cs="Times New Roman"/>
                <w:color w:val="auto"/>
                <w:highlight w:val="none"/>
                <w:lang w:val="en-US" w:eastAsia="zh-CN"/>
              </w:rPr>
              <w:t>和《排污许可证申请与核发技术规范 工业噪声》（HJ1301-2023）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本项目噪声</w:t>
            </w:r>
            <w:r>
              <w:rPr>
                <w:rFonts w:hint="default" w:ascii="Times New Roman" w:hAnsi="Times New Roman" w:cs="Times New Roman"/>
                <w:color w:val="auto"/>
                <w:highlight w:val="none"/>
              </w:rPr>
              <w:t>监测</w:t>
            </w:r>
            <w:r>
              <w:rPr>
                <w:rFonts w:hint="default" w:ascii="Times New Roman" w:hAnsi="Times New Roman" w:cs="Times New Roman"/>
                <w:color w:val="auto"/>
                <w:highlight w:val="none"/>
                <w:lang w:val="en-US" w:eastAsia="zh-CN"/>
              </w:rPr>
              <w:t>要求</w:t>
            </w:r>
            <w:r>
              <w:rPr>
                <w:rFonts w:hint="default" w:ascii="Times New Roman" w:hAnsi="Times New Roman" w:cs="Times New Roman"/>
                <w:color w:val="auto"/>
                <w:highlight w:val="none"/>
              </w:rPr>
              <w:t>见下表。</w:t>
            </w:r>
          </w:p>
          <w:p w14:paraId="3657C4D6">
            <w:pPr>
              <w:pStyle w:val="43"/>
              <w:keepNext w:val="0"/>
              <w:keepLines w:val="0"/>
              <w:pageBreakBefore w:val="0"/>
              <w:numPr>
                <w:ilvl w:val="0"/>
                <w:numId w:val="0"/>
              </w:numPr>
              <w:suppressLineNumbers w:val="0"/>
              <w:tabs>
                <w:tab w:val="left" w:pos="0"/>
              </w:tabs>
              <w:wordWrap w:val="0"/>
              <w:bidi w:val="0"/>
              <w:spacing w:before="0" w:beforeAutospacing="0" w:after="0" w:afterAutospacing="0" w:line="240" w:lineRule="auto"/>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20 </w:t>
            </w:r>
            <w:r>
              <w:rPr>
                <w:rFonts w:hint="default" w:ascii="Times New Roman" w:hAnsi="Times New Roman" w:cs="Times New Roman"/>
                <w:b/>
                <w:bCs/>
                <w:color w:val="auto"/>
                <w:sz w:val="21"/>
                <w:szCs w:val="21"/>
                <w:highlight w:val="none"/>
              </w:rPr>
              <w:t>厂界噪声监测要求</w:t>
            </w:r>
          </w:p>
          <w:tbl>
            <w:tblPr>
              <w:tblStyle w:val="37"/>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584"/>
              <w:gridCol w:w="1593"/>
              <w:gridCol w:w="1236"/>
              <w:gridCol w:w="1347"/>
              <w:gridCol w:w="1677"/>
              <w:gridCol w:w="2660"/>
            </w:tblGrid>
            <w:tr w14:paraId="523D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669" w:hRule="atLeast"/>
                <w:jc w:val="center"/>
              </w:trPr>
              <w:tc>
                <w:tcPr>
                  <w:tcW w:w="321" w:type="pct"/>
                  <w:vAlign w:val="center"/>
                </w:tcPr>
                <w:p w14:paraId="72B3534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875" w:type="pct"/>
                  <w:vAlign w:val="center"/>
                </w:tcPr>
                <w:p w14:paraId="141B698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监测点位</w:t>
                  </w:r>
                </w:p>
              </w:tc>
              <w:tc>
                <w:tcPr>
                  <w:tcW w:w="679" w:type="pct"/>
                  <w:vAlign w:val="center"/>
                </w:tcPr>
                <w:p w14:paraId="386D8E9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监测指标</w:t>
                  </w:r>
                </w:p>
              </w:tc>
              <w:tc>
                <w:tcPr>
                  <w:tcW w:w="740" w:type="pct"/>
                  <w:vAlign w:val="center"/>
                </w:tcPr>
                <w:p w14:paraId="625F49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c>
                <w:tcPr>
                  <w:tcW w:w="921" w:type="pct"/>
                  <w:vAlign w:val="center"/>
                </w:tcPr>
                <w:p w14:paraId="45080C8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监测采样和分析方法</w:t>
                  </w:r>
                </w:p>
              </w:tc>
              <w:tc>
                <w:tcPr>
                  <w:tcW w:w="1461" w:type="pct"/>
                  <w:vAlign w:val="center"/>
                </w:tcPr>
                <w:p w14:paraId="633EB95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排放执行标准</w:t>
                  </w:r>
                </w:p>
              </w:tc>
            </w:tr>
            <w:tr w14:paraId="23A10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164" w:hRule="atLeast"/>
                <w:jc w:val="center"/>
              </w:trPr>
              <w:tc>
                <w:tcPr>
                  <w:tcW w:w="321" w:type="pct"/>
                  <w:vAlign w:val="center"/>
                </w:tcPr>
                <w:p w14:paraId="469EBA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875" w:type="pct"/>
                  <w:vAlign w:val="center"/>
                </w:tcPr>
                <w:p w14:paraId="04CC63B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东、南、西、北面厂界外1米处</w:t>
                  </w:r>
                </w:p>
              </w:tc>
              <w:tc>
                <w:tcPr>
                  <w:tcW w:w="679" w:type="pct"/>
                  <w:vAlign w:val="center"/>
                </w:tcPr>
                <w:p w14:paraId="3408E0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740" w:type="pct"/>
                  <w:vAlign w:val="center"/>
                </w:tcPr>
                <w:p w14:paraId="783BFF7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每季度1次，监测昼间</w:t>
                  </w:r>
                </w:p>
              </w:tc>
              <w:tc>
                <w:tcPr>
                  <w:tcW w:w="921" w:type="pct"/>
                  <w:vAlign w:val="center"/>
                </w:tcPr>
                <w:p w14:paraId="345C1B9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《环境监测技术规范》</w:t>
                  </w:r>
                </w:p>
              </w:tc>
              <w:tc>
                <w:tcPr>
                  <w:tcW w:w="1461" w:type="pct"/>
                  <w:vAlign w:val="center"/>
                </w:tcPr>
                <w:p w14:paraId="111537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w:t>
                  </w:r>
                </w:p>
              </w:tc>
            </w:tr>
          </w:tbl>
          <w:p w14:paraId="1CB44527">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四、固体废物污染源</w:t>
            </w:r>
          </w:p>
          <w:p w14:paraId="0BB2568A">
            <w:pPr>
              <w:keepNext/>
              <w:keepLines/>
              <w:pageBreakBefore w:val="0"/>
              <w:suppressLineNumbers w:val="0"/>
              <w:tabs>
                <w:tab w:val="left" w:pos="0"/>
              </w:tabs>
              <w:wordWrap w:val="0"/>
              <w:bidi w:val="0"/>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1、固体废物源强</w:t>
            </w:r>
          </w:p>
          <w:p w14:paraId="01036300">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本项目营运期产生的固体废物主要为生活垃圾、一般工业固废（</w:t>
            </w:r>
            <w:r>
              <w:rPr>
                <w:rFonts w:hint="default" w:ascii="Times New Roman" w:hAnsi="Times New Roman" w:cs="Times New Roman"/>
                <w:color w:val="auto"/>
                <w:highlight w:val="none"/>
                <w:lang w:val="en-US" w:eastAsia="zh-CN"/>
              </w:rPr>
              <w:t>废包装材料</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废布袋</w:t>
            </w:r>
            <w:r>
              <w:rPr>
                <w:rFonts w:hint="default" w:ascii="Times New Roman" w:hAnsi="Times New Roman" w:cs="Times New Roman"/>
                <w:color w:val="auto"/>
                <w:highlight w:val="none"/>
              </w:rPr>
              <w:t>）、危险废物（</w:t>
            </w:r>
            <w:r>
              <w:rPr>
                <w:rFonts w:hint="default" w:ascii="Times New Roman" w:hAnsi="Times New Roman" w:cs="Times New Roman"/>
                <w:color w:val="auto"/>
                <w:highlight w:val="none"/>
                <w:lang w:val="en-US" w:eastAsia="zh-CN"/>
              </w:rPr>
              <w:t>废机油及桶</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含油废抹布、废活性炭、漆渣、水帘柜废水、水帘柜沉渣、喷枪清洗废液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049B2C9F">
            <w:pPr>
              <w:keepNext/>
              <w:keepLines/>
              <w:pageBreakBefore w:val="0"/>
              <w:suppressLineNumbers w:val="0"/>
              <w:tabs>
                <w:tab w:val="left" w:pos="0"/>
              </w:tabs>
              <w:wordWrap w:val="0"/>
              <w:bidi w:val="0"/>
              <w:spacing w:before="0" w:beforeAutospacing="0" w:after="0" w:afterAutospacing="0"/>
              <w:ind w:left="240" w:right="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（1）生活垃圾</w:t>
            </w:r>
          </w:p>
          <w:p w14:paraId="654BE585">
            <w:pPr>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人，年工作300天，按每人每天生活垃圾产生量为</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kg，生活垃圾产生量为</w:t>
            </w:r>
            <w:r>
              <w:rPr>
                <w:rFonts w:hint="default" w:ascii="Times New Roman" w:hAnsi="Times New Roman" w:cs="Times New Roman"/>
                <w:color w:val="auto"/>
                <w:highlight w:val="none"/>
                <w:lang w:val="en-US" w:eastAsia="zh-CN"/>
              </w:rPr>
              <w:t>12t</w:t>
            </w:r>
            <w:r>
              <w:rPr>
                <w:rFonts w:hint="default" w:ascii="Times New Roman" w:hAnsi="Times New Roman" w:cs="Times New Roman"/>
                <w:color w:val="auto"/>
                <w:highlight w:val="none"/>
              </w:rPr>
              <w:t>/a。</w:t>
            </w:r>
          </w:p>
          <w:p w14:paraId="558D30AC">
            <w:pPr>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根据《固体废物分类与代码目录》（生态环境部公告2024年第4号），其属于SW64其他垃圾（900-099-S64生活垃圾）。</w:t>
            </w:r>
          </w:p>
          <w:p w14:paraId="5B5A969F">
            <w:pPr>
              <w:keepNext/>
              <w:keepLines/>
              <w:pageBreakBefore w:val="0"/>
              <w:numPr>
                <w:ilvl w:val="4"/>
                <w:numId w:val="0"/>
              </w:numPr>
              <w:suppressLineNumbers w:val="0"/>
              <w:tabs>
                <w:tab w:val="left" w:pos="0"/>
              </w:tabs>
              <w:wordWrap w:val="0"/>
              <w:bidi w:val="0"/>
              <w:spacing w:before="0" w:beforeAutospacing="0" w:after="0" w:afterAutospacing="0"/>
              <w:ind w:left="-960" w:right="0" w:firstLine="1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）一般工业固体废物</w:t>
            </w:r>
          </w:p>
          <w:p w14:paraId="7DE705B1">
            <w:pPr>
              <w:pStyle w:val="7"/>
              <w:pageBreakBefore w:val="0"/>
              <w:numPr>
                <w:ilvl w:val="5"/>
                <w:numId w:val="0"/>
              </w:numPr>
              <w:suppressLineNumbers w:val="0"/>
              <w:wordWrap w:val="0"/>
              <w:bidi w:val="0"/>
              <w:spacing w:before="0" w:beforeAutospacing="0" w:after="0" w:afterAutospacing="0"/>
              <w:ind w:left="480" w:leftChars="20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①</w:t>
            </w:r>
            <w:r>
              <w:rPr>
                <w:rFonts w:hint="default" w:ascii="Times New Roman" w:hAnsi="Times New Roman" w:cs="Times New Roman"/>
                <w:b/>
                <w:bCs/>
                <w:color w:val="auto"/>
                <w:highlight w:val="none"/>
                <w:lang w:val="en-US" w:eastAsia="zh-CN"/>
              </w:rPr>
              <w:t>废包装材</w:t>
            </w:r>
            <w:r>
              <w:rPr>
                <w:rFonts w:hint="default" w:ascii="Times New Roman" w:hAnsi="Times New Roman" w:cs="Times New Roman"/>
                <w:b/>
                <w:bCs/>
                <w:color w:val="auto"/>
                <w:highlight w:val="none"/>
              </w:rPr>
              <w:t>料</w:t>
            </w:r>
          </w:p>
          <w:p w14:paraId="27F6C7D5">
            <w:pPr>
              <w:pStyle w:val="7"/>
              <w:pageBreakBefore w:val="0"/>
              <w:numPr>
                <w:ilvl w:val="0"/>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bCs/>
                <w:color w:val="auto"/>
                <w:kern w:val="24"/>
                <w:szCs w:val="24"/>
                <w:highlight w:val="none"/>
              </w:rPr>
            </w:pPr>
            <w:r>
              <w:rPr>
                <w:rFonts w:hint="default" w:ascii="Times New Roman" w:hAnsi="Times New Roman" w:cs="Times New Roman"/>
                <w:color w:val="auto"/>
                <w:highlight w:val="none"/>
              </w:rPr>
              <w:t>主要为项目原辅材料的包装材料，主要为纸箱、包装绳、塑料袋等，产生量约为</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t/a，属于一般工业固废，</w:t>
            </w:r>
            <w:r>
              <w:rPr>
                <w:rFonts w:hint="default" w:ascii="Times New Roman" w:hAnsi="Times New Roman" w:cs="Times New Roman"/>
                <w:color w:val="auto"/>
                <w:szCs w:val="24"/>
                <w:highlight w:val="none"/>
              </w:rPr>
              <w:t>属于</w:t>
            </w:r>
            <w:r>
              <w:rPr>
                <w:rFonts w:hint="default" w:ascii="Times New Roman" w:hAnsi="Times New Roman" w:cs="Times New Roman"/>
                <w:color w:val="auto"/>
                <w:highlight w:val="none"/>
                <w:lang w:val="en-US" w:eastAsia="zh-CN"/>
              </w:rPr>
              <w:t>《固体废物分类与代码目录》（生态环境部公告 2024年第4号）</w:t>
            </w:r>
            <w:r>
              <w:rPr>
                <w:rFonts w:hint="default" w:ascii="Times New Roman" w:hAnsi="Times New Roman" w:cs="Times New Roman"/>
                <w:color w:val="auto"/>
                <w:szCs w:val="24"/>
                <w:highlight w:val="none"/>
                <w:lang w:val="en-US" w:eastAsia="zh-CN"/>
              </w:rPr>
              <w:t>中的“SW17可再生类废物”</w:t>
            </w:r>
            <w:r>
              <w:rPr>
                <w:rFonts w:hint="default" w:ascii="Times New Roman" w:hAnsi="Times New Roman" w:cs="Times New Roman"/>
                <w:color w:val="auto"/>
                <w:szCs w:val="24"/>
                <w:highlight w:val="none"/>
              </w:rPr>
              <w:t>，代码</w:t>
            </w:r>
            <w:r>
              <w:rPr>
                <w:rFonts w:hint="default" w:ascii="Times New Roman" w:hAnsi="Times New Roman" w:cs="Times New Roman"/>
                <w:color w:val="auto"/>
                <w:szCs w:val="24"/>
                <w:highlight w:val="none"/>
                <w:lang w:val="en-US" w:eastAsia="zh-CN"/>
              </w:rPr>
              <w:t>分别</w:t>
            </w:r>
            <w:r>
              <w:rPr>
                <w:rFonts w:hint="default" w:ascii="Times New Roman" w:hAnsi="Times New Roman" w:cs="Times New Roman"/>
                <w:color w:val="auto"/>
                <w:szCs w:val="24"/>
                <w:highlight w:val="none"/>
              </w:rPr>
              <w:t>为</w:t>
            </w:r>
            <w:r>
              <w:rPr>
                <w:rFonts w:hint="default" w:ascii="Times New Roman" w:hAnsi="Times New Roman" w:cs="Times New Roman"/>
                <w:color w:val="auto"/>
                <w:szCs w:val="24"/>
                <w:highlight w:val="none"/>
                <w:lang w:val="en-US" w:eastAsia="zh-CN"/>
              </w:rPr>
              <w:t>900-003-S17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废塑料</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900-005-S17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废纸</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900-007-S17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废纺织品</w:t>
            </w:r>
            <w:r>
              <w:rPr>
                <w:rFonts w:hint="default" w:ascii="Times New Roman" w:hAnsi="Times New Roman" w:cs="Times New Roman"/>
                <w:color w:val="auto"/>
                <w:szCs w:val="24"/>
                <w:highlight w:val="none"/>
              </w:rPr>
              <w:t>），统一收集后</w:t>
            </w:r>
            <w:r>
              <w:rPr>
                <w:rFonts w:hint="default" w:ascii="Times New Roman" w:hAnsi="Times New Roman" w:cs="Times New Roman"/>
                <w:color w:val="auto"/>
                <w:highlight w:val="none"/>
              </w:rPr>
              <w:t>外售至资源回收利用单位。</w:t>
            </w:r>
          </w:p>
          <w:p w14:paraId="42A1DCE0">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eastAsia="宋体" w:cs="Times New Roman"/>
                <w:b/>
                <w:color w:val="auto"/>
                <w:kern w:val="24"/>
                <w:highlight w:val="none"/>
                <w:lang w:eastAsia="zh-CN"/>
              </w:rPr>
            </w:pPr>
            <w:r>
              <w:rPr>
                <w:rFonts w:hint="default" w:ascii="Times New Roman" w:hAnsi="Times New Roman" w:cs="Times New Roman"/>
                <w:b/>
                <w:color w:val="auto"/>
                <w:kern w:val="24"/>
                <w:highlight w:val="none"/>
              </w:rPr>
              <w:t>②</w:t>
            </w:r>
            <w:r>
              <w:rPr>
                <w:rFonts w:hint="default" w:ascii="Times New Roman" w:hAnsi="Times New Roman" w:cs="Times New Roman"/>
                <w:b/>
                <w:color w:val="auto"/>
                <w:kern w:val="24"/>
                <w:highlight w:val="none"/>
                <w:lang w:val="en-US" w:eastAsia="zh-CN"/>
              </w:rPr>
              <w:t>废布袋</w:t>
            </w:r>
          </w:p>
          <w:p w14:paraId="66520D82">
            <w:pPr>
              <w:pStyle w:val="43"/>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Cs/>
                <w:color w:val="auto"/>
                <w:sz w:val="24"/>
                <w:highlight w:val="none"/>
                <w:lang w:val="en-US" w:eastAsia="zh-CN"/>
              </w:rPr>
              <w:t>切割粉尘由移动式布袋除尘器收集处理，布袋除尘器定期每个月更换一次布袋，年更换产生约为0.01t/a，收集的粉尘量根据上文分析可知为0.002t/a-0.0001t/a=0.0019t/a，合计废布袋产生量=0.01t/a+0.0019t/a=0.0119t/a。</w:t>
            </w:r>
            <w:r>
              <w:rPr>
                <w:rFonts w:hint="default" w:ascii="Times New Roman" w:hAnsi="Times New Roman" w:cs="Times New Roman"/>
                <w:bCs/>
                <w:color w:val="auto"/>
                <w:sz w:val="24"/>
                <w:highlight w:val="none"/>
              </w:rPr>
              <w:t>属于《固体废物分类与代码目录》（公告2024年 第4号）一般固体废物，废物代码为900-099-S59，经收集后，暂存于一般固体废物贮存间，交由专业固体废物回收公司</w:t>
            </w:r>
            <w:r>
              <w:rPr>
                <w:rFonts w:hint="default" w:ascii="Times New Roman" w:hAnsi="Times New Roman" w:cs="Times New Roman"/>
                <w:bCs/>
                <w:color w:val="auto"/>
                <w:sz w:val="24"/>
                <w:highlight w:val="none"/>
                <w:lang w:eastAsia="zh-CN"/>
              </w:rPr>
              <w:t>妥善</w:t>
            </w:r>
            <w:r>
              <w:rPr>
                <w:rFonts w:hint="default" w:ascii="Times New Roman" w:hAnsi="Times New Roman" w:cs="Times New Roman"/>
                <w:bCs/>
                <w:color w:val="auto"/>
                <w:sz w:val="24"/>
                <w:highlight w:val="none"/>
              </w:rPr>
              <w:t>处理</w:t>
            </w:r>
            <w:r>
              <w:rPr>
                <w:rFonts w:hint="default" w:ascii="Times New Roman" w:hAnsi="Times New Roman" w:cs="Times New Roman"/>
                <w:color w:val="auto"/>
                <w:highlight w:val="none"/>
              </w:rPr>
              <w:t>。</w:t>
            </w:r>
          </w:p>
          <w:p w14:paraId="68A4245C">
            <w:pPr>
              <w:keepNext/>
              <w:keepLines/>
              <w:pageBreakBefore w:val="0"/>
              <w:numPr>
                <w:ilvl w:val="4"/>
                <w:numId w:val="0"/>
              </w:numPr>
              <w:suppressLineNumbers w:val="0"/>
              <w:tabs>
                <w:tab w:val="left" w:pos="0"/>
              </w:tabs>
              <w:wordWrap w:val="0"/>
              <w:bidi w:val="0"/>
              <w:spacing w:before="0" w:beforeAutospacing="0" w:after="0" w:afterAutospacing="0"/>
              <w:ind w:left="0" w:right="0" w:firstLine="480" w:firstLineChars="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）危险废物</w:t>
            </w:r>
          </w:p>
          <w:p w14:paraId="52FDE334">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危险废物类别根据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进行辨识，分类收集后委托危险废物资质单位处理。</w:t>
            </w:r>
          </w:p>
          <w:p w14:paraId="651D627F">
            <w:pPr>
              <w:pStyle w:val="7"/>
              <w:pageBreakBefore w:val="0"/>
              <w:numPr>
                <w:ilvl w:val="5"/>
                <w:numId w:val="0"/>
              </w:numPr>
              <w:suppressLineNumbers w:val="0"/>
              <w:wordWrap w:val="0"/>
              <w:bidi w:val="0"/>
              <w:spacing w:before="0" w:beforeAutospacing="0" w:after="0" w:afterAutospacing="0"/>
              <w:ind w:left="480" w:leftChars="200" w:right="0"/>
              <w:rPr>
                <w:rFonts w:hint="default" w:ascii="Times New Roman" w:hAnsi="Times New Roman" w:eastAsia="宋体" w:cs="Times New Roman"/>
                <w:b/>
                <w:bCs/>
                <w:color w:val="auto"/>
                <w:szCs w:val="24"/>
                <w:highlight w:val="none"/>
                <w:lang w:val="en-US" w:eastAsia="zh-CN"/>
              </w:rPr>
            </w:pPr>
            <w:r>
              <w:rPr>
                <w:rFonts w:hint="default" w:ascii="Times New Roman" w:hAnsi="Times New Roman" w:cs="Times New Roman"/>
                <w:b/>
                <w:bCs/>
                <w:color w:val="auto"/>
                <w:szCs w:val="24"/>
                <w:highlight w:val="none"/>
              </w:rPr>
              <w:t>①</w:t>
            </w:r>
            <w:r>
              <w:rPr>
                <w:rFonts w:hint="default" w:ascii="Times New Roman" w:hAnsi="Times New Roman" w:cs="Times New Roman"/>
                <w:b/>
                <w:bCs/>
                <w:color w:val="auto"/>
                <w:szCs w:val="24"/>
                <w:highlight w:val="none"/>
                <w:lang w:val="en-US" w:eastAsia="zh-CN"/>
              </w:rPr>
              <w:t>废机油及桶</w:t>
            </w:r>
          </w:p>
          <w:p w14:paraId="65B9CFCD">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保养设备设施会用到机油，用量很少，润滑油规格有：200</w:t>
            </w:r>
            <w:r>
              <w:rPr>
                <w:rFonts w:hint="default" w:ascii="Times New Roman" w:hAnsi="Times New Roman" w:cs="Times New Roman"/>
                <w:color w:val="auto"/>
                <w:highlight w:val="none"/>
                <w:lang w:val="en-US" w:eastAsia="zh-CN"/>
              </w:rPr>
              <w:t>kg</w:t>
            </w:r>
            <w:r>
              <w:rPr>
                <w:rFonts w:hint="default" w:ascii="Times New Roman" w:hAnsi="Times New Roman" w:cs="Times New Roman"/>
                <w:color w:val="auto"/>
                <w:highlight w:val="none"/>
              </w:rPr>
              <w:t>/桶（</w:t>
            </w:r>
            <w:r>
              <w:rPr>
                <w:rFonts w:hint="default" w:ascii="Times New Roman" w:hAnsi="Times New Roman" w:cs="Times New Roman"/>
                <w:color w:val="auto"/>
                <w:highlight w:val="none"/>
                <w:lang w:val="en-US" w:eastAsia="zh-CN"/>
              </w:rPr>
              <w:t>本项目使用1</w:t>
            </w:r>
            <w:r>
              <w:rPr>
                <w:rFonts w:hint="default" w:ascii="Times New Roman" w:hAnsi="Times New Roman" w:cs="Times New Roman"/>
                <w:color w:val="auto"/>
                <w:highlight w:val="none"/>
              </w:rPr>
              <w:t>桶），润滑油空桶按</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kg/桶计算。则本项目产生废机油空桶约0.0</w:t>
            </w:r>
            <w:r>
              <w:rPr>
                <w:rFonts w:hint="default" w:ascii="Times New Roman" w:hAnsi="Times New Roman" w:cs="Times New Roman"/>
                <w:color w:val="auto"/>
                <w:highlight w:val="none"/>
                <w:lang w:val="en-US" w:eastAsia="zh-CN"/>
              </w:rPr>
              <w:t>05t</w:t>
            </w:r>
            <w:r>
              <w:rPr>
                <w:rFonts w:hint="default" w:ascii="Times New Roman" w:hAnsi="Times New Roman" w:cs="Times New Roman"/>
                <w:color w:val="auto"/>
                <w:highlight w:val="none"/>
              </w:rPr>
              <w: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废机油</w:t>
            </w:r>
            <w:r>
              <w:rPr>
                <w:rFonts w:hint="default" w:ascii="Times New Roman" w:hAnsi="Times New Roman" w:cs="Times New Roman"/>
                <w:color w:val="auto"/>
                <w:highlight w:val="none"/>
                <w:lang w:val="en-US" w:eastAsia="zh-CN"/>
              </w:rPr>
              <w:t>年产量等同于机油年用量，约为</w:t>
            </w:r>
            <w:r>
              <w:rPr>
                <w:rFonts w:hint="default" w:ascii="Times New Roman" w:hAnsi="Times New Roman" w:cs="Times New Roman"/>
                <w:color w:val="auto"/>
                <w:kern w:val="0"/>
                <w:sz w:val="24"/>
                <w:szCs w:val="24"/>
                <w:highlight w:val="none"/>
                <w:lang w:val="en-US" w:eastAsia="zh-CN"/>
              </w:rPr>
              <w:t>0.2t/a，以上合计0.205。</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，废机油</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rPr>
              <w:t>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08</w:t>
            </w:r>
            <w:r>
              <w:rPr>
                <w:rFonts w:hint="default" w:ascii="Times New Roman" w:hAnsi="Times New Roman" w:cs="Times New Roman"/>
                <w:color w:val="auto"/>
                <w:highlight w:val="none"/>
              </w:rPr>
              <w:t>危险废物，废物代码900-249-08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其他生产、销售、使用过程中产生的废矿物油及沾染矿物油的废弃包装物”危险废物，经统一收集后交由有危险废物处理资质的单位处理。</w:t>
            </w:r>
          </w:p>
          <w:p w14:paraId="5BBD57A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rPr>
              <w:t>②</w:t>
            </w:r>
            <w:r>
              <w:rPr>
                <w:rFonts w:hint="default" w:ascii="Times New Roman" w:hAnsi="Times New Roman" w:cs="Times New Roman"/>
                <w:b/>
                <w:bCs/>
                <w:color w:val="auto"/>
                <w:sz w:val="24"/>
                <w:szCs w:val="24"/>
                <w:highlight w:val="none"/>
                <w:lang w:val="en-US" w:eastAsia="zh-CN"/>
              </w:rPr>
              <w:t>含油废抹布</w:t>
            </w:r>
          </w:p>
          <w:p w14:paraId="1F13F2FB">
            <w:pPr>
              <w:pStyle w:val="43"/>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highlight w:val="none"/>
                <w:lang w:val="en-US" w:eastAsia="zh-CN"/>
              </w:rPr>
              <w:t>项目生产过程中会产生一定量的</w:t>
            </w:r>
            <w:r>
              <w:rPr>
                <w:rFonts w:hint="default" w:ascii="Times New Roman" w:hAnsi="Times New Roman" w:cs="Times New Roman"/>
                <w:color w:val="auto"/>
                <w:highlight w:val="none"/>
                <w:lang w:val="en-US" w:eastAsia="zh-CN"/>
              </w:rPr>
              <w:t>含矿物油及含油墨废抹布及手套，根据建设单位提供的资料，其产生量约0.001t/a，</w:t>
            </w:r>
            <w:r>
              <w:rPr>
                <w:rFonts w:hint="default" w:ascii="Times New Roman" w:hAnsi="Times New Roman" w:cs="Times New Roman"/>
                <w:color w:val="auto"/>
                <w:sz w:val="24"/>
                <w:highlight w:val="none"/>
                <w:lang w:val="en-US" w:eastAsia="zh-CN"/>
              </w:rPr>
              <w:t>根据《国家危险废物名录》（2025年版），其废物类别属于：</w:t>
            </w:r>
            <w:r>
              <w:rPr>
                <w:rFonts w:hint="default" w:ascii="Times New Roman" w:hAnsi="Times New Roman" w:cs="Times New Roman"/>
                <w:color w:val="auto"/>
                <w:highlight w:val="none"/>
                <w:lang w:val="en-US" w:eastAsia="zh-CN"/>
              </w:rPr>
              <w:t>HW49其他废物，废物代码：900-041-49，</w:t>
            </w:r>
            <w:r>
              <w:rPr>
                <w:rFonts w:hint="default" w:ascii="Times New Roman" w:hAnsi="Times New Roman" w:cs="Times New Roman"/>
                <w:color w:val="auto"/>
                <w:sz w:val="24"/>
                <w:highlight w:val="none"/>
                <w:lang w:val="en-US" w:eastAsia="zh-CN"/>
              </w:rPr>
              <w:t>拟</w:t>
            </w:r>
            <w:r>
              <w:rPr>
                <w:rFonts w:hint="default" w:ascii="Times New Roman" w:hAnsi="Times New Roman" w:cs="Times New Roman"/>
                <w:color w:val="auto"/>
                <w:highlight w:val="none"/>
                <w:lang w:val="en-US" w:eastAsia="zh-CN"/>
              </w:rPr>
              <w:t>收集于危废暂存间定期交由有危险废物处置资质的单位进行处置。</w:t>
            </w:r>
          </w:p>
          <w:p w14:paraId="65633F16">
            <w:pPr>
              <w:keepNext w:val="0"/>
              <w:keepLines w:val="0"/>
              <w:pageBreakBefore w:val="0"/>
              <w:suppressLineNumbers w:val="0"/>
              <w:wordWrap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
                <w:bCs/>
                <w:color w:val="auto"/>
                <w:szCs w:val="24"/>
                <w:highlight w:val="none"/>
              </w:rPr>
              <w:t>③</w:t>
            </w:r>
            <w:r>
              <w:rPr>
                <w:rFonts w:hint="default" w:ascii="Times New Roman" w:hAnsi="Times New Roman" w:cs="Times New Roman"/>
                <w:b/>
                <w:bCs w:val="0"/>
                <w:color w:val="auto"/>
                <w:sz w:val="24"/>
                <w:highlight w:val="none"/>
              </w:rPr>
              <w:t>废活性炭</w:t>
            </w:r>
          </w:p>
          <w:p w14:paraId="164B0E02">
            <w:pPr>
              <w:keepNext w:val="0"/>
              <w:keepLines w:val="0"/>
              <w:pageBreakBefore w:val="0"/>
              <w:suppressLineNumbers w:val="0"/>
              <w:wordWrap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本项目中有机</w:t>
            </w:r>
            <w:r>
              <w:rPr>
                <w:rFonts w:hint="default" w:ascii="Times New Roman" w:hAnsi="Times New Roman" w:cs="Times New Roman"/>
                <w:bCs/>
                <w:color w:val="auto"/>
                <w:sz w:val="24"/>
                <w:highlight w:val="none"/>
              </w:rPr>
              <w:t>废气采用活性炭吸附装置处理，定期更换活性炭会产生废活性炭。根据《国家危险废物名录》（202</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年版）属于HW49 其他废物，危废代码为900-039-49</w:t>
            </w:r>
            <w:r>
              <w:rPr>
                <w:rFonts w:hint="default" w:ascii="Times New Roman" w:hAnsi="Times New Roman" w:cs="Times New Roman"/>
                <w:bCs/>
                <w:color w:val="auto"/>
                <w:sz w:val="24"/>
                <w:highlight w:val="none"/>
                <w:lang w:val="en-US" w:eastAsia="zh-CN"/>
              </w:rPr>
              <w:t xml:space="preserve"> 烟气、VOCs治理过程（不包括餐饮行业油烟治理过程）产生的废活性炭</w:t>
            </w:r>
            <w:r>
              <w:rPr>
                <w:rFonts w:hint="default" w:ascii="Times New Roman" w:hAnsi="Times New Roman" w:cs="Times New Roman"/>
                <w:bCs/>
                <w:color w:val="auto"/>
                <w:sz w:val="24"/>
                <w:highlight w:val="none"/>
              </w:rPr>
              <w:t>，经收集后，暂存于危废暂存间，定期交由有危险废物处理资质单位处理。</w:t>
            </w:r>
          </w:p>
          <w:p w14:paraId="39FB3358">
            <w:pPr>
              <w:keepNext w:val="0"/>
              <w:keepLines w:val="0"/>
              <w:pageBreakBefore w:val="0"/>
              <w:suppressLineNumbers w:val="0"/>
              <w:wordWrap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根据已设置的活性炭吸附装置设计参数，风机设计风量为</w:t>
            </w:r>
            <w:r>
              <w:rPr>
                <w:rFonts w:hint="eastAsia" w:cs="Times New Roman"/>
                <w:bCs/>
                <w:color w:val="auto"/>
                <w:sz w:val="24"/>
                <w:highlight w:val="none"/>
                <w:lang w:val="en-US" w:eastAsia="zh-CN"/>
              </w:rPr>
              <w:t>7000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default" w:ascii="Times New Roman" w:hAnsi="Times New Roman" w:cs="Times New Roman"/>
                <w:bCs/>
                <w:color w:val="auto"/>
                <w:sz w:val="24"/>
                <w:highlight w:val="none"/>
              </w:rPr>
              <w:t>根据《广东省生态环境厅关于印发&lt;工业源挥发性有机物和氮氧化物减排量核算方法&gt;的通知》（粤环函〔2023〕538号）中表3.3-3治理效率参考值吸附比例建议取值15%，根据上文废气源强分析可知，</w:t>
            </w:r>
            <w:r>
              <w:rPr>
                <w:rFonts w:hint="default" w:ascii="Times New Roman" w:hAnsi="Times New Roman" w:cs="Times New Roman"/>
                <w:bCs/>
                <w:color w:val="auto"/>
                <w:sz w:val="24"/>
                <w:highlight w:val="none"/>
                <w:lang w:val="en-US" w:eastAsia="zh-CN"/>
              </w:rPr>
              <w:t>本项目有机废气</w:t>
            </w:r>
            <w:r>
              <w:rPr>
                <w:rFonts w:hint="default" w:ascii="Times New Roman" w:hAnsi="Times New Roman" w:cs="Times New Roman"/>
                <w:bCs/>
                <w:color w:val="auto"/>
                <w:sz w:val="24"/>
                <w:highlight w:val="none"/>
              </w:rPr>
              <w:t>进入活性炭吸附装置的VOCs量为</w:t>
            </w:r>
            <w:r>
              <w:rPr>
                <w:rFonts w:hint="default" w:ascii="Times New Roman" w:hAnsi="Times New Roman" w:cs="Times New Roman"/>
                <w:bCs/>
                <w:color w:val="auto"/>
                <w:sz w:val="24"/>
                <w:highlight w:val="none"/>
                <w:lang w:val="en-US" w:eastAsia="zh-CN"/>
              </w:rPr>
              <w:t>0.0852</w:t>
            </w:r>
            <w:r>
              <w:rPr>
                <w:rFonts w:hint="default" w:ascii="Times New Roman" w:hAnsi="Times New Roman" w:cs="Times New Roman"/>
                <w:bCs/>
                <w:color w:val="auto"/>
                <w:sz w:val="24"/>
                <w:highlight w:val="none"/>
              </w:rPr>
              <w:t>t/a，理论上被活性炭吸附的VOCs量约为</w:t>
            </w:r>
            <w:r>
              <w:rPr>
                <w:rFonts w:hint="default" w:ascii="Times New Roman" w:hAnsi="Times New Roman" w:cs="Times New Roman"/>
                <w:bCs/>
                <w:color w:val="auto"/>
                <w:sz w:val="24"/>
                <w:highlight w:val="none"/>
                <w:lang w:val="en-US" w:eastAsia="zh-CN"/>
              </w:rPr>
              <w:t>0.0652t</w:t>
            </w:r>
            <w:r>
              <w:rPr>
                <w:rFonts w:hint="default" w:ascii="Times New Roman" w:hAnsi="Times New Roman" w:cs="Times New Roman"/>
                <w:bCs/>
                <w:color w:val="auto"/>
                <w:sz w:val="24"/>
                <w:highlight w:val="none"/>
              </w:rPr>
              <w:t>/a。则“活性炭吸附”处理设施最少需要的新鲜活性炭理论量为</w:t>
            </w:r>
            <w:r>
              <w:rPr>
                <w:rFonts w:hint="default" w:ascii="Times New Roman" w:hAnsi="Times New Roman" w:cs="Times New Roman"/>
                <w:bCs/>
                <w:color w:val="auto"/>
                <w:sz w:val="24"/>
                <w:highlight w:val="none"/>
                <w:lang w:val="en-US" w:eastAsia="zh-CN"/>
              </w:rPr>
              <w:t>0.435</w:t>
            </w:r>
            <w:r>
              <w:rPr>
                <w:rFonts w:hint="default" w:ascii="Times New Roman" w:hAnsi="Times New Roman" w:cs="Times New Roman"/>
                <w:bCs/>
                <w:color w:val="auto"/>
                <w:sz w:val="24"/>
                <w:highlight w:val="none"/>
              </w:rPr>
              <w:t>t/a。</w:t>
            </w:r>
          </w:p>
          <w:p w14:paraId="52712124">
            <w:pPr>
              <w:keepNext w:val="0"/>
              <w:keepLines w:val="0"/>
              <w:pageBreakBefore w:val="0"/>
              <w:widowControl/>
              <w:suppressLineNumbers w:val="0"/>
              <w:wordWrap w:val="0"/>
              <w:bidi w:val="0"/>
              <w:spacing w:before="0" w:beforeAutospacing="0" w:after="0" w:afterAutospacing="0" w:line="240" w:lineRule="auto"/>
              <w:ind w:left="0" w:right="0" w:firstLine="27"/>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rPr>
              <w:fldChar w:fldCharType="begin"/>
            </w:r>
            <w:r>
              <w:rPr>
                <w:rFonts w:hint="default" w:ascii="Times New Roman" w:hAnsi="Times New Roman" w:eastAsia="宋体" w:cs="Times New Roman"/>
                <w:b/>
                <w:color w:val="auto"/>
                <w:sz w:val="21"/>
                <w:szCs w:val="21"/>
                <w:highlight w:val="none"/>
              </w:rPr>
              <w:instrText xml:space="preserve"> STYLEREF 1 \s </w:instrText>
            </w:r>
            <w:r>
              <w:rPr>
                <w:rFonts w:hint="default" w:ascii="Times New Roman" w:hAnsi="Times New Roman" w:eastAsia="宋体" w:cs="Times New Roman"/>
                <w:b/>
                <w:color w:val="auto"/>
                <w:sz w:val="21"/>
                <w:szCs w:val="21"/>
                <w:highlight w:val="none"/>
              </w:rPr>
              <w:fldChar w:fldCharType="separate"/>
            </w:r>
            <w:r>
              <w:rPr>
                <w:rFonts w:hint="default" w:ascii="Times New Roman" w:hAnsi="Times New Roman" w:eastAsia="宋体" w:cs="Times New Roman"/>
                <w:b/>
                <w:color w:val="auto"/>
                <w:sz w:val="21"/>
                <w:szCs w:val="21"/>
                <w:highlight w:val="none"/>
              </w:rPr>
              <w:t>4</w:t>
            </w:r>
            <w:r>
              <w:rPr>
                <w:rFonts w:hint="default" w:ascii="Times New Roman" w:hAnsi="Times New Roman" w:eastAsia="宋体" w:cs="Times New Roman"/>
                <w:b/>
                <w:color w:val="auto"/>
                <w:sz w:val="21"/>
                <w:szCs w:val="21"/>
                <w:highlight w:val="none"/>
              </w:rPr>
              <w:fldChar w:fldCharType="end"/>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 xml:space="preserve"> 活性炭吸附装置设计参数一览表</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5"/>
              <w:gridCol w:w="4526"/>
              <w:gridCol w:w="2454"/>
            </w:tblGrid>
            <w:tr w14:paraId="61E31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vAlign w:val="center"/>
                </w:tcPr>
                <w:p w14:paraId="56BF2C74">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活性炭设施</w:t>
                  </w:r>
                </w:p>
              </w:tc>
              <w:tc>
                <w:tcPr>
                  <w:tcW w:w="1346" w:type="pct"/>
                  <w:vAlign w:val="center"/>
                </w:tcPr>
                <w:p w14:paraId="7A8823E0">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具体参数</w:t>
                  </w:r>
                </w:p>
              </w:tc>
            </w:tr>
            <w:tr w14:paraId="42759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restart"/>
                  <w:vAlign w:val="center"/>
                </w:tcPr>
                <w:p w14:paraId="7A89712F">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总体参数</w:t>
                  </w:r>
                </w:p>
              </w:tc>
              <w:tc>
                <w:tcPr>
                  <w:tcW w:w="2481" w:type="pct"/>
                  <w:vAlign w:val="center"/>
                </w:tcPr>
                <w:p w14:paraId="282192AD">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设计处理能力（m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/h）</w:t>
                  </w:r>
                </w:p>
              </w:tc>
              <w:tc>
                <w:tcPr>
                  <w:tcW w:w="2454" w:type="dxa"/>
                  <w:vAlign w:val="center"/>
                </w:tcPr>
                <w:p w14:paraId="291235A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7</w:t>
                  </w:r>
                  <w:r>
                    <w:rPr>
                      <w:rFonts w:hint="default" w:ascii="Times New Roman" w:hAnsi="Times New Roman" w:eastAsia="宋体" w:cs="Times New Roman"/>
                      <w:i w:val="0"/>
                      <w:iCs w:val="0"/>
                      <w:color w:val="auto"/>
                      <w:kern w:val="0"/>
                      <w:sz w:val="21"/>
                      <w:szCs w:val="21"/>
                      <w:highlight w:val="none"/>
                      <w:u w:val="none"/>
                      <w:lang w:val="en-US" w:eastAsia="zh-CN" w:bidi="ar"/>
                    </w:rPr>
                    <w:t>000</w:t>
                  </w:r>
                </w:p>
              </w:tc>
            </w:tr>
            <w:tr w14:paraId="49A8F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64A044BA">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794AB31B">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年运行时间（h）</w:t>
                  </w:r>
                </w:p>
              </w:tc>
              <w:tc>
                <w:tcPr>
                  <w:tcW w:w="2454" w:type="dxa"/>
                  <w:vAlign w:val="center"/>
                </w:tcPr>
                <w:p w14:paraId="34707B9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4800</w:t>
                  </w:r>
                </w:p>
              </w:tc>
            </w:tr>
            <w:tr w14:paraId="301D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restart"/>
                  <w:vAlign w:val="center"/>
                </w:tcPr>
                <w:p w14:paraId="4506B075">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箱体</w:t>
                  </w:r>
                  <w:r>
                    <w:rPr>
                      <w:rFonts w:hint="default" w:ascii="Times New Roman" w:hAnsi="Times New Roman" w:eastAsia="宋体" w:cs="Times New Roman"/>
                      <w:color w:val="auto"/>
                      <w:kern w:val="2"/>
                      <w:sz w:val="21"/>
                      <w:szCs w:val="21"/>
                      <w:highlight w:val="none"/>
                    </w:rPr>
                    <w:t>外部尺寸</w:t>
                  </w:r>
                </w:p>
              </w:tc>
              <w:tc>
                <w:tcPr>
                  <w:tcW w:w="2481" w:type="pct"/>
                  <w:vAlign w:val="center"/>
                </w:tcPr>
                <w:p w14:paraId="33F0B9DA">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长度（m）</w:t>
                  </w:r>
                </w:p>
              </w:tc>
              <w:tc>
                <w:tcPr>
                  <w:tcW w:w="2454" w:type="dxa"/>
                  <w:vAlign w:val="center"/>
                </w:tcPr>
                <w:p w14:paraId="359CBF2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r>
            <w:tr w14:paraId="4FDFF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3900297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78D60FBF">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宽度（m）</w:t>
                  </w:r>
                </w:p>
              </w:tc>
              <w:tc>
                <w:tcPr>
                  <w:tcW w:w="2454" w:type="dxa"/>
                  <w:vAlign w:val="center"/>
                </w:tcPr>
                <w:p w14:paraId="6A16E2B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r>
            <w:tr w14:paraId="4F912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721B8002">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316C1488">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高度（m）</w:t>
                  </w:r>
                </w:p>
              </w:tc>
              <w:tc>
                <w:tcPr>
                  <w:tcW w:w="2454" w:type="dxa"/>
                  <w:vAlign w:val="center"/>
                </w:tcPr>
                <w:p w14:paraId="4B9A60A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74629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Align w:val="center"/>
                </w:tcPr>
                <w:p w14:paraId="6F2D98F9">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箱体内部结构</w:t>
                  </w:r>
                </w:p>
              </w:tc>
              <w:tc>
                <w:tcPr>
                  <w:tcW w:w="2481" w:type="pct"/>
                  <w:vAlign w:val="center"/>
                </w:tcPr>
                <w:p w14:paraId="4949E11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1470" w:firstLineChars="700"/>
                    <w:jc w:val="both"/>
                    <w:textAlignment w:val="auto"/>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双层单列</w:t>
                  </w:r>
                </w:p>
              </w:tc>
              <w:tc>
                <w:tcPr>
                  <w:tcW w:w="2454" w:type="dxa"/>
                  <w:vAlign w:val="center"/>
                </w:tcPr>
                <w:p w14:paraId="25B16B2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71A59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restart"/>
                  <w:vAlign w:val="center"/>
                </w:tcPr>
                <w:p w14:paraId="2DC31EE1">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单层活性炭</w:t>
                  </w:r>
                </w:p>
              </w:tc>
              <w:tc>
                <w:tcPr>
                  <w:tcW w:w="2481" w:type="pct"/>
                  <w:vAlign w:val="center"/>
                </w:tcPr>
                <w:p w14:paraId="31674030">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长度（m）</w:t>
                  </w:r>
                </w:p>
              </w:tc>
              <w:tc>
                <w:tcPr>
                  <w:tcW w:w="2454" w:type="dxa"/>
                  <w:vAlign w:val="center"/>
                </w:tcPr>
                <w:p w14:paraId="75F37AE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59DDB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6A7E02C1">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774FD724">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宽度（m）</w:t>
                  </w:r>
                </w:p>
              </w:tc>
              <w:tc>
                <w:tcPr>
                  <w:tcW w:w="2454" w:type="dxa"/>
                  <w:vAlign w:val="center"/>
                </w:tcPr>
                <w:p w14:paraId="27DCA76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6605A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699E6F0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0D28884D">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厚度（m）</w:t>
                  </w:r>
                </w:p>
              </w:tc>
              <w:tc>
                <w:tcPr>
                  <w:tcW w:w="2454" w:type="dxa"/>
                  <w:vAlign w:val="center"/>
                </w:tcPr>
                <w:p w14:paraId="5FD07F9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r>
            <w:tr w14:paraId="5E893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5568FF7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76FB9B16">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密度（g/cm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w:t>
                  </w:r>
                </w:p>
              </w:tc>
              <w:tc>
                <w:tcPr>
                  <w:tcW w:w="2454" w:type="dxa"/>
                  <w:vAlign w:val="center"/>
                </w:tcPr>
                <w:p w14:paraId="2D83CFD9">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r>
            <w:tr w14:paraId="141D6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15F3285F">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6F8D91D6">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填充量（t）</w:t>
                  </w:r>
                </w:p>
              </w:tc>
              <w:tc>
                <w:tcPr>
                  <w:tcW w:w="2454" w:type="dxa"/>
                  <w:vAlign w:val="center"/>
                </w:tcPr>
                <w:p w14:paraId="776191D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r>
            <w:tr w14:paraId="70AC2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08E494E1">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1FBCF79E">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过滤面积（m</w:t>
                  </w:r>
                  <w:r>
                    <w:rPr>
                      <w:rFonts w:hint="default" w:ascii="Times New Roman" w:hAnsi="Times New Roman" w:eastAsia="宋体" w:cs="Times New Roman"/>
                      <w:color w:val="auto"/>
                      <w:kern w:val="2"/>
                      <w:sz w:val="21"/>
                      <w:szCs w:val="21"/>
                      <w:highlight w:val="none"/>
                      <w:vertAlign w:val="superscript"/>
                    </w:rPr>
                    <w:t>2</w:t>
                  </w:r>
                  <w:r>
                    <w:rPr>
                      <w:rFonts w:hint="default" w:ascii="Times New Roman" w:hAnsi="Times New Roman" w:eastAsia="宋体" w:cs="Times New Roman"/>
                      <w:color w:val="auto"/>
                      <w:kern w:val="2"/>
                      <w:sz w:val="21"/>
                      <w:szCs w:val="21"/>
                      <w:highlight w:val="none"/>
                    </w:rPr>
                    <w:t>）</w:t>
                  </w:r>
                </w:p>
              </w:tc>
              <w:tc>
                <w:tcPr>
                  <w:tcW w:w="2454" w:type="dxa"/>
                  <w:vAlign w:val="center"/>
                </w:tcPr>
                <w:p w14:paraId="198C941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2B7DC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restart"/>
                  <w:vAlign w:val="center"/>
                </w:tcPr>
                <w:p w14:paraId="1F3C067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活性炭设施</w:t>
                  </w:r>
                </w:p>
              </w:tc>
              <w:tc>
                <w:tcPr>
                  <w:tcW w:w="2481" w:type="pct"/>
                  <w:vAlign w:val="center"/>
                </w:tcPr>
                <w:p w14:paraId="65E9B33F">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总</w:t>
                  </w:r>
                  <w:r>
                    <w:rPr>
                      <w:rFonts w:hint="default" w:ascii="Times New Roman" w:hAnsi="Times New Roman" w:eastAsia="宋体" w:cs="Times New Roman"/>
                      <w:color w:val="auto"/>
                      <w:kern w:val="2"/>
                      <w:sz w:val="21"/>
                      <w:szCs w:val="21"/>
                      <w:highlight w:val="none"/>
                    </w:rPr>
                    <w:t>碳层数（层）</w:t>
                  </w:r>
                </w:p>
              </w:tc>
              <w:tc>
                <w:tcPr>
                  <w:tcW w:w="2454" w:type="dxa"/>
                  <w:vAlign w:val="center"/>
                </w:tcPr>
                <w:p w14:paraId="2EBE63C6">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r>
            <w:tr w14:paraId="247E1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4F3EDB4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477535D5">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总</w:t>
                  </w:r>
                  <w:r>
                    <w:rPr>
                      <w:rFonts w:hint="default" w:ascii="Times New Roman" w:hAnsi="Times New Roman" w:eastAsia="宋体" w:cs="Times New Roman"/>
                      <w:color w:val="auto"/>
                      <w:kern w:val="2"/>
                      <w:sz w:val="21"/>
                      <w:szCs w:val="21"/>
                      <w:highlight w:val="none"/>
                    </w:rPr>
                    <w:t>填充量（t）</w:t>
                  </w:r>
                </w:p>
              </w:tc>
              <w:tc>
                <w:tcPr>
                  <w:tcW w:w="2454" w:type="dxa"/>
                  <w:vAlign w:val="center"/>
                </w:tcPr>
                <w:p w14:paraId="1B59148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0.72</w:t>
                  </w:r>
                </w:p>
              </w:tc>
            </w:tr>
            <w:tr w14:paraId="2F200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49418900">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20FEEAC4">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总</w:t>
                  </w:r>
                  <w:r>
                    <w:rPr>
                      <w:rFonts w:hint="default" w:ascii="Times New Roman" w:hAnsi="Times New Roman" w:eastAsia="宋体" w:cs="Times New Roman"/>
                      <w:color w:val="auto"/>
                      <w:kern w:val="2"/>
                      <w:sz w:val="21"/>
                      <w:szCs w:val="21"/>
                      <w:highlight w:val="none"/>
                    </w:rPr>
                    <w:t>过滤面积（m</w:t>
                  </w:r>
                  <w:r>
                    <w:rPr>
                      <w:rFonts w:hint="default" w:ascii="Times New Roman" w:hAnsi="Times New Roman" w:eastAsia="宋体" w:cs="Times New Roman"/>
                      <w:color w:val="auto"/>
                      <w:kern w:val="2"/>
                      <w:sz w:val="21"/>
                      <w:szCs w:val="21"/>
                      <w:highlight w:val="none"/>
                      <w:vertAlign w:val="superscript"/>
                    </w:rPr>
                    <w:t>2</w:t>
                  </w:r>
                  <w:r>
                    <w:rPr>
                      <w:rFonts w:hint="default" w:ascii="Times New Roman" w:hAnsi="Times New Roman" w:eastAsia="宋体" w:cs="Times New Roman"/>
                      <w:color w:val="auto"/>
                      <w:kern w:val="2"/>
                      <w:sz w:val="21"/>
                      <w:szCs w:val="21"/>
                      <w:highlight w:val="none"/>
                    </w:rPr>
                    <w:t>）</w:t>
                  </w:r>
                </w:p>
              </w:tc>
              <w:tc>
                <w:tcPr>
                  <w:tcW w:w="2454" w:type="dxa"/>
                  <w:vAlign w:val="center"/>
                </w:tcPr>
                <w:p w14:paraId="02AC038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r>
            <w:tr w14:paraId="4CA40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6AE21BFA">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381AD929">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过滤风速（m/s）</w:t>
                  </w:r>
                </w:p>
              </w:tc>
              <w:tc>
                <w:tcPr>
                  <w:tcW w:w="2454" w:type="dxa"/>
                  <w:vAlign w:val="center"/>
                </w:tcPr>
                <w:p w14:paraId="34D977F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0.5</w:t>
                  </w:r>
                </w:p>
              </w:tc>
            </w:tr>
            <w:tr w14:paraId="69139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1" w:type="pct"/>
                  <w:vMerge w:val="continue"/>
                  <w:vAlign w:val="center"/>
                </w:tcPr>
                <w:p w14:paraId="7704C798">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c>
                <w:tcPr>
                  <w:tcW w:w="2481" w:type="pct"/>
                  <w:vAlign w:val="center"/>
                </w:tcPr>
                <w:p w14:paraId="75149773">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停留时间（s）</w:t>
                  </w:r>
                </w:p>
              </w:tc>
              <w:tc>
                <w:tcPr>
                  <w:tcW w:w="2454" w:type="dxa"/>
                  <w:vAlign w:val="center"/>
                </w:tcPr>
                <w:p w14:paraId="6D95E63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0.6</w:t>
                  </w:r>
                </w:p>
              </w:tc>
            </w:tr>
            <w:tr w14:paraId="6874D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vAlign w:val="center"/>
                </w:tcPr>
                <w:p w14:paraId="0BDCBDF2">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活性炭吸附碘值（mg/g）</w:t>
                  </w:r>
                </w:p>
              </w:tc>
              <w:tc>
                <w:tcPr>
                  <w:tcW w:w="2454" w:type="dxa"/>
                  <w:vAlign w:val="center"/>
                </w:tcPr>
                <w:p w14:paraId="5730CE7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≥650</w:t>
                  </w:r>
                </w:p>
              </w:tc>
            </w:tr>
            <w:tr w14:paraId="2EF65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vAlign w:val="center"/>
                </w:tcPr>
                <w:p w14:paraId="0AA24C7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有机废气处理量（t）</w:t>
                  </w:r>
                </w:p>
              </w:tc>
              <w:tc>
                <w:tcPr>
                  <w:tcW w:w="2454" w:type="dxa"/>
                  <w:vAlign w:val="center"/>
                </w:tcPr>
                <w:p w14:paraId="1693CE8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0.0652</w:t>
                  </w:r>
                </w:p>
              </w:tc>
            </w:tr>
            <w:tr w14:paraId="0453E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shd w:val="clear" w:color="auto" w:fill="auto"/>
                  <w:vAlign w:val="center"/>
                </w:tcPr>
                <w:p w14:paraId="1854FD23">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更换次数（次/年）</w:t>
                  </w:r>
                </w:p>
              </w:tc>
              <w:tc>
                <w:tcPr>
                  <w:tcW w:w="2454" w:type="dxa"/>
                  <w:shd w:val="clear" w:color="auto" w:fill="auto"/>
                  <w:vAlign w:val="center"/>
                </w:tcPr>
                <w:p w14:paraId="15A9834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r>
            <w:tr w14:paraId="504D6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vAlign w:val="center"/>
                </w:tcPr>
                <w:p w14:paraId="47E7D33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活性炭材质</w:t>
                  </w:r>
                </w:p>
              </w:tc>
              <w:tc>
                <w:tcPr>
                  <w:tcW w:w="2454" w:type="dxa"/>
                  <w:vAlign w:val="center"/>
                </w:tcPr>
                <w:p w14:paraId="00677C82">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蜂窝活性炭块</w:t>
                  </w:r>
                </w:p>
              </w:tc>
            </w:tr>
            <w:tr w14:paraId="4F321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vAlign w:val="center"/>
                </w:tcPr>
                <w:p w14:paraId="00BB397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更换活性炭量（t）</w:t>
                  </w:r>
                </w:p>
              </w:tc>
              <w:tc>
                <w:tcPr>
                  <w:tcW w:w="2454" w:type="dxa"/>
                  <w:vAlign w:val="center"/>
                </w:tcPr>
                <w:p w14:paraId="371DDFBF">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1.44</w:t>
                  </w:r>
                </w:p>
              </w:tc>
            </w:tr>
            <w:tr w14:paraId="3DCF1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53" w:type="pct"/>
                  <w:gridSpan w:val="2"/>
                  <w:shd w:val="clear" w:color="auto" w:fill="auto"/>
                  <w:vAlign w:val="center"/>
                </w:tcPr>
                <w:p w14:paraId="1C27F42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废活性炭量（t）</w:t>
                  </w:r>
                </w:p>
              </w:tc>
              <w:tc>
                <w:tcPr>
                  <w:tcW w:w="2454" w:type="dxa"/>
                  <w:shd w:val="clear" w:color="auto" w:fill="auto"/>
                  <w:vAlign w:val="center"/>
                </w:tcPr>
                <w:p w14:paraId="2D9B13EA">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1.5</w:t>
                  </w:r>
                </w:p>
              </w:tc>
            </w:tr>
          </w:tbl>
          <w:p w14:paraId="4F7FE569">
            <w:pPr>
              <w:keepNext/>
              <w:keepLines/>
              <w:pageBreakBefore w:val="0"/>
              <w:widowControl w:val="0"/>
              <w:numPr>
                <w:ilvl w:val="5"/>
                <w:numId w:val="0"/>
              </w:numPr>
              <w:suppressLineNumbers w:val="0"/>
              <w:wordWrap w:val="0"/>
              <w:overflowPunct/>
              <w:bidi w:val="0"/>
              <w:spacing w:before="0" w:beforeAutospacing="0" w:after="0" w:afterAutospacing="0" w:line="360" w:lineRule="auto"/>
              <w:ind w:left="0" w:right="0" w:firstLine="480" w:firstLineChars="200"/>
              <w:jc w:val="both"/>
              <w:outlineLvl w:val="5"/>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根据上述分析，项目活性炭吸附装置均能满足活性炭吸附装置吸附有机废气的活性炭需求量。因此项目年产废活性炭的总量约为</w:t>
            </w:r>
            <w:r>
              <w:rPr>
                <w:rFonts w:hint="default" w:ascii="Times New Roman" w:hAnsi="Times New Roman" w:cs="Times New Roman"/>
                <w:b w:val="0"/>
                <w:bCs w:val="0"/>
                <w:color w:val="auto"/>
                <w:sz w:val="24"/>
                <w:highlight w:val="none"/>
                <w:lang w:val="en-US" w:eastAsia="zh-CN"/>
              </w:rPr>
              <w:t>1.5</w:t>
            </w:r>
            <w:r>
              <w:rPr>
                <w:rFonts w:hint="default" w:ascii="Times New Roman" w:hAnsi="Times New Roman" w:eastAsia="宋体" w:cs="Times New Roman"/>
                <w:b w:val="0"/>
                <w:bCs w:val="0"/>
                <w:color w:val="auto"/>
                <w:sz w:val="24"/>
                <w:highlight w:val="none"/>
              </w:rPr>
              <w:t>t/a。</w:t>
            </w:r>
          </w:p>
          <w:p w14:paraId="7FC80BAE">
            <w:pPr>
              <w:keepNext/>
              <w:keepLines/>
              <w:pageBreakBefore w:val="0"/>
              <w:widowControl w:val="0"/>
              <w:numPr>
                <w:ilvl w:val="5"/>
                <w:numId w:val="0"/>
              </w:numPr>
              <w:suppressLineNumbers w:val="0"/>
              <w:wordWrap w:val="0"/>
              <w:overflowPunct/>
              <w:bidi w:val="0"/>
              <w:spacing w:before="0" w:beforeAutospacing="0" w:after="0" w:afterAutospacing="0" w:line="360" w:lineRule="auto"/>
              <w:ind w:left="0" w:right="0" w:firstLine="480" w:firstLineChars="200"/>
              <w:jc w:val="both"/>
              <w:outlineLvl w:val="5"/>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④漆渣</w:t>
            </w:r>
          </w:p>
          <w:p w14:paraId="02837225">
            <w:pPr>
              <w:keepNext w:val="0"/>
              <w:keepLines w:val="0"/>
              <w:pageBreakBefore w:val="0"/>
              <w:suppressLineNumbers w:val="0"/>
              <w:wordWrap w:val="0"/>
              <w:overflowPunct/>
              <w:bidi w:val="0"/>
              <w:spacing w:before="0" w:beforeAutospacing="0" w:after="0" w:afterAutospacing="0"/>
              <w:ind w:left="0" w:right="0"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本项目喷涂过程产生的漆渣根据上文分析可知，其产生量=0.68t/a×35%-0.048t/a=0.19t/a。根据《国家危险废物名录》（202</w:t>
            </w:r>
            <w:r>
              <w:rPr>
                <w:rFonts w:hint="default" w:ascii="Times New Roman" w:hAnsi="Times New Roman"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default" w:ascii="Times New Roman" w:hAnsi="Times New Roman" w:eastAsia="宋体" w:cs="Times New Roman"/>
                <w:color w:val="auto"/>
                <w:kern w:val="2"/>
                <w:sz w:val="24"/>
                <w:szCs w:val="24"/>
                <w:highlight w:val="none"/>
                <w:lang w:val="en-US" w:eastAsia="zh-CN" w:bidi="ar-SA"/>
              </w:rPr>
              <w:t>废物类别为HW49其他废物，危废代码为900-041-49（含有或沾染毒性、感染性危险废物的废弃包装物、容器、过滤吸附介质），交由具有相关有危废处理资质单位清运处理。</w:t>
            </w:r>
          </w:p>
          <w:p w14:paraId="138F0173">
            <w:pPr>
              <w:keepNext w:val="0"/>
              <w:keepLines w:val="0"/>
              <w:pageBreakBefore w:val="0"/>
              <w:suppressLineNumbers w:val="0"/>
              <w:wordWrap w:val="0"/>
              <w:overflowPunct/>
              <w:bidi w:val="0"/>
              <w:spacing w:before="0" w:beforeAutospacing="0" w:after="0" w:afterAutospacing="0"/>
              <w:ind w:left="0" w:right="0" w:firstLine="480" w:firstLineChars="200"/>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⑤水帘柜废水</w:t>
            </w:r>
          </w:p>
          <w:p w14:paraId="1B33EC2D">
            <w:pPr>
              <w:keepNext/>
              <w:keepLines/>
              <w:pageBreakBefore w:val="0"/>
              <w:widowControl w:val="0"/>
              <w:numPr>
                <w:ilvl w:val="5"/>
                <w:numId w:val="0"/>
              </w:numPr>
              <w:suppressLineNumbers w:val="0"/>
              <w:wordWrap w:val="0"/>
              <w:overflowPunct/>
              <w:bidi w:val="0"/>
              <w:spacing w:before="0" w:beforeAutospacing="0" w:after="0" w:afterAutospacing="0" w:line="360" w:lineRule="auto"/>
              <w:ind w:left="0" w:right="0" w:firstLine="480" w:firstLineChars="200"/>
              <w:jc w:val="both"/>
              <w:outlineLvl w:val="5"/>
              <w:rPr>
                <w:rFonts w:hint="default" w:ascii="Times New Roman" w:hAnsi="Times New Roman" w:cs="Times New Roman"/>
                <w:bCs/>
                <w:color w:val="auto"/>
                <w:kern w:val="24"/>
                <w:highlight w:val="none"/>
              </w:rPr>
            </w:pPr>
            <w:r>
              <w:rPr>
                <w:rFonts w:hint="default" w:ascii="Times New Roman" w:hAnsi="Times New Roman" w:cs="Times New Roman"/>
                <w:color w:val="auto"/>
                <w:highlight w:val="none"/>
              </w:rPr>
              <w:t>本项目废气处理设施水帘柜处理</w:t>
            </w:r>
            <w:r>
              <w:rPr>
                <w:rFonts w:hint="default" w:ascii="Times New Roman" w:hAnsi="Times New Roman" w:cs="Times New Roman"/>
                <w:color w:val="auto"/>
                <w:highlight w:val="none"/>
                <w:lang w:val="en-US" w:eastAsia="zh-CN"/>
              </w:rPr>
              <w:t>漆雾</w:t>
            </w:r>
            <w:r>
              <w:rPr>
                <w:rFonts w:hint="default" w:ascii="Times New Roman" w:hAnsi="Times New Roman" w:cs="Times New Roman"/>
                <w:color w:val="auto"/>
                <w:highlight w:val="none"/>
              </w:rPr>
              <w:t>过程会产生水帘柜废水，根据前文工程分析可知，水帘柜废水产生量为</w:t>
            </w:r>
            <w:r>
              <w:rPr>
                <w:rFonts w:hint="default" w:ascii="Times New Roman" w:hAnsi="Times New Roman" w:cs="Times New Roman"/>
                <w:color w:val="auto"/>
                <w:highlight w:val="none"/>
                <w:lang w:val="en-US" w:eastAsia="zh-CN"/>
              </w:rPr>
              <w:t>3</w:t>
            </w:r>
            <w:r>
              <w:rPr>
                <w:rFonts w:hint="default" w:ascii="Times New Roman" w:hAnsi="Times New Roman" w:cs="Times New Roman"/>
                <w:bCs/>
                <w:color w:val="auto"/>
                <w:kern w:val="24"/>
                <w:highlight w:val="none"/>
              </w:rPr>
              <w:t>t/a。根据《国家危险废物名录》（202</w:t>
            </w:r>
            <w:r>
              <w:rPr>
                <w:rFonts w:hint="default" w:ascii="Times New Roman" w:hAnsi="Times New Roman" w:cs="Times New Roman"/>
                <w:bCs/>
                <w:color w:val="auto"/>
                <w:kern w:val="24"/>
                <w:highlight w:val="none"/>
                <w:lang w:val="en-US" w:eastAsia="zh-CN"/>
              </w:rPr>
              <w:t>5</w:t>
            </w:r>
            <w:r>
              <w:rPr>
                <w:rFonts w:hint="default" w:ascii="Times New Roman" w:hAnsi="Times New Roman" w:cs="Times New Roman"/>
                <w:bCs/>
                <w:color w:val="auto"/>
                <w:kern w:val="24"/>
                <w:highlight w:val="none"/>
              </w:rPr>
              <w:t>年版），水帘柜废水的废物类别为 HW12 染料、涂料废物，废物代码为 900-252-12，经收集后交由有危险废物处理资质单位处理。</w:t>
            </w:r>
          </w:p>
          <w:p w14:paraId="5954C854">
            <w:pPr>
              <w:keepNext/>
              <w:keepLines/>
              <w:pageBreakBefore w:val="0"/>
              <w:widowControl w:val="0"/>
              <w:numPr>
                <w:ilvl w:val="5"/>
                <w:numId w:val="0"/>
              </w:numPr>
              <w:suppressLineNumbers w:val="0"/>
              <w:wordWrap w:val="0"/>
              <w:overflowPunct/>
              <w:bidi w:val="0"/>
              <w:spacing w:before="0" w:beforeAutospacing="0" w:after="0" w:afterAutospacing="0" w:line="360" w:lineRule="auto"/>
              <w:ind w:left="0" w:right="0" w:firstLine="480" w:firstLineChars="200"/>
              <w:jc w:val="both"/>
              <w:outlineLvl w:val="5"/>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⑥水帘柜喷淋沉渣</w:t>
            </w:r>
          </w:p>
          <w:p w14:paraId="25206906">
            <w:pPr>
              <w:keepNext w:val="0"/>
              <w:keepLines w:val="0"/>
              <w:pageBreakBefore w:val="0"/>
              <w:widowControl w:val="0"/>
              <w:suppressLineNumbers w:val="0"/>
              <w:wordWrap w:val="0"/>
              <w:overflowPunct/>
              <w:autoSpaceDE w:val="0"/>
              <w:autoSpaceDN w:val="0"/>
              <w:bidi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本项目喷涂过程产生的水帘柜喷淋沉渣按漆雾削减量核算，其产生量</w:t>
            </w:r>
            <w:r>
              <w:rPr>
                <w:rFonts w:hint="default" w:ascii="Times New Roman" w:hAnsi="Times New Roman" w:cs="Times New Roman"/>
                <w:color w:val="auto"/>
                <w:kern w:val="2"/>
                <w:sz w:val="24"/>
                <w:szCs w:val="21"/>
                <w:highlight w:val="none"/>
                <w:lang w:val="en-US" w:eastAsia="zh-CN" w:bidi="ar-SA"/>
              </w:rPr>
              <w:t>=0.68t/a×65%-0.088t/a=0.354</w:t>
            </w:r>
            <w:r>
              <w:rPr>
                <w:rFonts w:hint="default" w:ascii="Times New Roman" w:hAnsi="Times New Roman" w:eastAsia="宋体" w:cs="Times New Roman"/>
                <w:color w:val="auto"/>
                <w:kern w:val="2"/>
                <w:sz w:val="24"/>
                <w:szCs w:val="21"/>
                <w:highlight w:val="none"/>
                <w:lang w:val="en-US" w:eastAsia="zh-CN" w:bidi="ar-SA"/>
              </w:rPr>
              <w:t>t/a。根据《国家危险废物名录》（202</w:t>
            </w:r>
            <w:r>
              <w:rPr>
                <w:rFonts w:hint="default" w:ascii="Times New Roman" w:hAnsi="Times New Roman"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default" w:ascii="Times New Roman" w:hAnsi="Times New Roman" w:eastAsia="宋体" w:cs="Times New Roman"/>
                <w:color w:val="auto"/>
                <w:kern w:val="2"/>
                <w:sz w:val="24"/>
                <w:szCs w:val="24"/>
                <w:highlight w:val="none"/>
                <w:lang w:val="en-US" w:eastAsia="zh-CN" w:bidi="ar-SA"/>
              </w:rPr>
              <w:t>废物类别为HW49其他废物，危废代码为900-041-49（含有或沾染毒性、感染性危险废物的废弃包装物、容器、过滤吸附介质），交由具有相关有危废处理资质单位清运处理。</w:t>
            </w:r>
          </w:p>
          <w:p w14:paraId="15EFA556">
            <w:pPr>
              <w:keepNext w:val="0"/>
              <w:keepLines w:val="0"/>
              <w:pageBreakBefore w:val="0"/>
              <w:suppressLineNumbers w:val="0"/>
              <w:wordWrap w:val="0"/>
              <w:overflowPunct/>
              <w:bidi w:val="0"/>
              <w:spacing w:before="0" w:beforeAutospacing="0" w:after="0" w:afterAutospacing="0"/>
              <w:ind w:left="0" w:right="0" w:firstLine="480" w:firstLineChars="200"/>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⑦喷枪清洗废液</w:t>
            </w:r>
          </w:p>
          <w:p w14:paraId="371B3F18">
            <w:pPr>
              <w:pStyle w:val="54"/>
              <w:keepNext w:val="0"/>
              <w:keepLines w:val="0"/>
              <w:pageBreakBefore w:val="0"/>
              <w:suppressLineNumbers w:val="0"/>
              <w:wordWrap w:val="0"/>
              <w:bidi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本项目使用自来水清洗喷枪，根据前文工程分析可知，产生量为0.6t/a。根据《国家危险废物名录》（202</w:t>
            </w:r>
            <w:r>
              <w:rPr>
                <w:rFonts w:hint="default" w:ascii="Times New Roman" w:hAnsi="Times New Roman"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年版），水帘柜废水的废物类别为 HW12 染料、涂料废物，废物代码为 900-252-12，经收集后交由有危险废物处理资质单位处理。</w:t>
            </w:r>
          </w:p>
          <w:p w14:paraId="52ECCB81">
            <w:pPr>
              <w:pStyle w:val="12"/>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22 </w:t>
            </w:r>
            <w:r>
              <w:rPr>
                <w:rFonts w:hint="default" w:ascii="Times New Roman" w:hAnsi="Times New Roman" w:cs="Times New Roman"/>
                <w:b/>
                <w:bCs/>
                <w:color w:val="auto"/>
                <w:highlight w:val="none"/>
              </w:rPr>
              <w:t>固体废物污染源源强核算结果及相关参数一览表</w:t>
            </w:r>
          </w:p>
          <w:tbl>
            <w:tblPr>
              <w:tblStyle w:val="36"/>
              <w:tblW w:w="91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33"/>
              <w:gridCol w:w="1149"/>
              <w:gridCol w:w="1407"/>
              <w:gridCol w:w="1524"/>
              <w:gridCol w:w="720"/>
              <w:gridCol w:w="678"/>
              <w:gridCol w:w="892"/>
              <w:gridCol w:w="1080"/>
              <w:gridCol w:w="846"/>
            </w:tblGrid>
            <w:tr w14:paraId="796C8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23045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工序/生产线</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F0B71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装置</w:t>
                  </w:r>
                </w:p>
              </w:tc>
              <w:tc>
                <w:tcPr>
                  <w:tcW w:w="7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43A20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固体废物名称</w:t>
                  </w:r>
                </w:p>
              </w:tc>
              <w:tc>
                <w:tcPr>
                  <w:tcW w:w="8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D090F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代码</w:t>
                  </w:r>
                </w:p>
              </w:tc>
              <w:tc>
                <w:tcPr>
                  <w:tcW w:w="3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257C6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固废属性</w:t>
                  </w:r>
                </w:p>
              </w:tc>
              <w:tc>
                <w:tcPr>
                  <w:tcW w:w="85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820333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产生情况</w:t>
                  </w:r>
                </w:p>
              </w:tc>
              <w:tc>
                <w:tcPr>
                  <w:tcW w:w="105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8874E1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处置措施</w:t>
                  </w:r>
                </w:p>
              </w:tc>
            </w:tr>
            <w:tr w14:paraId="71457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ECB96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CAD41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7DC02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6EE6A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82181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D95CD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核算方法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1B2C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p>
              </w:tc>
              <w:tc>
                <w:tcPr>
                  <w:tcW w:w="5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8C707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w:t>
                  </w:r>
                </w:p>
              </w:tc>
              <w:tc>
                <w:tcPr>
                  <w:tcW w:w="4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DCC3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处置量t/a</w:t>
                  </w:r>
                </w:p>
              </w:tc>
            </w:tr>
            <w:tr w14:paraId="567CE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DA990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B8BE0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20CA7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31953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4A5F9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130A5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B884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33E6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2F71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06575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tcBorders>
                    <w:top w:val="single" w:color="000000" w:sz="4" w:space="0"/>
                    <w:left w:val="single" w:color="000000" w:sz="4" w:space="0"/>
                    <w:right w:val="single" w:color="000000" w:sz="4" w:space="0"/>
                  </w:tcBorders>
                  <w:shd w:val="clear" w:color="auto" w:fill="auto"/>
                  <w:vAlign w:val="center"/>
                </w:tcPr>
                <w:p w14:paraId="540911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办公生活</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0A1D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垃圾桶</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E1B3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470E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eastAsia="zh-CN"/>
                    </w:rPr>
                    <w:t>900-099-S64</w:t>
                  </w:r>
                </w:p>
              </w:tc>
              <w:tc>
                <w:tcPr>
                  <w:tcW w:w="394" w:type="pct"/>
                  <w:vMerge w:val="restart"/>
                  <w:tcBorders>
                    <w:top w:val="single" w:color="000000" w:sz="4" w:space="0"/>
                    <w:left w:val="single" w:color="000000" w:sz="4" w:space="0"/>
                    <w:right w:val="single" w:color="000000" w:sz="4" w:space="0"/>
                  </w:tcBorders>
                  <w:shd w:val="clear" w:color="auto" w:fill="auto"/>
                  <w:vAlign w:val="center"/>
                </w:tcPr>
                <w:p w14:paraId="00745C6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一般固体废物</w:t>
                  </w: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20438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915A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12</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D2C8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交由环卫部门清运</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9E6D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12</w:t>
                  </w:r>
                </w:p>
              </w:tc>
            </w:tr>
            <w:tr w14:paraId="439DF4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6" w:type="pct"/>
                  <w:tcBorders>
                    <w:top w:val="single" w:color="000000" w:sz="4" w:space="0"/>
                    <w:left w:val="single" w:color="000000" w:sz="4" w:space="0"/>
                    <w:right w:val="single" w:color="000000" w:sz="4" w:space="0"/>
                  </w:tcBorders>
                  <w:shd w:val="clear" w:color="auto" w:fill="auto"/>
                  <w:vAlign w:val="center"/>
                </w:tcPr>
                <w:p w14:paraId="7194CCD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C61A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2672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包装废料</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DC77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eastAsia="宋体" w:cs="Times New Roman"/>
                      <w:i w:val="0"/>
                      <w:iCs w:val="0"/>
                      <w:color w:val="auto"/>
                      <w:sz w:val="21"/>
                      <w:szCs w:val="21"/>
                      <w:highlight w:val="none"/>
                      <w:u w:val="none"/>
                      <w:lang w:eastAsia="zh-CN"/>
                    </w:rPr>
                    <w:t>900-003-S17、</w:t>
                  </w:r>
                  <w:r>
                    <w:rPr>
                      <w:rFonts w:hint="default" w:ascii="Times New Roman" w:hAnsi="Times New Roman" w:eastAsia="宋体" w:cs="Times New Roman"/>
                      <w:i w:val="0"/>
                      <w:iCs w:val="0"/>
                      <w:color w:val="auto"/>
                      <w:sz w:val="21"/>
                      <w:szCs w:val="21"/>
                      <w:highlight w:val="none"/>
                      <w:u w:val="none"/>
                      <w:lang w:val="en-US" w:eastAsia="zh-CN"/>
                    </w:rPr>
                    <w:t>900-005-S17、900-007-S17</w:t>
                  </w:r>
                </w:p>
              </w:tc>
              <w:tc>
                <w:tcPr>
                  <w:tcW w:w="394" w:type="pct"/>
                  <w:vMerge w:val="continue"/>
                  <w:tcBorders>
                    <w:left w:val="single" w:color="000000" w:sz="4" w:space="0"/>
                    <w:right w:val="single" w:color="000000" w:sz="4" w:space="0"/>
                  </w:tcBorders>
                  <w:shd w:val="clear" w:color="auto" w:fill="auto"/>
                  <w:vAlign w:val="center"/>
                </w:tcPr>
                <w:p w14:paraId="483F163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4C99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6FD4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91" w:type="pct"/>
                  <w:vMerge w:val="restart"/>
                  <w:tcBorders>
                    <w:top w:val="single" w:color="000000" w:sz="4" w:space="0"/>
                    <w:left w:val="single" w:color="000000" w:sz="4" w:space="0"/>
                    <w:right w:val="single" w:color="000000" w:sz="4" w:space="0"/>
                  </w:tcBorders>
                  <w:shd w:val="clear" w:color="auto" w:fill="auto"/>
                  <w:vAlign w:val="center"/>
                </w:tcPr>
                <w:p w14:paraId="793AD57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统一收集后外售至资源回收利用单位</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4A4F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r>
            <w:tr w14:paraId="0BF00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6" w:hRule="atLeast"/>
                <w:jc w:val="center"/>
              </w:trPr>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F17F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废气处理</w:t>
                  </w:r>
                </w:p>
              </w:tc>
              <w:tc>
                <w:tcPr>
                  <w:tcW w:w="629" w:type="pct"/>
                  <w:tcBorders>
                    <w:top w:val="single" w:color="000000" w:sz="4" w:space="0"/>
                    <w:left w:val="single" w:color="000000" w:sz="4" w:space="0"/>
                    <w:right w:val="single" w:color="000000" w:sz="4" w:space="0"/>
                  </w:tcBorders>
                  <w:shd w:val="clear" w:color="auto" w:fill="auto"/>
                  <w:vAlign w:val="center"/>
                </w:tcPr>
                <w:p w14:paraId="3CD9550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移动式布袋除尘器</w:t>
                  </w:r>
                </w:p>
              </w:tc>
              <w:tc>
                <w:tcPr>
                  <w:tcW w:w="770" w:type="pct"/>
                  <w:tcBorders>
                    <w:top w:val="single" w:color="000000" w:sz="4" w:space="0"/>
                    <w:left w:val="single" w:color="000000" w:sz="4" w:space="0"/>
                    <w:right w:val="single" w:color="000000" w:sz="4" w:space="0"/>
                  </w:tcBorders>
                  <w:shd w:val="clear" w:color="auto" w:fill="auto"/>
                  <w:vAlign w:val="center"/>
                </w:tcPr>
                <w:p w14:paraId="6B714E4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w:t>
                  </w:r>
                  <w:r>
                    <w:rPr>
                      <w:rFonts w:hint="default" w:ascii="Times New Roman" w:hAnsi="Times New Roman" w:cs="Times New Roman"/>
                      <w:i w:val="0"/>
                      <w:iCs w:val="0"/>
                      <w:color w:val="auto"/>
                      <w:kern w:val="0"/>
                      <w:sz w:val="21"/>
                      <w:szCs w:val="21"/>
                      <w:highlight w:val="none"/>
                      <w:u w:val="none"/>
                      <w:lang w:val="en-US" w:eastAsia="zh-CN" w:bidi="ar"/>
                    </w:rPr>
                    <w:t>布袋</w:t>
                  </w:r>
                </w:p>
              </w:tc>
              <w:tc>
                <w:tcPr>
                  <w:tcW w:w="834" w:type="pct"/>
                  <w:tcBorders>
                    <w:top w:val="single" w:color="000000" w:sz="4" w:space="0"/>
                    <w:left w:val="single" w:color="000000" w:sz="4" w:space="0"/>
                    <w:right w:val="single" w:color="000000" w:sz="4" w:space="0"/>
                  </w:tcBorders>
                  <w:shd w:val="clear" w:color="auto" w:fill="auto"/>
                  <w:vAlign w:val="center"/>
                </w:tcPr>
                <w:p w14:paraId="761D3F3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900-099-S59</w:t>
                  </w:r>
                </w:p>
              </w:tc>
              <w:tc>
                <w:tcPr>
                  <w:tcW w:w="394" w:type="pct"/>
                  <w:vMerge w:val="continue"/>
                  <w:tcBorders>
                    <w:left w:val="single" w:color="000000" w:sz="4" w:space="0"/>
                    <w:right w:val="single" w:color="000000" w:sz="4" w:space="0"/>
                  </w:tcBorders>
                  <w:shd w:val="clear" w:color="auto" w:fill="auto"/>
                  <w:vAlign w:val="center"/>
                </w:tcPr>
                <w:p w14:paraId="46A5F2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320EF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right w:val="single" w:color="000000" w:sz="4" w:space="0"/>
                  </w:tcBorders>
                  <w:shd w:val="clear" w:color="auto" w:fill="auto"/>
                  <w:vAlign w:val="center"/>
                </w:tcPr>
                <w:p w14:paraId="3713E81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0.0119</w:t>
                  </w:r>
                </w:p>
              </w:tc>
              <w:tc>
                <w:tcPr>
                  <w:tcW w:w="591" w:type="pct"/>
                  <w:vMerge w:val="continue"/>
                  <w:tcBorders>
                    <w:left w:val="single" w:color="000000" w:sz="4" w:space="0"/>
                    <w:right w:val="single" w:color="000000" w:sz="4" w:space="0"/>
                  </w:tcBorders>
                  <w:shd w:val="clear" w:color="auto" w:fill="auto"/>
                  <w:vAlign w:val="center"/>
                </w:tcPr>
                <w:p w14:paraId="49AAE98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68D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0.0119</w:t>
                  </w:r>
                </w:p>
              </w:tc>
            </w:tr>
            <w:tr w14:paraId="5710E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08861F9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废气处理</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CF620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二级活性炭吸附装置</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4ED6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废活性炭</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7DF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w:t>
                  </w:r>
                  <w:r>
                    <w:rPr>
                      <w:rFonts w:hint="default" w:ascii="Times New Roman" w:hAnsi="Times New Roman" w:cs="Times New Roman"/>
                      <w:i w:val="0"/>
                      <w:iCs w:val="0"/>
                      <w:color w:val="auto"/>
                      <w:kern w:val="0"/>
                      <w:sz w:val="21"/>
                      <w:szCs w:val="21"/>
                      <w:highlight w:val="none"/>
                      <w:u w:val="none"/>
                      <w:lang w:val="en-US" w:eastAsia="zh-CN" w:bidi="ar"/>
                    </w:rPr>
                    <w:t>39</w:t>
                  </w: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3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87F7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危险废物</w:t>
                  </w: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24C53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593B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1.5</w:t>
                  </w:r>
                </w:p>
              </w:tc>
              <w:tc>
                <w:tcPr>
                  <w:tcW w:w="5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B5B6B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交由有资质单位处理</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A20F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1.5</w:t>
                  </w:r>
                </w:p>
              </w:tc>
            </w:tr>
            <w:tr w14:paraId="3FF47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456" w:type="pct"/>
                  <w:vMerge w:val="continue"/>
                  <w:tcBorders>
                    <w:left w:val="single" w:color="000000" w:sz="4" w:space="0"/>
                    <w:right w:val="single" w:color="000000" w:sz="4" w:space="0"/>
                  </w:tcBorders>
                  <w:shd w:val="clear" w:color="auto" w:fill="auto"/>
                  <w:vAlign w:val="center"/>
                </w:tcPr>
                <w:p w14:paraId="5F4FE04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D1B4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34B4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水帘柜废水</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EA713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kern w:val="24"/>
                      <w:sz w:val="21"/>
                      <w:szCs w:val="21"/>
                      <w:highlight w:val="none"/>
                    </w:rPr>
                    <w:t>900-252-12</w:t>
                  </w:r>
                </w:p>
              </w:tc>
              <w:tc>
                <w:tcPr>
                  <w:tcW w:w="394" w:type="pct"/>
                  <w:vMerge w:val="continue"/>
                  <w:tcBorders>
                    <w:left w:val="single" w:color="000000" w:sz="4" w:space="0"/>
                    <w:right w:val="single" w:color="000000" w:sz="4" w:space="0"/>
                  </w:tcBorders>
                  <w:shd w:val="clear" w:color="auto" w:fill="auto"/>
                  <w:vAlign w:val="center"/>
                </w:tcPr>
                <w:p w14:paraId="74603A9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FD66D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D2021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591" w:type="pct"/>
                  <w:vMerge w:val="continue"/>
                  <w:tcBorders>
                    <w:left w:val="single" w:color="000000" w:sz="4" w:space="0"/>
                    <w:right w:val="single" w:color="000000" w:sz="4" w:space="0"/>
                  </w:tcBorders>
                  <w:shd w:val="clear" w:color="auto" w:fill="auto"/>
                  <w:vAlign w:val="center"/>
                </w:tcPr>
                <w:p w14:paraId="74E748C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7F928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r>
            <w:tr w14:paraId="1B89F3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4DBE67A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BA08F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345C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水帘柜喷淋沉渣</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332A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Cs/>
                      <w:color w:val="auto"/>
                      <w:kern w:val="24"/>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900-041-49</w:t>
                  </w:r>
                </w:p>
              </w:tc>
              <w:tc>
                <w:tcPr>
                  <w:tcW w:w="394" w:type="pct"/>
                  <w:vMerge w:val="continue"/>
                  <w:tcBorders>
                    <w:left w:val="single" w:color="000000" w:sz="4" w:space="0"/>
                    <w:right w:val="single" w:color="000000" w:sz="4" w:space="0"/>
                  </w:tcBorders>
                  <w:shd w:val="clear" w:color="auto" w:fill="auto"/>
                  <w:vAlign w:val="center"/>
                </w:tcPr>
                <w:p w14:paraId="5B70616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F4197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EDE0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0.354</w:t>
                  </w:r>
                </w:p>
              </w:tc>
              <w:tc>
                <w:tcPr>
                  <w:tcW w:w="591" w:type="pct"/>
                  <w:vMerge w:val="continue"/>
                  <w:tcBorders>
                    <w:left w:val="single" w:color="000000" w:sz="4" w:space="0"/>
                    <w:right w:val="single" w:color="000000" w:sz="4" w:space="0"/>
                  </w:tcBorders>
                  <w:shd w:val="clear" w:color="auto" w:fill="auto"/>
                  <w:vAlign w:val="center"/>
                </w:tcPr>
                <w:p w14:paraId="3C17790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606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0.354</w:t>
                  </w:r>
                </w:p>
              </w:tc>
            </w:tr>
            <w:tr w14:paraId="3C6C4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5E43A13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DA209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喷漆机</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35BA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漆渣</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55A8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900-041-49</w:t>
                  </w:r>
                </w:p>
              </w:tc>
              <w:tc>
                <w:tcPr>
                  <w:tcW w:w="394" w:type="pct"/>
                  <w:vMerge w:val="continue"/>
                  <w:tcBorders>
                    <w:left w:val="single" w:color="000000" w:sz="4" w:space="0"/>
                    <w:right w:val="single" w:color="000000" w:sz="4" w:space="0"/>
                  </w:tcBorders>
                  <w:shd w:val="clear" w:color="auto" w:fill="auto"/>
                  <w:vAlign w:val="center"/>
                </w:tcPr>
                <w:p w14:paraId="52DFC3B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08AED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E106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0.19</w:t>
                  </w:r>
                </w:p>
              </w:tc>
              <w:tc>
                <w:tcPr>
                  <w:tcW w:w="591" w:type="pct"/>
                  <w:vMerge w:val="continue"/>
                  <w:tcBorders>
                    <w:left w:val="single" w:color="000000" w:sz="4" w:space="0"/>
                    <w:right w:val="single" w:color="000000" w:sz="4" w:space="0"/>
                  </w:tcBorders>
                  <w:shd w:val="clear" w:color="auto" w:fill="auto"/>
                  <w:vAlign w:val="center"/>
                </w:tcPr>
                <w:p w14:paraId="5508388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C541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0.19</w:t>
                  </w:r>
                </w:p>
              </w:tc>
            </w:tr>
            <w:tr w14:paraId="33F911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73EEEC2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5DCE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喷漆机</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CF83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喷枪清洗废液</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B7D9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900-252-12</w:t>
                  </w:r>
                </w:p>
              </w:tc>
              <w:tc>
                <w:tcPr>
                  <w:tcW w:w="394" w:type="pct"/>
                  <w:vMerge w:val="continue"/>
                  <w:tcBorders>
                    <w:left w:val="single" w:color="000000" w:sz="4" w:space="0"/>
                    <w:right w:val="single" w:color="000000" w:sz="4" w:space="0"/>
                  </w:tcBorders>
                  <w:shd w:val="clear" w:color="auto" w:fill="auto"/>
                  <w:vAlign w:val="center"/>
                </w:tcPr>
                <w:p w14:paraId="06E572E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CB3E5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36033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0.6</w:t>
                  </w:r>
                </w:p>
              </w:tc>
              <w:tc>
                <w:tcPr>
                  <w:tcW w:w="591" w:type="pct"/>
                  <w:vMerge w:val="continue"/>
                  <w:tcBorders>
                    <w:left w:val="single" w:color="000000" w:sz="4" w:space="0"/>
                    <w:right w:val="single" w:color="000000" w:sz="4" w:space="0"/>
                  </w:tcBorders>
                  <w:shd w:val="clear" w:color="auto" w:fill="auto"/>
                  <w:vAlign w:val="center"/>
                </w:tcPr>
                <w:p w14:paraId="2EAC587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D31A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0.6</w:t>
                  </w:r>
                </w:p>
              </w:tc>
            </w:tr>
            <w:tr w14:paraId="73F68C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6DF3A02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设备保养</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0E444EA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设备保养</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A5E0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废机油</w:t>
                  </w:r>
                  <w:r>
                    <w:rPr>
                      <w:rFonts w:hint="default" w:ascii="Times New Roman" w:hAnsi="Times New Roman" w:cs="Times New Roman"/>
                      <w:i w:val="0"/>
                      <w:iCs w:val="0"/>
                      <w:color w:val="auto"/>
                      <w:kern w:val="0"/>
                      <w:sz w:val="21"/>
                      <w:szCs w:val="21"/>
                      <w:highlight w:val="none"/>
                      <w:u w:val="none"/>
                      <w:lang w:val="en-US" w:eastAsia="zh-CN" w:bidi="ar"/>
                    </w:rPr>
                    <w:t>及</w:t>
                  </w:r>
                  <w:r>
                    <w:rPr>
                      <w:rFonts w:hint="default" w:ascii="Times New Roman" w:hAnsi="Times New Roman" w:eastAsia="宋体" w:cs="Times New Roman"/>
                      <w:i w:val="0"/>
                      <w:iCs w:val="0"/>
                      <w:color w:val="auto"/>
                      <w:kern w:val="0"/>
                      <w:sz w:val="21"/>
                      <w:szCs w:val="21"/>
                      <w:highlight w:val="none"/>
                      <w:u w:val="none"/>
                      <w:lang w:val="en-US" w:eastAsia="zh-CN" w:bidi="ar"/>
                    </w:rPr>
                    <w:t>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D8776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2275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DE0BB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8193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0.205</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77418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07F3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0.205</w:t>
                  </w:r>
                </w:p>
              </w:tc>
            </w:tr>
            <w:tr w14:paraId="78F05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6C12B9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542BD30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3D31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含油废抹布</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0C77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5348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53C4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8CC7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0.001</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55163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D7A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0.001</w:t>
                  </w:r>
                </w:p>
              </w:tc>
            </w:tr>
          </w:tbl>
          <w:p w14:paraId="7444C1B1">
            <w:pPr>
              <w:keepNext/>
              <w:keepLines/>
              <w:pageBreakBefore w:val="0"/>
              <w:suppressLineNumbers w:val="0"/>
              <w:tabs>
                <w:tab w:val="left" w:pos="0"/>
              </w:tabs>
              <w:wordWrap w:val="0"/>
              <w:bidi w:val="0"/>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2、固体废物贮存和处置情况</w:t>
            </w:r>
          </w:p>
          <w:p w14:paraId="5FEBEDCD">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bookmarkStart w:id="132" w:name="_Ref10526"/>
            <w:r>
              <w:rPr>
                <w:rFonts w:hint="default" w:ascii="Times New Roman" w:hAnsi="Times New Roman" w:cs="Times New Roman"/>
                <w:color w:val="auto"/>
                <w:highlight w:val="none"/>
              </w:rPr>
              <w:t>生活垃圾交由环卫部门清运，包装废料、</w:t>
            </w:r>
            <w:r>
              <w:rPr>
                <w:rFonts w:hint="default" w:ascii="Times New Roman" w:hAnsi="Times New Roman" w:cs="Times New Roman"/>
                <w:color w:val="auto"/>
                <w:highlight w:val="none"/>
                <w:lang w:val="en-US" w:eastAsia="zh-CN"/>
              </w:rPr>
              <w:t>废布袋</w:t>
            </w:r>
            <w:r>
              <w:rPr>
                <w:rFonts w:hint="default" w:ascii="Times New Roman" w:hAnsi="Times New Roman" w:cs="Times New Roman"/>
                <w:color w:val="auto"/>
                <w:highlight w:val="none"/>
              </w:rPr>
              <w:t>交由资源回收利用单位，</w:t>
            </w:r>
            <w:r>
              <w:rPr>
                <w:rFonts w:hint="default" w:ascii="Times New Roman" w:hAnsi="Times New Roman" w:cs="Times New Roman"/>
                <w:color w:val="auto"/>
                <w:highlight w:val="none"/>
                <w:lang w:val="en-US" w:eastAsia="zh-CN"/>
              </w:rPr>
              <w:t>废活性炭</w:t>
            </w:r>
            <w:r>
              <w:rPr>
                <w:rFonts w:hint="default" w:ascii="Times New Roman" w:hAnsi="Times New Roman" w:cs="Times New Roman"/>
                <w:color w:val="auto"/>
                <w:highlight w:val="none"/>
              </w:rPr>
              <w:t>废机油空桶、废机油</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rPr>
              <w:t>桶、</w:t>
            </w:r>
            <w:r>
              <w:rPr>
                <w:rFonts w:hint="default" w:ascii="Times New Roman" w:hAnsi="Times New Roman" w:cs="Times New Roman"/>
                <w:color w:val="auto"/>
                <w:highlight w:val="none"/>
                <w:lang w:val="en-US" w:eastAsia="zh-CN"/>
              </w:rPr>
              <w:t>含油废抹布、水帘柜废水、水帘柜喷淋沉渣、漆渣、喷枪清洗废液</w:t>
            </w:r>
            <w:r>
              <w:rPr>
                <w:rFonts w:hint="default" w:ascii="Times New Roman" w:hAnsi="Times New Roman" w:cs="Times New Roman"/>
                <w:color w:val="auto"/>
                <w:highlight w:val="none"/>
              </w:rPr>
              <w:t>委托有危险废物资质单位处理。</w:t>
            </w:r>
          </w:p>
          <w:p w14:paraId="09B56AF7">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61F981F0">
            <w:pPr>
              <w:pStyle w:val="12"/>
              <w:keepNext w:val="0"/>
              <w:keepLines w:val="0"/>
              <w:pageBreakBefore w:val="0"/>
              <w:numPr>
                <w:ilvl w:val="0"/>
                <w:numId w:val="0"/>
              </w:numPr>
              <w:suppressLineNumbers w:val="0"/>
              <w:tabs>
                <w:tab w:val="left" w:pos="0"/>
              </w:tabs>
              <w:wordWrap w:val="0"/>
              <w:bidi w:val="0"/>
              <w:spacing w:before="0" w:beforeAutospacing="0" w:after="0" w:afterAutospacing="0" w:line="240" w:lineRule="auto"/>
              <w:ind w:left="0" w:leftChars="0" w:right="0" w:rightChars="0" w:firstLine="40" w:firstLineChars="0"/>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24 </w:t>
            </w:r>
            <w:r>
              <w:rPr>
                <w:rFonts w:hint="default" w:ascii="Times New Roman" w:hAnsi="Times New Roman" w:cs="Times New Roman"/>
                <w:b/>
                <w:bCs/>
                <w:color w:val="auto"/>
                <w:highlight w:val="none"/>
              </w:rPr>
              <w:t>危险废物汇总表</w:t>
            </w:r>
          </w:p>
          <w:tbl>
            <w:tblPr>
              <w:tblStyle w:val="3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775"/>
              <w:gridCol w:w="1196"/>
              <w:gridCol w:w="689"/>
              <w:gridCol w:w="885"/>
              <w:gridCol w:w="595"/>
              <w:gridCol w:w="606"/>
              <w:gridCol w:w="678"/>
              <w:gridCol w:w="600"/>
              <w:gridCol w:w="658"/>
              <w:gridCol w:w="658"/>
              <w:gridCol w:w="696"/>
            </w:tblGrid>
            <w:tr w14:paraId="04D93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67278A9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危险废物名称</w:t>
                  </w:r>
                </w:p>
              </w:tc>
              <w:tc>
                <w:tcPr>
                  <w:tcW w:w="425" w:type="pct"/>
                  <w:vAlign w:val="center"/>
                </w:tcPr>
                <w:p w14:paraId="15BCA67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危险废物类别</w:t>
                  </w:r>
                </w:p>
              </w:tc>
              <w:tc>
                <w:tcPr>
                  <w:tcW w:w="656" w:type="pct"/>
                  <w:vAlign w:val="center"/>
                </w:tcPr>
                <w:p w14:paraId="096B07EC">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危险废物代码</w:t>
                  </w:r>
                </w:p>
              </w:tc>
              <w:tc>
                <w:tcPr>
                  <w:tcW w:w="378" w:type="pct"/>
                  <w:vAlign w:val="center"/>
                </w:tcPr>
                <w:p w14:paraId="7D36C8BE">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产生量t/a</w:t>
                  </w:r>
                </w:p>
              </w:tc>
              <w:tc>
                <w:tcPr>
                  <w:tcW w:w="485" w:type="pct"/>
                  <w:vAlign w:val="center"/>
                </w:tcPr>
                <w:p w14:paraId="558E4415">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产生工序及装置</w:t>
                  </w:r>
                </w:p>
              </w:tc>
              <w:tc>
                <w:tcPr>
                  <w:tcW w:w="326" w:type="pct"/>
                  <w:vAlign w:val="center"/>
                </w:tcPr>
                <w:p w14:paraId="11B0E61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形态</w:t>
                  </w:r>
                </w:p>
              </w:tc>
              <w:tc>
                <w:tcPr>
                  <w:tcW w:w="332" w:type="pct"/>
                  <w:vAlign w:val="center"/>
                </w:tcPr>
                <w:p w14:paraId="3A720AAD">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主要成分</w:t>
                  </w:r>
                </w:p>
              </w:tc>
              <w:tc>
                <w:tcPr>
                  <w:tcW w:w="372" w:type="pct"/>
                  <w:vAlign w:val="center"/>
                </w:tcPr>
                <w:p w14:paraId="30B5081A">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有害成分</w:t>
                  </w:r>
                </w:p>
              </w:tc>
              <w:tc>
                <w:tcPr>
                  <w:tcW w:w="329" w:type="pct"/>
                  <w:vAlign w:val="center"/>
                </w:tcPr>
                <w:p w14:paraId="2AC74FEC">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产废周期</w:t>
                  </w:r>
                </w:p>
              </w:tc>
              <w:tc>
                <w:tcPr>
                  <w:tcW w:w="361" w:type="pct"/>
                  <w:vAlign w:val="center"/>
                </w:tcPr>
                <w:p w14:paraId="7701C8C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cs="Times New Roman"/>
                      <w:b/>
                      <w:bCs/>
                      <w:color w:val="auto"/>
                      <w:kern w:val="2"/>
                      <w:sz w:val="21"/>
                      <w:szCs w:val="21"/>
                      <w:highlight w:val="none"/>
                      <w:lang w:val="en-US" w:eastAsia="zh-CN"/>
                    </w:rPr>
                    <w:t>贮存周期</w:t>
                  </w:r>
                </w:p>
              </w:tc>
              <w:tc>
                <w:tcPr>
                  <w:tcW w:w="361" w:type="pct"/>
                  <w:vAlign w:val="center"/>
                </w:tcPr>
                <w:p w14:paraId="4086EBA6">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危险特性</w:t>
                  </w:r>
                </w:p>
              </w:tc>
              <w:tc>
                <w:tcPr>
                  <w:tcW w:w="381" w:type="pct"/>
                  <w:vAlign w:val="center"/>
                </w:tcPr>
                <w:p w14:paraId="7E747F5E">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污染防治措施</w:t>
                  </w:r>
                </w:p>
              </w:tc>
            </w:tr>
            <w:tr w14:paraId="7E0F1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89" w:type="pct"/>
                  <w:vAlign w:val="center"/>
                </w:tcPr>
                <w:p w14:paraId="2672AC1C">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eastAsia="zh-CN"/>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lang w:val="en-US" w:eastAsia="zh-CN"/>
                    </w:rPr>
                    <w:t>活性炭</w:t>
                  </w:r>
                </w:p>
              </w:tc>
              <w:tc>
                <w:tcPr>
                  <w:tcW w:w="425" w:type="pct"/>
                  <w:vAlign w:val="center"/>
                </w:tcPr>
                <w:p w14:paraId="587DB1B8">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56" w:type="pct"/>
                  <w:vAlign w:val="center"/>
                </w:tcPr>
                <w:p w14:paraId="36F608D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w:t>
                  </w:r>
                  <w:r>
                    <w:rPr>
                      <w:rFonts w:hint="default" w:ascii="Times New Roman" w:hAnsi="Times New Roman" w:cs="Times New Roman"/>
                      <w:i w:val="0"/>
                      <w:iCs w:val="0"/>
                      <w:color w:val="auto"/>
                      <w:kern w:val="0"/>
                      <w:sz w:val="21"/>
                      <w:szCs w:val="21"/>
                      <w:highlight w:val="none"/>
                      <w:u w:val="none"/>
                      <w:lang w:val="en-US" w:eastAsia="zh-CN" w:bidi="ar"/>
                    </w:rPr>
                    <w:t>39</w:t>
                  </w: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378" w:type="pct"/>
                  <w:vAlign w:val="center"/>
                </w:tcPr>
                <w:p w14:paraId="60ADA413">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bidi="ar"/>
                    </w:rPr>
                    <w:t>1.48</w:t>
                  </w:r>
                </w:p>
              </w:tc>
              <w:tc>
                <w:tcPr>
                  <w:tcW w:w="485" w:type="pct"/>
                  <w:vAlign w:val="center"/>
                </w:tcPr>
                <w:p w14:paraId="1B6E180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废气处理</w:t>
                  </w:r>
                </w:p>
              </w:tc>
              <w:tc>
                <w:tcPr>
                  <w:tcW w:w="326" w:type="pct"/>
                  <w:vAlign w:val="center"/>
                </w:tcPr>
                <w:p w14:paraId="2E78F39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5FE9979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活性炭</w:t>
                  </w:r>
                </w:p>
              </w:tc>
              <w:tc>
                <w:tcPr>
                  <w:tcW w:w="372" w:type="pct"/>
                  <w:vAlign w:val="center"/>
                </w:tcPr>
                <w:p w14:paraId="3454F52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挥发性有机物</w:t>
                  </w:r>
                </w:p>
              </w:tc>
              <w:tc>
                <w:tcPr>
                  <w:tcW w:w="329" w:type="pct"/>
                  <w:vAlign w:val="center"/>
                </w:tcPr>
                <w:p w14:paraId="01B3B17F">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个月</w:t>
                  </w:r>
                </w:p>
              </w:tc>
              <w:tc>
                <w:tcPr>
                  <w:tcW w:w="361" w:type="pct"/>
                  <w:vAlign w:val="center"/>
                </w:tcPr>
                <w:p w14:paraId="6BEF4B32">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3个月</w:t>
                  </w:r>
                </w:p>
              </w:tc>
              <w:tc>
                <w:tcPr>
                  <w:tcW w:w="361" w:type="pct"/>
                  <w:vAlign w:val="center"/>
                </w:tcPr>
                <w:p w14:paraId="5C87D7A3">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1" w:type="pct"/>
                  <w:vMerge w:val="restart"/>
                  <w:vAlign w:val="center"/>
                </w:tcPr>
                <w:p w14:paraId="5B3EBC46">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color w:val="auto"/>
                      <w:kern w:val="2"/>
                      <w:position w:val="-10"/>
                      <w:sz w:val="21"/>
                      <w:szCs w:val="21"/>
                      <w:highlight w:val="none"/>
                      <w:lang w:val="en-US" w:eastAsia="zh-CN" w:bidi="ar-SA"/>
                    </w:rPr>
                    <w:t>暂存在危险废物暂存间，定期由危废资质单位处理。</w:t>
                  </w:r>
                </w:p>
              </w:tc>
            </w:tr>
            <w:tr w14:paraId="00B98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04E0AA7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废机油</w:t>
                  </w:r>
                  <w:r>
                    <w:rPr>
                      <w:rFonts w:hint="default" w:ascii="Times New Roman" w:hAnsi="Times New Roman" w:cs="Times New Roman"/>
                      <w:color w:val="auto"/>
                      <w:kern w:val="2"/>
                      <w:position w:val="0"/>
                      <w:sz w:val="21"/>
                      <w:szCs w:val="21"/>
                      <w:highlight w:val="none"/>
                      <w:lang w:val="en-US" w:eastAsia="zh-CN"/>
                    </w:rPr>
                    <w:t>及</w:t>
                  </w:r>
                  <w:r>
                    <w:rPr>
                      <w:rFonts w:hint="default" w:ascii="Times New Roman" w:hAnsi="Times New Roman" w:cs="Times New Roman"/>
                      <w:color w:val="auto"/>
                      <w:kern w:val="2"/>
                      <w:position w:val="0"/>
                      <w:sz w:val="21"/>
                      <w:szCs w:val="21"/>
                      <w:highlight w:val="none"/>
                    </w:rPr>
                    <w:t>桶</w:t>
                  </w:r>
                </w:p>
              </w:tc>
              <w:tc>
                <w:tcPr>
                  <w:tcW w:w="425" w:type="pct"/>
                  <w:vAlign w:val="center"/>
                </w:tcPr>
                <w:p w14:paraId="036B9398">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56" w:type="pct"/>
                  <w:vAlign w:val="center"/>
                </w:tcPr>
                <w:p w14:paraId="2187D587">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78" w:type="pct"/>
                  <w:vAlign w:val="center"/>
                </w:tcPr>
                <w:p w14:paraId="10DE62F6">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0.205</w:t>
                  </w:r>
                </w:p>
              </w:tc>
              <w:tc>
                <w:tcPr>
                  <w:tcW w:w="485" w:type="pct"/>
                  <w:vAlign w:val="center"/>
                </w:tcPr>
                <w:p w14:paraId="1DB5826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设备保养</w:t>
                  </w:r>
                </w:p>
              </w:tc>
              <w:tc>
                <w:tcPr>
                  <w:tcW w:w="326" w:type="pct"/>
                  <w:vAlign w:val="center"/>
                </w:tcPr>
                <w:p w14:paraId="1E16E4A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25D73CE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矿物油</w:t>
                  </w:r>
                </w:p>
              </w:tc>
              <w:tc>
                <w:tcPr>
                  <w:tcW w:w="372" w:type="pct"/>
                  <w:vAlign w:val="center"/>
                </w:tcPr>
                <w:p w14:paraId="089F05CB">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eastAsia="zh-CN"/>
                    </w:rPr>
                  </w:pPr>
                  <w:r>
                    <w:rPr>
                      <w:rFonts w:hint="default" w:ascii="Times New Roman" w:hAnsi="Times New Roman" w:cs="Times New Roman"/>
                      <w:color w:val="auto"/>
                      <w:kern w:val="2"/>
                      <w:position w:val="0"/>
                      <w:sz w:val="21"/>
                      <w:szCs w:val="21"/>
                      <w:highlight w:val="none"/>
                      <w:lang w:val="en-US" w:eastAsia="zh-CN"/>
                    </w:rPr>
                    <w:t>矿物油</w:t>
                  </w:r>
                </w:p>
              </w:tc>
              <w:tc>
                <w:tcPr>
                  <w:tcW w:w="329" w:type="pct"/>
                  <w:vAlign w:val="center"/>
                </w:tcPr>
                <w:p w14:paraId="2D8ADD87">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年</w:t>
                  </w:r>
                </w:p>
              </w:tc>
              <w:tc>
                <w:tcPr>
                  <w:tcW w:w="361" w:type="pct"/>
                  <w:vAlign w:val="center"/>
                </w:tcPr>
                <w:p w14:paraId="615F1BE3">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1年</w:t>
                  </w:r>
                </w:p>
              </w:tc>
              <w:tc>
                <w:tcPr>
                  <w:tcW w:w="361" w:type="pct"/>
                  <w:vAlign w:val="center"/>
                </w:tcPr>
                <w:p w14:paraId="1D479F09">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1" w:type="pct"/>
                  <w:vMerge w:val="continue"/>
                  <w:vAlign w:val="center"/>
                </w:tcPr>
                <w:p w14:paraId="33EF5D6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p>
              </w:tc>
            </w:tr>
            <w:tr w14:paraId="2807D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0483750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含油废抹布</w:t>
                  </w:r>
                </w:p>
              </w:tc>
              <w:tc>
                <w:tcPr>
                  <w:tcW w:w="425" w:type="pct"/>
                  <w:vAlign w:val="center"/>
                </w:tcPr>
                <w:p w14:paraId="748099A5">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56" w:type="pct"/>
                  <w:vAlign w:val="center"/>
                </w:tcPr>
                <w:p w14:paraId="6DDB6911">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78" w:type="pct"/>
                  <w:vAlign w:val="center"/>
                </w:tcPr>
                <w:p w14:paraId="27DB30C8">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0.001</w:t>
                  </w:r>
                </w:p>
              </w:tc>
              <w:tc>
                <w:tcPr>
                  <w:tcW w:w="485" w:type="pct"/>
                  <w:vAlign w:val="center"/>
                </w:tcPr>
                <w:p w14:paraId="5108A2B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设备保养</w:t>
                  </w:r>
                </w:p>
              </w:tc>
              <w:tc>
                <w:tcPr>
                  <w:tcW w:w="326" w:type="pct"/>
                  <w:vAlign w:val="center"/>
                </w:tcPr>
                <w:p w14:paraId="7E16E8D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4F2A363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72" w:type="pct"/>
                  <w:vAlign w:val="center"/>
                </w:tcPr>
                <w:p w14:paraId="07499DD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29" w:type="pct"/>
                  <w:vAlign w:val="center"/>
                </w:tcPr>
                <w:p w14:paraId="320E0C1E">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年</w:t>
                  </w:r>
                </w:p>
              </w:tc>
              <w:tc>
                <w:tcPr>
                  <w:tcW w:w="361" w:type="pct"/>
                  <w:vAlign w:val="center"/>
                </w:tcPr>
                <w:p w14:paraId="62CDCB4B">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1年</w:t>
                  </w:r>
                </w:p>
              </w:tc>
              <w:tc>
                <w:tcPr>
                  <w:tcW w:w="361" w:type="pct"/>
                  <w:vAlign w:val="center"/>
                </w:tcPr>
                <w:p w14:paraId="6C3FE65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1" w:type="pct"/>
                  <w:vMerge w:val="continue"/>
                  <w:vAlign w:val="center"/>
                </w:tcPr>
                <w:p w14:paraId="224B4F37">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p>
              </w:tc>
            </w:tr>
            <w:tr w14:paraId="64A38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shd w:val="clear" w:color="auto" w:fill="auto"/>
                  <w:vAlign w:val="center"/>
                </w:tcPr>
                <w:p w14:paraId="42022A7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水帘柜废水</w:t>
                  </w:r>
                </w:p>
              </w:tc>
              <w:tc>
                <w:tcPr>
                  <w:tcW w:w="425" w:type="pct"/>
                  <w:vAlign w:val="center"/>
                </w:tcPr>
                <w:p w14:paraId="4A2B5EAE">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HW12</w:t>
                  </w:r>
                </w:p>
              </w:tc>
              <w:tc>
                <w:tcPr>
                  <w:tcW w:w="656" w:type="pct"/>
                  <w:vAlign w:val="center"/>
                </w:tcPr>
                <w:p w14:paraId="19F0169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kern w:val="24"/>
                      <w:sz w:val="21"/>
                      <w:szCs w:val="21"/>
                      <w:highlight w:val="none"/>
                    </w:rPr>
                    <w:t>900-252-12</w:t>
                  </w:r>
                </w:p>
              </w:tc>
              <w:tc>
                <w:tcPr>
                  <w:tcW w:w="378" w:type="pct"/>
                  <w:vAlign w:val="center"/>
                </w:tcPr>
                <w:p w14:paraId="6A7EF4F1">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485" w:type="pct"/>
                  <w:vAlign w:val="center"/>
                </w:tcPr>
                <w:p w14:paraId="0E85680A">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废气处理</w:t>
                  </w:r>
                </w:p>
              </w:tc>
              <w:tc>
                <w:tcPr>
                  <w:tcW w:w="326" w:type="pct"/>
                  <w:vAlign w:val="center"/>
                </w:tcPr>
                <w:p w14:paraId="0590024D">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液态</w:t>
                  </w:r>
                </w:p>
              </w:tc>
              <w:tc>
                <w:tcPr>
                  <w:tcW w:w="332" w:type="pct"/>
                  <w:vAlign w:val="center"/>
                </w:tcPr>
                <w:p w14:paraId="4985015D">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72" w:type="pct"/>
                  <w:vAlign w:val="center"/>
                </w:tcPr>
                <w:p w14:paraId="09B41D3B">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29" w:type="pct"/>
                  <w:vAlign w:val="center"/>
                </w:tcPr>
                <w:p w14:paraId="7038CE0D">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2个月</w:t>
                  </w:r>
                </w:p>
              </w:tc>
              <w:tc>
                <w:tcPr>
                  <w:tcW w:w="361" w:type="pct"/>
                  <w:vAlign w:val="center"/>
                </w:tcPr>
                <w:p w14:paraId="27275FE8">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2个月</w:t>
                  </w:r>
                </w:p>
              </w:tc>
              <w:tc>
                <w:tcPr>
                  <w:tcW w:w="361" w:type="pct"/>
                  <w:vAlign w:val="center"/>
                </w:tcPr>
                <w:p w14:paraId="3994E68B">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1" w:type="pct"/>
                  <w:vMerge w:val="continue"/>
                  <w:vAlign w:val="center"/>
                </w:tcPr>
                <w:p w14:paraId="655DB416">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p>
              </w:tc>
            </w:tr>
            <w:tr w14:paraId="7904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shd w:val="clear" w:color="auto" w:fill="auto"/>
                  <w:vAlign w:val="center"/>
                </w:tcPr>
                <w:p w14:paraId="717CF7F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水帘柜喷淋沉渣</w:t>
                  </w:r>
                </w:p>
              </w:tc>
              <w:tc>
                <w:tcPr>
                  <w:tcW w:w="425" w:type="pct"/>
                  <w:vAlign w:val="center"/>
                </w:tcPr>
                <w:p w14:paraId="7700864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56" w:type="pct"/>
                  <w:vAlign w:val="center"/>
                </w:tcPr>
                <w:p w14:paraId="3A6139CC">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78" w:type="pct"/>
                  <w:vAlign w:val="center"/>
                </w:tcPr>
                <w:p w14:paraId="0CA5D67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0.354</w:t>
                  </w:r>
                </w:p>
              </w:tc>
              <w:tc>
                <w:tcPr>
                  <w:tcW w:w="485" w:type="pct"/>
                  <w:vAlign w:val="center"/>
                </w:tcPr>
                <w:p w14:paraId="199D612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废气处理</w:t>
                  </w:r>
                </w:p>
              </w:tc>
              <w:tc>
                <w:tcPr>
                  <w:tcW w:w="326" w:type="pct"/>
                  <w:vAlign w:val="center"/>
                </w:tcPr>
                <w:p w14:paraId="5752BAD5">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6C16A87B">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72" w:type="pct"/>
                  <w:vAlign w:val="center"/>
                </w:tcPr>
                <w:p w14:paraId="7CEE2D5B">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29" w:type="pct"/>
                  <w:vAlign w:val="center"/>
                </w:tcPr>
                <w:p w14:paraId="62A439ED">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每天</w:t>
                  </w:r>
                </w:p>
              </w:tc>
              <w:tc>
                <w:tcPr>
                  <w:tcW w:w="361" w:type="pct"/>
                  <w:vAlign w:val="center"/>
                </w:tcPr>
                <w:p w14:paraId="779AB7BD">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2个月</w:t>
                  </w:r>
                </w:p>
              </w:tc>
              <w:tc>
                <w:tcPr>
                  <w:tcW w:w="361" w:type="pct"/>
                  <w:vAlign w:val="center"/>
                </w:tcPr>
                <w:p w14:paraId="3BB981AC">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1" w:type="pct"/>
                  <w:vMerge w:val="continue"/>
                  <w:vAlign w:val="center"/>
                </w:tcPr>
                <w:p w14:paraId="1FA3AB7D">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p>
              </w:tc>
            </w:tr>
            <w:tr w14:paraId="3FACD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shd w:val="clear" w:color="auto" w:fill="auto"/>
                  <w:vAlign w:val="center"/>
                </w:tcPr>
                <w:p w14:paraId="63CD737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漆渣</w:t>
                  </w:r>
                </w:p>
              </w:tc>
              <w:tc>
                <w:tcPr>
                  <w:tcW w:w="425" w:type="pct"/>
                  <w:vAlign w:val="center"/>
                </w:tcPr>
                <w:p w14:paraId="280FC0D4">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56" w:type="pct"/>
                  <w:vAlign w:val="center"/>
                </w:tcPr>
                <w:p w14:paraId="71EC60B2">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78" w:type="pct"/>
                  <w:vAlign w:val="center"/>
                </w:tcPr>
                <w:p w14:paraId="31C6A9EA">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0.19</w:t>
                  </w:r>
                </w:p>
              </w:tc>
              <w:tc>
                <w:tcPr>
                  <w:tcW w:w="485" w:type="pct"/>
                  <w:vAlign w:val="center"/>
                </w:tcPr>
                <w:p w14:paraId="530DB8E9">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生产过程</w:t>
                  </w:r>
                </w:p>
              </w:tc>
              <w:tc>
                <w:tcPr>
                  <w:tcW w:w="326" w:type="pct"/>
                  <w:vAlign w:val="center"/>
                </w:tcPr>
                <w:p w14:paraId="55520B05">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578431E4">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72" w:type="pct"/>
                  <w:vAlign w:val="center"/>
                </w:tcPr>
                <w:p w14:paraId="1A0E18D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29" w:type="pct"/>
                  <w:vAlign w:val="center"/>
                </w:tcPr>
                <w:p w14:paraId="4319ED33">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每天</w:t>
                  </w:r>
                </w:p>
              </w:tc>
              <w:tc>
                <w:tcPr>
                  <w:tcW w:w="361" w:type="pct"/>
                  <w:vAlign w:val="center"/>
                </w:tcPr>
                <w:p w14:paraId="3BD1315C">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1个月</w:t>
                  </w:r>
                </w:p>
              </w:tc>
              <w:tc>
                <w:tcPr>
                  <w:tcW w:w="361" w:type="pct"/>
                  <w:vAlign w:val="center"/>
                </w:tcPr>
                <w:p w14:paraId="56C1F58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1" w:type="pct"/>
                  <w:vMerge w:val="continue"/>
                  <w:vAlign w:val="center"/>
                </w:tcPr>
                <w:p w14:paraId="7E98A043">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p>
              </w:tc>
            </w:tr>
            <w:tr w14:paraId="6EB97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shd w:val="clear" w:color="auto" w:fill="auto"/>
                  <w:vAlign w:val="center"/>
                </w:tcPr>
                <w:p w14:paraId="1275E7E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喷枪清洗废液</w:t>
                  </w:r>
                </w:p>
              </w:tc>
              <w:tc>
                <w:tcPr>
                  <w:tcW w:w="425" w:type="pct"/>
                  <w:vAlign w:val="center"/>
                </w:tcPr>
                <w:p w14:paraId="76DEC18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HW12</w:t>
                  </w:r>
                </w:p>
              </w:tc>
              <w:tc>
                <w:tcPr>
                  <w:tcW w:w="656" w:type="pct"/>
                  <w:vAlign w:val="center"/>
                </w:tcPr>
                <w:p w14:paraId="0598901D">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kern w:val="24"/>
                      <w:sz w:val="21"/>
                      <w:szCs w:val="21"/>
                      <w:highlight w:val="none"/>
                    </w:rPr>
                    <w:t>900-252-12</w:t>
                  </w:r>
                </w:p>
              </w:tc>
              <w:tc>
                <w:tcPr>
                  <w:tcW w:w="378" w:type="pct"/>
                  <w:vAlign w:val="center"/>
                </w:tcPr>
                <w:p w14:paraId="5ADA8D3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0.6</w:t>
                  </w:r>
                </w:p>
              </w:tc>
              <w:tc>
                <w:tcPr>
                  <w:tcW w:w="485" w:type="pct"/>
                  <w:vAlign w:val="center"/>
                </w:tcPr>
                <w:p w14:paraId="1DBA85C8">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生产过程</w:t>
                  </w:r>
                </w:p>
              </w:tc>
              <w:tc>
                <w:tcPr>
                  <w:tcW w:w="326" w:type="pct"/>
                  <w:vAlign w:val="center"/>
                </w:tcPr>
                <w:p w14:paraId="0F3836C2">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液态</w:t>
                  </w:r>
                </w:p>
              </w:tc>
              <w:tc>
                <w:tcPr>
                  <w:tcW w:w="332" w:type="pct"/>
                  <w:vAlign w:val="center"/>
                </w:tcPr>
                <w:p w14:paraId="0F77B5C0">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72" w:type="pct"/>
                  <w:vAlign w:val="center"/>
                </w:tcPr>
                <w:p w14:paraId="7DD201CA">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有机溶剂</w:t>
                  </w:r>
                </w:p>
              </w:tc>
              <w:tc>
                <w:tcPr>
                  <w:tcW w:w="329" w:type="pct"/>
                  <w:vAlign w:val="center"/>
                </w:tcPr>
                <w:p w14:paraId="467A6F16">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每天</w:t>
                  </w:r>
                </w:p>
              </w:tc>
              <w:tc>
                <w:tcPr>
                  <w:tcW w:w="361" w:type="pct"/>
                  <w:vAlign w:val="center"/>
                </w:tcPr>
                <w:p w14:paraId="313957BA">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1个月</w:t>
                  </w:r>
                </w:p>
              </w:tc>
              <w:tc>
                <w:tcPr>
                  <w:tcW w:w="361" w:type="pct"/>
                  <w:vAlign w:val="center"/>
                </w:tcPr>
                <w:p w14:paraId="2BD32E1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1" w:type="pct"/>
                  <w:vMerge w:val="continue"/>
                  <w:vAlign w:val="center"/>
                </w:tcPr>
                <w:p w14:paraId="64E52FA0">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jc w:val="center"/>
                    <w:rPr>
                      <w:rFonts w:hint="default" w:ascii="Times New Roman" w:hAnsi="Times New Roman" w:cs="Times New Roman"/>
                      <w:b/>
                      <w:bCs/>
                      <w:color w:val="auto"/>
                      <w:kern w:val="2"/>
                      <w:sz w:val="21"/>
                      <w:szCs w:val="21"/>
                      <w:highlight w:val="none"/>
                    </w:rPr>
                  </w:pPr>
                </w:p>
              </w:tc>
            </w:tr>
          </w:tbl>
          <w:p w14:paraId="1BAB631D">
            <w:pPr>
              <w:pStyle w:val="6"/>
              <w:pageBreakBefore w:val="0"/>
              <w:widowControl/>
              <w:numPr>
                <w:ilvl w:val="4"/>
                <w:numId w:val="0"/>
              </w:numPr>
              <w:suppressLineNumbers w:val="0"/>
              <w:wordWrap w:val="0"/>
              <w:bidi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（1）产生和收集</w:t>
            </w:r>
          </w:p>
          <w:p w14:paraId="491479C8">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本项目危险废物单次产生量很少，部分危险废物有</w:t>
            </w:r>
            <w:r>
              <w:rPr>
                <w:rFonts w:hint="default" w:ascii="Times New Roman" w:hAnsi="Times New Roman" w:cs="Times New Roman"/>
                <w:color w:val="auto"/>
                <w:highlight w:val="none"/>
                <w:lang w:val="en-US" w:eastAsia="zh-CN"/>
              </w:rPr>
              <w:t>易燃性</w:t>
            </w:r>
            <w:r>
              <w:rPr>
                <w:rFonts w:hint="default" w:ascii="Times New Roman" w:hAnsi="Times New Roman" w:cs="Times New Roman"/>
                <w:color w:val="auto"/>
                <w:highlight w:val="none"/>
              </w:rPr>
              <w:t>和毒性，其性质相对比较稳定，如果露天堆放，沾染、吸附的有机废气可能会因为日晒雨淋而逐步释放出来，进入大气、地表水体、土壤等环境要素，造成污染影响。</w:t>
            </w:r>
          </w:p>
          <w:p w14:paraId="532EFFB5">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7010BBA6">
            <w:pPr>
              <w:pStyle w:val="6"/>
              <w:pageBreakBefore w:val="0"/>
              <w:widowControl/>
              <w:numPr>
                <w:ilvl w:val="4"/>
                <w:numId w:val="0"/>
              </w:numPr>
              <w:suppressLineNumbers w:val="0"/>
              <w:wordWrap w:val="0"/>
              <w:bidi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（2）贮存库</w:t>
            </w:r>
          </w:p>
          <w:p w14:paraId="697321BD">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设置一个固定的危险废物贮存库，危险废物贮存过程满足《危险废物贮存污染控制标准》（GB18597-2023）的要求，建设单位应根据废物特性设置符合《危险废物贮存污染控制标准》(GB18597-2023)要求的危险废物暂存场所，且在暂存场所上空设有防雨淋设施，地面采取防渗措施，危险废物收集后分别临时贮存于废物储罐内；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w:t>
            </w:r>
          </w:p>
          <w:p w14:paraId="5012CD96">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w:t>
            </w:r>
          </w:p>
          <w:p w14:paraId="50FCB233">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cm/s），或至少2mm厚高密度聚乙烯膜等人工防渗材料（渗透系数不大于10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cm/s），或其他防渗性能等效的材料。</w:t>
            </w:r>
          </w:p>
          <w:p w14:paraId="182C6A16">
            <w:pPr>
              <w:pStyle w:val="14"/>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项目危险废物贮存场所基本情况见下表。</w:t>
            </w:r>
          </w:p>
          <w:p w14:paraId="38354C67">
            <w:pPr>
              <w:pStyle w:val="12"/>
              <w:keepNext w:val="0"/>
              <w:keepLines w:val="0"/>
              <w:pageBreakBefore w:val="0"/>
              <w:numPr>
                <w:ilvl w:val="0"/>
                <w:numId w:val="0"/>
              </w:numPr>
              <w:suppressLineNumbers w:val="0"/>
              <w:tabs>
                <w:tab w:val="left" w:pos="0"/>
              </w:tabs>
              <w:wordWrap w:val="0"/>
              <w:bidi w:val="0"/>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24 </w:t>
            </w:r>
            <w:r>
              <w:rPr>
                <w:rFonts w:hint="default" w:ascii="Times New Roman" w:hAnsi="Times New Roman" w:cs="Times New Roman"/>
                <w:b/>
                <w:bCs/>
                <w:color w:val="auto"/>
                <w:highlight w:val="none"/>
              </w:rPr>
              <w:t>危险废物贮存场所（设施）基本情况表</w:t>
            </w:r>
          </w:p>
          <w:tbl>
            <w:tblPr>
              <w:tblStyle w:val="3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1827"/>
              <w:gridCol w:w="811"/>
              <w:gridCol w:w="1316"/>
              <w:gridCol w:w="773"/>
              <w:gridCol w:w="706"/>
              <w:gridCol w:w="1116"/>
              <w:gridCol w:w="715"/>
              <w:gridCol w:w="769"/>
            </w:tblGrid>
            <w:tr w14:paraId="5DF99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vAlign w:val="center"/>
                </w:tcPr>
                <w:p w14:paraId="1BD5F01D">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贮存场所（设施）名称</w:t>
                  </w:r>
                </w:p>
              </w:tc>
              <w:tc>
                <w:tcPr>
                  <w:tcW w:w="2169" w:type="pct"/>
                  <w:gridSpan w:val="3"/>
                  <w:vAlign w:val="center"/>
                </w:tcPr>
                <w:p w14:paraId="56FA8EE4">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危险废物</w:t>
                  </w:r>
                </w:p>
              </w:tc>
              <w:tc>
                <w:tcPr>
                  <w:tcW w:w="424" w:type="pct"/>
                  <w:vMerge w:val="restart"/>
                  <w:vAlign w:val="center"/>
                </w:tcPr>
                <w:p w14:paraId="6F29B140">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位置</w:t>
                  </w:r>
                </w:p>
              </w:tc>
              <w:tc>
                <w:tcPr>
                  <w:tcW w:w="387" w:type="pct"/>
                  <w:vMerge w:val="restart"/>
                  <w:vAlign w:val="center"/>
                </w:tcPr>
                <w:p w14:paraId="544A29C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占地面积</w:t>
                  </w:r>
                </w:p>
              </w:tc>
              <w:tc>
                <w:tcPr>
                  <w:tcW w:w="612" w:type="pct"/>
                  <w:vMerge w:val="restart"/>
                  <w:vAlign w:val="center"/>
                </w:tcPr>
                <w:p w14:paraId="6F47B685">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贮存方式</w:t>
                  </w:r>
                </w:p>
              </w:tc>
              <w:tc>
                <w:tcPr>
                  <w:tcW w:w="392" w:type="pct"/>
                  <w:vMerge w:val="restart"/>
                  <w:vAlign w:val="center"/>
                </w:tcPr>
                <w:p w14:paraId="4B11855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贮存能力</w:t>
                  </w:r>
                </w:p>
              </w:tc>
              <w:tc>
                <w:tcPr>
                  <w:tcW w:w="421" w:type="pct"/>
                  <w:vMerge w:val="restart"/>
                  <w:vAlign w:val="center"/>
                </w:tcPr>
                <w:p w14:paraId="169383B8">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贮存周期</w:t>
                  </w:r>
                </w:p>
              </w:tc>
            </w:tr>
            <w:tr w14:paraId="36A0F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vAlign w:val="center"/>
                </w:tcPr>
                <w:p w14:paraId="4E97854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vAlign w:val="center"/>
                </w:tcPr>
                <w:p w14:paraId="4BAE9789">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名称</w:t>
                  </w:r>
                </w:p>
              </w:tc>
              <w:tc>
                <w:tcPr>
                  <w:tcW w:w="445" w:type="pct"/>
                  <w:vAlign w:val="center"/>
                </w:tcPr>
                <w:p w14:paraId="521F29B8">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类别</w:t>
                  </w:r>
                </w:p>
              </w:tc>
              <w:tc>
                <w:tcPr>
                  <w:tcW w:w="722" w:type="pct"/>
                  <w:vAlign w:val="center"/>
                </w:tcPr>
                <w:p w14:paraId="7C1D28CA">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代码</w:t>
                  </w:r>
                </w:p>
              </w:tc>
              <w:tc>
                <w:tcPr>
                  <w:tcW w:w="424" w:type="pct"/>
                  <w:vMerge w:val="continue"/>
                  <w:vAlign w:val="center"/>
                </w:tcPr>
                <w:p w14:paraId="01BF5B9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71846F92">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25F72A1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46C7A021">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421" w:type="pct"/>
                  <w:vMerge w:val="continue"/>
                  <w:vAlign w:val="center"/>
                </w:tcPr>
                <w:p w14:paraId="6B5B2FA4">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r>
            <w:tr w14:paraId="2C05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592" w:type="pct"/>
                  <w:vMerge w:val="restart"/>
                  <w:vAlign w:val="center"/>
                </w:tcPr>
                <w:p w14:paraId="7803F7E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rPr>
                    <w:t>危险废物</w:t>
                  </w:r>
                  <w:r>
                    <w:rPr>
                      <w:rFonts w:hint="default" w:ascii="Times New Roman" w:hAnsi="Times New Roman" w:cs="Times New Roman"/>
                      <w:color w:val="auto"/>
                      <w:kern w:val="2"/>
                      <w:highlight w:val="none"/>
                      <w:lang w:val="en-US" w:eastAsia="zh-CN"/>
                    </w:rPr>
                    <w:t>暂存间</w:t>
                  </w:r>
                </w:p>
              </w:tc>
              <w:tc>
                <w:tcPr>
                  <w:tcW w:w="1002" w:type="pct"/>
                  <w:vAlign w:val="center"/>
                </w:tcPr>
                <w:p w14:paraId="4F407D05">
                  <w:pPr>
                    <w:pStyle w:val="59"/>
                    <w:keepNext w:val="0"/>
                    <w:keepLines w:val="0"/>
                    <w:pageBreakBefore w:val="0"/>
                    <w:widowControl/>
                    <w:suppressLineNumbers w:val="0"/>
                    <w:wordWrap w:val="0"/>
                    <w:bidi w:val="0"/>
                    <w:snapToGrid w:val="0"/>
                    <w:spacing w:before="0" w:beforeAutospacing="0" w:after="0" w:afterAutospacing="0" w:line="240" w:lineRule="auto"/>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rPr>
                    <w:t>废</w:t>
                  </w:r>
                  <w:r>
                    <w:rPr>
                      <w:rFonts w:hint="default" w:ascii="Times New Roman" w:hAnsi="Times New Roman" w:cs="Times New Roman"/>
                      <w:color w:val="auto"/>
                      <w:kern w:val="2"/>
                      <w:highlight w:val="none"/>
                      <w:lang w:val="en-US" w:eastAsia="zh-CN"/>
                    </w:rPr>
                    <w:t>活性炭</w:t>
                  </w:r>
                </w:p>
              </w:tc>
              <w:tc>
                <w:tcPr>
                  <w:tcW w:w="445" w:type="pct"/>
                  <w:vAlign w:val="center"/>
                </w:tcPr>
                <w:p w14:paraId="09178560">
                  <w:pPr>
                    <w:pStyle w:val="59"/>
                    <w:keepNext w:val="0"/>
                    <w:keepLines w:val="0"/>
                    <w:pageBreakBefore w:val="0"/>
                    <w:widowControl/>
                    <w:suppressLineNumbers w:val="0"/>
                    <w:wordWrap w:val="0"/>
                    <w:bidi w:val="0"/>
                    <w:snapToGrid w:val="0"/>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position w:val="0"/>
                      <w:highlight w:val="none"/>
                    </w:rPr>
                    <w:t>HW49</w:t>
                  </w:r>
                </w:p>
              </w:tc>
              <w:tc>
                <w:tcPr>
                  <w:tcW w:w="722" w:type="pct"/>
                  <w:vAlign w:val="center"/>
                </w:tcPr>
                <w:p w14:paraId="377EA4F8">
                  <w:pPr>
                    <w:pStyle w:val="59"/>
                    <w:keepNext w:val="0"/>
                    <w:keepLines w:val="0"/>
                    <w:pageBreakBefore w:val="0"/>
                    <w:widowControl/>
                    <w:suppressLineNumbers w:val="0"/>
                    <w:wordWrap w:val="0"/>
                    <w:bidi w:val="0"/>
                    <w:snapToGrid w:val="0"/>
                    <w:spacing w:before="0" w:beforeAutospacing="0" w:after="0" w:afterAutospacing="0" w:line="240" w:lineRule="auto"/>
                    <w:ind w:left="0" w:right="0"/>
                    <w:rPr>
                      <w:rFonts w:hint="default" w:ascii="Times New Roman" w:hAnsi="Times New Roman" w:cs="Times New Roman"/>
                      <w:bCs/>
                      <w:color w:val="auto"/>
                      <w:kern w:val="2"/>
                      <w:highlight w:val="none"/>
                    </w:rPr>
                  </w:pPr>
                  <w:r>
                    <w:rPr>
                      <w:rFonts w:hint="default" w:ascii="Times New Roman" w:hAnsi="Times New Roman" w:cs="Times New Roman"/>
                      <w:color w:val="auto"/>
                      <w:kern w:val="2"/>
                      <w:position w:val="0"/>
                      <w:highlight w:val="none"/>
                    </w:rPr>
                    <w:t>900-0</w:t>
                  </w:r>
                  <w:r>
                    <w:rPr>
                      <w:rFonts w:hint="default" w:ascii="Times New Roman" w:hAnsi="Times New Roman" w:cs="Times New Roman"/>
                      <w:color w:val="auto"/>
                      <w:kern w:val="2"/>
                      <w:position w:val="0"/>
                      <w:highlight w:val="none"/>
                      <w:lang w:val="en-US" w:eastAsia="zh-CN"/>
                    </w:rPr>
                    <w:t>39</w:t>
                  </w:r>
                  <w:r>
                    <w:rPr>
                      <w:rFonts w:hint="default" w:ascii="Times New Roman" w:hAnsi="Times New Roman" w:cs="Times New Roman"/>
                      <w:color w:val="auto"/>
                      <w:kern w:val="2"/>
                      <w:position w:val="0"/>
                      <w:highlight w:val="none"/>
                    </w:rPr>
                    <w:t>-49</w:t>
                  </w:r>
                </w:p>
              </w:tc>
              <w:tc>
                <w:tcPr>
                  <w:tcW w:w="424" w:type="pct"/>
                  <w:vMerge w:val="restart"/>
                  <w:vAlign w:val="center"/>
                </w:tcPr>
                <w:p w14:paraId="264C46F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eastAsia="zh-CN"/>
                    </w:rPr>
                    <w:t>生产车间内</w:t>
                  </w:r>
                </w:p>
              </w:tc>
              <w:tc>
                <w:tcPr>
                  <w:tcW w:w="387" w:type="pct"/>
                  <w:vMerge w:val="restart"/>
                  <w:vAlign w:val="center"/>
                </w:tcPr>
                <w:p w14:paraId="79F96E85">
                  <w:pPr>
                    <w:pStyle w:val="59"/>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10</w:t>
                  </w:r>
                  <w:r>
                    <w:rPr>
                      <w:rFonts w:hint="default" w:ascii="Times New Roman" w:hAnsi="Times New Roman" w:cs="Times New Roman"/>
                      <w:color w:val="auto"/>
                      <w:kern w:val="2"/>
                      <w:highlight w:val="none"/>
                    </w:rPr>
                    <w:t>m</w:t>
                  </w:r>
                  <w:r>
                    <w:rPr>
                      <w:rFonts w:hint="default" w:ascii="Times New Roman" w:hAnsi="Times New Roman" w:cs="Times New Roman"/>
                      <w:color w:val="auto"/>
                      <w:kern w:val="2"/>
                      <w:highlight w:val="none"/>
                      <w:vertAlign w:val="superscript"/>
                    </w:rPr>
                    <w:t>2</w:t>
                  </w:r>
                </w:p>
              </w:tc>
              <w:tc>
                <w:tcPr>
                  <w:tcW w:w="612" w:type="pct"/>
                  <w:vMerge w:val="restart"/>
                  <w:vAlign w:val="center"/>
                </w:tcPr>
                <w:p w14:paraId="72F8BC6A">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采用密闭性好、耐腐蚀的塑料容器封存</w:t>
                  </w:r>
                </w:p>
              </w:tc>
              <w:tc>
                <w:tcPr>
                  <w:tcW w:w="392" w:type="pct"/>
                  <w:vMerge w:val="restart"/>
                  <w:vAlign w:val="center"/>
                </w:tcPr>
                <w:p w14:paraId="20F2B009">
                  <w:pPr>
                    <w:pStyle w:val="59"/>
                    <w:keepNext w:val="0"/>
                    <w:keepLines w:val="0"/>
                    <w:pageBreakBefore w:val="0"/>
                    <w:widowControl/>
                    <w:suppressLineNumbers w:val="0"/>
                    <w:wordWrap w:val="0"/>
                    <w:bidi w:val="0"/>
                    <w:snapToGrid w:val="0"/>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15</w:t>
                  </w:r>
                  <w:r>
                    <w:rPr>
                      <w:rFonts w:hint="default" w:ascii="Times New Roman" w:hAnsi="Times New Roman" w:cs="Times New Roman"/>
                      <w:color w:val="auto"/>
                      <w:kern w:val="2"/>
                      <w:highlight w:val="none"/>
                    </w:rPr>
                    <w:t>t</w:t>
                  </w:r>
                </w:p>
              </w:tc>
              <w:tc>
                <w:tcPr>
                  <w:tcW w:w="421" w:type="pct"/>
                  <w:vAlign w:val="center"/>
                </w:tcPr>
                <w:p w14:paraId="28A3D391">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eastAsia="zh-CN"/>
                    </w:rPr>
                    <w:t>3个月</w:t>
                  </w:r>
                </w:p>
              </w:tc>
            </w:tr>
            <w:tr w14:paraId="3C04B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2DAD2AD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vAlign w:val="center"/>
                </w:tcPr>
                <w:p w14:paraId="00C0FF0D">
                  <w:pPr>
                    <w:pStyle w:val="59"/>
                    <w:keepNext w:val="0"/>
                    <w:keepLines w:val="0"/>
                    <w:pageBreakBefore w:val="0"/>
                    <w:widowControl/>
                    <w:suppressLineNumbers w:val="0"/>
                    <w:wordWrap w:val="0"/>
                    <w:bidi w:val="0"/>
                    <w:snapToGrid w:val="0"/>
                    <w:spacing w:before="0" w:beforeAutospacing="0" w:after="0" w:afterAutospacing="0" w:line="240" w:lineRule="auto"/>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废机油</w:t>
                  </w:r>
                  <w:r>
                    <w:rPr>
                      <w:rFonts w:hint="default" w:ascii="Times New Roman" w:hAnsi="Times New Roman" w:cs="Times New Roman"/>
                      <w:color w:val="auto"/>
                      <w:kern w:val="2"/>
                      <w:position w:val="0"/>
                      <w:highlight w:val="none"/>
                      <w:lang w:val="en-US" w:eastAsia="zh-CN"/>
                    </w:rPr>
                    <w:t>及</w:t>
                  </w:r>
                  <w:r>
                    <w:rPr>
                      <w:rFonts w:hint="default" w:ascii="Times New Roman" w:hAnsi="Times New Roman" w:cs="Times New Roman"/>
                      <w:color w:val="auto"/>
                      <w:kern w:val="2"/>
                      <w:position w:val="0"/>
                      <w:highlight w:val="none"/>
                    </w:rPr>
                    <w:t>桶</w:t>
                  </w:r>
                </w:p>
              </w:tc>
              <w:tc>
                <w:tcPr>
                  <w:tcW w:w="445" w:type="pct"/>
                  <w:vAlign w:val="center"/>
                </w:tcPr>
                <w:p w14:paraId="173A8A2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22" w:type="pct"/>
                  <w:vAlign w:val="center"/>
                </w:tcPr>
                <w:p w14:paraId="3AB2C2E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24" w:type="pct"/>
                  <w:vMerge w:val="continue"/>
                  <w:vAlign w:val="center"/>
                </w:tcPr>
                <w:p w14:paraId="6DF70489">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07F03C6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769BA40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73CBCD3F">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421" w:type="pct"/>
                  <w:vAlign w:val="center"/>
                </w:tcPr>
                <w:p w14:paraId="78626BF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1年</w:t>
                  </w:r>
                </w:p>
              </w:tc>
            </w:tr>
            <w:tr w14:paraId="654B9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6981B89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vAlign w:val="center"/>
                </w:tcPr>
                <w:p w14:paraId="049CF2CE">
                  <w:pPr>
                    <w:pStyle w:val="59"/>
                    <w:keepNext w:val="0"/>
                    <w:keepLines w:val="0"/>
                    <w:pageBreakBefore w:val="0"/>
                    <w:widowControl/>
                    <w:suppressLineNumbers w:val="0"/>
                    <w:wordWrap w:val="0"/>
                    <w:bidi w:val="0"/>
                    <w:snapToGrid w:val="0"/>
                    <w:spacing w:before="0" w:beforeAutospacing="0" w:after="0" w:afterAutospacing="0" w:line="240" w:lineRule="auto"/>
                    <w:ind w:left="0" w:right="0"/>
                    <w:rPr>
                      <w:rFonts w:hint="default" w:ascii="Times New Roman" w:hAnsi="Times New Roman" w:eastAsia="宋体" w:cs="Times New Roman"/>
                      <w:color w:val="auto"/>
                      <w:kern w:val="2"/>
                      <w:position w:val="0"/>
                      <w:highlight w:val="none"/>
                      <w:lang w:val="en-US" w:eastAsia="zh-CN"/>
                    </w:rPr>
                  </w:pPr>
                  <w:r>
                    <w:rPr>
                      <w:rFonts w:hint="default" w:ascii="Times New Roman" w:hAnsi="Times New Roman" w:cs="Times New Roman"/>
                      <w:color w:val="auto"/>
                      <w:kern w:val="2"/>
                      <w:position w:val="0"/>
                      <w:highlight w:val="none"/>
                      <w:lang w:val="en-US" w:eastAsia="zh-CN"/>
                    </w:rPr>
                    <w:t>含油废抹布</w:t>
                  </w:r>
                </w:p>
              </w:tc>
              <w:tc>
                <w:tcPr>
                  <w:tcW w:w="445" w:type="pct"/>
                  <w:vAlign w:val="center"/>
                </w:tcPr>
                <w:p w14:paraId="57CF4612">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722" w:type="pct"/>
                  <w:vAlign w:val="center"/>
                </w:tcPr>
                <w:p w14:paraId="5EBB34AE">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424" w:type="pct"/>
                  <w:vMerge w:val="continue"/>
                  <w:vAlign w:val="center"/>
                </w:tcPr>
                <w:p w14:paraId="10649B5D">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60AA431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6F3F26C9">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525BB58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421" w:type="pct"/>
                  <w:vAlign w:val="center"/>
                </w:tcPr>
                <w:p w14:paraId="34952A12">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1年</w:t>
                  </w:r>
                </w:p>
              </w:tc>
            </w:tr>
            <w:tr w14:paraId="777B7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1A0DF02F">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shd w:val="clear" w:color="auto" w:fill="auto"/>
                  <w:vAlign w:val="center"/>
                </w:tcPr>
                <w:p w14:paraId="2CE823E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水帘柜废水</w:t>
                  </w:r>
                </w:p>
              </w:tc>
              <w:tc>
                <w:tcPr>
                  <w:tcW w:w="811" w:type="dxa"/>
                  <w:vAlign w:val="center"/>
                </w:tcPr>
                <w:p w14:paraId="5BF57D82">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HW12</w:t>
                  </w:r>
                </w:p>
              </w:tc>
              <w:tc>
                <w:tcPr>
                  <w:tcW w:w="1316" w:type="dxa"/>
                  <w:vAlign w:val="center"/>
                </w:tcPr>
                <w:p w14:paraId="7D2C5F0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kern w:val="24"/>
                      <w:sz w:val="21"/>
                      <w:szCs w:val="21"/>
                      <w:highlight w:val="none"/>
                    </w:rPr>
                    <w:t>900-252-12</w:t>
                  </w:r>
                </w:p>
              </w:tc>
              <w:tc>
                <w:tcPr>
                  <w:tcW w:w="424" w:type="pct"/>
                  <w:vMerge w:val="continue"/>
                  <w:vAlign w:val="center"/>
                </w:tcPr>
                <w:p w14:paraId="5046E59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1CE697F3">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3DF5693A">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67B8DC46">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769" w:type="dxa"/>
                  <w:vAlign w:val="center"/>
                </w:tcPr>
                <w:p w14:paraId="7B205FDE">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sz w:val="21"/>
                      <w:szCs w:val="21"/>
                      <w:highlight w:val="none"/>
                      <w:lang w:val="en-US" w:eastAsia="zh-CN"/>
                    </w:rPr>
                    <w:t>2个月</w:t>
                  </w:r>
                </w:p>
              </w:tc>
            </w:tr>
            <w:tr w14:paraId="3C766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44D0080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shd w:val="clear" w:color="auto" w:fill="auto"/>
                  <w:vAlign w:val="center"/>
                </w:tcPr>
                <w:p w14:paraId="2CE3752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水帘柜喷淋沉渣</w:t>
                  </w:r>
                </w:p>
              </w:tc>
              <w:tc>
                <w:tcPr>
                  <w:tcW w:w="811" w:type="dxa"/>
                  <w:vAlign w:val="center"/>
                </w:tcPr>
                <w:p w14:paraId="2CE9AF44">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1316" w:type="dxa"/>
                  <w:vAlign w:val="center"/>
                </w:tcPr>
                <w:p w14:paraId="0A71DB6C">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424" w:type="pct"/>
                  <w:vMerge w:val="continue"/>
                  <w:vAlign w:val="center"/>
                </w:tcPr>
                <w:p w14:paraId="4C1EC03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5447F9DA">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63710089">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78C0BFA2">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769" w:type="dxa"/>
                  <w:vAlign w:val="center"/>
                </w:tcPr>
                <w:p w14:paraId="1C747AFB">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sz w:val="21"/>
                      <w:szCs w:val="21"/>
                      <w:highlight w:val="none"/>
                      <w:lang w:val="en-US" w:eastAsia="zh-CN"/>
                    </w:rPr>
                    <w:t>2个月</w:t>
                  </w:r>
                </w:p>
              </w:tc>
            </w:tr>
            <w:tr w14:paraId="43C3F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4C6812D5">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shd w:val="clear" w:color="auto" w:fill="auto"/>
                  <w:vAlign w:val="center"/>
                </w:tcPr>
                <w:p w14:paraId="77C03C4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漆渣</w:t>
                  </w:r>
                </w:p>
              </w:tc>
              <w:tc>
                <w:tcPr>
                  <w:tcW w:w="811" w:type="dxa"/>
                  <w:vAlign w:val="center"/>
                </w:tcPr>
                <w:p w14:paraId="1C5DC0A9">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1316" w:type="dxa"/>
                  <w:vAlign w:val="center"/>
                </w:tcPr>
                <w:p w14:paraId="2C882521">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424" w:type="pct"/>
                  <w:vMerge w:val="continue"/>
                  <w:vAlign w:val="center"/>
                </w:tcPr>
                <w:p w14:paraId="2734722F">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15FADC0D">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691A0CFC">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44E0B08F">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769" w:type="dxa"/>
                  <w:vAlign w:val="center"/>
                </w:tcPr>
                <w:p w14:paraId="3DCCCD5A">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sz w:val="21"/>
                      <w:szCs w:val="21"/>
                      <w:highlight w:val="none"/>
                      <w:lang w:val="en-US" w:eastAsia="zh-CN"/>
                    </w:rPr>
                    <w:t>1个月</w:t>
                  </w:r>
                </w:p>
              </w:tc>
            </w:tr>
            <w:tr w14:paraId="0CAD4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2886AFC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1002" w:type="pct"/>
                  <w:shd w:val="clear" w:color="auto" w:fill="auto"/>
                  <w:vAlign w:val="center"/>
                </w:tcPr>
                <w:p w14:paraId="05D625D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喷枪清洗废液</w:t>
                  </w:r>
                </w:p>
              </w:tc>
              <w:tc>
                <w:tcPr>
                  <w:tcW w:w="811" w:type="dxa"/>
                  <w:vAlign w:val="center"/>
                </w:tcPr>
                <w:p w14:paraId="4ED31005">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HW12</w:t>
                  </w:r>
                </w:p>
              </w:tc>
              <w:tc>
                <w:tcPr>
                  <w:tcW w:w="1316" w:type="dxa"/>
                  <w:vAlign w:val="center"/>
                </w:tcPr>
                <w:p w14:paraId="766E2816">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kern w:val="24"/>
                      <w:sz w:val="21"/>
                      <w:szCs w:val="21"/>
                      <w:highlight w:val="none"/>
                    </w:rPr>
                    <w:t>900-252-12</w:t>
                  </w:r>
                </w:p>
              </w:tc>
              <w:tc>
                <w:tcPr>
                  <w:tcW w:w="424" w:type="pct"/>
                  <w:vMerge w:val="continue"/>
                  <w:vAlign w:val="center"/>
                </w:tcPr>
                <w:p w14:paraId="1221D821">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87" w:type="pct"/>
                  <w:vMerge w:val="continue"/>
                  <w:vAlign w:val="center"/>
                </w:tcPr>
                <w:p w14:paraId="1D6D7A9E">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612" w:type="pct"/>
                  <w:vMerge w:val="continue"/>
                  <w:vAlign w:val="center"/>
                </w:tcPr>
                <w:p w14:paraId="0B28F02B">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392" w:type="pct"/>
                  <w:vMerge w:val="continue"/>
                  <w:vAlign w:val="center"/>
                </w:tcPr>
                <w:p w14:paraId="74782437">
                  <w:pPr>
                    <w:pStyle w:val="59"/>
                    <w:keepNext w:val="0"/>
                    <w:keepLines w:val="0"/>
                    <w:pageBreakBefore w:val="0"/>
                    <w:widowControl/>
                    <w:suppressLineNumbers w:val="0"/>
                    <w:wordWrap w:val="0"/>
                    <w:bidi w:val="0"/>
                    <w:spacing w:before="0" w:beforeAutospacing="0" w:after="0" w:afterAutospacing="0" w:line="240" w:lineRule="auto"/>
                    <w:ind w:left="0" w:right="0"/>
                    <w:rPr>
                      <w:rFonts w:hint="default" w:ascii="Times New Roman" w:hAnsi="Times New Roman" w:cs="Times New Roman"/>
                      <w:color w:val="auto"/>
                      <w:kern w:val="2"/>
                      <w:highlight w:val="none"/>
                    </w:rPr>
                  </w:pPr>
                </w:p>
              </w:tc>
              <w:tc>
                <w:tcPr>
                  <w:tcW w:w="769" w:type="dxa"/>
                  <w:vAlign w:val="center"/>
                </w:tcPr>
                <w:p w14:paraId="3E807CA6">
                  <w:pPr>
                    <w:keepNext w:val="0"/>
                    <w:keepLines w:val="0"/>
                    <w:pageBreakBefore w:val="0"/>
                    <w:suppressLineNumbers w:val="0"/>
                    <w:kinsoku/>
                    <w:wordWrap w:val="0"/>
                    <w:overflowPunct/>
                    <w:topLinePunct w:val="0"/>
                    <w:bidi w:val="0"/>
                    <w:adjustRightInd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sz w:val="21"/>
                      <w:szCs w:val="21"/>
                      <w:highlight w:val="none"/>
                      <w:lang w:val="en-US" w:eastAsia="zh-CN"/>
                    </w:rPr>
                    <w:t>1个月</w:t>
                  </w:r>
                </w:p>
              </w:tc>
            </w:tr>
          </w:tbl>
          <w:p w14:paraId="21335FD9">
            <w:pPr>
              <w:keepNext/>
              <w:keepLines/>
              <w:pageBreakBefore w:val="0"/>
              <w:suppressLineNumbers w:val="0"/>
              <w:tabs>
                <w:tab w:val="left" w:pos="0"/>
              </w:tabs>
              <w:wordWrap w:val="0"/>
              <w:bidi w:val="0"/>
              <w:spacing w:before="0" w:beforeAutospacing="0" w:after="0" w:afterAutospacing="0"/>
              <w:ind w:left="480" w:right="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（3）转运、处置</w:t>
            </w:r>
          </w:p>
          <w:bookmarkEnd w:id="132"/>
          <w:p w14:paraId="6C45A49B">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内部无利用或处置危险废物的能力和设施，需要委托具有危险废物处理资质的单位处置。根据广东省生态环境厅危险废物经营许可证颁发情况，广东省有可以处置本项目危险废物的企业，处理能力充足。建设单位可直接委托其转移处理。</w:t>
            </w:r>
          </w:p>
          <w:p w14:paraId="397D20CB">
            <w:pPr>
              <w:pStyle w:val="12"/>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rPr>
                <w:rFonts w:hint="default" w:ascii="Times New Roman" w:hAnsi="Times New Roman" w:cs="Times New Roman"/>
                <w:b/>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25 </w:t>
            </w:r>
            <w:r>
              <w:rPr>
                <w:rFonts w:hint="default" w:ascii="Times New Roman" w:hAnsi="Times New Roman" w:cs="Times New Roman"/>
                <w:b/>
                <w:bCs/>
                <w:color w:val="auto"/>
                <w:highlight w:val="none"/>
              </w:rPr>
              <w:t>广东省内可接收本项目危险废物的处理单位一览表（摘录）</w:t>
            </w:r>
          </w:p>
          <w:tbl>
            <w:tblPr>
              <w:tblStyle w:val="3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105"/>
              <w:gridCol w:w="1145"/>
              <w:gridCol w:w="981"/>
              <w:gridCol w:w="1444"/>
              <w:gridCol w:w="4012"/>
            </w:tblGrid>
            <w:tr w14:paraId="1A4BA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Align w:val="center"/>
                </w:tcPr>
                <w:p w14:paraId="7C93D551">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06" w:type="pct"/>
                  <w:vAlign w:val="center"/>
                </w:tcPr>
                <w:p w14:paraId="47ABEB0F">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企业名称</w:t>
                  </w:r>
                </w:p>
              </w:tc>
              <w:tc>
                <w:tcPr>
                  <w:tcW w:w="628" w:type="pct"/>
                  <w:vAlign w:val="center"/>
                </w:tcPr>
                <w:p w14:paraId="04D7A491">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设施地址</w:t>
                  </w:r>
                </w:p>
              </w:tc>
              <w:tc>
                <w:tcPr>
                  <w:tcW w:w="538" w:type="pct"/>
                  <w:vAlign w:val="center"/>
                </w:tcPr>
                <w:p w14:paraId="19AE89CD">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许可证编号</w:t>
                  </w:r>
                </w:p>
              </w:tc>
              <w:tc>
                <w:tcPr>
                  <w:tcW w:w="792" w:type="pct"/>
                  <w:vAlign w:val="center"/>
                </w:tcPr>
                <w:p w14:paraId="5F0B2E9D">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经营时间有效期</w:t>
                  </w:r>
                </w:p>
              </w:tc>
              <w:tc>
                <w:tcPr>
                  <w:tcW w:w="2200" w:type="pct"/>
                  <w:vAlign w:val="center"/>
                </w:tcPr>
                <w:p w14:paraId="01310A66">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核准经营范围、类别</w:t>
                  </w:r>
                </w:p>
              </w:tc>
            </w:tr>
            <w:tr w14:paraId="47926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Align w:val="center"/>
                </w:tcPr>
                <w:p w14:paraId="06B32486">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606" w:type="pct"/>
                  <w:vAlign w:val="center"/>
                </w:tcPr>
                <w:p w14:paraId="15A24804">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韶关东江环保再生</w:t>
                  </w:r>
                </w:p>
                <w:p w14:paraId="121529F4">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资源发展有限公司</w:t>
                  </w:r>
                </w:p>
              </w:tc>
              <w:tc>
                <w:tcPr>
                  <w:tcW w:w="628" w:type="pct"/>
                  <w:vAlign w:val="center"/>
                </w:tcPr>
                <w:p w14:paraId="2D9ABC33">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韶关市翁源县铁龙林场将军屯</w:t>
                  </w:r>
                </w:p>
              </w:tc>
              <w:tc>
                <w:tcPr>
                  <w:tcW w:w="538" w:type="pct"/>
                  <w:vAlign w:val="center"/>
                </w:tcPr>
                <w:p w14:paraId="5F64E238">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440229210121</w:t>
                  </w:r>
                </w:p>
              </w:tc>
              <w:tc>
                <w:tcPr>
                  <w:tcW w:w="792" w:type="pct"/>
                  <w:vAlign w:val="center"/>
                </w:tcPr>
                <w:p w14:paraId="2FB496B3">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至2027年3月5日</w:t>
                  </w:r>
                </w:p>
              </w:tc>
              <w:tc>
                <w:tcPr>
                  <w:tcW w:w="2200" w:type="pct"/>
                  <w:vAlign w:val="center"/>
                </w:tcPr>
                <w:p w14:paraId="18D0ECBF">
                  <w:pPr>
                    <w:pStyle w:val="68"/>
                    <w:keepNext w:val="0"/>
                    <w:keepLines w:val="0"/>
                    <w:pageBreakBefore w:val="0"/>
                    <w:suppressLineNumbers w:val="0"/>
                    <w:wordWrap w:val="0"/>
                    <w:bidi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处置（填埋）】焚烧处置残渣（HW18类中的772-002~004-18）、含铍废物（HW20类）、含铬废物（HW21类中的193-001-21、261-041~044-21、314-001~003-21、336-100-21、398-002-21）、含铜废物（HW22类中的398-005-22、304-001-22）、含锌废物（HW23类中的336-103-23、384-001-23、312-001-23、900-021-23）、含砷废物（HW24类）、含硒废物（HW25类）、含镉废物（HW26类）、含锑废物（HW27类）、含碲废物（HW28类）、含汞废物（HW29类中的261-051~052-29、261-054-29、265-004-29、900-452-29，仅限低含汞污泥）、含铊废物（HW30类）、含铅废物（HW31类中的304-002-31）、石棉废物（HW36类）、含镍废物（HW46类）、含钡废物（HW47类）、有色金属冶炼废物（HW48类中的321-002~014-48、321-016~029-48）、其他废物（HW49类中的900-041~042-49、900-046~047-49），共3.45万吨/年。</w:t>
                  </w:r>
                </w:p>
              </w:tc>
            </w:tr>
            <w:tr w14:paraId="53A48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Align w:val="center"/>
                </w:tcPr>
                <w:p w14:paraId="040F0D4B">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2</w:t>
                  </w:r>
                </w:p>
              </w:tc>
              <w:tc>
                <w:tcPr>
                  <w:tcW w:w="606" w:type="pct"/>
                  <w:vAlign w:val="center"/>
                </w:tcPr>
                <w:p w14:paraId="46364475">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广东华欣环保科技有限公司</w:t>
                  </w:r>
                </w:p>
              </w:tc>
              <w:tc>
                <w:tcPr>
                  <w:tcW w:w="628" w:type="pct"/>
                  <w:vAlign w:val="center"/>
                </w:tcPr>
                <w:p w14:paraId="6D2FD9A0">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韶关市曲江区广东韶钢松山股份有限公司厂区内</w:t>
                  </w:r>
                </w:p>
              </w:tc>
              <w:tc>
                <w:tcPr>
                  <w:tcW w:w="538" w:type="pct"/>
                  <w:vAlign w:val="center"/>
                </w:tcPr>
                <w:p w14:paraId="5052D23B">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440205220412</w:t>
                  </w:r>
                </w:p>
              </w:tc>
              <w:tc>
                <w:tcPr>
                  <w:tcW w:w="792" w:type="pct"/>
                  <w:vAlign w:val="center"/>
                </w:tcPr>
                <w:p w14:paraId="0AC06430">
                  <w:pPr>
                    <w:pStyle w:val="68"/>
                    <w:keepNext w:val="0"/>
                    <w:keepLines w:val="0"/>
                    <w:pageBreakBefore w:val="0"/>
                    <w:suppressLineNumbers w:val="0"/>
                    <w:wordWrap w:val="0"/>
                    <w:bidi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至2028年4月9日</w:t>
                  </w:r>
                </w:p>
              </w:tc>
              <w:tc>
                <w:tcPr>
                  <w:tcW w:w="2200" w:type="pct"/>
                  <w:vAlign w:val="center"/>
                </w:tcPr>
                <w:p w14:paraId="7D9F09A0">
                  <w:pPr>
                    <w:pStyle w:val="68"/>
                    <w:keepNext w:val="0"/>
                    <w:keepLines w:val="0"/>
                    <w:pageBreakBefore w:val="0"/>
                    <w:suppressLineNumbers w:val="0"/>
                    <w:wordWrap w:val="0"/>
                    <w:bidi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【收集、贮存、利用】废矿物油与含矿物油废物（HW08类中的900-249-08，仅限沾染矿物油的废铁质包装桶 ）1.8万吨/年、其他废物（HW49类中的900-041-49，仅限废铁质包装桶）3.2万吨/年、含铬废物（HW21类中的314-001~002-21）10万吨/年、含锌废物（HW23类中的312-001-23、336-103-23（仅限集尘、除尘装置收集的粉尘））1万吨/年，共计16万吨/年。</w:t>
                  </w:r>
                </w:p>
              </w:tc>
            </w:tr>
          </w:tbl>
          <w:p w14:paraId="17E80F74">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本项目的危险废物种类不多，单次产生量不大，性质较稳定，落实好上述措施后，从产生到转移处置的全过程环境风险均可得到有效控制，不存在重大隐患，不会对外部环境造成重大影响。</w:t>
            </w:r>
          </w:p>
          <w:p w14:paraId="0EC9B2A2">
            <w:pPr>
              <w:pStyle w:val="4"/>
              <w:pageBreakBefore w:val="0"/>
              <w:numPr>
                <w:ilvl w:val="2"/>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五、土壤、地下水环境影响分析</w:t>
            </w:r>
          </w:p>
          <w:p w14:paraId="044284D5">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w:t>
            </w:r>
            <w:r>
              <w:rPr>
                <w:rFonts w:hint="default" w:ascii="Times New Roman" w:hAnsi="Times New Roman" w:cs="Times New Roman"/>
                <w:color w:val="auto"/>
                <w:kern w:val="2"/>
                <w:sz w:val="24"/>
                <w:szCs w:val="24"/>
                <w:highlight w:val="none"/>
                <w:lang w:val="en-US" w:eastAsia="zh-CN"/>
              </w:rPr>
              <w:t>二十七</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非</w:t>
            </w:r>
            <w:r>
              <w:rPr>
                <w:rFonts w:hint="default" w:ascii="Times New Roman" w:hAnsi="Times New Roman" w:cs="Times New Roman"/>
                <w:color w:val="auto"/>
                <w:kern w:val="2"/>
                <w:sz w:val="24"/>
                <w:szCs w:val="24"/>
                <w:highlight w:val="none"/>
              </w:rPr>
              <w:t>金属</w:t>
            </w:r>
            <w:r>
              <w:rPr>
                <w:rFonts w:hint="default" w:ascii="Times New Roman" w:hAnsi="Times New Roman" w:cs="Times New Roman"/>
                <w:color w:val="auto"/>
                <w:kern w:val="2"/>
                <w:sz w:val="24"/>
                <w:szCs w:val="24"/>
                <w:highlight w:val="none"/>
                <w:lang w:val="en-US" w:eastAsia="zh-CN"/>
              </w:rPr>
              <w:t>矿物</w:t>
            </w:r>
            <w:r>
              <w:rPr>
                <w:rFonts w:hint="default" w:ascii="Times New Roman" w:hAnsi="Times New Roman" w:cs="Times New Roman"/>
                <w:color w:val="auto"/>
                <w:kern w:val="2"/>
                <w:sz w:val="24"/>
                <w:szCs w:val="24"/>
                <w:highlight w:val="none"/>
              </w:rPr>
              <w:t xml:space="preserve">制品业 </w:t>
            </w:r>
            <w:r>
              <w:rPr>
                <w:rFonts w:hint="default" w:ascii="Times New Roman" w:hAnsi="Times New Roman" w:cs="Times New Roman"/>
                <w:color w:val="auto"/>
                <w:kern w:val="2"/>
                <w:sz w:val="24"/>
                <w:szCs w:val="24"/>
                <w:highlight w:val="none"/>
                <w:lang w:val="en-US" w:eastAsia="zh-CN"/>
              </w:rPr>
              <w:t>30</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砖瓦</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石材等建筑材料制造303</w:t>
            </w:r>
            <w:r>
              <w:rPr>
                <w:rFonts w:hint="default" w:ascii="Times New Roman" w:hAnsi="Times New Roman" w:cs="Times New Roman"/>
                <w:color w:val="auto"/>
                <w:kern w:val="2"/>
                <w:sz w:val="24"/>
                <w:szCs w:val="24"/>
                <w:highlight w:val="none"/>
              </w:rPr>
              <w:t>——</w:t>
            </w:r>
            <w:r>
              <w:rPr>
                <w:rFonts w:hint="default" w:ascii="Times New Roman" w:hAnsi="Times New Roman" w:cs="Times New Roman"/>
                <w:color w:val="auto"/>
                <w:kern w:val="2"/>
                <w:sz w:val="24"/>
                <w:szCs w:val="24"/>
                <w:highlight w:val="none"/>
                <w:lang w:val="en-US" w:eastAsia="zh-CN"/>
              </w:rPr>
              <w:t>其他建筑材料制造</w:t>
            </w:r>
            <w:r>
              <w:rPr>
                <w:rFonts w:hint="default" w:ascii="Times New Roman" w:hAnsi="Times New Roman" w:cs="Times New Roman"/>
                <w:color w:val="auto"/>
                <w:highlight w:val="none"/>
              </w:rPr>
              <w:t>，厂区地面已全部硬化，危废间地面硬化，并刷环氧树脂漆防渗层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设置围堰</w:t>
            </w:r>
            <w:r>
              <w:rPr>
                <w:rFonts w:hint="default" w:ascii="Times New Roman" w:hAnsi="Times New Roman" w:cs="Times New Roman"/>
                <w:color w:val="auto"/>
                <w:highlight w:val="none"/>
              </w:rPr>
              <w:t>，正常情况下</w:t>
            </w:r>
            <w:r>
              <w:rPr>
                <w:rFonts w:hint="default" w:ascii="Times New Roman" w:hAnsi="Times New Roman" w:cs="Times New Roman"/>
                <w:color w:val="auto"/>
                <w:highlight w:val="none"/>
                <w:lang w:val="en-US" w:eastAsia="zh-CN"/>
              </w:rPr>
              <w:t>可有效阻止</w:t>
            </w:r>
            <w:r>
              <w:rPr>
                <w:rFonts w:hint="default" w:ascii="Times New Roman" w:hAnsi="Times New Roman" w:cs="Times New Roman"/>
                <w:color w:val="auto"/>
                <w:highlight w:val="none"/>
              </w:rPr>
              <w:t>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66C67DA5">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629031FA">
            <w:pPr>
              <w:pStyle w:val="43"/>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分区管控：</w:t>
            </w:r>
          </w:p>
          <w:p w14:paraId="6A00F78D">
            <w:pPr>
              <w:pStyle w:val="54"/>
              <w:keepNext w:val="0"/>
              <w:keepLines w:val="0"/>
              <w:pageBreakBefore w:val="0"/>
              <w:suppressLineNumbers w:val="0"/>
              <w:wordWrap w:val="0"/>
              <w:bidi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①简单防渗区：办公室及无液态原料的区域仅进行一般地面硬化，无需进行防渗处理。</w:t>
            </w:r>
          </w:p>
          <w:p w14:paraId="6AE1DB9F">
            <w:pPr>
              <w:keepNext w:val="0"/>
              <w:keepLines w:val="0"/>
              <w:pageBreakBefore w:val="0"/>
              <w:suppressLineNumbers w:val="0"/>
              <w:wordWrap w:val="0"/>
              <w:bidi w:val="0"/>
              <w:spacing w:before="0" w:beforeAutospacing="0" w:after="0" w:afterAutospacing="0"/>
              <w:ind w:left="0" w:right="0"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②一般防渗区：本项目不涉及重金属、持久性有机污染物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本项目对生产车间</w:t>
            </w:r>
            <w:r>
              <w:rPr>
                <w:rFonts w:hint="default" w:ascii="Times New Roman" w:hAnsi="Times New Roman" w:cs="Times New Roman"/>
                <w:color w:val="auto"/>
                <w:highlight w:val="none"/>
              </w:rPr>
              <w:t>进行一般防渗处理，防渗要求按照等效黏土防渗层Mb≥1.5m，K≤1×10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w:t>
            </w:r>
            <w:r>
              <w:rPr>
                <w:rFonts w:hint="eastAsia" w:cs="Times New Roman"/>
                <w:color w:val="auto"/>
                <w:highlight w:val="none"/>
                <w:lang w:eastAsia="zh-CN"/>
              </w:rPr>
              <w:t>。</w:t>
            </w:r>
          </w:p>
          <w:p w14:paraId="1D889DD5">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③重点防渗区：</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危险废物贮存在危废间，进行重点防渗处理，要求按照等效黏土防渗层Mb≥6.0m，K≤1×10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cm/s或参照GB18598执行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并设置围堰</w:t>
            </w:r>
            <w:r>
              <w:rPr>
                <w:rFonts w:hint="default" w:ascii="Times New Roman" w:hAnsi="Times New Roman" w:cs="Times New Roman"/>
                <w:color w:val="auto"/>
                <w:highlight w:val="none"/>
              </w:rPr>
              <w:t>。</w:t>
            </w:r>
          </w:p>
          <w:p w14:paraId="62FAFCD1">
            <w:pPr>
              <w:keepNext/>
              <w:keepLines/>
              <w:pageBreakBefore w:val="0"/>
              <w:suppressLineNumbers w:val="0"/>
              <w:tabs>
                <w:tab w:val="left" w:pos="0"/>
              </w:tabs>
              <w:wordWrap w:val="0"/>
              <w:bidi w:val="0"/>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六、生态环境影响分析</w:t>
            </w:r>
          </w:p>
          <w:p w14:paraId="44044D7E">
            <w:pPr>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3033C14F">
            <w:pPr>
              <w:keepNext/>
              <w:keepLines/>
              <w:pageBreakBefore w:val="0"/>
              <w:suppressLineNumbers w:val="0"/>
              <w:tabs>
                <w:tab w:val="left" w:pos="0"/>
              </w:tabs>
              <w:wordWrap w:val="0"/>
              <w:bidi w:val="0"/>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七、环境风险影响分析</w:t>
            </w:r>
          </w:p>
          <w:p w14:paraId="74DC3CF1">
            <w:pPr>
              <w:keepNext/>
              <w:keepLines/>
              <w:pageBreakBefore w:val="0"/>
              <w:suppressLineNumbers w:val="0"/>
              <w:tabs>
                <w:tab w:val="left" w:pos="0"/>
              </w:tabs>
              <w:wordWrap w:val="0"/>
              <w:bidi w:val="0"/>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1、环境风险识别</w:t>
            </w:r>
          </w:p>
          <w:p w14:paraId="74A43229">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018D9B55">
            <w:pPr>
              <w:keepNext/>
              <w:keepLines/>
              <w:pageBreakBefore w:val="0"/>
              <w:suppressLineNumbers w:val="0"/>
              <w:tabs>
                <w:tab w:val="left" w:pos="0"/>
              </w:tabs>
              <w:wordWrap w:val="0"/>
              <w:bidi w:val="0"/>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2、评价依据</w:t>
            </w:r>
          </w:p>
          <w:p w14:paraId="0AFFE152">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①风险调查</w:t>
            </w:r>
          </w:p>
          <w:p w14:paraId="5B2A5132">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eastAsia="宋体" w:cs="Times New Roman"/>
                <w:i w:val="0"/>
                <w:iCs w:val="0"/>
                <w:color w:val="auto"/>
                <w:kern w:val="0"/>
                <w:sz w:val="24"/>
                <w:szCs w:val="24"/>
                <w:highlight w:val="none"/>
                <w:u w:val="none"/>
                <w:lang w:val="en-US" w:eastAsia="zh-CN" w:bidi="ar"/>
              </w:rPr>
              <w:t>厂区内不设天然气储存装置，故本项目按管道中的天然气量计算最大储存量，厂区内天然气管道长度约</w:t>
            </w:r>
            <w:r>
              <w:rPr>
                <w:rFonts w:hint="default" w:ascii="Times New Roman" w:hAnsi="Times New Roman" w:cs="Times New Roman"/>
                <w:i w:val="0"/>
                <w:iCs w:val="0"/>
                <w:color w:val="auto"/>
                <w:kern w:val="0"/>
                <w:sz w:val="24"/>
                <w:szCs w:val="24"/>
                <w:highlight w:val="none"/>
                <w:u w:val="none"/>
                <w:lang w:val="en-US" w:eastAsia="zh-CN" w:bidi="ar"/>
              </w:rPr>
              <w:t>15</w:t>
            </w:r>
            <w:r>
              <w:rPr>
                <w:rFonts w:hint="default" w:ascii="Times New Roman" w:hAnsi="Times New Roman" w:eastAsia="宋体" w:cs="Times New Roman"/>
                <w:i w:val="0"/>
                <w:iCs w:val="0"/>
                <w:color w:val="auto"/>
                <w:kern w:val="0"/>
                <w:sz w:val="24"/>
                <w:szCs w:val="24"/>
                <w:highlight w:val="none"/>
                <w:u w:val="none"/>
                <w:lang w:val="en-US" w:eastAsia="zh-CN" w:bidi="ar"/>
              </w:rPr>
              <w:t>0m，管径40mm，密度0.7174kg/m</w:t>
            </w:r>
            <w:r>
              <w:rPr>
                <w:rFonts w:hint="default" w:ascii="Times New Roman" w:hAnsi="Times New Roman" w:eastAsia="宋体" w:cs="Times New Roman"/>
                <w:i w:val="0"/>
                <w:iCs w:val="0"/>
                <w:color w:val="auto"/>
                <w:kern w:val="0"/>
                <w:sz w:val="24"/>
                <w:szCs w:val="24"/>
                <w:highlight w:val="none"/>
                <w:u w:val="none"/>
                <w:vertAlign w:val="superscript"/>
                <w:lang w:val="en-US" w:eastAsia="zh-CN" w:bidi="ar"/>
              </w:rPr>
              <w:t>3</w:t>
            </w:r>
            <w:r>
              <w:rPr>
                <w:rFonts w:hint="default" w:ascii="Times New Roman" w:hAnsi="Times New Roman" w:eastAsia="宋体" w:cs="Times New Roman"/>
                <w:i w:val="0"/>
                <w:iCs w:val="0"/>
                <w:color w:val="auto"/>
                <w:kern w:val="0"/>
                <w:sz w:val="24"/>
                <w:szCs w:val="24"/>
                <w:highlight w:val="none"/>
                <w:u w:val="none"/>
                <w:lang w:val="en-US" w:eastAsia="zh-CN" w:bidi="ar"/>
              </w:rPr>
              <w:t>，每台</w:t>
            </w:r>
            <w:r>
              <w:rPr>
                <w:rFonts w:hint="default" w:ascii="Times New Roman" w:hAnsi="Times New Roman" w:cs="Times New Roman"/>
                <w:i w:val="0"/>
                <w:iCs w:val="0"/>
                <w:color w:val="auto"/>
                <w:kern w:val="0"/>
                <w:sz w:val="24"/>
                <w:szCs w:val="24"/>
                <w:highlight w:val="none"/>
                <w:u w:val="none"/>
                <w:lang w:val="en-US" w:eastAsia="zh-CN" w:bidi="ar"/>
              </w:rPr>
              <w:t>燃烧机</w:t>
            </w:r>
            <w:r>
              <w:rPr>
                <w:rFonts w:hint="default" w:ascii="Times New Roman" w:hAnsi="Times New Roman" w:eastAsia="宋体" w:cs="Times New Roman"/>
                <w:i w:val="0"/>
                <w:iCs w:val="0"/>
                <w:color w:val="auto"/>
                <w:kern w:val="0"/>
                <w:sz w:val="24"/>
                <w:szCs w:val="24"/>
                <w:highlight w:val="none"/>
                <w:u w:val="none"/>
                <w:lang w:val="en-US" w:eastAsia="zh-CN" w:bidi="ar"/>
              </w:rPr>
              <w:t>配备一根燃气管道。则本项目厂区内最大储存量=天然气管道截面积×厂区内长度×密度×管数，约为</w:t>
            </w:r>
            <w:r>
              <w:rPr>
                <w:rFonts w:hint="default" w:ascii="Times New Roman" w:hAnsi="Times New Roman" w:cs="Times New Roman"/>
                <w:i w:val="0"/>
                <w:iCs w:val="0"/>
                <w:color w:val="auto"/>
                <w:kern w:val="0"/>
                <w:sz w:val="24"/>
                <w:szCs w:val="24"/>
                <w:highlight w:val="none"/>
                <w:u w:val="none"/>
                <w:lang w:val="en-US" w:eastAsia="zh-CN" w:bidi="ar"/>
              </w:rPr>
              <w:t>0.0003</w:t>
            </w:r>
            <w:r>
              <w:rPr>
                <w:rFonts w:hint="default" w:ascii="Times New Roman" w:hAnsi="Times New Roman" w:eastAsia="宋体" w:cs="Times New Roman"/>
                <w:i w:val="0"/>
                <w:iCs w:val="0"/>
                <w:color w:val="auto"/>
                <w:kern w:val="0"/>
                <w:sz w:val="24"/>
                <w:szCs w:val="24"/>
                <w:highlight w:val="none"/>
                <w:u w:val="none"/>
                <w:lang w:val="en-US" w:eastAsia="zh-CN" w:bidi="ar"/>
              </w:rPr>
              <w:t>t</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机油（</w:t>
            </w:r>
            <w:r>
              <w:rPr>
                <w:rFonts w:hint="default" w:ascii="Times New Roman" w:hAnsi="Times New Roman" w:cs="Times New Roman"/>
                <w:color w:val="auto"/>
                <w:highlight w:val="none"/>
              </w:rPr>
              <w:t>润滑油</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highlight w:val="none"/>
              </w:rPr>
              <w:t>最大储存量为</w:t>
            </w:r>
            <w:r>
              <w:rPr>
                <w:rFonts w:hint="default" w:ascii="Times New Roman" w:hAnsi="Times New Roman" w:cs="Times New Roman"/>
                <w:color w:val="auto"/>
                <w:highlight w:val="none"/>
                <w:lang w:val="en-US" w:eastAsia="zh-CN"/>
              </w:rPr>
              <w:t>0.2</w:t>
            </w:r>
            <w:r>
              <w:rPr>
                <w:rFonts w:hint="default" w:ascii="Times New Roman" w:hAnsi="Times New Roman" w:cs="Times New Roman"/>
                <w:color w:val="auto"/>
                <w:highlight w:val="none"/>
              </w:rPr>
              <w:t>吨，</w:t>
            </w:r>
            <w:r>
              <w:rPr>
                <w:rFonts w:hint="default" w:ascii="Times New Roman" w:hAnsi="Times New Roman" w:cs="Times New Roman"/>
                <w:color w:val="auto"/>
                <w:highlight w:val="none"/>
                <w:lang w:val="en-US" w:eastAsia="zh-CN"/>
              </w:rPr>
              <w:t>危险废物中，废活性炭贮存周期按3个月计，其余危险废物按1年或2个月计。</w:t>
            </w:r>
          </w:p>
          <w:p w14:paraId="46AFE233">
            <w:pPr>
              <w:keepNext w:val="0"/>
              <w:keepLines w:val="0"/>
              <w:pageBreakBefore w:val="0"/>
              <w:suppressLineNumbers w:val="0"/>
              <w:wordWrap w:val="0"/>
              <w:bidi w:val="0"/>
              <w:spacing w:before="0" w:beforeAutospacing="0" w:after="0" w:afterAutospacing="0"/>
              <w:ind w:left="0" w:right="0" w:firstLine="470" w:firstLineChars="196"/>
              <w:rPr>
                <w:rFonts w:hint="default" w:ascii="Times New Roman" w:hAnsi="Times New Roman" w:cs="Times New Roman"/>
                <w:color w:val="auto"/>
                <w:highlight w:val="none"/>
              </w:rPr>
            </w:pPr>
            <w:r>
              <w:rPr>
                <w:rFonts w:hint="default" w:ascii="Times New Roman" w:hAnsi="Times New Roman" w:cs="Times New Roman"/>
                <w:color w:val="auto"/>
                <w:highlight w:val="none"/>
              </w:rPr>
              <w:t>②风险潜势初判</w:t>
            </w:r>
          </w:p>
          <w:p w14:paraId="3ABA4272">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根据《建设项目环境风险评价技术导则》（HJ169-2018）附录B，本项目涉及的风险物质为</w:t>
            </w:r>
            <w:r>
              <w:rPr>
                <w:rFonts w:hint="default" w:ascii="Times New Roman" w:hAnsi="Times New Roman" w:cs="Times New Roman"/>
                <w:color w:val="auto"/>
                <w:highlight w:val="none"/>
                <w:lang w:val="en-US" w:eastAsia="zh-CN"/>
              </w:rPr>
              <w:t>甲烷，临界量为10吨；其中</w:t>
            </w:r>
            <w:r>
              <w:rPr>
                <w:rFonts w:hint="default" w:ascii="Times New Roman" w:hAnsi="Times New Roman" w:cs="Times New Roman"/>
                <w:color w:val="auto"/>
                <w:highlight w:val="none"/>
              </w:rPr>
              <w:t>润滑油、废机油</w:t>
            </w:r>
            <w:r>
              <w:rPr>
                <w:rFonts w:hint="default" w:ascii="Times New Roman" w:hAnsi="Times New Roman" w:cs="Times New Roman"/>
                <w:color w:val="auto"/>
                <w:highlight w:val="none"/>
                <w:lang w:val="en-US" w:eastAsia="zh-CN"/>
              </w:rPr>
              <w:t>及桶</w:t>
            </w:r>
            <w:r>
              <w:rPr>
                <w:rFonts w:hint="default" w:ascii="Times New Roman" w:hAnsi="Times New Roman" w:cs="Times New Roman"/>
                <w:color w:val="auto"/>
                <w:highlight w:val="none"/>
              </w:rPr>
              <w:t>，属于表B.1“油类物质（矿物油类，如石油、汽油、柴油等；生物柴油等）的临界值2500吨”。其余危险废物Q值参照《建设项目环境风险评价技术导则》（HJ169-2018）中“表B.2其他危险物质临界量推荐值--健康危险急性毒性物质（类别2、类别3）的临界值50吨”。</w:t>
            </w:r>
          </w:p>
          <w:p w14:paraId="5C50DFF9">
            <w:pPr>
              <w:pStyle w:val="76"/>
              <w:keepNext w:val="0"/>
              <w:keepLines w:val="0"/>
              <w:pageBreakBefore w:val="0"/>
              <w:numPr>
                <w:ilvl w:val="0"/>
                <w:numId w:val="0"/>
              </w:numPr>
              <w:suppressLineNumbers w:val="0"/>
              <w:tabs>
                <w:tab w:val="left" w:pos="0"/>
              </w:tabs>
              <w:wordWrap w:val="0"/>
              <w:bidi w:val="0"/>
              <w:spacing w:before="0" w:beforeAutospacing="0" w:after="0" w:afterAutospacing="0" w:line="360" w:lineRule="auto"/>
              <w:ind w:left="0" w:leftChars="0" w:right="0" w:rightChars="0" w:firstLine="40" w:firstLineChars="0"/>
              <w:rPr>
                <w:rFonts w:hint="default" w:ascii="Times New Roman" w:hAnsi="Times New Roman" w:cs="Times New Roman"/>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26 </w:t>
            </w:r>
            <w:r>
              <w:rPr>
                <w:rFonts w:hint="default" w:ascii="Times New Roman" w:hAnsi="Times New Roman" w:cs="Times New Roman"/>
                <w:bCs/>
                <w:color w:val="auto"/>
                <w:highlight w:val="none"/>
              </w:rPr>
              <w:t>危险物质识别一览表</w:t>
            </w:r>
          </w:p>
          <w:tbl>
            <w:tblPr>
              <w:tblStyle w:val="3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2"/>
              <w:gridCol w:w="1012"/>
              <w:gridCol w:w="1222"/>
              <w:gridCol w:w="4564"/>
              <w:gridCol w:w="1824"/>
            </w:tblGrid>
            <w:tr w14:paraId="188EA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70C56A7F">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序号</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20D49DF0">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物质名称</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8A07AF2">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风险特性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4298AA07">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B35D94C">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判断依据</w:t>
                  </w:r>
                </w:p>
              </w:tc>
            </w:tr>
            <w:tr w14:paraId="462FF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54B3FAB2">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1</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7AE9405D">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天然气</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B68778D">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0ACB4310">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val="en-US" w:eastAsia="zh-CN"/>
                    </w:rPr>
                    <w:t>甲烷</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BD71FB3">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214E3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64884EBA">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val="en-US" w:eastAsia="zh-CN"/>
                    </w:rPr>
                    <w:t>2</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234A78EB">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lang w:val="en-US" w:eastAsia="zh-CN"/>
                    </w:rPr>
                    <w:t>机油（</w:t>
                  </w:r>
                  <w:r>
                    <w:rPr>
                      <w:rFonts w:hint="default" w:ascii="Times New Roman" w:hAnsi="Times New Roman" w:cs="Times New Roman"/>
                      <w:b w:val="0"/>
                      <w:color w:val="auto"/>
                      <w:highlight w:val="none"/>
                    </w:rPr>
                    <w:t>润滑油</w:t>
                  </w:r>
                  <w:r>
                    <w:rPr>
                      <w:rFonts w:hint="default" w:ascii="Times New Roman" w:hAnsi="Times New Roman" w:cs="Times New Roman"/>
                      <w:b w:val="0"/>
                      <w:color w:val="auto"/>
                      <w:highlight w:val="none"/>
                      <w:lang w:val="en-US" w:eastAsia="zh-CN"/>
                    </w:rPr>
                    <w:t>）</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036725D">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1E404AAF">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eastAsia="宋体" w:cs="Times New Roman"/>
                      <w:b w:val="0"/>
                      <w:color w:val="auto"/>
                      <w:highlight w:val="none"/>
                      <w:lang w:val="en-US" w:eastAsia="zh-CN"/>
                    </w:rPr>
                  </w:pPr>
                  <w:r>
                    <w:rPr>
                      <w:rFonts w:hint="default" w:ascii="Times New Roman" w:hAnsi="Times New Roman" w:cs="Times New Roman"/>
                      <w:b w:val="0"/>
                      <w:color w:val="auto"/>
                      <w:highlight w:val="none"/>
                      <w:lang w:val="en-US" w:eastAsia="zh-CN"/>
                    </w:rPr>
                    <w:t>矿物油类</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B24E6DE">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24A91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510E915E">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lang w:val="en-US" w:eastAsia="zh-CN"/>
                    </w:rPr>
                  </w:pPr>
                  <w:r>
                    <w:rPr>
                      <w:rFonts w:hint="default" w:ascii="Times New Roman" w:hAnsi="Times New Roman" w:cs="Times New Roman"/>
                      <w:b w:val="0"/>
                      <w:color w:val="auto"/>
                      <w:highlight w:val="none"/>
                      <w:lang w:val="en-US" w:eastAsia="zh-CN"/>
                    </w:rPr>
                    <w:t>3</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44B293C6">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eastAsia="宋体" w:cs="Times New Roman"/>
                      <w:b w:val="0"/>
                      <w:color w:val="auto"/>
                      <w:highlight w:val="none"/>
                      <w:lang w:val="en-US" w:eastAsia="zh-CN"/>
                    </w:rPr>
                  </w:pPr>
                  <w:r>
                    <w:rPr>
                      <w:rFonts w:hint="default" w:ascii="Times New Roman" w:hAnsi="Times New Roman" w:cs="Times New Roman"/>
                      <w:b w:val="0"/>
                      <w:color w:val="auto"/>
                      <w:highlight w:val="none"/>
                      <w:lang w:val="en-US" w:eastAsia="zh-CN"/>
                    </w:rPr>
                    <w:t>废机油及桶</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745E9FD">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18565E5E">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lang w:val="en-US" w:eastAsia="zh-CN"/>
                    </w:rPr>
                    <w:t>矿物油类</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6058A4FC">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1D7B5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0E84FE82">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val="en-US" w:eastAsia="zh-CN"/>
                    </w:rPr>
                    <w:t>4</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11FA87B1">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22234841">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1577570E">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rPr>
                    <w:t>危险废物</w:t>
                  </w:r>
                  <w:r>
                    <w:rPr>
                      <w:rFonts w:hint="default" w:ascii="Times New Roman" w:hAnsi="Times New Roman" w:cs="Times New Roman"/>
                      <w:b w:val="0"/>
                      <w:color w:val="auto"/>
                      <w:highlight w:val="none"/>
                      <w:lang w:eastAsia="zh-CN"/>
                    </w:rPr>
                    <w:t>（</w:t>
                  </w:r>
                  <w:r>
                    <w:rPr>
                      <w:rFonts w:hint="default" w:ascii="Times New Roman" w:hAnsi="Times New Roman" w:cs="Times New Roman"/>
                      <w:b w:val="0"/>
                      <w:color w:val="auto"/>
                      <w:highlight w:val="none"/>
                      <w:lang w:val="en-US" w:eastAsia="zh-CN"/>
                    </w:rPr>
                    <w:t>不含废机油及桶</w:t>
                  </w:r>
                  <w:r>
                    <w:rPr>
                      <w:rFonts w:hint="default" w:ascii="Times New Roman" w:hAnsi="Times New Roman" w:cs="Times New Roman"/>
                      <w:b w:val="0"/>
                      <w:color w:val="auto"/>
                      <w:highlight w:val="none"/>
                      <w:lang w:eastAsia="zh-CN"/>
                    </w:rPr>
                    <w:t>）</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0D394E0">
                  <w:pPr>
                    <w:pStyle w:val="76"/>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bl>
          <w:p w14:paraId="7176769C">
            <w:pPr>
              <w:keepNext w:val="0"/>
              <w:keepLines w:val="0"/>
              <w:pageBreakBefore w:val="0"/>
              <w:suppressLineNumbers w:val="0"/>
              <w:wordWrap w:val="0"/>
              <w:bidi w:val="0"/>
              <w:adjustRightInd w:val="0"/>
              <w:spacing w:before="0" w:beforeAutospacing="0" w:after="0" w:afterAutospacing="0"/>
              <w:ind w:left="0" w:right="0" w:firstLine="472" w:firstLineChars="200"/>
              <w:rPr>
                <w:rFonts w:hint="default" w:ascii="Times New Roman" w:hAnsi="Times New Roman" w:cs="Times New Roman"/>
                <w:color w:val="auto"/>
                <w:kern w:val="0"/>
                <w:highlight w:val="none"/>
              </w:rPr>
            </w:pPr>
            <w:r>
              <w:rPr>
                <w:rFonts w:hint="default" w:ascii="Times New Roman" w:hAnsi="Times New Roman" w:cs="Times New Roman"/>
                <w:color w:val="auto"/>
                <w:spacing w:val="-2"/>
                <w:highlight w:val="none"/>
              </w:rPr>
              <w:t>则本项目Q值确定见下表</w:t>
            </w:r>
            <w:r>
              <w:rPr>
                <w:rFonts w:hint="default" w:ascii="Times New Roman" w:hAnsi="Times New Roman" w:cs="Times New Roman"/>
                <w:color w:val="auto"/>
                <w:kern w:val="0"/>
                <w:highlight w:val="none"/>
              </w:rPr>
              <w:t>。</w:t>
            </w:r>
          </w:p>
          <w:p w14:paraId="19F944EA">
            <w:pPr>
              <w:keepNext w:val="0"/>
              <w:keepLines w:val="0"/>
              <w:pageBreakBefore w:val="0"/>
              <w:numPr>
                <w:ilvl w:val="0"/>
                <w:numId w:val="0"/>
              </w:numPr>
              <w:suppressLineNumbers w:val="0"/>
              <w:tabs>
                <w:tab w:val="left" w:pos="0"/>
              </w:tabs>
              <w:wordWrap w:val="0"/>
              <w:bidi w:val="0"/>
              <w:adjustRightInd w:val="0"/>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default" w:ascii="Times New Roman" w:hAnsi="Times New Roman" w:cs="Times New Roman"/>
                <w:b/>
                <w:color w:val="auto"/>
                <w:kern w:val="2"/>
                <w:sz w:val="21"/>
                <w:szCs w:val="21"/>
                <w:highlight w:val="none"/>
                <w:lang w:val="en-US" w:eastAsia="zh-CN" w:bidi="ar-SA"/>
              </w:rPr>
              <w:t xml:space="preserve">27 </w:t>
            </w:r>
            <w:r>
              <w:rPr>
                <w:rFonts w:hint="default" w:ascii="Times New Roman" w:hAnsi="Times New Roman" w:cs="Times New Roman"/>
                <w:b/>
                <w:bCs/>
                <w:color w:val="auto"/>
                <w:kern w:val="0"/>
                <w:sz w:val="21"/>
                <w:szCs w:val="21"/>
                <w:highlight w:val="none"/>
              </w:rPr>
              <w:t>建设项目Q值确定表</w:t>
            </w:r>
          </w:p>
          <w:tbl>
            <w:tblPr>
              <w:tblStyle w:val="37"/>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2136"/>
              <w:gridCol w:w="1524"/>
              <w:gridCol w:w="1517"/>
              <w:gridCol w:w="1516"/>
              <w:gridCol w:w="1521"/>
            </w:tblGrid>
            <w:tr w14:paraId="04F5D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87" w:type="dxa"/>
                  <w:vAlign w:val="center"/>
                </w:tcPr>
                <w:p w14:paraId="4BDC2260">
                  <w:pPr>
                    <w:keepNext w:val="0"/>
                    <w:keepLines w:val="0"/>
                    <w:pageBreakBefore w:val="0"/>
                    <w:suppressLineNumbers w:val="0"/>
                    <w:wordWrap w:val="0"/>
                    <w:bidi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序号</w:t>
                  </w:r>
                </w:p>
              </w:tc>
              <w:tc>
                <w:tcPr>
                  <w:tcW w:w="2136" w:type="dxa"/>
                  <w:vAlign w:val="center"/>
                </w:tcPr>
                <w:p w14:paraId="138C7E48">
                  <w:pPr>
                    <w:keepNext w:val="0"/>
                    <w:keepLines w:val="0"/>
                    <w:pageBreakBefore w:val="0"/>
                    <w:suppressLineNumbers w:val="0"/>
                    <w:wordWrap w:val="0"/>
                    <w:bidi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危险物质名称</w:t>
                  </w:r>
                </w:p>
              </w:tc>
              <w:tc>
                <w:tcPr>
                  <w:tcW w:w="1524" w:type="dxa"/>
                  <w:vAlign w:val="center"/>
                </w:tcPr>
                <w:p w14:paraId="257BF580">
                  <w:pPr>
                    <w:keepNext w:val="0"/>
                    <w:keepLines w:val="0"/>
                    <w:pageBreakBefore w:val="0"/>
                    <w:suppressLineNumbers w:val="0"/>
                    <w:wordWrap w:val="0"/>
                    <w:bidi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CAS号</w:t>
                  </w:r>
                </w:p>
              </w:tc>
              <w:tc>
                <w:tcPr>
                  <w:tcW w:w="1517" w:type="dxa"/>
                  <w:vAlign w:val="center"/>
                </w:tcPr>
                <w:p w14:paraId="77B9AED3">
                  <w:pPr>
                    <w:keepNext w:val="0"/>
                    <w:keepLines w:val="0"/>
                    <w:pageBreakBefore w:val="0"/>
                    <w:suppressLineNumbers w:val="0"/>
                    <w:wordWrap w:val="0"/>
                    <w:bidi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最大存储总量（t）</w:t>
                  </w:r>
                </w:p>
              </w:tc>
              <w:tc>
                <w:tcPr>
                  <w:tcW w:w="1516" w:type="dxa"/>
                  <w:vAlign w:val="center"/>
                </w:tcPr>
                <w:p w14:paraId="2B99A6D0">
                  <w:pPr>
                    <w:keepNext w:val="0"/>
                    <w:keepLines w:val="0"/>
                    <w:pageBreakBefore w:val="0"/>
                    <w:suppressLineNumbers w:val="0"/>
                    <w:wordWrap w:val="0"/>
                    <w:bidi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临界量Qn/t</w:t>
                  </w:r>
                </w:p>
              </w:tc>
              <w:tc>
                <w:tcPr>
                  <w:tcW w:w="1521" w:type="dxa"/>
                  <w:vAlign w:val="center"/>
                </w:tcPr>
                <w:p w14:paraId="08AE1E4D">
                  <w:pPr>
                    <w:keepNext w:val="0"/>
                    <w:keepLines w:val="0"/>
                    <w:pageBreakBefore w:val="0"/>
                    <w:suppressLineNumbers w:val="0"/>
                    <w:wordWrap w:val="0"/>
                    <w:bidi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该种危险物质Q值</w:t>
                  </w:r>
                </w:p>
              </w:tc>
            </w:tr>
            <w:tr w14:paraId="73A16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3DC5584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136" w:type="dxa"/>
                  <w:vAlign w:val="center"/>
                </w:tcPr>
                <w:p w14:paraId="6B2F430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甲烷</w:t>
                  </w:r>
                </w:p>
              </w:tc>
              <w:tc>
                <w:tcPr>
                  <w:tcW w:w="1524" w:type="dxa"/>
                  <w:vAlign w:val="center"/>
                </w:tcPr>
                <w:p w14:paraId="22A2E57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8006-14-2</w:t>
                  </w:r>
                </w:p>
              </w:tc>
              <w:tc>
                <w:tcPr>
                  <w:tcW w:w="1517" w:type="dxa"/>
                  <w:vAlign w:val="center"/>
                </w:tcPr>
                <w:p w14:paraId="601684F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i w:val="0"/>
                      <w:iCs w:val="0"/>
                      <w:color w:val="auto"/>
                      <w:kern w:val="0"/>
                      <w:sz w:val="21"/>
                      <w:szCs w:val="21"/>
                      <w:highlight w:val="none"/>
                      <w:u w:val="none"/>
                      <w:lang w:val="en-US" w:eastAsia="zh-CN" w:bidi="ar"/>
                    </w:rPr>
                    <w:t>0.0003</w:t>
                  </w:r>
                </w:p>
              </w:tc>
              <w:tc>
                <w:tcPr>
                  <w:tcW w:w="1516" w:type="dxa"/>
                  <w:vAlign w:val="center"/>
                </w:tcPr>
                <w:p w14:paraId="2D9324F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i w:val="0"/>
                      <w:iCs w:val="0"/>
                      <w:color w:val="auto"/>
                      <w:kern w:val="0"/>
                      <w:sz w:val="21"/>
                      <w:szCs w:val="21"/>
                      <w:highlight w:val="none"/>
                      <w:u w:val="none"/>
                      <w:lang w:val="en-US" w:eastAsia="zh-CN" w:bidi="ar"/>
                    </w:rPr>
                    <w:t>10</w:t>
                  </w:r>
                </w:p>
              </w:tc>
              <w:tc>
                <w:tcPr>
                  <w:tcW w:w="1521" w:type="dxa"/>
                  <w:vAlign w:val="center"/>
                </w:tcPr>
                <w:p w14:paraId="736A2939">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0.00003</w:t>
                  </w:r>
                </w:p>
              </w:tc>
            </w:tr>
            <w:tr w14:paraId="272C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584B6FB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2136" w:type="dxa"/>
                  <w:vAlign w:val="center"/>
                </w:tcPr>
                <w:p w14:paraId="36BD9AF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机油</w:t>
                  </w:r>
                </w:p>
              </w:tc>
              <w:tc>
                <w:tcPr>
                  <w:tcW w:w="1524" w:type="dxa"/>
                  <w:vAlign w:val="center"/>
                </w:tcPr>
                <w:p w14:paraId="49B6B48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59B4E34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bidi="ar"/>
                    </w:rPr>
                    <w:t>0.2</w:t>
                  </w:r>
                </w:p>
              </w:tc>
              <w:tc>
                <w:tcPr>
                  <w:tcW w:w="1516" w:type="dxa"/>
                  <w:vAlign w:val="center"/>
                </w:tcPr>
                <w:p w14:paraId="3785E8E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521" w:type="dxa"/>
                  <w:vAlign w:val="center"/>
                </w:tcPr>
                <w:p w14:paraId="65EEB809">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r>
            <w:tr w14:paraId="7718D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0AB7911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3</w:t>
                  </w:r>
                </w:p>
              </w:tc>
              <w:tc>
                <w:tcPr>
                  <w:tcW w:w="2136" w:type="dxa"/>
                  <w:vAlign w:val="center"/>
                </w:tcPr>
                <w:p w14:paraId="64039EE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废机油</w:t>
                  </w:r>
                  <w:r>
                    <w:rPr>
                      <w:rFonts w:hint="default" w:ascii="Times New Roman" w:hAnsi="Times New Roman" w:cs="Times New Roman"/>
                      <w:b w:val="0"/>
                      <w:bCs w:val="0"/>
                      <w:i w:val="0"/>
                      <w:iCs w:val="0"/>
                      <w:color w:val="auto"/>
                      <w:kern w:val="0"/>
                      <w:sz w:val="21"/>
                      <w:szCs w:val="21"/>
                      <w:highlight w:val="none"/>
                      <w:u w:val="none"/>
                      <w:lang w:val="en-US" w:eastAsia="zh-CN" w:bidi="ar"/>
                    </w:rPr>
                    <w:t>及桶</w:t>
                  </w:r>
                </w:p>
              </w:tc>
              <w:tc>
                <w:tcPr>
                  <w:tcW w:w="1524" w:type="dxa"/>
                  <w:vAlign w:val="center"/>
                </w:tcPr>
                <w:p w14:paraId="7A25A3D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6C108CD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i w:val="0"/>
                      <w:iCs w:val="0"/>
                      <w:color w:val="auto"/>
                      <w:kern w:val="0"/>
                      <w:sz w:val="21"/>
                      <w:szCs w:val="21"/>
                      <w:highlight w:val="none"/>
                      <w:u w:val="none"/>
                      <w:lang w:val="en-US" w:eastAsia="zh-CN" w:bidi="ar"/>
                    </w:rPr>
                    <w:t>0.205</w:t>
                  </w:r>
                </w:p>
              </w:tc>
              <w:tc>
                <w:tcPr>
                  <w:tcW w:w="1516" w:type="dxa"/>
                  <w:vAlign w:val="center"/>
                </w:tcPr>
                <w:p w14:paraId="1832585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521" w:type="dxa"/>
                  <w:vAlign w:val="center"/>
                </w:tcPr>
                <w:p w14:paraId="67008C3A">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0.000082</w:t>
                  </w:r>
                </w:p>
              </w:tc>
            </w:tr>
            <w:tr w14:paraId="481FE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245CB586">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bidi="ar"/>
                    </w:rPr>
                    <w:t>4</w:t>
                  </w:r>
                </w:p>
              </w:tc>
              <w:tc>
                <w:tcPr>
                  <w:tcW w:w="2136" w:type="dxa"/>
                  <w:vAlign w:val="center"/>
                </w:tcPr>
                <w:p w14:paraId="2C07AD5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危险废物（除废机油、废液压油）</w:t>
                  </w:r>
                </w:p>
              </w:tc>
              <w:tc>
                <w:tcPr>
                  <w:tcW w:w="1524" w:type="dxa"/>
                  <w:vAlign w:val="center"/>
                </w:tcPr>
                <w:p w14:paraId="7117648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3494B0C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bidi="ar"/>
                    </w:rPr>
                    <w:t>2.21</w:t>
                  </w:r>
                </w:p>
              </w:tc>
              <w:tc>
                <w:tcPr>
                  <w:tcW w:w="1516" w:type="dxa"/>
                  <w:vAlign w:val="center"/>
                </w:tcPr>
                <w:p w14:paraId="0971A2A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50</w:t>
                  </w:r>
                </w:p>
              </w:tc>
              <w:tc>
                <w:tcPr>
                  <w:tcW w:w="1521" w:type="dxa"/>
                  <w:vAlign w:val="center"/>
                </w:tcPr>
                <w:p w14:paraId="3AF90A20">
                  <w:pPr>
                    <w:keepNext w:val="0"/>
                    <w:keepLines w:val="0"/>
                    <w:pageBreakBefore w:val="0"/>
                    <w:widowControl/>
                    <w:suppressLineNumbers w:val="0"/>
                    <w:wordWrap w:val="0"/>
                    <w:bidi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0.0442</w:t>
                  </w:r>
                </w:p>
              </w:tc>
            </w:tr>
            <w:tr w14:paraId="0446E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580" w:type="dxa"/>
                  <w:gridSpan w:val="5"/>
                  <w:vAlign w:val="center"/>
                </w:tcPr>
                <w:p w14:paraId="44B4A21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项目Q值</w:t>
                  </w:r>
                </w:p>
              </w:tc>
              <w:tc>
                <w:tcPr>
                  <w:tcW w:w="1521" w:type="dxa"/>
                  <w:shd w:val="clear" w:color="auto" w:fill="auto"/>
                  <w:vAlign w:val="center"/>
                </w:tcPr>
                <w:p w14:paraId="2E0888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0.044392</w:t>
                  </w:r>
                </w:p>
              </w:tc>
            </w:tr>
          </w:tbl>
          <w:p w14:paraId="7AA6E721">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spacing w:val="-2"/>
                <w:highlight w:val="none"/>
              </w:rPr>
              <w:t>《建设项目环境风险评价技术导则》（HJ169-2018），当Q＜1时，环境风险潜势为I，仅需进行简单分析。</w:t>
            </w:r>
          </w:p>
          <w:p w14:paraId="161B6B4E">
            <w:pPr>
              <w:pStyle w:val="5"/>
              <w:pageBreakBefore w:val="0"/>
              <w:numPr>
                <w:ilvl w:val="3"/>
                <w:numId w:val="0"/>
              </w:numPr>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3、环境敏感目标调查</w:t>
            </w:r>
          </w:p>
          <w:p w14:paraId="16F4EB7D">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default" w:ascii="Times New Roman" w:hAnsi="Times New Roman" w:cs="Times New Roman"/>
                <w:color w:val="auto"/>
                <w:highlight w:val="none"/>
                <w:lang w:eastAsia="zh-CN"/>
              </w:rPr>
              <w:t>韶关市乐昌市乐昌产业转移工业园</w:t>
            </w:r>
            <w:r>
              <w:rPr>
                <w:rFonts w:hint="default" w:ascii="Times New Roman" w:hAnsi="Times New Roman" w:cs="Times New Roman"/>
                <w:color w:val="auto"/>
                <w:highlight w:val="none"/>
                <w:lang w:val="en-US" w:eastAsia="zh-CN"/>
              </w:rPr>
              <w:t>金岭五路6号</w:t>
            </w:r>
            <w:r>
              <w:rPr>
                <w:rFonts w:hint="default" w:ascii="Times New Roman" w:hAnsi="Times New Roman" w:cs="Times New Roman"/>
                <w:color w:val="auto"/>
                <w:highlight w:val="none"/>
              </w:rPr>
              <w:t>，厂区四周为其他企业，本项目厂界外500m范围内无自然保护区、风景名胜区、文化区，大气环境保护目标。</w:t>
            </w:r>
          </w:p>
          <w:p w14:paraId="7CC3789A">
            <w:pPr>
              <w:pStyle w:val="5"/>
              <w:pageBreakBefore w:val="0"/>
              <w:numPr>
                <w:ilvl w:val="3"/>
                <w:numId w:val="0"/>
              </w:numPr>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4、环境风险分析</w:t>
            </w:r>
          </w:p>
          <w:p w14:paraId="029A8CA5">
            <w:pPr>
              <w:pStyle w:val="6"/>
              <w:pageBreakBefore w:val="0"/>
              <w:widowControl/>
              <w:numPr>
                <w:ilvl w:val="4"/>
                <w:numId w:val="0"/>
              </w:numPr>
              <w:suppressLineNumbers w:val="0"/>
              <w:wordWrap w:val="0"/>
              <w:bidi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（1）大气环境风险分析</w:t>
            </w:r>
          </w:p>
          <w:p w14:paraId="4AEA0744">
            <w:pPr>
              <w:keepNext w:val="0"/>
              <w:keepLines w:val="0"/>
              <w:pageBreakBefore w:val="0"/>
              <w:widowControl/>
              <w:suppressLineNumbers w:val="0"/>
              <w:wordWrap w:val="0"/>
              <w:bidi w:val="0"/>
              <w:spacing w:before="0" w:beforeAutospacing="0" w:after="0" w:afterAutospacing="0"/>
              <w:ind w:left="0" w:right="0"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物料在运输、装卸、储存和使用过程中发生泄漏、火灾，有毒有害物质在高温情况下散发到空气中，泄漏的物料、物料燃烧产生的次生污染物如烟尘、CO等将对周边的环境空气带来较为严重的污染甚至对人群健康造成危害。</w:t>
            </w:r>
          </w:p>
          <w:p w14:paraId="33BF35EA">
            <w:pPr>
              <w:pStyle w:val="6"/>
              <w:pageBreakBefore w:val="0"/>
              <w:widowControl/>
              <w:numPr>
                <w:ilvl w:val="4"/>
                <w:numId w:val="0"/>
              </w:numPr>
              <w:suppressLineNumbers w:val="0"/>
              <w:wordWrap w:val="0"/>
              <w:bidi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（2）地表水、地下水环境风险分析</w:t>
            </w:r>
          </w:p>
          <w:p w14:paraId="320B28EE">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化学品仓内，且出入口处设置围堰围挡，物料随用随取，不使用时密闭封存，本项目厂区内均已进行地面硬化，厂界四周设置围墙围挡。因此</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地表水、地下水环境污染途径</w:t>
            </w:r>
            <w:r>
              <w:rPr>
                <w:rFonts w:hint="default" w:ascii="Times New Roman" w:hAnsi="Times New Roman" w:cs="Times New Roman"/>
                <w:color w:val="auto"/>
                <w:highlight w:val="none"/>
                <w:lang w:val="en-US" w:eastAsia="zh-CN"/>
              </w:rPr>
              <w:t>较少，且有对应防范措施</w:t>
            </w:r>
            <w:r>
              <w:rPr>
                <w:rFonts w:hint="default" w:ascii="Times New Roman" w:hAnsi="Times New Roman" w:cs="Times New Roman"/>
                <w:color w:val="auto"/>
                <w:highlight w:val="none"/>
              </w:rPr>
              <w:t>。</w:t>
            </w:r>
          </w:p>
          <w:p w14:paraId="537EBAAF">
            <w:pPr>
              <w:pStyle w:val="5"/>
              <w:pageBreakBefore w:val="0"/>
              <w:numPr>
                <w:ilvl w:val="3"/>
                <w:numId w:val="0"/>
              </w:numPr>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5、环境风险防范措施及应急要求</w:t>
            </w:r>
          </w:p>
          <w:p w14:paraId="60E353AB">
            <w:pPr>
              <w:pStyle w:val="7"/>
              <w:pageBreakBefore w:val="0"/>
              <w:numPr>
                <w:ilvl w:val="5"/>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①严格执行应急管理、消防等相关规范，从总图布置和建筑安全方面进行风险防范，预留疏散通道或安置场所。</w:t>
            </w:r>
          </w:p>
          <w:p w14:paraId="3D15CFD5">
            <w:pPr>
              <w:pStyle w:val="7"/>
              <w:pageBreakBefore w:val="0"/>
              <w:numPr>
                <w:ilvl w:val="5"/>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②从优化改进生产工艺、减少储存量、改善储存条件等方面降低风险程度。</w:t>
            </w:r>
          </w:p>
          <w:p w14:paraId="0941EC02">
            <w:pPr>
              <w:pStyle w:val="7"/>
              <w:pageBreakBefore w:val="0"/>
              <w:numPr>
                <w:ilvl w:val="5"/>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③加强日常管理，降低管理失误而出现的风险事故，提高员工规范性操作水平，减少误操作引发的风险事故。</w:t>
            </w:r>
          </w:p>
          <w:p w14:paraId="6D644402">
            <w:pPr>
              <w:pStyle w:val="7"/>
              <w:pageBreakBefore w:val="0"/>
              <w:numPr>
                <w:ilvl w:val="5"/>
                <w:numId w:val="0"/>
              </w:numPr>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509E8AEE">
            <w:pPr>
              <w:keepNext w:val="0"/>
              <w:keepLines w:val="0"/>
              <w:pageBreakBefore w:val="0"/>
              <w:suppressLineNumbers w:val="0"/>
              <w:wordWrap w:val="0"/>
              <w:bidi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项目风险防范措施详见下表：</w:t>
            </w:r>
          </w:p>
          <w:p w14:paraId="654B2391">
            <w:pPr>
              <w:pStyle w:val="43"/>
              <w:keepNext w:val="0"/>
              <w:keepLines w:val="0"/>
              <w:pageBreakBefore w:val="0"/>
              <w:numPr>
                <w:ilvl w:val="0"/>
                <w:numId w:val="0"/>
              </w:numPr>
              <w:suppressLineNumbers w:val="0"/>
              <w:tabs>
                <w:tab w:val="left" w:pos="0"/>
              </w:tabs>
              <w:wordWrap w:val="0"/>
              <w:bidi w:val="0"/>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28 </w:t>
            </w:r>
            <w:r>
              <w:rPr>
                <w:rFonts w:hint="default" w:ascii="Times New Roman" w:hAnsi="Times New Roman" w:cs="Times New Roman"/>
                <w:b/>
                <w:bCs/>
                <w:color w:val="auto"/>
                <w:sz w:val="21"/>
                <w:szCs w:val="21"/>
                <w:highlight w:val="none"/>
              </w:rPr>
              <w:t>项目风险防范措施一览表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1082"/>
              <w:gridCol w:w="4043"/>
              <w:gridCol w:w="3352"/>
            </w:tblGrid>
            <w:tr w14:paraId="21EC6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5" w:type="pct"/>
                  <w:gridSpan w:val="2"/>
                  <w:vAlign w:val="center"/>
                </w:tcPr>
                <w:p w14:paraId="0A192FB3">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环境风险因素</w:t>
                  </w:r>
                </w:p>
              </w:tc>
              <w:tc>
                <w:tcPr>
                  <w:tcW w:w="2216" w:type="pct"/>
                  <w:vAlign w:val="center"/>
                </w:tcPr>
                <w:p w14:paraId="69A4971F">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环境风险影响</w:t>
                  </w:r>
                </w:p>
              </w:tc>
              <w:tc>
                <w:tcPr>
                  <w:tcW w:w="1837" w:type="pct"/>
                  <w:vAlign w:val="center"/>
                </w:tcPr>
                <w:p w14:paraId="288350EA">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风险防范措施</w:t>
                  </w:r>
                </w:p>
              </w:tc>
            </w:tr>
            <w:tr w14:paraId="43CEA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5" w:type="pct"/>
                  <w:gridSpan w:val="2"/>
                  <w:vAlign w:val="center"/>
                </w:tcPr>
                <w:p w14:paraId="21BF45EC">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天然气管道</w:t>
                  </w:r>
                </w:p>
              </w:tc>
              <w:tc>
                <w:tcPr>
                  <w:tcW w:w="2216" w:type="pct"/>
                  <w:vAlign w:val="center"/>
                </w:tcPr>
                <w:p w14:paraId="05A70FDC">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火灾爆炸事故次生环境事件</w:t>
                  </w:r>
                </w:p>
              </w:tc>
              <w:tc>
                <w:tcPr>
                  <w:tcW w:w="1837" w:type="pct"/>
                  <w:vAlign w:val="center"/>
                </w:tcPr>
                <w:p w14:paraId="7FE2853F">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定期维护检修，安排专人巡检，配备一定的消防、环境应急物资</w:t>
                  </w:r>
                </w:p>
              </w:tc>
            </w:tr>
            <w:tr w14:paraId="35693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3EA07D8D">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储运工程</w:t>
                  </w:r>
                </w:p>
              </w:tc>
              <w:tc>
                <w:tcPr>
                  <w:tcW w:w="593" w:type="pct"/>
                  <w:vAlign w:val="center"/>
                </w:tcPr>
                <w:p w14:paraId="39768750">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原辅材料</w:t>
                  </w:r>
                  <w:r>
                    <w:rPr>
                      <w:rFonts w:hint="default" w:ascii="Times New Roman" w:hAnsi="Times New Roman" w:cs="Times New Roman"/>
                      <w:b w:val="0"/>
                      <w:bCs w:val="0"/>
                      <w:color w:val="auto"/>
                      <w:sz w:val="21"/>
                      <w:szCs w:val="21"/>
                      <w:highlight w:val="none"/>
                      <w:lang w:eastAsia="zh-CN"/>
                    </w:rPr>
                    <w:t>泄漏</w:t>
                  </w:r>
                </w:p>
              </w:tc>
              <w:tc>
                <w:tcPr>
                  <w:tcW w:w="2216" w:type="pct"/>
                  <w:vAlign w:val="center"/>
                </w:tcPr>
                <w:p w14:paraId="1DDA0627">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丙烯酸乳液、水性漆</w:t>
                  </w:r>
                  <w:r>
                    <w:rPr>
                      <w:rFonts w:hint="default" w:ascii="Times New Roman" w:hAnsi="Times New Roman" w:cs="Times New Roman"/>
                      <w:b w:val="0"/>
                      <w:bCs w:val="0"/>
                      <w:color w:val="auto"/>
                      <w:sz w:val="21"/>
                      <w:szCs w:val="21"/>
                      <w:highlight w:val="none"/>
                    </w:rPr>
                    <w:t>等物质在存储、使用、转运过程中</w:t>
                  </w:r>
                </w:p>
              </w:tc>
              <w:tc>
                <w:tcPr>
                  <w:tcW w:w="1837" w:type="pct"/>
                  <w:vAlign w:val="center"/>
                </w:tcPr>
                <w:p w14:paraId="2D7423FF">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安全操作</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配备一定的环境应急物资</w:t>
                  </w:r>
                </w:p>
              </w:tc>
            </w:tr>
            <w:tr w14:paraId="4AA8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40BCD108">
                  <w:pPr>
                    <w:pStyle w:val="54"/>
                    <w:keepNext w:val="0"/>
                    <w:keepLines w:val="0"/>
                    <w:pageBreakBefore w:val="0"/>
                    <w:suppressLineNumbers w:val="0"/>
                    <w:wordWrap w:val="0"/>
                    <w:bidi w:val="0"/>
                    <w:spacing w:before="0" w:beforeAutospacing="0" w:after="0" w:afterAutospacing="0"/>
                    <w:ind w:right="0"/>
                    <w:jc w:val="center"/>
                    <w:rPr>
                      <w:rFonts w:hint="default" w:ascii="Times New Roman" w:hAnsi="Times New Roman" w:cs="Times New Roman"/>
                      <w:b w:val="0"/>
                      <w:bCs w:val="0"/>
                      <w:color w:val="auto"/>
                      <w:sz w:val="21"/>
                      <w:szCs w:val="21"/>
                      <w:highlight w:val="none"/>
                    </w:rPr>
                  </w:pPr>
                </w:p>
              </w:tc>
              <w:tc>
                <w:tcPr>
                  <w:tcW w:w="593" w:type="pct"/>
                  <w:vAlign w:val="center"/>
                </w:tcPr>
                <w:p w14:paraId="454F2FEF">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危险废物</w:t>
                  </w:r>
                  <w:r>
                    <w:rPr>
                      <w:rFonts w:hint="default" w:ascii="Times New Roman" w:hAnsi="Times New Roman" w:cs="Times New Roman"/>
                      <w:b w:val="0"/>
                      <w:bCs w:val="0"/>
                      <w:color w:val="auto"/>
                      <w:sz w:val="21"/>
                      <w:szCs w:val="21"/>
                      <w:highlight w:val="none"/>
                      <w:lang w:eastAsia="zh-CN"/>
                    </w:rPr>
                    <w:t>泄漏</w:t>
                  </w:r>
                </w:p>
              </w:tc>
              <w:tc>
                <w:tcPr>
                  <w:tcW w:w="2216" w:type="pct"/>
                  <w:vAlign w:val="center"/>
                </w:tcPr>
                <w:p w14:paraId="21418F99">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废活性炭等危险废物在存储、转运过程中发生</w:t>
                  </w:r>
                  <w:r>
                    <w:rPr>
                      <w:rFonts w:hint="default" w:ascii="Times New Roman" w:hAnsi="Times New Roman" w:cs="Times New Roman"/>
                      <w:b w:val="0"/>
                      <w:bCs w:val="0"/>
                      <w:color w:val="auto"/>
                      <w:sz w:val="21"/>
                      <w:szCs w:val="21"/>
                      <w:highlight w:val="none"/>
                      <w:lang w:eastAsia="zh-CN"/>
                    </w:rPr>
                    <w:t>泄漏</w:t>
                  </w:r>
                  <w:r>
                    <w:rPr>
                      <w:rFonts w:hint="default" w:ascii="Times New Roman" w:hAnsi="Times New Roman" w:cs="Times New Roman"/>
                      <w:b w:val="0"/>
                      <w:bCs w:val="0"/>
                      <w:color w:val="auto"/>
                      <w:sz w:val="21"/>
                      <w:szCs w:val="21"/>
                      <w:highlight w:val="none"/>
                    </w:rPr>
                    <w:t>事件，导致项目有毒有害物质经地表径流或雨水管道进入周边水体或通过地表下渗污染地下水水质</w:t>
                  </w:r>
                </w:p>
              </w:tc>
              <w:tc>
                <w:tcPr>
                  <w:tcW w:w="1837" w:type="pct"/>
                  <w:vAlign w:val="center"/>
                </w:tcPr>
                <w:p w14:paraId="2AF6EA63">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危废间进行重点防渗，安全操作配备一定的环境应急物资</w:t>
                  </w:r>
                </w:p>
              </w:tc>
            </w:tr>
            <w:tr w14:paraId="20DE3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Align w:val="center"/>
                </w:tcPr>
                <w:p w14:paraId="42E3144F">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环保工程</w:t>
                  </w:r>
                </w:p>
              </w:tc>
              <w:tc>
                <w:tcPr>
                  <w:tcW w:w="593" w:type="pct"/>
                  <w:vAlign w:val="center"/>
                </w:tcPr>
                <w:p w14:paraId="0988C6CA">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废气处理措施故障</w:t>
                  </w:r>
                </w:p>
              </w:tc>
              <w:tc>
                <w:tcPr>
                  <w:tcW w:w="2216" w:type="pct"/>
                  <w:vAlign w:val="center"/>
                </w:tcPr>
                <w:p w14:paraId="092D4514">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废气超标排放，影响区域大气环境</w:t>
                  </w:r>
                </w:p>
              </w:tc>
              <w:tc>
                <w:tcPr>
                  <w:tcW w:w="1837" w:type="pct"/>
                  <w:vAlign w:val="center"/>
                </w:tcPr>
                <w:p w14:paraId="1F8E5DAF">
                  <w:pPr>
                    <w:pStyle w:val="54"/>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定期进行检修，及时排除故障，废气处理设施故障时及时停产检修</w:t>
                  </w:r>
                </w:p>
              </w:tc>
            </w:tr>
          </w:tbl>
          <w:p w14:paraId="3C9D5E0D">
            <w:pPr>
              <w:pStyle w:val="5"/>
              <w:pageBreakBefore w:val="0"/>
              <w:numPr>
                <w:ilvl w:val="3"/>
                <w:numId w:val="0"/>
              </w:numPr>
              <w:suppressLineNumbers w:val="0"/>
              <w:wordWrap w:val="0"/>
              <w:bidi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、环境风险分析小结与建议</w:t>
            </w:r>
          </w:p>
          <w:p w14:paraId="1E8F420C">
            <w:pPr>
              <w:keepNext w:val="0"/>
              <w:keepLines w:val="0"/>
              <w:pageBreakBefore w:val="0"/>
              <w:suppressLineNumbers w:val="0"/>
              <w:wordWrap w:val="0"/>
              <w:bidi w:val="0"/>
              <w:spacing w:before="0" w:beforeAutospacing="0" w:after="0" w:afterAutospacing="0"/>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本项目风险物质数量较少，泄漏、火灾、爆炸等事故发生概率较低，物质泄漏、火灾、爆炸等事故下引发的伴生/次生污染物排放的风险隐患较低，在落实上述防范措施后，生产过程的环境风险总体可控。</w:t>
            </w:r>
          </w:p>
          <w:p w14:paraId="7DFC0206">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8、环保验收“三同时”</w:t>
            </w:r>
          </w:p>
          <w:p w14:paraId="359CA3DB">
            <w:pPr>
              <w:keepNext w:val="0"/>
              <w:keepLines w:val="0"/>
              <w:pageBreakBefore w:val="0"/>
              <w:suppressLineNumbers w:val="0"/>
              <w:wordWrap w:val="0"/>
              <w:bidi w:val="0"/>
              <w:spacing w:before="0" w:beforeAutospacing="0" w:after="0" w:afterAutospacing="0"/>
              <w:ind w:left="0" w:right="0" w:firstLine="480" w:firstLineChars="200"/>
              <w:jc w:val="left"/>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7242A9EF">
            <w:pPr>
              <w:keepNext w:val="0"/>
              <w:keepLines w:val="0"/>
              <w:pageBreakBefore w:val="0"/>
              <w:numPr>
                <w:ilvl w:val="0"/>
                <w:numId w:val="0"/>
              </w:numPr>
              <w:suppressLineNumbers w:val="0"/>
              <w:tabs>
                <w:tab w:val="left" w:pos="0"/>
              </w:tabs>
              <w:wordWrap w:val="0"/>
              <w:bidi w:val="0"/>
              <w:spacing w:before="0" w:beforeAutospacing="0" w:after="0" w:afterAutospacing="0" w:line="276" w:lineRule="auto"/>
              <w:ind w:left="0" w:leftChars="0" w:right="0" w:rightChars="0" w:firstLine="40" w:firstLineChars="0"/>
              <w:jc w:val="center"/>
              <w:rPr>
                <w:rFonts w:hint="default" w:ascii="Times New Roman" w:hAnsi="Times New Roman" w:cs="Times New Roman"/>
                <w:b/>
                <w:color w:val="auto"/>
                <w:sz w:val="21"/>
                <w:szCs w:val="20"/>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default" w:ascii="Times New Roman" w:hAnsi="Times New Roman" w:cs="Times New Roman"/>
                <w:b/>
                <w:color w:val="auto"/>
                <w:kern w:val="2"/>
                <w:sz w:val="21"/>
                <w:szCs w:val="21"/>
                <w:highlight w:val="none"/>
                <w:lang w:val="en-US" w:eastAsia="zh-CN" w:bidi="ar-SA"/>
              </w:rPr>
              <w:t xml:space="preserve">29 </w:t>
            </w:r>
            <w:r>
              <w:rPr>
                <w:rFonts w:hint="default" w:ascii="Times New Roman" w:hAnsi="Times New Roman" w:eastAsia="宋体" w:cs="Times New Roman"/>
                <w:b/>
                <w:bCs/>
                <w:color w:val="auto"/>
                <w:kern w:val="2"/>
                <w:sz w:val="21"/>
                <w:szCs w:val="21"/>
                <w:highlight w:val="none"/>
                <w:lang w:val="en-US" w:eastAsia="zh-CN" w:bidi="ar-SA"/>
              </w:rPr>
              <w:t>项目环境保护“三同时”验收一览表</w:t>
            </w:r>
          </w:p>
          <w:tbl>
            <w:tblPr>
              <w:tblStyle w:val="36"/>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051"/>
              <w:gridCol w:w="1520"/>
              <w:gridCol w:w="1255"/>
              <w:gridCol w:w="1368"/>
              <w:gridCol w:w="3139"/>
            </w:tblGrid>
            <w:tr w14:paraId="069B3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noWrap w:val="0"/>
                  <w:vAlign w:val="center"/>
                </w:tcPr>
                <w:p w14:paraId="31FCB5A1">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582" w:type="pct"/>
                  <w:noWrap w:val="0"/>
                  <w:vAlign w:val="center"/>
                </w:tcPr>
                <w:p w14:paraId="2AE9B69B">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842" w:type="pct"/>
                  <w:noWrap w:val="0"/>
                  <w:vAlign w:val="center"/>
                </w:tcPr>
                <w:p w14:paraId="527F437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695" w:type="pct"/>
                  <w:noWrap w:val="0"/>
                  <w:vAlign w:val="center"/>
                </w:tcPr>
                <w:p w14:paraId="062AFE15">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污染防</w:t>
                  </w:r>
                </w:p>
                <w:p w14:paraId="726D16AB">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治措施</w:t>
                  </w:r>
                </w:p>
              </w:tc>
              <w:tc>
                <w:tcPr>
                  <w:tcW w:w="758" w:type="pct"/>
                  <w:noWrap w:val="0"/>
                  <w:vAlign w:val="center"/>
                </w:tcPr>
                <w:p w14:paraId="6E23FFA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验收及监测内容</w:t>
                  </w:r>
                </w:p>
              </w:tc>
              <w:tc>
                <w:tcPr>
                  <w:tcW w:w="1739" w:type="pct"/>
                  <w:noWrap w:val="0"/>
                  <w:vAlign w:val="center"/>
                </w:tcPr>
                <w:p w14:paraId="5EFA1BA5">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预期效果</w:t>
                  </w:r>
                </w:p>
              </w:tc>
            </w:tr>
            <w:tr w14:paraId="739F2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noWrap w:val="0"/>
                  <w:vAlign w:val="center"/>
                </w:tcPr>
                <w:p w14:paraId="7472049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582" w:type="pct"/>
                  <w:noWrap w:val="0"/>
                  <w:vAlign w:val="center"/>
                </w:tcPr>
                <w:p w14:paraId="530371B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生活污水</w:t>
                  </w:r>
                </w:p>
              </w:tc>
              <w:tc>
                <w:tcPr>
                  <w:tcW w:w="842" w:type="pct"/>
                  <w:noWrap w:val="0"/>
                  <w:vAlign w:val="center"/>
                </w:tcPr>
                <w:p w14:paraId="2D30EB08">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p>
              </w:tc>
              <w:tc>
                <w:tcPr>
                  <w:tcW w:w="695" w:type="pct"/>
                  <w:noWrap w:val="0"/>
                  <w:vAlign w:val="center"/>
                </w:tcPr>
                <w:p w14:paraId="34BD3CD8">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三级化粪池</w:t>
                  </w:r>
                </w:p>
              </w:tc>
              <w:tc>
                <w:tcPr>
                  <w:tcW w:w="758" w:type="pct"/>
                  <w:noWrap w:val="0"/>
                  <w:vAlign w:val="center"/>
                </w:tcPr>
                <w:p w14:paraId="7EADFFF6">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w:t>
                  </w:r>
                  <w:r>
                    <w:rPr>
                      <w:rFonts w:hint="default" w:ascii="Times New Roman" w:hAnsi="Times New Roman"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污染物实际排放浓度</w:t>
                  </w:r>
                </w:p>
              </w:tc>
              <w:tc>
                <w:tcPr>
                  <w:tcW w:w="1739" w:type="pct"/>
                  <w:noWrap w:val="0"/>
                  <w:vAlign w:val="center"/>
                </w:tcPr>
                <w:p w14:paraId="4CD8974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w:t>
                  </w:r>
                  <w:r>
                    <w:rPr>
                      <w:rFonts w:hint="default" w:ascii="Times New Roman" w:hAnsi="Times New Roman" w:cs="Times New Roman"/>
                      <w:b w:val="0"/>
                      <w:bCs w:val="0"/>
                      <w:color w:val="auto"/>
                      <w:kern w:val="2"/>
                      <w:sz w:val="21"/>
                      <w:szCs w:val="21"/>
                      <w:highlight w:val="none"/>
                      <w:lang w:val="en-US" w:eastAsia="zh-CN" w:bidi="ar-SA"/>
                    </w:rPr>
                    <w:t>水污染物排放限值</w:t>
                  </w:r>
                  <w:r>
                    <w:rPr>
                      <w:rFonts w:hint="default" w:ascii="Times New Roman" w:hAnsi="Times New Roman" w:eastAsia="宋体" w:cs="Times New Roman"/>
                      <w:b w:val="0"/>
                      <w:bCs w:val="0"/>
                      <w:color w:val="auto"/>
                      <w:kern w:val="2"/>
                      <w:sz w:val="21"/>
                      <w:szCs w:val="21"/>
                      <w:highlight w:val="none"/>
                      <w:lang w:val="en-US" w:eastAsia="zh-CN" w:bidi="ar-SA"/>
                    </w:rPr>
                    <w:t>》（DB44/26-2001）第二时段三级标准两者较严值</w:t>
                  </w:r>
                </w:p>
              </w:tc>
            </w:tr>
            <w:tr w14:paraId="49AC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restart"/>
                  <w:noWrap w:val="0"/>
                  <w:vAlign w:val="center"/>
                </w:tcPr>
                <w:p w14:paraId="52A3EEB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w:t>
                  </w:r>
                </w:p>
              </w:tc>
              <w:tc>
                <w:tcPr>
                  <w:tcW w:w="582" w:type="pct"/>
                  <w:vMerge w:val="restart"/>
                  <w:noWrap w:val="0"/>
                  <w:vAlign w:val="center"/>
                </w:tcPr>
                <w:p w14:paraId="3CD9D53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生产废气排放口</w:t>
                  </w:r>
                  <w:r>
                    <w:rPr>
                      <w:rFonts w:hint="default" w:ascii="Times New Roman" w:hAnsi="Times New Roman" w:eastAsia="宋体" w:cs="Times New Roman"/>
                      <w:b w:val="0"/>
                      <w:bCs w:val="0"/>
                      <w:color w:val="auto"/>
                      <w:kern w:val="2"/>
                      <w:sz w:val="21"/>
                      <w:szCs w:val="21"/>
                      <w:highlight w:val="none"/>
                      <w:lang w:val="en-US" w:eastAsia="zh-CN" w:bidi="ar-SA"/>
                    </w:rPr>
                    <w:br w:type="textWrapping"/>
                  </w:r>
                  <w:r>
                    <w:rPr>
                      <w:rFonts w:hint="default" w:ascii="Times New Roman" w:hAnsi="Times New Roman" w:cs="Times New Roman"/>
                      <w:b w:val="0"/>
                      <w:bCs w:val="0"/>
                      <w:color w:val="auto"/>
                      <w:kern w:val="2"/>
                      <w:sz w:val="21"/>
                      <w:szCs w:val="21"/>
                      <w:highlight w:val="none"/>
                      <w:lang w:val="en-US" w:eastAsia="zh-CN" w:bidi="ar-SA"/>
                    </w:rPr>
                    <w:t>DA001</w:t>
                  </w:r>
                </w:p>
              </w:tc>
              <w:tc>
                <w:tcPr>
                  <w:tcW w:w="842" w:type="pct"/>
                  <w:noWrap w:val="0"/>
                  <w:vAlign w:val="center"/>
                </w:tcPr>
                <w:p w14:paraId="618FBC29">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颗粒物</w:t>
                  </w:r>
                </w:p>
              </w:tc>
              <w:tc>
                <w:tcPr>
                  <w:tcW w:w="695" w:type="pct"/>
                  <w:vMerge w:val="restart"/>
                  <w:noWrap w:val="0"/>
                  <w:vAlign w:val="center"/>
                </w:tcPr>
                <w:p w14:paraId="75E2F7B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二级活性炭吸附装置</w:t>
                  </w:r>
                </w:p>
              </w:tc>
              <w:tc>
                <w:tcPr>
                  <w:tcW w:w="758" w:type="pct"/>
                  <w:vMerge w:val="restart"/>
                  <w:noWrap w:val="0"/>
                  <w:vAlign w:val="center"/>
                </w:tcPr>
                <w:p w14:paraId="42D79F4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排气筒设置情况；污染物实际排放浓度</w:t>
                  </w:r>
                  <w:r>
                    <w:rPr>
                      <w:rFonts w:hint="default" w:ascii="Times New Roman" w:hAnsi="Times New Roman" w:cs="Times New Roman"/>
                      <w:b w:val="0"/>
                      <w:bCs w:val="0"/>
                      <w:color w:val="auto"/>
                      <w:kern w:val="2"/>
                      <w:sz w:val="21"/>
                      <w:szCs w:val="21"/>
                      <w:highlight w:val="none"/>
                      <w:lang w:val="en-US" w:eastAsia="zh-CN" w:bidi="ar-SA"/>
                    </w:rPr>
                    <w:t>，厂区内浓度监测</w:t>
                  </w:r>
                </w:p>
              </w:tc>
              <w:tc>
                <w:tcPr>
                  <w:tcW w:w="1739" w:type="pct"/>
                  <w:vMerge w:val="restart"/>
                  <w:noWrap w:val="0"/>
                  <w:vAlign w:val="center"/>
                </w:tcPr>
                <w:p w14:paraId="3893362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达到</w:t>
                  </w:r>
                  <w:r>
                    <w:rPr>
                      <w:rFonts w:hint="default" w:ascii="Times New Roman" w:hAnsi="Times New Roman" w:cs="Times New Roman"/>
                      <w:b w:val="0"/>
                      <w:bCs w:val="0"/>
                      <w:color w:val="auto"/>
                      <w:sz w:val="21"/>
                      <w:szCs w:val="21"/>
                      <w:highlight w:val="none"/>
                    </w:rPr>
                    <w:t>《关于贯彻落实&lt;工业炉窑大气污染综合治理方案&gt;的实施意见》（粤环函〔2019〕1112号）</w:t>
                  </w:r>
                  <w:r>
                    <w:rPr>
                      <w:rFonts w:hint="default" w:ascii="Times New Roman" w:hAnsi="Times New Roman" w:cs="Times New Roman"/>
                      <w:b w:val="0"/>
                      <w:bCs w:val="0"/>
                      <w:color w:val="auto"/>
                      <w:sz w:val="21"/>
                      <w:szCs w:val="21"/>
                      <w:highlight w:val="none"/>
                      <w:lang w:val="en-US" w:eastAsia="zh-CN"/>
                    </w:rPr>
                    <w:t>限值要求</w:t>
                  </w:r>
                </w:p>
              </w:tc>
            </w:tr>
            <w:tr w14:paraId="489F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1" w:type="pct"/>
                  <w:vMerge w:val="continue"/>
                  <w:noWrap w:val="0"/>
                  <w:vAlign w:val="center"/>
                </w:tcPr>
                <w:p w14:paraId="013918B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vMerge w:val="continue"/>
                  <w:noWrap w:val="0"/>
                  <w:vAlign w:val="center"/>
                </w:tcPr>
                <w:p w14:paraId="450889F7">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842" w:type="pct"/>
                  <w:noWrap w:val="0"/>
                  <w:vAlign w:val="center"/>
                </w:tcPr>
                <w:p w14:paraId="2FE56FF1">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二氧化硫</w:t>
                  </w:r>
                </w:p>
              </w:tc>
              <w:tc>
                <w:tcPr>
                  <w:tcW w:w="695" w:type="pct"/>
                  <w:vMerge w:val="continue"/>
                  <w:noWrap w:val="0"/>
                  <w:vAlign w:val="center"/>
                </w:tcPr>
                <w:p w14:paraId="1D144815">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noWrap w:val="0"/>
                  <w:vAlign w:val="center"/>
                </w:tcPr>
                <w:p w14:paraId="33DAEFE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noWrap w:val="0"/>
                  <w:vAlign w:val="center"/>
                </w:tcPr>
                <w:p w14:paraId="020915C4">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41233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81" w:type="pct"/>
                  <w:vMerge w:val="continue"/>
                  <w:noWrap w:val="0"/>
                  <w:vAlign w:val="center"/>
                </w:tcPr>
                <w:p w14:paraId="5154486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vMerge w:val="continue"/>
                  <w:noWrap w:val="0"/>
                  <w:vAlign w:val="center"/>
                </w:tcPr>
                <w:p w14:paraId="0A60D5F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842" w:type="pct"/>
                  <w:noWrap w:val="0"/>
                  <w:vAlign w:val="center"/>
                </w:tcPr>
                <w:p w14:paraId="594CC6F4">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氮氧化物</w:t>
                  </w:r>
                </w:p>
              </w:tc>
              <w:tc>
                <w:tcPr>
                  <w:tcW w:w="695" w:type="pct"/>
                  <w:vMerge w:val="continue"/>
                  <w:noWrap w:val="0"/>
                  <w:vAlign w:val="center"/>
                </w:tcPr>
                <w:p w14:paraId="1109CA4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noWrap w:val="0"/>
                  <w:vAlign w:val="center"/>
                </w:tcPr>
                <w:p w14:paraId="6637A9A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noWrap w:val="0"/>
                  <w:vAlign w:val="center"/>
                </w:tcPr>
                <w:p w14:paraId="47079E1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5FB15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7" w:hRule="atLeast"/>
                <w:jc w:val="center"/>
              </w:trPr>
              <w:tc>
                <w:tcPr>
                  <w:tcW w:w="381" w:type="pct"/>
                  <w:vMerge w:val="continue"/>
                  <w:noWrap w:val="0"/>
                  <w:vAlign w:val="center"/>
                </w:tcPr>
                <w:p w14:paraId="04905B6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highlight w:val="none"/>
                    </w:rPr>
                  </w:pPr>
                </w:p>
              </w:tc>
              <w:tc>
                <w:tcPr>
                  <w:tcW w:w="582" w:type="pct"/>
                  <w:vMerge w:val="continue"/>
                  <w:noWrap w:val="0"/>
                  <w:vAlign w:val="center"/>
                </w:tcPr>
                <w:p w14:paraId="7A5797B9">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highlight w:val="none"/>
                    </w:rPr>
                  </w:pPr>
                </w:p>
              </w:tc>
              <w:tc>
                <w:tcPr>
                  <w:tcW w:w="842" w:type="pct"/>
                  <w:noWrap w:val="0"/>
                  <w:vAlign w:val="center"/>
                </w:tcPr>
                <w:p w14:paraId="6EA5891A">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烟气黑度</w:t>
                  </w:r>
                </w:p>
              </w:tc>
              <w:tc>
                <w:tcPr>
                  <w:tcW w:w="695" w:type="pct"/>
                  <w:vMerge w:val="continue"/>
                  <w:noWrap w:val="0"/>
                  <w:vAlign w:val="center"/>
                </w:tcPr>
                <w:p w14:paraId="56102219">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highlight w:val="none"/>
                    </w:rPr>
                  </w:pPr>
                </w:p>
              </w:tc>
              <w:tc>
                <w:tcPr>
                  <w:tcW w:w="758" w:type="pct"/>
                  <w:vMerge w:val="continue"/>
                  <w:noWrap w:val="0"/>
                  <w:vAlign w:val="center"/>
                </w:tcPr>
                <w:p w14:paraId="31B9B97D">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highlight w:val="none"/>
                    </w:rPr>
                  </w:pPr>
                </w:p>
              </w:tc>
              <w:tc>
                <w:tcPr>
                  <w:tcW w:w="1739" w:type="pct"/>
                  <w:noWrap w:val="0"/>
                  <w:vAlign w:val="center"/>
                </w:tcPr>
                <w:p w14:paraId="000B628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达到</w:t>
                  </w:r>
                  <w:r>
                    <w:rPr>
                      <w:rFonts w:hint="default" w:ascii="Times New Roman" w:hAnsi="Times New Roman" w:cs="Times New Roman"/>
                      <w:color w:val="auto"/>
                      <w:kern w:val="2"/>
                      <w:sz w:val="21"/>
                      <w:szCs w:val="21"/>
                      <w:highlight w:val="none"/>
                    </w:rPr>
                    <w:t>《工业炉窑大气污染物排放标准》（GB9078—1996）表2</w:t>
                  </w:r>
                  <w:r>
                    <w:rPr>
                      <w:rFonts w:hint="default" w:ascii="Times New Roman" w:hAnsi="Times New Roman" w:cs="Times New Roman"/>
                      <w:color w:val="auto"/>
                      <w:kern w:val="2"/>
                      <w:sz w:val="21"/>
                      <w:szCs w:val="21"/>
                      <w:highlight w:val="none"/>
                      <w:lang w:val="en-US" w:eastAsia="zh-CN"/>
                    </w:rPr>
                    <w:t>限值要求</w:t>
                  </w:r>
                </w:p>
              </w:tc>
            </w:tr>
            <w:tr w14:paraId="197AF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31F59BEE">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vMerge w:val="continue"/>
                  <w:noWrap w:val="0"/>
                  <w:vAlign w:val="center"/>
                </w:tcPr>
                <w:p w14:paraId="4F5CDEE5">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842" w:type="pct"/>
                  <w:noWrap w:val="0"/>
                  <w:vAlign w:val="center"/>
                </w:tcPr>
                <w:p w14:paraId="594B387F">
                  <w:pPr>
                    <w:pStyle w:val="59"/>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NMHC</w:t>
                  </w:r>
                </w:p>
              </w:tc>
              <w:tc>
                <w:tcPr>
                  <w:tcW w:w="695" w:type="pct"/>
                  <w:vMerge w:val="continue"/>
                  <w:noWrap w:val="0"/>
                  <w:vAlign w:val="center"/>
                </w:tcPr>
                <w:p w14:paraId="43AD9AC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noWrap w:val="0"/>
                  <w:vAlign w:val="center"/>
                </w:tcPr>
                <w:p w14:paraId="01C25E0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noWrap w:val="0"/>
                  <w:vAlign w:val="center"/>
                </w:tcPr>
                <w:p w14:paraId="7932BA0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广东省《固定污染源挥发性有机物综合排放标准》（DB44/2367-2022）表</w:t>
                  </w:r>
                  <w:r>
                    <w:rPr>
                      <w:rFonts w:hint="default" w:ascii="Times New Roman" w:hAnsi="Times New Roman" w:cs="Times New Roman"/>
                      <w:color w:val="auto"/>
                      <w:sz w:val="21"/>
                      <w:szCs w:val="21"/>
                      <w:highlight w:val="none"/>
                      <w:lang w:val="en-US" w:eastAsia="zh-CN"/>
                    </w:rPr>
                    <w:t>1挥发性有机物排放限值要求及</w:t>
                  </w:r>
                  <w:r>
                    <w:rPr>
                      <w:rFonts w:hint="default" w:ascii="Times New Roman" w:hAnsi="Times New Roman" w:cs="Times New Roman"/>
                      <w:color w:val="auto"/>
                      <w:sz w:val="21"/>
                      <w:szCs w:val="21"/>
                      <w:highlight w:val="none"/>
                    </w:rPr>
                    <w:t>表3厂区内VOCs无组织排放限值</w:t>
                  </w:r>
                </w:p>
              </w:tc>
            </w:tr>
            <w:tr w14:paraId="6E73E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19019D68">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shd w:val="clear" w:color="auto" w:fill="auto"/>
                  <w:noWrap w:val="0"/>
                  <w:vAlign w:val="center"/>
                </w:tcPr>
                <w:p w14:paraId="0B0B2E4B">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切割粉尘</w:t>
                  </w:r>
                </w:p>
              </w:tc>
              <w:tc>
                <w:tcPr>
                  <w:tcW w:w="842" w:type="pct"/>
                  <w:shd w:val="clear" w:color="auto" w:fill="auto"/>
                  <w:noWrap w:val="0"/>
                  <w:vAlign w:val="center"/>
                </w:tcPr>
                <w:p w14:paraId="3D7F576F">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颗粒物</w:t>
                  </w:r>
                </w:p>
              </w:tc>
              <w:tc>
                <w:tcPr>
                  <w:tcW w:w="695" w:type="pct"/>
                  <w:shd w:val="clear" w:color="auto" w:fill="auto"/>
                  <w:noWrap w:val="0"/>
                  <w:vAlign w:val="center"/>
                </w:tcPr>
                <w:p w14:paraId="34F2C0D6">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设置</w:t>
                  </w:r>
                  <w:r>
                    <w:rPr>
                      <w:rFonts w:hint="default" w:ascii="Times New Roman" w:hAnsi="Times New Roman" w:eastAsia="宋体" w:cs="Times New Roman"/>
                      <w:b w:val="0"/>
                      <w:bCs w:val="0"/>
                      <w:color w:val="auto"/>
                      <w:kern w:val="2"/>
                      <w:sz w:val="21"/>
                      <w:szCs w:val="21"/>
                      <w:highlight w:val="none"/>
                      <w:lang w:val="en-US" w:eastAsia="zh-CN" w:bidi="ar-SA"/>
                    </w:rPr>
                    <w:t>移动式</w:t>
                  </w:r>
                  <w:r>
                    <w:rPr>
                      <w:rFonts w:hint="default" w:ascii="Times New Roman" w:hAnsi="Times New Roman" w:cs="Times New Roman"/>
                      <w:b w:val="0"/>
                      <w:bCs w:val="0"/>
                      <w:color w:val="auto"/>
                      <w:kern w:val="2"/>
                      <w:sz w:val="21"/>
                      <w:szCs w:val="21"/>
                      <w:highlight w:val="none"/>
                      <w:lang w:val="en-US" w:eastAsia="zh-CN" w:bidi="ar-SA"/>
                    </w:rPr>
                    <w:t>布袋除尘器1台</w:t>
                  </w:r>
                </w:p>
              </w:tc>
              <w:tc>
                <w:tcPr>
                  <w:tcW w:w="758" w:type="pct"/>
                  <w:shd w:val="clear" w:color="auto" w:fill="auto"/>
                  <w:noWrap w:val="0"/>
                  <w:vAlign w:val="center"/>
                </w:tcPr>
                <w:p w14:paraId="74C4A1DC">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废气防治措施；厂界浓度监测</w:t>
                  </w:r>
                </w:p>
              </w:tc>
              <w:tc>
                <w:tcPr>
                  <w:tcW w:w="1739" w:type="pct"/>
                  <w:vMerge w:val="restart"/>
                  <w:shd w:val="clear" w:color="auto" w:fill="auto"/>
                  <w:noWrap w:val="0"/>
                  <w:vAlign w:val="center"/>
                </w:tcPr>
                <w:p w14:paraId="0B68A0EF">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广东省《大气污染物排放限值》（DB44/27-2001）第二时段无组织排放监控浓度限值</w:t>
                  </w:r>
                </w:p>
              </w:tc>
            </w:tr>
            <w:tr w14:paraId="1CFD0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1" w:type="pct"/>
                  <w:vMerge w:val="continue"/>
                  <w:noWrap w:val="0"/>
                  <w:vAlign w:val="center"/>
                </w:tcPr>
                <w:p w14:paraId="40234D41">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12ADF81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漆雾</w:t>
                  </w:r>
                </w:p>
              </w:tc>
              <w:tc>
                <w:tcPr>
                  <w:tcW w:w="842" w:type="pct"/>
                  <w:noWrap w:val="0"/>
                  <w:vAlign w:val="center"/>
                </w:tcPr>
                <w:p w14:paraId="0446A10A">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颗粒物</w:t>
                  </w:r>
                </w:p>
              </w:tc>
              <w:tc>
                <w:tcPr>
                  <w:tcW w:w="695" w:type="pct"/>
                  <w:noWrap w:val="0"/>
                  <w:vAlign w:val="center"/>
                </w:tcPr>
                <w:p w14:paraId="10B3180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设置水帘柜喷淋装置</w:t>
                  </w:r>
                </w:p>
              </w:tc>
              <w:tc>
                <w:tcPr>
                  <w:tcW w:w="758" w:type="pct"/>
                  <w:noWrap w:val="0"/>
                  <w:vAlign w:val="center"/>
                </w:tcPr>
                <w:p w14:paraId="03CE31C7">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废气防治措施；厂界浓度监测</w:t>
                  </w:r>
                </w:p>
              </w:tc>
              <w:tc>
                <w:tcPr>
                  <w:tcW w:w="1739" w:type="pct"/>
                  <w:vMerge w:val="continue"/>
                  <w:noWrap w:val="0"/>
                  <w:vAlign w:val="center"/>
                </w:tcPr>
                <w:p w14:paraId="41928DF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4F1E5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381" w:type="pct"/>
                  <w:vMerge w:val="continue"/>
                  <w:noWrap w:val="0"/>
                  <w:vAlign w:val="center"/>
                </w:tcPr>
                <w:p w14:paraId="6A42AAA6">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7F327C4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投料粉尘</w:t>
                  </w:r>
                </w:p>
              </w:tc>
              <w:tc>
                <w:tcPr>
                  <w:tcW w:w="842" w:type="pct"/>
                  <w:noWrap w:val="0"/>
                  <w:vAlign w:val="center"/>
                </w:tcPr>
                <w:p w14:paraId="4A5D811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颗粒物</w:t>
                  </w:r>
                </w:p>
              </w:tc>
              <w:tc>
                <w:tcPr>
                  <w:tcW w:w="695" w:type="pct"/>
                  <w:noWrap w:val="0"/>
                  <w:vAlign w:val="center"/>
                </w:tcPr>
                <w:p w14:paraId="704AAC34">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加强车间通风</w:t>
                  </w:r>
                </w:p>
              </w:tc>
              <w:tc>
                <w:tcPr>
                  <w:tcW w:w="758" w:type="pct"/>
                  <w:noWrap w:val="0"/>
                  <w:vAlign w:val="center"/>
                </w:tcPr>
                <w:p w14:paraId="519DD1A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厂界浓度监测</w:t>
                  </w:r>
                </w:p>
              </w:tc>
              <w:tc>
                <w:tcPr>
                  <w:tcW w:w="1739" w:type="pct"/>
                  <w:vMerge w:val="continue"/>
                  <w:noWrap w:val="0"/>
                  <w:vAlign w:val="center"/>
                </w:tcPr>
                <w:p w14:paraId="704C3BD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53FF1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01873F5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236B6DF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生产异味</w:t>
                  </w:r>
                </w:p>
              </w:tc>
              <w:tc>
                <w:tcPr>
                  <w:tcW w:w="842" w:type="pct"/>
                  <w:noWrap w:val="0"/>
                  <w:vAlign w:val="center"/>
                </w:tcPr>
                <w:p w14:paraId="522DC354">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臭气浓度</w:t>
                  </w:r>
                </w:p>
              </w:tc>
              <w:tc>
                <w:tcPr>
                  <w:tcW w:w="695" w:type="pct"/>
                  <w:noWrap w:val="0"/>
                  <w:vAlign w:val="center"/>
                </w:tcPr>
                <w:p w14:paraId="4A57E4CE">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加强车间通风</w:t>
                  </w:r>
                </w:p>
              </w:tc>
              <w:tc>
                <w:tcPr>
                  <w:tcW w:w="758" w:type="pct"/>
                  <w:noWrap w:val="0"/>
                  <w:vAlign w:val="center"/>
                </w:tcPr>
                <w:p w14:paraId="20410DF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废气防治措施；厂界浓度监测</w:t>
                  </w:r>
                </w:p>
              </w:tc>
              <w:tc>
                <w:tcPr>
                  <w:tcW w:w="1739" w:type="pct"/>
                  <w:noWrap w:val="0"/>
                  <w:vAlign w:val="center"/>
                </w:tcPr>
                <w:p w14:paraId="7CC518EE">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《恶臭污染物排放标准》(GB14554-93)表1二级标准中“新改扩建”限值要求</w:t>
                  </w:r>
                  <w:r>
                    <w:rPr>
                      <w:rFonts w:hint="default" w:ascii="Times New Roman" w:hAnsi="Times New Roman" w:cs="Times New Roman"/>
                      <w:b w:val="0"/>
                      <w:bCs w:val="0"/>
                      <w:color w:val="auto"/>
                      <w:kern w:val="2"/>
                      <w:sz w:val="21"/>
                      <w:szCs w:val="21"/>
                      <w:highlight w:val="none"/>
                      <w:lang w:val="en-US" w:eastAsia="zh-CN" w:bidi="ar-SA"/>
                    </w:rPr>
                    <w:t>及表2恶臭污染物排放标准</w:t>
                  </w:r>
                </w:p>
              </w:tc>
            </w:tr>
            <w:tr w14:paraId="38EAA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noWrap w:val="0"/>
                  <w:vAlign w:val="center"/>
                </w:tcPr>
                <w:p w14:paraId="06C273DE">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噪声</w:t>
                  </w:r>
                </w:p>
              </w:tc>
              <w:tc>
                <w:tcPr>
                  <w:tcW w:w="582" w:type="pct"/>
                  <w:noWrap w:val="0"/>
                  <w:vAlign w:val="center"/>
                </w:tcPr>
                <w:p w14:paraId="57892B6D">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设备噪声</w:t>
                  </w:r>
                </w:p>
              </w:tc>
              <w:tc>
                <w:tcPr>
                  <w:tcW w:w="842" w:type="pct"/>
                  <w:noWrap w:val="0"/>
                  <w:vAlign w:val="center"/>
                </w:tcPr>
                <w:p w14:paraId="57D4B9ED">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边界等效声级</w:t>
                  </w:r>
                </w:p>
              </w:tc>
              <w:tc>
                <w:tcPr>
                  <w:tcW w:w="695" w:type="pct"/>
                  <w:noWrap w:val="0"/>
                  <w:vAlign w:val="center"/>
                </w:tcPr>
                <w:p w14:paraId="12DBF74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减振、隔声、吸声、消声等</w:t>
                  </w:r>
                </w:p>
              </w:tc>
              <w:tc>
                <w:tcPr>
                  <w:tcW w:w="758" w:type="pct"/>
                  <w:noWrap w:val="0"/>
                  <w:vAlign w:val="center"/>
                </w:tcPr>
                <w:p w14:paraId="2ED725DD">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厂界噪声</w:t>
                  </w:r>
                </w:p>
              </w:tc>
              <w:tc>
                <w:tcPr>
                  <w:tcW w:w="1739" w:type="pct"/>
                  <w:noWrap w:val="0"/>
                  <w:vAlign w:val="center"/>
                </w:tcPr>
                <w:p w14:paraId="54DD6E0A">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满足《工业企业厂界环境噪声排放标准》(GB12348-2008)的3类标准</w:t>
                  </w:r>
                </w:p>
              </w:tc>
            </w:tr>
            <w:tr w14:paraId="20C2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restart"/>
                  <w:noWrap w:val="0"/>
                  <w:vAlign w:val="center"/>
                </w:tcPr>
                <w:p w14:paraId="4EBA527E">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w:t>
                  </w:r>
                </w:p>
                <w:p w14:paraId="171FB521">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废物</w:t>
                  </w:r>
                </w:p>
              </w:tc>
              <w:tc>
                <w:tcPr>
                  <w:tcW w:w="582" w:type="pct"/>
                  <w:noWrap w:val="0"/>
                  <w:vAlign w:val="center"/>
                </w:tcPr>
                <w:p w14:paraId="53C7340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842" w:type="pct"/>
                  <w:noWrap w:val="0"/>
                  <w:vAlign w:val="center"/>
                </w:tcPr>
                <w:p w14:paraId="641BCF2B">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noWrap w:val="0"/>
                  <w:vAlign w:val="center"/>
                </w:tcPr>
                <w:p w14:paraId="3A4D66E4">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交由环卫部门定期清理</w:t>
                  </w:r>
                </w:p>
              </w:tc>
              <w:tc>
                <w:tcPr>
                  <w:tcW w:w="758" w:type="pct"/>
                  <w:vMerge w:val="restart"/>
                  <w:noWrap w:val="0"/>
                  <w:vAlign w:val="center"/>
                </w:tcPr>
                <w:p w14:paraId="1E45045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739" w:type="pct"/>
                  <w:vMerge w:val="restart"/>
                  <w:noWrap w:val="0"/>
                  <w:vAlign w:val="center"/>
                </w:tcPr>
                <w:p w14:paraId="28579CA2">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04E8C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4F055B91">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173E512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包装废料</w:t>
                  </w:r>
                </w:p>
              </w:tc>
              <w:tc>
                <w:tcPr>
                  <w:tcW w:w="842" w:type="pct"/>
                  <w:noWrap w:val="0"/>
                  <w:vAlign w:val="center"/>
                </w:tcPr>
                <w:p w14:paraId="57B1C9C4">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restart"/>
                  <w:noWrap w:val="0"/>
                  <w:vAlign w:val="center"/>
                </w:tcPr>
                <w:p w14:paraId="674A40AB">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交由有资质单位统一清运处理</w:t>
                  </w:r>
                </w:p>
              </w:tc>
              <w:tc>
                <w:tcPr>
                  <w:tcW w:w="758" w:type="pct"/>
                  <w:vMerge w:val="continue"/>
                  <w:noWrap w:val="0"/>
                  <w:vAlign w:val="center"/>
                </w:tcPr>
                <w:p w14:paraId="17A5816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noWrap w:val="0"/>
                  <w:vAlign w:val="center"/>
                </w:tcPr>
                <w:p w14:paraId="73A034C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1D77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15E83E7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04C7F941">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w:t>
                  </w:r>
                  <w:r>
                    <w:rPr>
                      <w:rFonts w:hint="default" w:ascii="Times New Roman" w:hAnsi="Times New Roman" w:cs="Times New Roman"/>
                      <w:b w:val="0"/>
                      <w:bCs w:val="0"/>
                      <w:color w:val="auto"/>
                      <w:kern w:val="2"/>
                      <w:sz w:val="21"/>
                      <w:szCs w:val="21"/>
                      <w:highlight w:val="none"/>
                      <w:lang w:val="en-US" w:eastAsia="zh-CN" w:bidi="ar-SA"/>
                    </w:rPr>
                    <w:t>布袋</w:t>
                  </w:r>
                </w:p>
              </w:tc>
              <w:tc>
                <w:tcPr>
                  <w:tcW w:w="842" w:type="pct"/>
                  <w:noWrap w:val="0"/>
                  <w:vAlign w:val="center"/>
                </w:tcPr>
                <w:p w14:paraId="673F68AD">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noWrap w:val="0"/>
                  <w:vAlign w:val="center"/>
                </w:tcPr>
                <w:p w14:paraId="5F09EF78">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noWrap w:val="0"/>
                  <w:vAlign w:val="center"/>
                </w:tcPr>
                <w:p w14:paraId="5C5B7758">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noWrap w:val="0"/>
                  <w:vAlign w:val="center"/>
                </w:tcPr>
                <w:p w14:paraId="28C66B9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6FE10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551A824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0DA8283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w:t>
                  </w:r>
                  <w:r>
                    <w:rPr>
                      <w:rFonts w:hint="default" w:ascii="Times New Roman" w:hAnsi="Times New Roman" w:cs="Times New Roman"/>
                      <w:b w:val="0"/>
                      <w:bCs w:val="0"/>
                      <w:color w:val="auto"/>
                      <w:kern w:val="2"/>
                      <w:sz w:val="21"/>
                      <w:szCs w:val="21"/>
                      <w:highlight w:val="none"/>
                      <w:lang w:val="en-US" w:eastAsia="zh-CN" w:bidi="ar-SA"/>
                    </w:rPr>
                    <w:t>活性炭</w:t>
                  </w:r>
                </w:p>
              </w:tc>
              <w:tc>
                <w:tcPr>
                  <w:tcW w:w="842" w:type="pct"/>
                  <w:noWrap w:val="0"/>
                  <w:vAlign w:val="center"/>
                </w:tcPr>
                <w:p w14:paraId="2546279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restart"/>
                  <w:noWrap w:val="0"/>
                  <w:vAlign w:val="center"/>
                </w:tcPr>
                <w:p w14:paraId="6BA3540A">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交由有危险废物处理资质的单位处理</w:t>
                  </w:r>
                </w:p>
              </w:tc>
              <w:tc>
                <w:tcPr>
                  <w:tcW w:w="758" w:type="pct"/>
                  <w:vMerge w:val="restart"/>
                  <w:noWrap w:val="0"/>
                  <w:vAlign w:val="center"/>
                </w:tcPr>
                <w:p w14:paraId="55871675">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r>
                    <w:rPr>
                      <w:rFonts w:hint="default" w:ascii="Times New Roman" w:hAnsi="Times New Roman" w:cs="Times New Roman"/>
                      <w:b w:val="0"/>
                      <w:bCs w:val="0"/>
                      <w:color w:val="auto"/>
                      <w:kern w:val="2"/>
                      <w:sz w:val="21"/>
                      <w:szCs w:val="21"/>
                      <w:highlight w:val="none"/>
                      <w:lang w:val="en-US" w:eastAsia="zh-CN" w:bidi="ar-SA"/>
                    </w:rPr>
                    <w:t>，危废暂存间做好防渗防漏</w:t>
                  </w:r>
                </w:p>
              </w:tc>
              <w:tc>
                <w:tcPr>
                  <w:tcW w:w="1739" w:type="pct"/>
                  <w:vMerge w:val="restart"/>
                  <w:noWrap w:val="0"/>
                  <w:vAlign w:val="center"/>
                </w:tcPr>
                <w:p w14:paraId="4909CB1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456B4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0AFBE495">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noWrap w:val="0"/>
                  <w:vAlign w:val="center"/>
                </w:tcPr>
                <w:p w14:paraId="06B6E96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废机油及桶</w:t>
                  </w:r>
                </w:p>
              </w:tc>
              <w:tc>
                <w:tcPr>
                  <w:tcW w:w="842" w:type="pct"/>
                  <w:noWrap w:val="0"/>
                  <w:vAlign w:val="center"/>
                </w:tcPr>
                <w:p w14:paraId="3E7A3EAF">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noWrap w:val="0"/>
                  <w:vAlign w:val="center"/>
                </w:tcPr>
                <w:p w14:paraId="25ED4A41">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noWrap w:val="0"/>
                  <w:vAlign w:val="center"/>
                </w:tcPr>
                <w:p w14:paraId="1A0F0AF5">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noWrap w:val="0"/>
                  <w:vAlign w:val="center"/>
                </w:tcPr>
                <w:p w14:paraId="721B3C58">
                  <w:pPr>
                    <w:keepNext w:val="0"/>
                    <w:keepLines w:val="0"/>
                    <w:pageBreakBefore w:val="0"/>
                    <w:suppressLineNumbers w:val="0"/>
                    <w:wordWrap w:val="0"/>
                    <w:autoSpaceDE w:val="0"/>
                    <w:autoSpaceDN w:val="0"/>
                    <w:bidi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52CA5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5AB7D7AB">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shd w:val="clear" w:color="auto" w:fill="auto"/>
                  <w:noWrap w:val="0"/>
                  <w:vAlign w:val="center"/>
                </w:tcPr>
                <w:p w14:paraId="42BE541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含油废抹布</w:t>
                  </w:r>
                </w:p>
              </w:tc>
              <w:tc>
                <w:tcPr>
                  <w:tcW w:w="842" w:type="pct"/>
                  <w:noWrap w:val="0"/>
                  <w:vAlign w:val="center"/>
                </w:tcPr>
                <w:p w14:paraId="3970142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w:t>
                  </w:r>
                </w:p>
              </w:tc>
              <w:tc>
                <w:tcPr>
                  <w:tcW w:w="695" w:type="pct"/>
                  <w:vMerge w:val="continue"/>
                  <w:noWrap w:val="0"/>
                  <w:vAlign w:val="center"/>
                </w:tcPr>
                <w:p w14:paraId="77289C0D">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noWrap w:val="0"/>
                  <w:vAlign w:val="center"/>
                </w:tcPr>
                <w:p w14:paraId="3D490B1B">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noWrap w:val="0"/>
                  <w:vAlign w:val="center"/>
                </w:tcPr>
                <w:p w14:paraId="5ACC41C8">
                  <w:pPr>
                    <w:keepNext w:val="0"/>
                    <w:keepLines w:val="0"/>
                    <w:pageBreakBefore w:val="0"/>
                    <w:suppressLineNumbers w:val="0"/>
                    <w:wordWrap w:val="0"/>
                    <w:autoSpaceDE w:val="0"/>
                    <w:autoSpaceDN w:val="0"/>
                    <w:bidi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42C10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30357E0A">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shd w:val="clear" w:color="auto" w:fill="auto"/>
                  <w:noWrap w:val="0"/>
                  <w:vAlign w:val="center"/>
                </w:tcPr>
                <w:p w14:paraId="7926649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水帘柜废水</w:t>
                  </w:r>
                </w:p>
              </w:tc>
              <w:tc>
                <w:tcPr>
                  <w:tcW w:w="842" w:type="pct"/>
                  <w:noWrap w:val="0"/>
                  <w:vAlign w:val="center"/>
                </w:tcPr>
                <w:p w14:paraId="3EEEFAF1">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w:t>
                  </w:r>
                </w:p>
              </w:tc>
              <w:tc>
                <w:tcPr>
                  <w:tcW w:w="695" w:type="pct"/>
                  <w:vMerge w:val="continue"/>
                  <w:noWrap w:val="0"/>
                  <w:vAlign w:val="center"/>
                </w:tcPr>
                <w:p w14:paraId="3DA3442D">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noWrap w:val="0"/>
                  <w:vAlign w:val="center"/>
                </w:tcPr>
                <w:p w14:paraId="4E922B6B">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noWrap w:val="0"/>
                  <w:vAlign w:val="center"/>
                </w:tcPr>
                <w:p w14:paraId="6DE06CB2">
                  <w:pPr>
                    <w:keepNext w:val="0"/>
                    <w:keepLines w:val="0"/>
                    <w:pageBreakBefore w:val="0"/>
                    <w:suppressLineNumbers w:val="0"/>
                    <w:wordWrap w:val="0"/>
                    <w:autoSpaceDE w:val="0"/>
                    <w:autoSpaceDN w:val="0"/>
                    <w:bidi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25C3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5606E313">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shd w:val="clear" w:color="auto" w:fill="auto"/>
                  <w:noWrap w:val="0"/>
                  <w:vAlign w:val="center"/>
                </w:tcPr>
                <w:p w14:paraId="4902199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水帘柜喷淋沉渣</w:t>
                  </w:r>
                </w:p>
              </w:tc>
              <w:tc>
                <w:tcPr>
                  <w:tcW w:w="842" w:type="pct"/>
                  <w:noWrap w:val="0"/>
                  <w:vAlign w:val="center"/>
                </w:tcPr>
                <w:p w14:paraId="63C0D95C">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w:t>
                  </w:r>
                </w:p>
              </w:tc>
              <w:tc>
                <w:tcPr>
                  <w:tcW w:w="695" w:type="pct"/>
                  <w:vMerge w:val="continue"/>
                  <w:noWrap w:val="0"/>
                  <w:vAlign w:val="center"/>
                </w:tcPr>
                <w:p w14:paraId="36884741">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noWrap w:val="0"/>
                  <w:vAlign w:val="center"/>
                </w:tcPr>
                <w:p w14:paraId="0E721A5E">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noWrap w:val="0"/>
                  <w:vAlign w:val="center"/>
                </w:tcPr>
                <w:p w14:paraId="226C39F4">
                  <w:pPr>
                    <w:keepNext w:val="0"/>
                    <w:keepLines w:val="0"/>
                    <w:pageBreakBefore w:val="0"/>
                    <w:suppressLineNumbers w:val="0"/>
                    <w:wordWrap w:val="0"/>
                    <w:autoSpaceDE w:val="0"/>
                    <w:autoSpaceDN w:val="0"/>
                    <w:bidi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0CCB0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125F94BA">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shd w:val="clear" w:color="auto" w:fill="auto"/>
                  <w:noWrap w:val="0"/>
                  <w:vAlign w:val="center"/>
                </w:tcPr>
                <w:p w14:paraId="319C65F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漆渣</w:t>
                  </w:r>
                </w:p>
              </w:tc>
              <w:tc>
                <w:tcPr>
                  <w:tcW w:w="842" w:type="pct"/>
                  <w:noWrap w:val="0"/>
                  <w:vAlign w:val="center"/>
                </w:tcPr>
                <w:p w14:paraId="23921030">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w:t>
                  </w:r>
                </w:p>
              </w:tc>
              <w:tc>
                <w:tcPr>
                  <w:tcW w:w="695" w:type="pct"/>
                  <w:vMerge w:val="continue"/>
                  <w:noWrap w:val="0"/>
                  <w:vAlign w:val="center"/>
                </w:tcPr>
                <w:p w14:paraId="6907D786">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noWrap w:val="0"/>
                  <w:vAlign w:val="center"/>
                </w:tcPr>
                <w:p w14:paraId="3F422B95">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noWrap w:val="0"/>
                  <w:vAlign w:val="center"/>
                </w:tcPr>
                <w:p w14:paraId="6F25C694">
                  <w:pPr>
                    <w:keepNext w:val="0"/>
                    <w:keepLines w:val="0"/>
                    <w:pageBreakBefore w:val="0"/>
                    <w:suppressLineNumbers w:val="0"/>
                    <w:wordWrap w:val="0"/>
                    <w:autoSpaceDE w:val="0"/>
                    <w:autoSpaceDN w:val="0"/>
                    <w:bidi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58B23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noWrap w:val="0"/>
                  <w:vAlign w:val="center"/>
                </w:tcPr>
                <w:p w14:paraId="507FED3E">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2" w:type="pct"/>
                  <w:shd w:val="clear" w:color="auto" w:fill="auto"/>
                  <w:noWrap w:val="0"/>
                  <w:vAlign w:val="center"/>
                </w:tcPr>
                <w:p w14:paraId="21EDD59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喷枪清洗废液</w:t>
                  </w:r>
                </w:p>
              </w:tc>
              <w:tc>
                <w:tcPr>
                  <w:tcW w:w="842" w:type="pct"/>
                  <w:noWrap w:val="0"/>
                  <w:vAlign w:val="center"/>
                </w:tcPr>
                <w:p w14:paraId="496CC6B9">
                  <w:pPr>
                    <w:keepNext w:val="0"/>
                    <w:keepLines w:val="0"/>
                    <w:pageBreakBefore w:val="0"/>
                    <w:suppressLineNumbers w:val="0"/>
                    <w:wordWrap w:val="0"/>
                    <w:bidi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w:t>
                  </w:r>
                </w:p>
              </w:tc>
              <w:tc>
                <w:tcPr>
                  <w:tcW w:w="695" w:type="pct"/>
                  <w:vMerge w:val="continue"/>
                  <w:noWrap w:val="0"/>
                  <w:vAlign w:val="center"/>
                </w:tcPr>
                <w:p w14:paraId="735807D0">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noWrap w:val="0"/>
                  <w:vAlign w:val="center"/>
                </w:tcPr>
                <w:p w14:paraId="2FDB3039">
                  <w:pPr>
                    <w:keepNext w:val="0"/>
                    <w:keepLines w:val="0"/>
                    <w:pageBreakBefore w:val="0"/>
                    <w:widowControl/>
                    <w:suppressLineNumbers w:val="0"/>
                    <w:wordWrap w:val="0"/>
                    <w:autoSpaceDE w:val="0"/>
                    <w:autoSpaceDN w:val="0"/>
                    <w:bidi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noWrap w:val="0"/>
                  <w:vAlign w:val="center"/>
                </w:tcPr>
                <w:p w14:paraId="082C56DB">
                  <w:pPr>
                    <w:keepNext w:val="0"/>
                    <w:keepLines w:val="0"/>
                    <w:pageBreakBefore w:val="0"/>
                    <w:suppressLineNumbers w:val="0"/>
                    <w:wordWrap w:val="0"/>
                    <w:autoSpaceDE w:val="0"/>
                    <w:autoSpaceDN w:val="0"/>
                    <w:bidi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bl>
          <w:p w14:paraId="77228BFA">
            <w:pPr>
              <w:keepNext/>
              <w:keepLines/>
              <w:pageBreakBefore w:val="0"/>
              <w:suppressLineNumbers w:val="0"/>
              <w:tabs>
                <w:tab w:val="left" w:pos="0"/>
              </w:tabs>
              <w:wordWrap w:val="0"/>
              <w:bidi w:val="0"/>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八、电磁辐射环境</w:t>
            </w:r>
          </w:p>
          <w:p w14:paraId="5A154C64">
            <w:pPr>
              <w:pStyle w:val="16"/>
              <w:keepNext w:val="0"/>
              <w:keepLines w:val="0"/>
              <w:pageBreakBefore w:val="0"/>
              <w:suppressLineNumbers w:val="0"/>
              <w:wordWrap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本项目不存在电磁辐射影响。</w:t>
            </w:r>
          </w:p>
          <w:p w14:paraId="2AC11E62">
            <w:pPr>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color w:val="auto"/>
                <w:highlight w:val="none"/>
                <w:lang w:val="en-US" w:eastAsia="zh-CN"/>
              </w:rPr>
            </w:pPr>
          </w:p>
          <w:p w14:paraId="05F3BF7B">
            <w:pPr>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color w:val="auto"/>
                <w:highlight w:val="none"/>
                <w:lang w:val="en-US" w:eastAsia="zh-CN"/>
              </w:rPr>
            </w:pPr>
          </w:p>
          <w:p w14:paraId="6D786852">
            <w:pPr>
              <w:keepNext w:val="0"/>
              <w:keepLines w:val="0"/>
              <w:pageBreakBefore w:val="0"/>
              <w:suppressLineNumbers w:val="0"/>
              <w:wordWrap w:val="0"/>
              <w:bidi w:val="0"/>
              <w:spacing w:before="0" w:beforeAutospacing="0" w:after="0" w:afterAutospacing="0"/>
              <w:ind w:left="0" w:right="0"/>
              <w:rPr>
                <w:rFonts w:hint="default" w:ascii="Times New Roman" w:hAnsi="Times New Roman" w:cs="Times New Roman"/>
                <w:color w:val="auto"/>
                <w:highlight w:val="none"/>
                <w:lang w:val="en-US" w:eastAsia="zh-CN"/>
              </w:rPr>
            </w:pPr>
          </w:p>
        </w:tc>
      </w:tr>
    </w:tbl>
    <w:p w14:paraId="470540EA">
      <w:pPr>
        <w:pageBreakBefore w:val="0"/>
        <w:wordWrap w:val="0"/>
        <w:bidi w:val="0"/>
        <w:rPr>
          <w:rFonts w:hint="default" w:ascii="Times New Roman" w:hAnsi="Times New Roman"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D6F560">
      <w:pPr>
        <w:pStyle w:val="2"/>
        <w:pageBreakBefore w:val="0"/>
        <w:numPr>
          <w:ilvl w:val="0"/>
          <w:numId w:val="0"/>
        </w:numPr>
        <w:wordWrap w:val="0"/>
        <w:bidi w:val="0"/>
        <w:rPr>
          <w:rFonts w:hint="default" w:ascii="Times New Roman" w:hAnsi="Times New Roman" w:cs="Times New Roman"/>
          <w:b/>
          <w:bCs/>
          <w:color w:val="auto"/>
          <w:highlight w:val="none"/>
        </w:rPr>
      </w:pPr>
      <w:bookmarkStart w:id="133" w:name="_Toc31767"/>
      <w:bookmarkStart w:id="134" w:name="_Toc23240"/>
      <w:bookmarkStart w:id="135" w:name="_Toc30723"/>
      <w:r>
        <w:rPr>
          <w:rFonts w:hint="default" w:ascii="Times New Roman" w:hAnsi="Times New Roman" w:cs="Times New Roman"/>
          <w:b/>
          <w:bCs/>
          <w:color w:val="auto"/>
          <w:highlight w:val="none"/>
        </w:rPr>
        <w:t>五、环境保护措施监督检查清单</w:t>
      </w:r>
      <w:bookmarkEnd w:id="131"/>
      <w:bookmarkEnd w:id="133"/>
      <w:bookmarkEnd w:id="134"/>
      <w:bookmarkEnd w:id="135"/>
    </w:p>
    <w:tbl>
      <w:tblPr>
        <w:tblStyle w:val="36"/>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352"/>
        <w:gridCol w:w="983"/>
        <w:gridCol w:w="1461"/>
        <w:gridCol w:w="1898"/>
        <w:gridCol w:w="2823"/>
      </w:tblGrid>
      <w:tr w14:paraId="46C94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tcBorders>
              <w:tl2br w:val="single" w:color="auto" w:sz="4" w:space="0"/>
            </w:tcBorders>
            <w:vAlign w:val="center"/>
          </w:tcPr>
          <w:p w14:paraId="74E9B6D6">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p w14:paraId="2CBE8CB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要素</w:t>
            </w:r>
          </w:p>
        </w:tc>
        <w:tc>
          <w:tcPr>
            <w:tcW w:w="1255" w:type="pct"/>
            <w:gridSpan w:val="2"/>
            <w:vAlign w:val="center"/>
          </w:tcPr>
          <w:p w14:paraId="5F7CDD1B">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排放口（编号、名称）/污染源</w:t>
            </w:r>
          </w:p>
        </w:tc>
        <w:tc>
          <w:tcPr>
            <w:tcW w:w="785" w:type="pct"/>
            <w:vAlign w:val="center"/>
          </w:tcPr>
          <w:p w14:paraId="127138A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污染物项目</w:t>
            </w:r>
          </w:p>
        </w:tc>
        <w:tc>
          <w:tcPr>
            <w:tcW w:w="1020" w:type="pct"/>
            <w:vAlign w:val="center"/>
          </w:tcPr>
          <w:p w14:paraId="5403213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环境保护措施</w:t>
            </w:r>
          </w:p>
        </w:tc>
        <w:tc>
          <w:tcPr>
            <w:tcW w:w="1518" w:type="pct"/>
            <w:vAlign w:val="center"/>
          </w:tcPr>
          <w:p w14:paraId="080994AC">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执行标准</w:t>
            </w:r>
          </w:p>
        </w:tc>
      </w:tr>
      <w:tr w14:paraId="6CEE1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418" w:type="pct"/>
            <w:vMerge w:val="restart"/>
            <w:vAlign w:val="center"/>
          </w:tcPr>
          <w:p w14:paraId="0042C21E">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大气环境</w:t>
            </w:r>
          </w:p>
        </w:tc>
        <w:tc>
          <w:tcPr>
            <w:tcW w:w="727" w:type="pct"/>
            <w:vMerge w:val="restart"/>
            <w:vAlign w:val="center"/>
          </w:tcPr>
          <w:p w14:paraId="352A1CC8">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生产废气排放口</w:t>
            </w:r>
          </w:p>
          <w:p w14:paraId="238EF11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（DA001）</w:t>
            </w:r>
          </w:p>
        </w:tc>
        <w:tc>
          <w:tcPr>
            <w:tcW w:w="528" w:type="pct"/>
            <w:vMerge w:val="restart"/>
            <w:vAlign w:val="center"/>
          </w:tcPr>
          <w:p w14:paraId="52C4A15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生产废气</w:t>
            </w:r>
          </w:p>
        </w:tc>
        <w:tc>
          <w:tcPr>
            <w:tcW w:w="785" w:type="pct"/>
            <w:vAlign w:val="center"/>
          </w:tcPr>
          <w:p w14:paraId="6AEB5D9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颗粒物</w:t>
            </w:r>
          </w:p>
        </w:tc>
        <w:tc>
          <w:tcPr>
            <w:tcW w:w="1020" w:type="pct"/>
            <w:vMerge w:val="restart"/>
            <w:vAlign w:val="center"/>
          </w:tcPr>
          <w:p w14:paraId="07EDA3C8">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经</w:t>
            </w:r>
            <w:r>
              <w:rPr>
                <w:rFonts w:hint="default" w:ascii="Times New Roman" w:hAnsi="Times New Roman" w:cs="Times New Roman"/>
                <w:color w:val="auto"/>
                <w:kern w:val="2"/>
                <w:highlight w:val="none"/>
                <w:lang w:val="en-US" w:eastAsia="zh-CN"/>
              </w:rPr>
              <w:t>二级活性炭吸附装置处理后，</w:t>
            </w:r>
            <w:r>
              <w:rPr>
                <w:rFonts w:hint="default" w:ascii="Times New Roman" w:hAnsi="Times New Roman" w:cs="Times New Roman"/>
                <w:color w:val="auto"/>
                <w:kern w:val="0"/>
                <w:highlight w:val="none"/>
                <w:lang w:val="en-US" w:eastAsia="zh-CN" w:bidi="ar"/>
              </w:rPr>
              <w:t>15</w:t>
            </w:r>
            <w:r>
              <w:rPr>
                <w:rFonts w:hint="default" w:ascii="Times New Roman" w:hAnsi="Times New Roman" w:cs="Times New Roman"/>
                <w:color w:val="auto"/>
                <w:kern w:val="0"/>
                <w:highlight w:val="none"/>
                <w:lang w:bidi="ar"/>
              </w:rPr>
              <w:t>m</w:t>
            </w:r>
            <w:r>
              <w:rPr>
                <w:rFonts w:hint="default" w:ascii="Times New Roman" w:hAnsi="Times New Roman" w:cs="Times New Roman"/>
                <w:color w:val="auto"/>
                <w:kern w:val="2"/>
                <w:highlight w:val="none"/>
              </w:rPr>
              <w:t>高排气筒（DA001）排放</w:t>
            </w:r>
          </w:p>
        </w:tc>
        <w:tc>
          <w:tcPr>
            <w:tcW w:w="1518" w:type="pct"/>
            <w:vAlign w:val="center"/>
          </w:tcPr>
          <w:p w14:paraId="3AD82BE3">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有组织排放执行</w:t>
            </w:r>
            <w:r>
              <w:rPr>
                <w:rFonts w:hint="default" w:ascii="Times New Roman" w:hAnsi="Times New Roman" w:cs="Times New Roman"/>
                <w:b w:val="0"/>
                <w:bCs w:val="0"/>
                <w:color w:val="auto"/>
                <w:sz w:val="21"/>
                <w:szCs w:val="21"/>
                <w:highlight w:val="none"/>
              </w:rPr>
              <w:t>《关于贯彻落实&lt;工业炉窑大气污染综合治理方案&gt;的实施意见》（粤环函〔2019〕1112号）</w:t>
            </w:r>
            <w:r>
              <w:rPr>
                <w:rFonts w:hint="default" w:ascii="Times New Roman" w:hAnsi="Times New Roman" w:cs="Times New Roman"/>
                <w:b w:val="0"/>
                <w:bCs w:val="0"/>
                <w:color w:val="auto"/>
                <w:sz w:val="21"/>
                <w:szCs w:val="21"/>
                <w:highlight w:val="none"/>
                <w:lang w:val="en-US" w:eastAsia="zh-CN"/>
              </w:rPr>
              <w:t>限值要求；</w:t>
            </w:r>
          </w:p>
          <w:p w14:paraId="6978CC38">
            <w:pPr>
              <w:keepNext w:val="0"/>
              <w:keepLines w:val="0"/>
              <w:pageBreakBefore w:val="0"/>
              <w:suppressLineNumbers w:val="0"/>
              <w:wordWrap w:val="0"/>
              <w:bidi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厂界颗粒物无组织排放执行</w:t>
            </w:r>
            <w:r>
              <w:rPr>
                <w:rFonts w:hint="default" w:ascii="Times New Roman" w:hAnsi="Times New Roman" w:cs="Times New Roman"/>
                <w:color w:val="auto"/>
                <w:sz w:val="21"/>
                <w:szCs w:val="21"/>
                <w:highlight w:val="none"/>
              </w:rPr>
              <w:t>广东省《大气污染物排放限值》（DB44/27-2001）第二时段无组织排放监控浓度限值</w:t>
            </w:r>
            <w:r>
              <w:rPr>
                <w:rFonts w:hint="default" w:ascii="Times New Roman" w:hAnsi="Times New Roman" w:cs="Times New Roman"/>
                <w:color w:val="auto"/>
                <w:sz w:val="21"/>
                <w:szCs w:val="21"/>
                <w:highlight w:val="none"/>
                <w:lang w:eastAsia="zh-CN"/>
              </w:rPr>
              <w:t>；</w:t>
            </w:r>
          </w:p>
          <w:p w14:paraId="00457D06">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sz w:val="21"/>
                <w:szCs w:val="21"/>
                <w:highlight w:val="none"/>
                <w:lang w:eastAsia="zh-CN"/>
              </w:rPr>
              <w:t>厂区内颗粒物</w:t>
            </w:r>
            <w:r>
              <w:rPr>
                <w:rFonts w:hint="default" w:ascii="Times New Roman" w:hAnsi="Times New Roman" w:cs="Times New Roman"/>
                <w:color w:val="auto"/>
                <w:sz w:val="21"/>
                <w:szCs w:val="21"/>
                <w:highlight w:val="none"/>
                <w:lang w:val="en-US" w:eastAsia="zh-CN"/>
              </w:rPr>
              <w:t>无组织排放</w:t>
            </w:r>
            <w:r>
              <w:rPr>
                <w:rFonts w:hint="default" w:ascii="Times New Roman" w:hAnsi="Times New Roman" w:cs="Times New Roman"/>
                <w:color w:val="auto"/>
                <w:sz w:val="21"/>
                <w:szCs w:val="21"/>
                <w:highlight w:val="none"/>
                <w:lang w:eastAsia="zh-CN"/>
              </w:rPr>
              <w:t>执行《工业炉窑大气污染物排放标准》（GB9078—1996）表3</w:t>
            </w:r>
            <w:r>
              <w:rPr>
                <w:rFonts w:hint="default" w:ascii="Times New Roman" w:hAnsi="Times New Roman" w:cs="Times New Roman"/>
                <w:color w:val="auto"/>
                <w:sz w:val="21"/>
                <w:szCs w:val="21"/>
                <w:highlight w:val="none"/>
                <w:lang w:val="en-US" w:eastAsia="zh-CN"/>
              </w:rPr>
              <w:t>限值要求。</w:t>
            </w:r>
          </w:p>
        </w:tc>
      </w:tr>
      <w:tr w14:paraId="3FCB3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418" w:type="pct"/>
            <w:vMerge w:val="continue"/>
            <w:vAlign w:val="center"/>
          </w:tcPr>
          <w:p w14:paraId="49163010">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023EC34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Merge w:val="continue"/>
            <w:vAlign w:val="center"/>
          </w:tcPr>
          <w:p w14:paraId="05EF040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85" w:type="pct"/>
            <w:vAlign w:val="center"/>
          </w:tcPr>
          <w:p w14:paraId="3C416EE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氮氧化物</w:t>
            </w:r>
          </w:p>
        </w:tc>
        <w:tc>
          <w:tcPr>
            <w:tcW w:w="1020" w:type="pct"/>
            <w:vMerge w:val="continue"/>
            <w:vAlign w:val="center"/>
          </w:tcPr>
          <w:p w14:paraId="154D677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1518" w:type="pct"/>
            <w:vMerge w:val="restart"/>
            <w:vAlign w:val="center"/>
          </w:tcPr>
          <w:p w14:paraId="41CDCD4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b w:val="0"/>
                <w:bCs w:val="0"/>
                <w:color w:val="auto"/>
                <w:kern w:val="2"/>
                <w:sz w:val="21"/>
                <w:szCs w:val="21"/>
                <w:highlight w:val="none"/>
              </w:rPr>
              <w:t>《关于贯彻落实&lt;工业炉窑大气污染综合治理方案&gt;的实施意见》（粤环函〔2019〕1112号）</w:t>
            </w:r>
            <w:r>
              <w:rPr>
                <w:rFonts w:hint="default" w:ascii="Times New Roman" w:hAnsi="Times New Roman" w:cs="Times New Roman"/>
                <w:b w:val="0"/>
                <w:bCs w:val="0"/>
                <w:color w:val="auto"/>
                <w:kern w:val="2"/>
                <w:sz w:val="21"/>
                <w:szCs w:val="21"/>
                <w:highlight w:val="none"/>
                <w:lang w:val="en-US" w:eastAsia="zh-CN"/>
              </w:rPr>
              <w:t>限值要求</w:t>
            </w:r>
          </w:p>
        </w:tc>
      </w:tr>
      <w:tr w14:paraId="251A0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418" w:type="pct"/>
            <w:vMerge w:val="continue"/>
            <w:vAlign w:val="center"/>
          </w:tcPr>
          <w:p w14:paraId="47E3EF4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1BB4AED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Merge w:val="continue"/>
            <w:vAlign w:val="center"/>
          </w:tcPr>
          <w:p w14:paraId="03FE01A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85" w:type="pct"/>
            <w:vAlign w:val="center"/>
          </w:tcPr>
          <w:p w14:paraId="3C462AD9">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二氧化硫</w:t>
            </w:r>
          </w:p>
        </w:tc>
        <w:tc>
          <w:tcPr>
            <w:tcW w:w="1020" w:type="pct"/>
            <w:vMerge w:val="continue"/>
            <w:vAlign w:val="center"/>
          </w:tcPr>
          <w:p w14:paraId="702F122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1518" w:type="pct"/>
            <w:vMerge w:val="continue"/>
            <w:vAlign w:val="center"/>
          </w:tcPr>
          <w:p w14:paraId="686E5838">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r>
      <w:tr w14:paraId="6F002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418" w:type="pct"/>
            <w:vMerge w:val="continue"/>
            <w:vAlign w:val="center"/>
          </w:tcPr>
          <w:p w14:paraId="13325E8B">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4695EF8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Merge w:val="continue"/>
            <w:vAlign w:val="center"/>
          </w:tcPr>
          <w:p w14:paraId="0C3C69B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85" w:type="pct"/>
            <w:vAlign w:val="center"/>
          </w:tcPr>
          <w:p w14:paraId="69F9817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烟气黑度</w:t>
            </w:r>
          </w:p>
        </w:tc>
        <w:tc>
          <w:tcPr>
            <w:tcW w:w="1020" w:type="pct"/>
            <w:vMerge w:val="continue"/>
            <w:vAlign w:val="center"/>
          </w:tcPr>
          <w:p w14:paraId="6BBB3059">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1518" w:type="pct"/>
            <w:vAlign w:val="center"/>
          </w:tcPr>
          <w:p w14:paraId="68980662">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sz w:val="21"/>
                <w:szCs w:val="21"/>
                <w:highlight w:val="none"/>
              </w:rPr>
              <w:t>《工业炉窑大气污染物排放标准》（GB9078—1996）表2</w:t>
            </w:r>
            <w:r>
              <w:rPr>
                <w:rFonts w:hint="default" w:ascii="Times New Roman" w:hAnsi="Times New Roman" w:cs="Times New Roman"/>
                <w:color w:val="auto"/>
                <w:kern w:val="2"/>
                <w:sz w:val="21"/>
                <w:szCs w:val="21"/>
                <w:highlight w:val="none"/>
                <w:lang w:val="en-US" w:eastAsia="zh-CN"/>
              </w:rPr>
              <w:t>限值要求</w:t>
            </w:r>
          </w:p>
        </w:tc>
      </w:tr>
      <w:tr w14:paraId="617A1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7" w:hRule="atLeast"/>
          <w:jc w:val="center"/>
        </w:trPr>
        <w:tc>
          <w:tcPr>
            <w:tcW w:w="418" w:type="pct"/>
            <w:vMerge w:val="continue"/>
            <w:vAlign w:val="center"/>
          </w:tcPr>
          <w:p w14:paraId="25C2F67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368CC8F2">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Merge w:val="continue"/>
            <w:vAlign w:val="center"/>
          </w:tcPr>
          <w:p w14:paraId="7315776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85" w:type="pct"/>
            <w:vAlign w:val="center"/>
          </w:tcPr>
          <w:p w14:paraId="733713A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臭气浓度</w:t>
            </w:r>
          </w:p>
        </w:tc>
        <w:tc>
          <w:tcPr>
            <w:tcW w:w="1020" w:type="pct"/>
            <w:vMerge w:val="continue"/>
            <w:vAlign w:val="center"/>
          </w:tcPr>
          <w:p w14:paraId="695B5C8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p>
        </w:tc>
        <w:tc>
          <w:tcPr>
            <w:tcW w:w="1518" w:type="pct"/>
            <w:vAlign w:val="center"/>
          </w:tcPr>
          <w:p w14:paraId="18B17A79">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《恶臭污染物排放标准》(GB14554-93)</w:t>
            </w:r>
            <w:r>
              <w:rPr>
                <w:rFonts w:hint="default" w:ascii="Times New Roman" w:hAnsi="Times New Roman" w:cs="Times New Roman"/>
                <w:b w:val="0"/>
                <w:bCs w:val="0"/>
                <w:color w:val="auto"/>
                <w:kern w:val="2"/>
                <w:sz w:val="21"/>
                <w:szCs w:val="21"/>
                <w:highlight w:val="none"/>
                <w:lang w:val="en-US" w:eastAsia="zh-CN" w:bidi="ar-SA"/>
              </w:rPr>
              <w:t>表2恶臭污染物排放标准</w:t>
            </w:r>
          </w:p>
        </w:tc>
      </w:tr>
      <w:tr w14:paraId="60E3F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418" w:type="pct"/>
            <w:vMerge w:val="continue"/>
            <w:vAlign w:val="center"/>
          </w:tcPr>
          <w:p w14:paraId="01D7163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07F3D749">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Merge w:val="continue"/>
            <w:vAlign w:val="center"/>
          </w:tcPr>
          <w:p w14:paraId="7FD620D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85" w:type="pct"/>
            <w:vAlign w:val="center"/>
          </w:tcPr>
          <w:p w14:paraId="52BC9A9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NMHC</w:t>
            </w:r>
          </w:p>
        </w:tc>
        <w:tc>
          <w:tcPr>
            <w:tcW w:w="1020" w:type="pct"/>
            <w:vMerge w:val="continue"/>
            <w:vAlign w:val="center"/>
          </w:tcPr>
          <w:p w14:paraId="0E01E09E">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p>
        </w:tc>
        <w:tc>
          <w:tcPr>
            <w:tcW w:w="1518" w:type="pct"/>
            <w:vMerge w:val="restart"/>
            <w:vAlign w:val="center"/>
          </w:tcPr>
          <w:p w14:paraId="126BD772">
            <w:pPr>
              <w:keepNext w:val="0"/>
              <w:keepLines w:val="0"/>
              <w:pageBreakBefore w:val="0"/>
              <w:suppressLineNumbers w:val="0"/>
              <w:wordWrap w:val="0"/>
              <w:bidi w:val="0"/>
              <w:spacing w:before="0" w:beforeLines="0" w:beforeAutospacing="0" w:after="0" w:afterAutospacing="0" w:line="240" w:lineRule="auto"/>
              <w:ind w:left="0" w:leftChars="0" w:right="0" w:rightChars="0" w:firstLine="0" w:firstLineChars="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sz w:val="21"/>
                <w:szCs w:val="21"/>
                <w:highlight w:val="none"/>
              </w:rPr>
              <w:t>广东省《固定污染源挥发性有机物综合排放标准》（DB44/2367-2022）表</w:t>
            </w:r>
            <w:r>
              <w:rPr>
                <w:rFonts w:hint="default" w:ascii="Times New Roman" w:hAnsi="Times New Roman" w:cs="Times New Roman"/>
                <w:color w:val="auto"/>
                <w:sz w:val="21"/>
                <w:szCs w:val="21"/>
                <w:highlight w:val="none"/>
                <w:lang w:val="en-US" w:eastAsia="zh-CN"/>
              </w:rPr>
              <w:t>1挥发性有机物排放限值要求及</w:t>
            </w:r>
            <w:r>
              <w:rPr>
                <w:rFonts w:hint="default" w:ascii="Times New Roman" w:hAnsi="Times New Roman" w:cs="Times New Roman"/>
                <w:color w:val="auto"/>
                <w:sz w:val="21"/>
                <w:szCs w:val="21"/>
                <w:highlight w:val="none"/>
              </w:rPr>
              <w:t>表3厂区内VOCs无组织排放限值</w:t>
            </w:r>
          </w:p>
        </w:tc>
      </w:tr>
      <w:tr w14:paraId="0E447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418" w:type="pct"/>
            <w:vMerge w:val="continue"/>
            <w:vAlign w:val="center"/>
          </w:tcPr>
          <w:p w14:paraId="3D423BE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7EC8156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Merge w:val="continue"/>
            <w:vAlign w:val="center"/>
          </w:tcPr>
          <w:p w14:paraId="63AC2A2C">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85" w:type="pct"/>
            <w:vAlign w:val="center"/>
          </w:tcPr>
          <w:p w14:paraId="6B5D005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苯系物</w:t>
            </w:r>
          </w:p>
        </w:tc>
        <w:tc>
          <w:tcPr>
            <w:tcW w:w="1020" w:type="pct"/>
            <w:vMerge w:val="continue"/>
            <w:vAlign w:val="center"/>
          </w:tcPr>
          <w:p w14:paraId="03E2E44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p>
        </w:tc>
        <w:tc>
          <w:tcPr>
            <w:tcW w:w="1518" w:type="pct"/>
            <w:vMerge w:val="continue"/>
            <w:vAlign w:val="center"/>
          </w:tcPr>
          <w:p w14:paraId="3C858BE0">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p>
        </w:tc>
      </w:tr>
      <w:tr w14:paraId="21775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8" w:type="pct"/>
            <w:vMerge w:val="continue"/>
            <w:textDirection w:val="tbLrV"/>
            <w:vAlign w:val="center"/>
          </w:tcPr>
          <w:p w14:paraId="2ADAAB42">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restart"/>
            <w:vAlign w:val="center"/>
          </w:tcPr>
          <w:p w14:paraId="3B4D19FE">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无组织排放</w:t>
            </w:r>
          </w:p>
        </w:tc>
        <w:tc>
          <w:tcPr>
            <w:tcW w:w="528" w:type="pct"/>
            <w:vAlign w:val="center"/>
          </w:tcPr>
          <w:p w14:paraId="51E45DF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eastAsia="zh-CN"/>
              </w:rPr>
              <w:t>切割粉尘</w:t>
            </w:r>
          </w:p>
        </w:tc>
        <w:tc>
          <w:tcPr>
            <w:tcW w:w="785" w:type="pct"/>
            <w:vAlign w:val="center"/>
          </w:tcPr>
          <w:p w14:paraId="6171E540">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颗粒物</w:t>
            </w:r>
          </w:p>
        </w:tc>
        <w:tc>
          <w:tcPr>
            <w:tcW w:w="1020" w:type="pct"/>
            <w:vAlign w:val="center"/>
          </w:tcPr>
          <w:p w14:paraId="7353349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切割粉尘</w:t>
            </w:r>
            <w:r>
              <w:rPr>
                <w:rFonts w:hint="default" w:ascii="Times New Roman" w:hAnsi="Times New Roman" w:cs="Times New Roman"/>
                <w:color w:val="auto"/>
                <w:kern w:val="2"/>
                <w:highlight w:val="none"/>
              </w:rPr>
              <w:t>采用移动式</w:t>
            </w:r>
            <w:r>
              <w:rPr>
                <w:rFonts w:hint="default" w:ascii="Times New Roman" w:hAnsi="Times New Roman" w:cs="Times New Roman"/>
                <w:color w:val="auto"/>
                <w:kern w:val="2"/>
                <w:highlight w:val="none"/>
                <w:lang w:val="en-US" w:eastAsia="zh-CN"/>
              </w:rPr>
              <w:t>布袋除尘器</w:t>
            </w:r>
            <w:r>
              <w:rPr>
                <w:rFonts w:hint="default" w:ascii="Times New Roman" w:hAnsi="Times New Roman" w:cs="Times New Roman"/>
                <w:color w:val="auto"/>
                <w:kern w:val="2"/>
                <w:highlight w:val="none"/>
              </w:rPr>
              <w:t>处理后于车间内无组织排放，并</w:t>
            </w:r>
            <w:r>
              <w:rPr>
                <w:rFonts w:hint="default" w:ascii="Times New Roman" w:hAnsi="Times New Roman" w:cs="Times New Roman"/>
                <w:color w:val="auto"/>
                <w:kern w:val="2"/>
                <w:highlight w:val="none"/>
                <w:lang w:val="en-US" w:eastAsia="zh-CN"/>
              </w:rPr>
              <w:t>加强车间通风</w:t>
            </w:r>
          </w:p>
        </w:tc>
        <w:tc>
          <w:tcPr>
            <w:tcW w:w="1518" w:type="pct"/>
            <w:vMerge w:val="restart"/>
            <w:vAlign w:val="center"/>
          </w:tcPr>
          <w:p w14:paraId="32E1EA7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广东省《大气污染物排放限值》（DB44/27-2001）第二时段无组织排放监控浓度限值</w:t>
            </w:r>
          </w:p>
        </w:tc>
      </w:tr>
      <w:tr w14:paraId="3EE40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8" w:type="pct"/>
            <w:vMerge w:val="continue"/>
            <w:textDirection w:val="tbLrV"/>
            <w:vAlign w:val="center"/>
          </w:tcPr>
          <w:p w14:paraId="78BB223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3D8DC4EC">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Align w:val="center"/>
          </w:tcPr>
          <w:p w14:paraId="54F8EEB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漆雾</w:t>
            </w:r>
          </w:p>
        </w:tc>
        <w:tc>
          <w:tcPr>
            <w:tcW w:w="785" w:type="pct"/>
            <w:vAlign w:val="center"/>
          </w:tcPr>
          <w:p w14:paraId="61E4C51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颗粒物</w:t>
            </w:r>
          </w:p>
        </w:tc>
        <w:tc>
          <w:tcPr>
            <w:tcW w:w="1020" w:type="pct"/>
            <w:vAlign w:val="center"/>
          </w:tcPr>
          <w:p w14:paraId="000F65EC">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b w:val="0"/>
                <w:bCs w:val="0"/>
                <w:color w:val="auto"/>
                <w:kern w:val="2"/>
                <w:sz w:val="21"/>
                <w:szCs w:val="21"/>
                <w:highlight w:val="none"/>
                <w:lang w:val="en-US" w:eastAsia="zh-CN" w:bidi="ar-SA"/>
              </w:rPr>
              <w:t>设置水帘柜喷淋装置收集处理后，于车间内无组织排放</w:t>
            </w:r>
          </w:p>
        </w:tc>
        <w:tc>
          <w:tcPr>
            <w:tcW w:w="1518" w:type="pct"/>
            <w:vMerge w:val="continue"/>
            <w:vAlign w:val="center"/>
          </w:tcPr>
          <w:p w14:paraId="7715FF1E">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r>
      <w:tr w14:paraId="52B75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8" w:type="pct"/>
            <w:vMerge w:val="continue"/>
            <w:textDirection w:val="tbLrV"/>
            <w:vAlign w:val="center"/>
          </w:tcPr>
          <w:p w14:paraId="000256E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6BB1053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Align w:val="center"/>
          </w:tcPr>
          <w:p w14:paraId="0E8D48D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投料粉尘</w:t>
            </w:r>
          </w:p>
        </w:tc>
        <w:tc>
          <w:tcPr>
            <w:tcW w:w="785" w:type="pct"/>
            <w:vAlign w:val="center"/>
          </w:tcPr>
          <w:p w14:paraId="5FC80320">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颗粒物</w:t>
            </w:r>
          </w:p>
        </w:tc>
        <w:tc>
          <w:tcPr>
            <w:tcW w:w="1020" w:type="pct"/>
            <w:vAlign w:val="center"/>
          </w:tcPr>
          <w:p w14:paraId="5BDC7E27">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加强车间通风</w:t>
            </w:r>
          </w:p>
        </w:tc>
        <w:tc>
          <w:tcPr>
            <w:tcW w:w="1518" w:type="pct"/>
            <w:vMerge w:val="continue"/>
            <w:vAlign w:val="center"/>
          </w:tcPr>
          <w:p w14:paraId="745A9C5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r>
      <w:tr w14:paraId="03A04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418" w:type="pct"/>
            <w:vMerge w:val="continue"/>
            <w:textDirection w:val="tbLrV"/>
            <w:vAlign w:val="center"/>
          </w:tcPr>
          <w:p w14:paraId="39FE83D1">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727" w:type="pct"/>
            <w:vMerge w:val="continue"/>
            <w:vAlign w:val="center"/>
          </w:tcPr>
          <w:p w14:paraId="4671472D">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p>
        </w:tc>
        <w:tc>
          <w:tcPr>
            <w:tcW w:w="528" w:type="pct"/>
            <w:vAlign w:val="center"/>
          </w:tcPr>
          <w:p w14:paraId="2691C0E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污水处理站恶臭</w:t>
            </w:r>
          </w:p>
        </w:tc>
        <w:tc>
          <w:tcPr>
            <w:tcW w:w="785" w:type="pct"/>
            <w:vAlign w:val="center"/>
          </w:tcPr>
          <w:p w14:paraId="2094BD3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臭气浓度</w:t>
            </w:r>
          </w:p>
        </w:tc>
        <w:tc>
          <w:tcPr>
            <w:tcW w:w="1020" w:type="pct"/>
            <w:vAlign w:val="center"/>
          </w:tcPr>
          <w:p w14:paraId="3197B44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加强车间通风</w:t>
            </w:r>
          </w:p>
        </w:tc>
        <w:tc>
          <w:tcPr>
            <w:tcW w:w="1518" w:type="pct"/>
            <w:vAlign w:val="center"/>
          </w:tcPr>
          <w:p w14:paraId="209A8A1C">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《恶臭污染物排放标准》(GB14554-93)表1二级标准中“新改扩建”限值要求</w:t>
            </w:r>
          </w:p>
        </w:tc>
      </w:tr>
      <w:tr w14:paraId="5E85F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418" w:type="pct"/>
            <w:vAlign w:val="center"/>
          </w:tcPr>
          <w:p w14:paraId="3870F5C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地表水环境</w:t>
            </w:r>
          </w:p>
        </w:tc>
        <w:tc>
          <w:tcPr>
            <w:tcW w:w="1255" w:type="pct"/>
            <w:gridSpan w:val="2"/>
            <w:vAlign w:val="center"/>
          </w:tcPr>
          <w:p w14:paraId="06BDC5A9">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生活污水</w:t>
            </w:r>
          </w:p>
          <w:p w14:paraId="10D50A78">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r>
              <w:rPr>
                <w:rFonts w:hint="default" w:ascii="Times New Roman" w:hAnsi="Times New Roman" w:cs="Times New Roman"/>
                <w:color w:val="auto"/>
                <w:kern w:val="2"/>
                <w:highlight w:val="none"/>
                <w:lang w:val="en-US" w:eastAsia="zh-CN"/>
              </w:rPr>
              <w:t>DW00</w:t>
            </w:r>
            <w:r>
              <w:rPr>
                <w:rFonts w:hint="default" w:ascii="Times New Roman" w:hAnsi="Times New Roman" w:cs="Times New Roman"/>
                <w:color w:val="auto"/>
                <w:kern w:val="2"/>
                <w:highlight w:val="none"/>
              </w:rPr>
              <w:t>1）</w:t>
            </w:r>
          </w:p>
        </w:tc>
        <w:tc>
          <w:tcPr>
            <w:tcW w:w="785" w:type="pct"/>
            <w:vAlign w:val="center"/>
          </w:tcPr>
          <w:p w14:paraId="07864A60">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pH</w:t>
            </w:r>
            <w:r>
              <w:rPr>
                <w:rFonts w:hint="default" w:ascii="Times New Roman" w:hAnsi="Times New Roman" w:cs="Times New Roman"/>
                <w:color w:val="auto"/>
                <w:kern w:val="2"/>
                <w:highlight w:val="none"/>
                <w:lang w:val="en-US" w:eastAsia="zh-CN"/>
              </w:rPr>
              <w:t>值</w:t>
            </w:r>
            <w:r>
              <w:rPr>
                <w:rFonts w:hint="default" w:ascii="Times New Roman" w:hAnsi="Times New Roman" w:cs="Times New Roman"/>
                <w:color w:val="auto"/>
                <w:kern w:val="2"/>
                <w:highlight w:val="none"/>
              </w:rPr>
              <w:t>、COD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rPr>
              <w:t>、BOD</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、SS、氨氮</w:t>
            </w:r>
          </w:p>
        </w:tc>
        <w:tc>
          <w:tcPr>
            <w:tcW w:w="1020" w:type="pct"/>
            <w:vAlign w:val="center"/>
          </w:tcPr>
          <w:p w14:paraId="4AEC162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生活污水经三级化粪池处理后，经园区污水管网排入园区污水处理厂进一步处理后，排入武江</w:t>
            </w:r>
          </w:p>
        </w:tc>
        <w:tc>
          <w:tcPr>
            <w:tcW w:w="1518" w:type="pct"/>
            <w:vAlign w:val="center"/>
          </w:tcPr>
          <w:p w14:paraId="4DABEB22">
            <w:pPr>
              <w:pStyle w:val="15"/>
              <w:keepNext w:val="0"/>
              <w:keepLines w:val="0"/>
              <w:pageBreakBefore w:val="0"/>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highlight w:val="none"/>
                <w:lang w:val="en-US"/>
              </w:rPr>
            </w:pPr>
            <w:r>
              <w:rPr>
                <w:rFonts w:hint="default" w:ascii="Times New Roman" w:hAnsi="Times New Roman" w:cs="Times New Roman"/>
                <w:color w:val="auto"/>
                <w:sz w:val="21"/>
                <w:szCs w:val="21"/>
                <w:highlight w:val="none"/>
                <w:lang w:eastAsia="zh-CN"/>
              </w:rPr>
              <w:t>园区污水处理厂接管水质</w:t>
            </w:r>
            <w:r>
              <w:rPr>
                <w:rFonts w:hint="default" w:ascii="Times New Roman" w:hAnsi="Times New Roman" w:cs="Times New Roman"/>
                <w:color w:val="auto"/>
                <w:sz w:val="21"/>
                <w:szCs w:val="21"/>
                <w:highlight w:val="none"/>
                <w:lang w:val="en-US" w:eastAsia="zh-CN"/>
              </w:rPr>
              <w:t>要求及广东省《水污染物排放限值》（DB44/26-2001）第二时段三级标准两者较严值</w:t>
            </w:r>
          </w:p>
        </w:tc>
      </w:tr>
      <w:tr w14:paraId="4DB78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418" w:type="pct"/>
            <w:vAlign w:val="center"/>
          </w:tcPr>
          <w:p w14:paraId="2DA4661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声环境</w:t>
            </w:r>
          </w:p>
        </w:tc>
        <w:tc>
          <w:tcPr>
            <w:tcW w:w="1255" w:type="pct"/>
            <w:gridSpan w:val="2"/>
            <w:vAlign w:val="center"/>
          </w:tcPr>
          <w:p w14:paraId="6522E9E1">
            <w:pPr>
              <w:keepNext w:val="0"/>
              <w:keepLines w:val="0"/>
              <w:pageBreakBefore w:val="0"/>
              <w:suppressLineNumbers w:val="0"/>
              <w:kinsoku/>
              <w:wordWrap w:val="0"/>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机械设备</w:t>
            </w:r>
          </w:p>
        </w:tc>
        <w:tc>
          <w:tcPr>
            <w:tcW w:w="785" w:type="pct"/>
            <w:vAlign w:val="center"/>
          </w:tcPr>
          <w:p w14:paraId="20357B7F">
            <w:pPr>
              <w:keepNext w:val="0"/>
              <w:keepLines w:val="0"/>
              <w:pageBreakBefore w:val="0"/>
              <w:suppressLineNumbers w:val="0"/>
              <w:kinsoku/>
              <w:wordWrap w:val="0"/>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噪声</w:t>
            </w:r>
          </w:p>
        </w:tc>
        <w:tc>
          <w:tcPr>
            <w:tcW w:w="1020" w:type="pct"/>
            <w:vAlign w:val="center"/>
          </w:tcPr>
          <w:p w14:paraId="449670B2">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采取防振、隔声、降噪等措施</w:t>
            </w:r>
          </w:p>
        </w:tc>
        <w:tc>
          <w:tcPr>
            <w:tcW w:w="1518" w:type="pct"/>
            <w:vAlign w:val="center"/>
          </w:tcPr>
          <w:p w14:paraId="509AD24E">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《工业企业厂界环境噪声排放标准》（GB12348-2008）3类标准</w:t>
            </w:r>
          </w:p>
        </w:tc>
      </w:tr>
      <w:tr w14:paraId="6C0CC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vAlign w:val="center"/>
          </w:tcPr>
          <w:p w14:paraId="14EE9FB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电磁辐射</w:t>
            </w:r>
          </w:p>
        </w:tc>
        <w:tc>
          <w:tcPr>
            <w:tcW w:w="1255" w:type="pct"/>
            <w:gridSpan w:val="2"/>
            <w:vAlign w:val="center"/>
          </w:tcPr>
          <w:p w14:paraId="3699264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785" w:type="pct"/>
            <w:vAlign w:val="center"/>
          </w:tcPr>
          <w:p w14:paraId="5BAE4EAD">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1020" w:type="pct"/>
            <w:vAlign w:val="center"/>
          </w:tcPr>
          <w:p w14:paraId="4AC92353">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1518" w:type="pct"/>
            <w:vAlign w:val="center"/>
          </w:tcPr>
          <w:p w14:paraId="5AEA68AD">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r>
      <w:tr w14:paraId="2833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1F616369">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固体废物</w:t>
            </w:r>
          </w:p>
        </w:tc>
        <w:tc>
          <w:tcPr>
            <w:tcW w:w="4581" w:type="pct"/>
            <w:gridSpan w:val="5"/>
            <w:vAlign w:val="center"/>
          </w:tcPr>
          <w:p w14:paraId="309BE7F9">
            <w:pPr>
              <w:keepNext w:val="0"/>
              <w:keepLines w:val="0"/>
              <w:pageBreakBefore w:val="0"/>
              <w:suppressLineNumbers w:val="0"/>
              <w:kinsoku/>
              <w:wordWrap w:val="0"/>
              <w:overflowPunct/>
              <w:topLinePunct w:val="0"/>
              <w:bidi w:val="0"/>
              <w:adjustRightInd w:val="0"/>
              <w:snapToGrid/>
              <w:spacing w:before="0" w:beforeAutospacing="0" w:after="0" w:afterAutospacing="0" w:line="276" w:lineRule="auto"/>
              <w:ind w:left="0" w:righ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一般工业固体废物：在厂区内采用库房贮存，贮存过程满足相应防渗漏、防雨淋、防扬尘等环境保护要求；</w:t>
            </w:r>
          </w:p>
          <w:p w14:paraId="03819F5B">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firstLine="420" w:firstLineChars="20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危险废物：执行《危险废物贮存污染控制标准》（GB18597-2023）</w:t>
            </w:r>
            <w:r>
              <w:rPr>
                <w:rFonts w:hint="default" w:ascii="Times New Roman" w:hAnsi="Times New Roman" w:cs="Times New Roman"/>
                <w:color w:val="auto"/>
                <w:spacing w:val="-6"/>
                <w:kern w:val="2"/>
                <w:highlight w:val="none"/>
                <w:lang w:eastAsia="zh-CN"/>
              </w:rPr>
              <w:t>和《危险废物收集贮存运输技术规范》（HJ 2025-2012）</w:t>
            </w:r>
            <w:r>
              <w:rPr>
                <w:rFonts w:hint="default" w:ascii="Times New Roman" w:hAnsi="Times New Roman" w:cs="Times New Roman"/>
                <w:color w:val="auto"/>
                <w:kern w:val="2"/>
                <w:highlight w:val="none"/>
              </w:rPr>
              <w:t>。</w:t>
            </w:r>
          </w:p>
        </w:tc>
      </w:tr>
      <w:tr w14:paraId="4CD3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418" w:type="pct"/>
            <w:vAlign w:val="center"/>
          </w:tcPr>
          <w:p w14:paraId="146798CA">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土壤及地下水污染防治措施</w:t>
            </w:r>
          </w:p>
        </w:tc>
        <w:tc>
          <w:tcPr>
            <w:tcW w:w="4581" w:type="pct"/>
            <w:gridSpan w:val="5"/>
            <w:vAlign w:val="center"/>
          </w:tcPr>
          <w:p w14:paraId="098A8748">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firstLine="420" w:firstLineChars="20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厂区地面已全部硬化，危废间在建筑物内部，达到防风防雨防晒要求，地面硬化良好并刷环氧树脂漆防渗，四周设置围堰，满足四防要求。</w:t>
            </w:r>
            <w:r>
              <w:rPr>
                <w:rFonts w:hint="default" w:ascii="Times New Roman" w:hAnsi="Times New Roman" w:cs="Times New Roman"/>
                <w:color w:val="auto"/>
                <w:kern w:val="2"/>
                <w:highlight w:val="none"/>
                <w:lang w:val="en-US" w:eastAsia="zh-CN"/>
              </w:rPr>
              <w:t>危险废物暂存间</w:t>
            </w:r>
            <w:r>
              <w:rPr>
                <w:rFonts w:hint="default" w:ascii="Times New Roman" w:hAnsi="Times New Roman" w:cs="Times New Roman"/>
                <w:color w:val="auto"/>
                <w:kern w:val="2"/>
                <w:highlight w:val="none"/>
              </w:rPr>
              <w:t>防渗要求按照按照等效黏土防渗层Mb≥6.0m，K≤1×10-7cm/s或参照GB18598执行。</w:t>
            </w:r>
          </w:p>
        </w:tc>
      </w:tr>
      <w:tr w14:paraId="7FA69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7D627B15">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生态保护措施</w:t>
            </w:r>
          </w:p>
        </w:tc>
        <w:tc>
          <w:tcPr>
            <w:tcW w:w="4581" w:type="pct"/>
            <w:gridSpan w:val="5"/>
            <w:vAlign w:val="center"/>
          </w:tcPr>
          <w:p w14:paraId="1D26229F">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firstLine="420" w:firstLineChars="20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厂房已建设安装完成，选址四周主要为厂房，不存在建设期间的生态影响。项目营运中产生的污染物通过采取以上环境保护治理措施并且加强日常的管理和监督，同时搞好厂区绿化后，均可达标排放。因此，项目营运期间不会对周边的生态环境造成明显的不利影响。</w:t>
            </w:r>
          </w:p>
        </w:tc>
      </w:tr>
      <w:tr w14:paraId="79A8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18" w:type="pct"/>
            <w:vAlign w:val="center"/>
          </w:tcPr>
          <w:p w14:paraId="5E0846D9">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环境风险防范措施</w:t>
            </w:r>
          </w:p>
        </w:tc>
        <w:tc>
          <w:tcPr>
            <w:tcW w:w="4581" w:type="pct"/>
            <w:gridSpan w:val="5"/>
            <w:vAlign w:val="center"/>
          </w:tcPr>
          <w:p w14:paraId="54062AC4">
            <w:pPr>
              <w:pStyle w:val="59"/>
              <w:keepNext w:val="0"/>
              <w:keepLines w:val="0"/>
              <w:pageBreakBefore w:val="0"/>
              <w:widowControl/>
              <w:suppressLineNumbers w:val="0"/>
              <w:kinsoku/>
              <w:wordWrap w:val="0"/>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1、严格执行应急管理、消防等相关规范，从总图布置和建筑安全方面进行风险防范，预留疏散通道或安置场所；</w:t>
            </w:r>
          </w:p>
          <w:p w14:paraId="5DC6EFB6">
            <w:pPr>
              <w:pStyle w:val="59"/>
              <w:keepNext w:val="0"/>
              <w:keepLines w:val="0"/>
              <w:pageBreakBefore w:val="0"/>
              <w:widowControl/>
              <w:suppressLineNumbers w:val="0"/>
              <w:kinsoku/>
              <w:wordWrap w:val="0"/>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2、从优化改进生产工艺、减少储存量、改善储存条件等方面降低风险程度；</w:t>
            </w:r>
          </w:p>
          <w:p w14:paraId="6728028F">
            <w:pPr>
              <w:pStyle w:val="59"/>
              <w:keepNext w:val="0"/>
              <w:keepLines w:val="0"/>
              <w:pageBreakBefore w:val="0"/>
              <w:widowControl/>
              <w:suppressLineNumbers w:val="0"/>
              <w:kinsoku/>
              <w:wordWrap w:val="0"/>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3、加强日常管理，降低管理失误而出现的风险事故，提高员工规范性操作水平，减少误操作引发的风险事故；</w:t>
            </w:r>
          </w:p>
          <w:p w14:paraId="6F64D4AF">
            <w:pPr>
              <w:pStyle w:val="59"/>
              <w:keepNext w:val="0"/>
              <w:keepLines w:val="0"/>
              <w:pageBreakBefore w:val="0"/>
              <w:widowControl/>
              <w:suppressLineNumbers w:val="0"/>
              <w:kinsoku/>
              <w:wordWrap w:val="0"/>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4、按《危险废物贮存污染控制标准》（GB18597-2023）的相关要求做好危废暂存间的防渗措施，加强管理，避免装卸或存储过程中危险物质发生泄漏。</w:t>
            </w:r>
          </w:p>
        </w:tc>
      </w:tr>
      <w:tr w14:paraId="5BCD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418" w:type="pct"/>
            <w:vAlign w:val="center"/>
          </w:tcPr>
          <w:p w14:paraId="08511D74">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其他环境管理要求</w:t>
            </w:r>
          </w:p>
        </w:tc>
        <w:tc>
          <w:tcPr>
            <w:tcW w:w="4581" w:type="pct"/>
            <w:gridSpan w:val="5"/>
            <w:vAlign w:val="center"/>
          </w:tcPr>
          <w:p w14:paraId="45B5FDCD">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无</w:t>
            </w:r>
          </w:p>
          <w:p w14:paraId="14784ECB">
            <w:pPr>
              <w:pStyle w:val="59"/>
              <w:keepNext w:val="0"/>
              <w:keepLines w:val="0"/>
              <w:pageBreakBefore w:val="0"/>
              <w:widowControl/>
              <w:suppressLineNumbers w:val="0"/>
              <w:kinsoku/>
              <w:wordWrap w:val="0"/>
              <w:overflowPunct/>
              <w:topLinePunct w:val="0"/>
              <w:bidi w:val="0"/>
              <w:snapToGrid/>
              <w:spacing w:before="0" w:beforeAutospacing="0" w:after="0" w:afterAutospacing="0" w:line="276" w:lineRule="auto"/>
              <w:ind w:left="0" w:right="0"/>
              <w:jc w:val="both"/>
              <w:rPr>
                <w:rFonts w:hint="default" w:ascii="Times New Roman" w:hAnsi="Times New Roman" w:eastAsia="宋体" w:cs="Times New Roman"/>
                <w:color w:val="auto"/>
                <w:kern w:val="2"/>
                <w:highlight w:val="none"/>
                <w:lang w:val="en-US" w:eastAsia="zh-CN"/>
              </w:rPr>
            </w:pPr>
          </w:p>
        </w:tc>
      </w:tr>
    </w:tbl>
    <w:p w14:paraId="46E16C5F">
      <w:pPr>
        <w:pStyle w:val="2"/>
        <w:pageBreakBefore w:val="0"/>
        <w:numPr>
          <w:ilvl w:val="0"/>
          <w:numId w:val="0"/>
        </w:numPr>
        <w:wordWrap w:val="0"/>
        <w:bidi w:val="0"/>
        <w:rPr>
          <w:rFonts w:hint="default" w:ascii="Times New Roman" w:hAnsi="Times New Roman" w:cs="Times New Roman"/>
          <w:color w:val="auto"/>
          <w:highlight w:val="none"/>
        </w:rPr>
      </w:pPr>
      <w:bookmarkStart w:id="136" w:name="_Toc17135"/>
      <w:bookmarkStart w:id="137" w:name="_Toc15960"/>
      <w:bookmarkStart w:id="138" w:name="_Toc7784"/>
      <w:r>
        <w:rPr>
          <w:rFonts w:hint="default" w:ascii="Times New Roman" w:hAnsi="Times New Roman" w:cs="Times New Roman"/>
          <w:color w:val="auto"/>
          <w:highlight w:val="none"/>
        </w:rPr>
        <w:t>六、 结论</w:t>
      </w:r>
      <w:bookmarkEnd w:id="136"/>
      <w:bookmarkEnd w:id="137"/>
      <w:bookmarkEnd w:id="138"/>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236C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vAlign w:val="center"/>
          </w:tcPr>
          <w:p w14:paraId="0E54BB29">
            <w:pPr>
              <w:keepNext w:val="0"/>
              <w:keepLines w:val="0"/>
              <w:pageBreakBefore w:val="0"/>
              <w:suppressLineNumbers w:val="0"/>
              <w:wordWrap w:val="0"/>
              <w:bidi w:val="0"/>
              <w:adjustRightInd w:val="0"/>
              <w:spacing w:before="0" w:beforeAutospacing="0" w:after="0" w:afterAutospacing="0"/>
              <w:ind w:left="0" w:right="0" w:firstLine="480" w:firstLineChars="200"/>
              <w:jc w:val="both"/>
              <w:rPr>
                <w:rFonts w:hint="default" w:ascii="Times New Roman" w:hAnsi="Times New Roman" w:cs="Times New Roman"/>
                <w:bCs/>
                <w:color w:val="auto"/>
                <w:kern w:val="0"/>
                <w:highlight w:val="none"/>
              </w:rPr>
            </w:pPr>
            <w:r>
              <w:rPr>
                <w:rFonts w:hint="default" w:ascii="Times New Roman" w:hAnsi="Times New Roman" w:cs="Times New Roman"/>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auto"/>
                <w:kern w:val="0"/>
                <w:highlight w:val="none"/>
              </w:rPr>
              <w:t>从环境保护角度分析，项目的建设是可行的</w:t>
            </w:r>
            <w:r>
              <w:rPr>
                <w:rFonts w:hint="default" w:ascii="Times New Roman" w:hAnsi="Times New Roman" w:cs="Times New Roman"/>
                <w:bCs/>
                <w:color w:val="auto"/>
                <w:kern w:val="0"/>
                <w:highlight w:val="none"/>
              </w:rPr>
              <w:t>。</w:t>
            </w:r>
          </w:p>
          <w:p w14:paraId="59C66B53">
            <w:pPr>
              <w:keepNext w:val="0"/>
              <w:keepLines w:val="0"/>
              <w:pageBreakBefore w:val="0"/>
              <w:suppressLineNumbers w:val="0"/>
              <w:wordWrap w:val="0"/>
              <w:bidi w:val="0"/>
              <w:spacing w:before="0" w:beforeAutospacing="0" w:after="0" w:afterAutospacing="0"/>
              <w:ind w:left="0" w:right="0" w:firstLine="480"/>
              <w:jc w:val="both"/>
              <w:rPr>
                <w:rFonts w:hint="default" w:ascii="Times New Roman" w:hAnsi="Times New Roman" w:cs="Times New Roman"/>
                <w:color w:val="auto"/>
                <w:highlight w:val="none"/>
              </w:rPr>
            </w:pPr>
            <w:r>
              <w:rPr>
                <w:rFonts w:hint="default" w:ascii="Times New Roman" w:hAnsi="Times New Roman" w:cs="Times New Roman"/>
                <w:bCs/>
                <w:color w:val="auto"/>
                <w:highlight w:val="none"/>
              </w:rPr>
              <w:t>本环境影响报告表通过审批后</w:t>
            </w:r>
            <w:r>
              <w:rPr>
                <w:rFonts w:hint="default" w:ascii="Times New Roman" w:hAnsi="Times New Roman" w:cs="Times New Roman"/>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110C696A">
            <w:pPr>
              <w:keepNext w:val="0"/>
              <w:keepLines w:val="0"/>
              <w:pageBreakBefore w:val="0"/>
              <w:suppressLineNumbers w:val="0"/>
              <w:wordWrap w:val="0"/>
              <w:bidi w:val="0"/>
              <w:spacing w:before="0" w:beforeAutospacing="0" w:after="0" w:afterAutospacing="0"/>
              <w:ind w:left="0" w:right="0"/>
              <w:jc w:val="both"/>
              <w:rPr>
                <w:rFonts w:hint="default" w:ascii="Times New Roman" w:hAnsi="Times New Roman" w:cs="Times New Roman"/>
                <w:color w:val="auto"/>
                <w:highlight w:val="none"/>
              </w:rPr>
            </w:pPr>
          </w:p>
          <w:p w14:paraId="372FEF93">
            <w:pPr>
              <w:keepNext w:val="0"/>
              <w:keepLines w:val="0"/>
              <w:pageBreakBefore w:val="0"/>
              <w:suppressLineNumbers w:val="0"/>
              <w:wordWrap w:val="0"/>
              <w:bidi w:val="0"/>
              <w:spacing w:before="0" w:beforeAutospacing="0" w:after="0" w:afterAutospacing="0"/>
              <w:ind w:left="0" w:right="0"/>
              <w:jc w:val="both"/>
              <w:rPr>
                <w:rFonts w:hint="default" w:ascii="Times New Roman" w:hAnsi="Times New Roman" w:cs="Times New Roman"/>
                <w:color w:val="auto"/>
                <w:highlight w:val="none"/>
              </w:rPr>
            </w:pPr>
          </w:p>
          <w:p w14:paraId="492128B3">
            <w:pPr>
              <w:keepNext w:val="0"/>
              <w:keepLines w:val="0"/>
              <w:pageBreakBefore w:val="0"/>
              <w:suppressLineNumbers w:val="0"/>
              <w:wordWrap w:val="0"/>
              <w:bidi w:val="0"/>
              <w:spacing w:before="0" w:beforeAutospacing="0" w:after="0" w:afterAutospacing="0"/>
              <w:ind w:left="0" w:right="0"/>
              <w:jc w:val="both"/>
              <w:rPr>
                <w:rFonts w:hint="default" w:ascii="Times New Roman" w:hAnsi="Times New Roman" w:cs="Times New Roman"/>
                <w:color w:val="auto"/>
                <w:highlight w:val="none"/>
              </w:rPr>
            </w:pPr>
          </w:p>
          <w:p w14:paraId="6CFC993E">
            <w:pPr>
              <w:keepNext w:val="0"/>
              <w:keepLines w:val="0"/>
              <w:pageBreakBefore w:val="0"/>
              <w:suppressLineNumbers w:val="0"/>
              <w:wordWrap w:val="0"/>
              <w:bidi w:val="0"/>
              <w:spacing w:before="0" w:beforeAutospacing="0" w:after="0" w:afterAutospacing="0"/>
              <w:ind w:left="0" w:right="0"/>
              <w:jc w:val="both"/>
              <w:rPr>
                <w:rFonts w:hint="default" w:ascii="Times New Roman" w:hAnsi="Times New Roman" w:cs="Times New Roman"/>
                <w:color w:val="auto"/>
                <w:highlight w:val="none"/>
              </w:rPr>
            </w:pPr>
          </w:p>
          <w:p w14:paraId="1750B322">
            <w:pPr>
              <w:keepNext w:val="0"/>
              <w:keepLines w:val="0"/>
              <w:pageBreakBefore w:val="0"/>
              <w:suppressLineNumbers w:val="0"/>
              <w:wordWrap w:val="0"/>
              <w:bidi w:val="0"/>
              <w:spacing w:before="0" w:beforeAutospacing="0" w:after="0" w:afterAutospacing="0"/>
              <w:ind w:left="0" w:right="0"/>
              <w:jc w:val="both"/>
              <w:rPr>
                <w:rFonts w:hint="default" w:ascii="Times New Roman" w:hAnsi="Times New Roman" w:cs="Times New Roman"/>
                <w:color w:val="auto"/>
                <w:highlight w:val="none"/>
              </w:rPr>
            </w:pPr>
          </w:p>
          <w:p w14:paraId="0C14F15B">
            <w:pPr>
              <w:keepNext w:val="0"/>
              <w:keepLines w:val="0"/>
              <w:pageBreakBefore w:val="0"/>
              <w:suppressLineNumbers w:val="0"/>
              <w:wordWrap w:val="0"/>
              <w:bidi w:val="0"/>
              <w:spacing w:before="0" w:beforeAutospacing="0" w:after="0" w:afterAutospacing="0"/>
              <w:ind w:left="0" w:right="0"/>
              <w:jc w:val="both"/>
              <w:rPr>
                <w:rFonts w:hint="default" w:ascii="Times New Roman" w:hAnsi="Times New Roman" w:cs="Times New Roman"/>
                <w:color w:val="auto"/>
                <w:highlight w:val="none"/>
              </w:rPr>
            </w:pPr>
          </w:p>
        </w:tc>
      </w:tr>
    </w:tbl>
    <w:p w14:paraId="258A8CE9">
      <w:pPr>
        <w:pageBreakBefore w:val="0"/>
        <w:wordWrap w:val="0"/>
        <w:bidi w:val="0"/>
        <w:rPr>
          <w:rFonts w:hint="default" w:ascii="Times New Roman" w:hAnsi="Times New Roman" w:eastAsia="黑体" w:cs="Times New Roman"/>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4684B672">
      <w:pPr>
        <w:pStyle w:val="32"/>
        <w:pageBreakBefore w:val="0"/>
        <w:wordWrap w:val="0"/>
        <w:bidi w:val="0"/>
        <w:adjustRightInd w:val="0"/>
        <w:snapToGrid w:val="0"/>
        <w:spacing w:before="0" w:beforeAutospacing="0" w:after="0" w:afterAutospacing="0" w:line="240" w:lineRule="auto"/>
        <w:outlineLvl w:val="0"/>
        <w:rPr>
          <w:rFonts w:hint="default" w:ascii="Times New Roman" w:hAnsi="Times New Roman" w:eastAsia="黑体" w:cs="Times New Roman"/>
          <w:snapToGrid w:val="0"/>
          <w:color w:val="auto"/>
          <w:sz w:val="32"/>
          <w:szCs w:val="32"/>
          <w:highlight w:val="none"/>
        </w:rPr>
      </w:pPr>
      <w:bookmarkStart w:id="139" w:name="_Toc10053"/>
      <w:bookmarkStart w:id="140" w:name="_Toc759"/>
      <w:bookmarkStart w:id="141" w:name="_Toc28588"/>
      <w:bookmarkStart w:id="142" w:name="_Toc4000"/>
      <w:bookmarkStart w:id="143" w:name="_Toc13894"/>
      <w:r>
        <w:rPr>
          <w:rFonts w:hint="default" w:ascii="Times New Roman" w:hAnsi="Times New Roman" w:eastAsia="黑体" w:cs="Times New Roman"/>
          <w:snapToGrid w:val="0"/>
          <w:color w:val="auto"/>
          <w:sz w:val="32"/>
          <w:szCs w:val="32"/>
          <w:highlight w:val="none"/>
        </w:rPr>
        <w:t>附表</w:t>
      </w:r>
      <w:bookmarkEnd w:id="139"/>
      <w:bookmarkEnd w:id="140"/>
      <w:bookmarkEnd w:id="141"/>
      <w:bookmarkEnd w:id="142"/>
      <w:bookmarkEnd w:id="143"/>
    </w:p>
    <w:p w14:paraId="3C8B6D3F">
      <w:pPr>
        <w:pStyle w:val="32"/>
        <w:pageBreakBefore w:val="0"/>
        <w:wordWrap w:val="0"/>
        <w:bidi w:val="0"/>
        <w:adjustRightInd w:val="0"/>
        <w:snapToGrid w:val="0"/>
        <w:spacing w:before="0" w:beforeAutospacing="0" w:after="0" w:afterAutospacing="0" w:line="240" w:lineRule="auto"/>
        <w:jc w:val="center"/>
        <w:rPr>
          <w:rFonts w:hint="default" w:ascii="Times New Roman" w:hAnsi="Times New Roman" w:eastAsia="方正小标宋_GBK" w:cs="Times New Roman"/>
          <w:snapToGrid w:val="0"/>
          <w:color w:val="auto"/>
          <w:sz w:val="38"/>
          <w:szCs w:val="38"/>
          <w:highlight w:val="none"/>
        </w:rPr>
      </w:pPr>
      <w:bookmarkStart w:id="144" w:name="_Toc6789"/>
      <w:r>
        <w:rPr>
          <w:rFonts w:hint="default" w:ascii="Times New Roman" w:hAnsi="Times New Roman" w:eastAsia="方正小标宋_GBK" w:cs="Times New Roman"/>
          <w:snapToGrid w:val="0"/>
          <w:color w:val="auto"/>
          <w:sz w:val="38"/>
          <w:szCs w:val="38"/>
          <w:highlight w:val="none"/>
        </w:rPr>
        <w:t>建设项目污染物排放量汇总表</w:t>
      </w:r>
      <w:bookmarkEnd w:id="144"/>
    </w:p>
    <w:tbl>
      <w:tblPr>
        <w:tblStyle w:val="36"/>
        <w:tblW w:w="1395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29"/>
        <w:gridCol w:w="1210"/>
        <w:gridCol w:w="1922"/>
        <w:gridCol w:w="1356"/>
        <w:gridCol w:w="1644"/>
        <w:gridCol w:w="1488"/>
        <w:gridCol w:w="1620"/>
        <w:gridCol w:w="1932"/>
        <w:gridCol w:w="1456"/>
      </w:tblGrid>
      <w:tr w14:paraId="6219D6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29" w:type="dxa"/>
            <w:tcBorders>
              <w:tl2br w:val="single" w:color="auto" w:sz="4" w:space="0"/>
            </w:tcBorders>
            <w:noWrap w:val="0"/>
            <w:tcMar>
              <w:left w:w="28" w:type="dxa"/>
              <w:right w:w="28" w:type="dxa"/>
            </w:tcMar>
            <w:vAlign w:val="center"/>
          </w:tcPr>
          <w:p w14:paraId="67606BF8">
            <w:pPr>
              <w:pStyle w:val="65"/>
              <w:keepNext w:val="0"/>
              <w:keepLines w:val="0"/>
              <w:pageBreakBefore w:val="0"/>
              <w:suppressLineNumbers w:val="0"/>
              <w:wordWrap w:val="0"/>
              <w:bidi w:val="0"/>
              <w:spacing w:beforeLines="0" w:beforeAutospacing="0" w:afterLines="0" w:afterAutospacing="0" w:line="240" w:lineRule="auto"/>
              <w:ind w:left="0" w:right="0" w:firstLine="456"/>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项目</w:t>
            </w:r>
          </w:p>
          <w:p w14:paraId="7D792B52">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both"/>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分类</w:t>
            </w:r>
          </w:p>
        </w:tc>
        <w:tc>
          <w:tcPr>
            <w:tcW w:w="1210" w:type="dxa"/>
            <w:noWrap w:val="0"/>
            <w:tcMar>
              <w:left w:w="28" w:type="dxa"/>
              <w:right w:w="28" w:type="dxa"/>
            </w:tcMar>
            <w:vAlign w:val="center"/>
          </w:tcPr>
          <w:p w14:paraId="7A3CCCCB">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污染物名称</w:t>
            </w:r>
          </w:p>
        </w:tc>
        <w:tc>
          <w:tcPr>
            <w:tcW w:w="1922" w:type="dxa"/>
            <w:noWrap w:val="0"/>
            <w:tcMar>
              <w:left w:w="28" w:type="dxa"/>
              <w:right w:w="28" w:type="dxa"/>
            </w:tcMar>
            <w:vAlign w:val="center"/>
          </w:tcPr>
          <w:p w14:paraId="4282AEE4">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现有工程排放量（固体废物产生量）</w:t>
            </w:r>
            <w:r>
              <w:rPr>
                <w:rFonts w:hint="default" w:ascii="Times New Roman" w:hAnsi="Times New Roman" w:eastAsia="宋体" w:cs="Times New Roman"/>
                <w:b/>
                <w:bCs/>
                <w:snapToGrid w:val="0"/>
                <w:color w:val="auto"/>
                <w:spacing w:val="-6"/>
                <w:kern w:val="21"/>
                <w:sz w:val="21"/>
                <w:szCs w:val="21"/>
                <w:highlight w:val="none"/>
              </w:rPr>
              <w:fldChar w:fldCharType="begin"/>
            </w:r>
            <w:r>
              <w:rPr>
                <w:rFonts w:hint="default" w:ascii="Times New Roman" w:hAnsi="Times New Roman" w:eastAsia="宋体" w:cs="Times New Roman"/>
                <w:b/>
                <w:bCs/>
                <w:snapToGrid w:val="0"/>
                <w:color w:val="auto"/>
                <w:spacing w:val="-6"/>
                <w:kern w:val="21"/>
                <w:sz w:val="21"/>
                <w:szCs w:val="21"/>
                <w:highlight w:val="none"/>
              </w:rPr>
              <w:instrText xml:space="preserve"> = 1 \* GB3 \* MERGEFORMAT </w:instrText>
            </w:r>
            <w:r>
              <w:rPr>
                <w:rFonts w:hint="default" w:ascii="Times New Roman" w:hAnsi="Times New Roman" w:eastAsia="宋体" w:cs="Times New Roman"/>
                <w:b/>
                <w:bCs/>
                <w:snapToGrid w:val="0"/>
                <w:color w:val="auto"/>
                <w:spacing w:val="-6"/>
                <w:kern w:val="21"/>
                <w:sz w:val="21"/>
                <w:szCs w:val="21"/>
                <w:highlight w:val="none"/>
              </w:rPr>
              <w:fldChar w:fldCharType="separate"/>
            </w:r>
            <w:r>
              <w:rPr>
                <w:rFonts w:hint="default" w:ascii="Times New Roman" w:hAnsi="Times New Roman" w:eastAsia="宋体" w:cs="Times New Roman"/>
                <w:b/>
                <w:bCs/>
                <w:color w:val="auto"/>
                <w:kern w:val="2"/>
                <w:sz w:val="21"/>
                <w:szCs w:val="21"/>
                <w:highlight w:val="none"/>
              </w:rPr>
              <w:t>①</w:t>
            </w:r>
            <w:r>
              <w:rPr>
                <w:rFonts w:hint="default" w:ascii="Times New Roman" w:hAnsi="Times New Roman" w:eastAsia="宋体" w:cs="Times New Roman"/>
                <w:b/>
                <w:bCs/>
                <w:snapToGrid w:val="0"/>
                <w:color w:val="auto"/>
                <w:spacing w:val="-6"/>
                <w:kern w:val="21"/>
                <w:sz w:val="21"/>
                <w:szCs w:val="21"/>
                <w:highlight w:val="none"/>
              </w:rPr>
              <w:fldChar w:fldCharType="end"/>
            </w:r>
          </w:p>
        </w:tc>
        <w:tc>
          <w:tcPr>
            <w:tcW w:w="1356" w:type="dxa"/>
            <w:noWrap w:val="0"/>
            <w:tcMar>
              <w:left w:w="28" w:type="dxa"/>
              <w:right w:w="28" w:type="dxa"/>
            </w:tcMar>
            <w:vAlign w:val="center"/>
          </w:tcPr>
          <w:p w14:paraId="7E333B31">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现有工程许可排放量</w:t>
            </w:r>
            <w:r>
              <w:rPr>
                <w:rFonts w:hint="default" w:ascii="Times New Roman" w:hAnsi="Times New Roman" w:eastAsia="宋体" w:cs="Times New Roman"/>
                <w:b/>
                <w:bCs/>
                <w:snapToGrid w:val="0"/>
                <w:color w:val="auto"/>
                <w:spacing w:val="-6"/>
                <w:kern w:val="21"/>
                <w:sz w:val="21"/>
                <w:szCs w:val="21"/>
                <w:highlight w:val="none"/>
              </w:rPr>
              <w:fldChar w:fldCharType="begin"/>
            </w:r>
            <w:r>
              <w:rPr>
                <w:rFonts w:hint="default" w:ascii="Times New Roman" w:hAnsi="Times New Roman" w:eastAsia="宋体" w:cs="Times New Roman"/>
                <w:b/>
                <w:bCs/>
                <w:snapToGrid w:val="0"/>
                <w:color w:val="auto"/>
                <w:spacing w:val="-6"/>
                <w:kern w:val="21"/>
                <w:sz w:val="21"/>
                <w:szCs w:val="21"/>
                <w:highlight w:val="none"/>
              </w:rPr>
              <w:instrText xml:space="preserve"> = 2 \* GB3 \* MERGEFORMAT </w:instrText>
            </w:r>
            <w:r>
              <w:rPr>
                <w:rFonts w:hint="default" w:ascii="Times New Roman" w:hAnsi="Times New Roman" w:eastAsia="宋体" w:cs="Times New Roman"/>
                <w:b/>
                <w:bCs/>
                <w:snapToGrid w:val="0"/>
                <w:color w:val="auto"/>
                <w:spacing w:val="-6"/>
                <w:kern w:val="21"/>
                <w:sz w:val="21"/>
                <w:szCs w:val="21"/>
                <w:highlight w:val="none"/>
              </w:rPr>
              <w:fldChar w:fldCharType="separate"/>
            </w:r>
            <w:r>
              <w:rPr>
                <w:rFonts w:hint="default" w:ascii="Times New Roman" w:hAnsi="Times New Roman" w:eastAsia="宋体" w:cs="Times New Roman"/>
                <w:b/>
                <w:bCs/>
                <w:snapToGrid w:val="0"/>
                <w:color w:val="auto"/>
                <w:spacing w:val="-6"/>
                <w:kern w:val="21"/>
                <w:sz w:val="21"/>
                <w:szCs w:val="21"/>
                <w:highlight w:val="none"/>
              </w:rPr>
              <w:t>②</w:t>
            </w:r>
            <w:r>
              <w:rPr>
                <w:rFonts w:hint="default" w:ascii="Times New Roman" w:hAnsi="Times New Roman" w:eastAsia="宋体" w:cs="Times New Roman"/>
                <w:b/>
                <w:bCs/>
                <w:snapToGrid w:val="0"/>
                <w:color w:val="auto"/>
                <w:spacing w:val="-6"/>
                <w:kern w:val="21"/>
                <w:sz w:val="21"/>
                <w:szCs w:val="21"/>
                <w:highlight w:val="none"/>
              </w:rPr>
              <w:fldChar w:fldCharType="end"/>
            </w:r>
          </w:p>
        </w:tc>
        <w:tc>
          <w:tcPr>
            <w:tcW w:w="1644" w:type="dxa"/>
            <w:noWrap w:val="0"/>
            <w:tcMar>
              <w:left w:w="28" w:type="dxa"/>
              <w:right w:w="28" w:type="dxa"/>
            </w:tcMar>
            <w:vAlign w:val="center"/>
          </w:tcPr>
          <w:p w14:paraId="130968C2">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在建工程排放量（固体废物产生量）</w:t>
            </w:r>
            <w:r>
              <w:rPr>
                <w:rFonts w:hint="default" w:ascii="Times New Roman" w:hAnsi="Times New Roman" w:eastAsia="宋体" w:cs="Times New Roman"/>
                <w:b/>
                <w:bCs/>
                <w:snapToGrid w:val="0"/>
                <w:color w:val="auto"/>
                <w:spacing w:val="-6"/>
                <w:kern w:val="21"/>
                <w:sz w:val="21"/>
                <w:szCs w:val="21"/>
                <w:highlight w:val="none"/>
              </w:rPr>
              <w:fldChar w:fldCharType="begin"/>
            </w:r>
            <w:r>
              <w:rPr>
                <w:rFonts w:hint="default" w:ascii="Times New Roman" w:hAnsi="Times New Roman" w:eastAsia="宋体" w:cs="Times New Roman"/>
                <w:b/>
                <w:bCs/>
                <w:snapToGrid w:val="0"/>
                <w:color w:val="auto"/>
                <w:spacing w:val="-6"/>
                <w:kern w:val="21"/>
                <w:sz w:val="21"/>
                <w:szCs w:val="21"/>
                <w:highlight w:val="none"/>
              </w:rPr>
              <w:instrText xml:space="preserve"> = 3 \* GB3 \* MERGEFORMAT </w:instrText>
            </w:r>
            <w:r>
              <w:rPr>
                <w:rFonts w:hint="default" w:ascii="Times New Roman" w:hAnsi="Times New Roman" w:eastAsia="宋体" w:cs="Times New Roman"/>
                <w:b/>
                <w:bCs/>
                <w:snapToGrid w:val="0"/>
                <w:color w:val="auto"/>
                <w:spacing w:val="-6"/>
                <w:kern w:val="21"/>
                <w:sz w:val="21"/>
                <w:szCs w:val="21"/>
                <w:highlight w:val="none"/>
              </w:rPr>
              <w:fldChar w:fldCharType="separate"/>
            </w:r>
            <w:r>
              <w:rPr>
                <w:rFonts w:hint="default" w:ascii="Times New Roman" w:hAnsi="Times New Roman" w:eastAsia="宋体" w:cs="Times New Roman"/>
                <w:b/>
                <w:bCs/>
                <w:color w:val="auto"/>
                <w:kern w:val="2"/>
                <w:sz w:val="21"/>
                <w:szCs w:val="21"/>
                <w:highlight w:val="none"/>
              </w:rPr>
              <w:t>③</w:t>
            </w:r>
            <w:r>
              <w:rPr>
                <w:rFonts w:hint="default" w:ascii="Times New Roman" w:hAnsi="Times New Roman" w:eastAsia="宋体" w:cs="Times New Roman"/>
                <w:b/>
                <w:bCs/>
                <w:snapToGrid w:val="0"/>
                <w:color w:val="auto"/>
                <w:spacing w:val="-6"/>
                <w:kern w:val="21"/>
                <w:sz w:val="21"/>
                <w:szCs w:val="21"/>
                <w:highlight w:val="none"/>
              </w:rPr>
              <w:fldChar w:fldCharType="end"/>
            </w:r>
          </w:p>
        </w:tc>
        <w:tc>
          <w:tcPr>
            <w:tcW w:w="1488" w:type="dxa"/>
            <w:noWrap w:val="0"/>
            <w:tcMar>
              <w:left w:w="28" w:type="dxa"/>
              <w:right w:w="28" w:type="dxa"/>
            </w:tcMar>
            <w:vAlign w:val="center"/>
          </w:tcPr>
          <w:p w14:paraId="4FEC13AD">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lang w:eastAsia="zh-CN"/>
              </w:rPr>
              <w:t>本项目</w:t>
            </w:r>
            <w:r>
              <w:rPr>
                <w:rFonts w:hint="default" w:ascii="Times New Roman" w:hAnsi="Times New Roman" w:eastAsia="宋体" w:cs="Times New Roman"/>
                <w:b/>
                <w:bCs/>
                <w:snapToGrid w:val="0"/>
                <w:color w:val="auto"/>
                <w:spacing w:val="-6"/>
                <w:kern w:val="21"/>
                <w:sz w:val="21"/>
                <w:szCs w:val="21"/>
                <w:highlight w:val="none"/>
              </w:rPr>
              <w:t>排放量（固体废物产生量）</w:t>
            </w:r>
            <w:r>
              <w:rPr>
                <w:rFonts w:hint="default" w:ascii="Times New Roman" w:hAnsi="Times New Roman" w:eastAsia="宋体" w:cs="Times New Roman"/>
                <w:b/>
                <w:bCs/>
                <w:snapToGrid w:val="0"/>
                <w:color w:val="auto"/>
                <w:spacing w:val="-6"/>
                <w:kern w:val="21"/>
                <w:sz w:val="21"/>
                <w:szCs w:val="21"/>
                <w:highlight w:val="none"/>
              </w:rPr>
              <w:fldChar w:fldCharType="begin"/>
            </w:r>
            <w:r>
              <w:rPr>
                <w:rFonts w:hint="default" w:ascii="Times New Roman" w:hAnsi="Times New Roman" w:eastAsia="宋体" w:cs="Times New Roman"/>
                <w:b/>
                <w:bCs/>
                <w:snapToGrid w:val="0"/>
                <w:color w:val="auto"/>
                <w:spacing w:val="-6"/>
                <w:kern w:val="21"/>
                <w:sz w:val="21"/>
                <w:szCs w:val="21"/>
                <w:highlight w:val="none"/>
              </w:rPr>
              <w:instrText xml:space="preserve"> = 4 \* GB3 \* MERGEFORMAT </w:instrText>
            </w:r>
            <w:r>
              <w:rPr>
                <w:rFonts w:hint="default" w:ascii="Times New Roman" w:hAnsi="Times New Roman" w:eastAsia="宋体" w:cs="Times New Roman"/>
                <w:b/>
                <w:bCs/>
                <w:snapToGrid w:val="0"/>
                <w:color w:val="auto"/>
                <w:spacing w:val="-6"/>
                <w:kern w:val="21"/>
                <w:sz w:val="21"/>
                <w:szCs w:val="21"/>
                <w:highlight w:val="none"/>
              </w:rPr>
              <w:fldChar w:fldCharType="separate"/>
            </w:r>
            <w:r>
              <w:rPr>
                <w:rFonts w:hint="default" w:ascii="Times New Roman" w:hAnsi="Times New Roman" w:eastAsia="宋体" w:cs="Times New Roman"/>
                <w:b/>
                <w:bCs/>
                <w:color w:val="auto"/>
                <w:kern w:val="2"/>
                <w:sz w:val="21"/>
                <w:szCs w:val="21"/>
                <w:highlight w:val="none"/>
              </w:rPr>
              <w:t>④</w:t>
            </w:r>
            <w:r>
              <w:rPr>
                <w:rFonts w:hint="default" w:ascii="Times New Roman" w:hAnsi="Times New Roman" w:eastAsia="宋体" w:cs="Times New Roman"/>
                <w:b/>
                <w:bCs/>
                <w:snapToGrid w:val="0"/>
                <w:color w:val="auto"/>
                <w:spacing w:val="-6"/>
                <w:kern w:val="21"/>
                <w:sz w:val="21"/>
                <w:szCs w:val="21"/>
                <w:highlight w:val="none"/>
              </w:rPr>
              <w:fldChar w:fldCharType="end"/>
            </w:r>
          </w:p>
        </w:tc>
        <w:tc>
          <w:tcPr>
            <w:tcW w:w="1620" w:type="dxa"/>
            <w:noWrap w:val="0"/>
            <w:tcMar>
              <w:left w:w="28" w:type="dxa"/>
              <w:right w:w="28" w:type="dxa"/>
            </w:tcMar>
            <w:vAlign w:val="center"/>
          </w:tcPr>
          <w:p w14:paraId="3F68462A">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16"/>
                <w:kern w:val="21"/>
                <w:sz w:val="21"/>
                <w:szCs w:val="21"/>
                <w:highlight w:val="none"/>
              </w:rPr>
            </w:pPr>
            <w:r>
              <w:rPr>
                <w:rFonts w:hint="default" w:ascii="Times New Roman" w:hAnsi="Times New Roman" w:eastAsia="宋体" w:cs="Times New Roman"/>
                <w:b/>
                <w:bCs/>
                <w:snapToGrid w:val="0"/>
                <w:color w:val="auto"/>
                <w:spacing w:val="-16"/>
                <w:kern w:val="21"/>
                <w:sz w:val="21"/>
                <w:szCs w:val="21"/>
                <w:highlight w:val="none"/>
              </w:rPr>
              <w:t>以新带老削减量（新建项目不填）</w:t>
            </w:r>
            <w:r>
              <w:rPr>
                <w:rFonts w:hint="default" w:ascii="Times New Roman" w:hAnsi="Times New Roman" w:eastAsia="宋体" w:cs="Times New Roman"/>
                <w:b/>
                <w:bCs/>
                <w:snapToGrid w:val="0"/>
                <w:color w:val="auto"/>
                <w:spacing w:val="-16"/>
                <w:kern w:val="21"/>
                <w:sz w:val="21"/>
                <w:szCs w:val="21"/>
                <w:highlight w:val="none"/>
              </w:rPr>
              <w:fldChar w:fldCharType="begin"/>
            </w:r>
            <w:r>
              <w:rPr>
                <w:rFonts w:hint="default" w:ascii="Times New Roman" w:hAnsi="Times New Roman" w:eastAsia="宋体" w:cs="Times New Roman"/>
                <w:b/>
                <w:bCs/>
                <w:snapToGrid w:val="0"/>
                <w:color w:val="auto"/>
                <w:spacing w:val="-16"/>
                <w:kern w:val="21"/>
                <w:sz w:val="21"/>
                <w:szCs w:val="21"/>
                <w:highlight w:val="none"/>
              </w:rPr>
              <w:instrText xml:space="preserve"> = 5 \* GB3 \* MERGEFORMAT </w:instrText>
            </w:r>
            <w:r>
              <w:rPr>
                <w:rFonts w:hint="default" w:ascii="Times New Roman" w:hAnsi="Times New Roman" w:eastAsia="宋体" w:cs="Times New Roman"/>
                <w:b/>
                <w:bCs/>
                <w:snapToGrid w:val="0"/>
                <w:color w:val="auto"/>
                <w:spacing w:val="-16"/>
                <w:kern w:val="21"/>
                <w:sz w:val="21"/>
                <w:szCs w:val="21"/>
                <w:highlight w:val="none"/>
              </w:rPr>
              <w:fldChar w:fldCharType="separate"/>
            </w:r>
            <w:r>
              <w:rPr>
                <w:rFonts w:hint="default" w:ascii="Times New Roman" w:hAnsi="Times New Roman" w:eastAsia="宋体" w:cs="Times New Roman"/>
                <w:b/>
                <w:bCs/>
                <w:color w:val="auto"/>
                <w:kern w:val="2"/>
                <w:sz w:val="21"/>
                <w:szCs w:val="21"/>
                <w:highlight w:val="none"/>
              </w:rPr>
              <w:t>⑤</w:t>
            </w:r>
            <w:r>
              <w:rPr>
                <w:rFonts w:hint="default" w:ascii="Times New Roman" w:hAnsi="Times New Roman" w:eastAsia="宋体" w:cs="Times New Roman"/>
                <w:b/>
                <w:bCs/>
                <w:snapToGrid w:val="0"/>
                <w:color w:val="auto"/>
                <w:spacing w:val="-16"/>
                <w:kern w:val="21"/>
                <w:sz w:val="21"/>
                <w:szCs w:val="21"/>
                <w:highlight w:val="none"/>
              </w:rPr>
              <w:fldChar w:fldCharType="end"/>
            </w:r>
          </w:p>
        </w:tc>
        <w:tc>
          <w:tcPr>
            <w:tcW w:w="1932" w:type="dxa"/>
            <w:noWrap w:val="0"/>
            <w:tcMar>
              <w:left w:w="28" w:type="dxa"/>
              <w:right w:w="28" w:type="dxa"/>
            </w:tcMar>
            <w:vAlign w:val="center"/>
          </w:tcPr>
          <w:p w14:paraId="27CE5966">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16"/>
                <w:kern w:val="21"/>
                <w:sz w:val="21"/>
                <w:szCs w:val="21"/>
                <w:highlight w:val="none"/>
              </w:rPr>
            </w:pPr>
            <w:r>
              <w:rPr>
                <w:rFonts w:hint="default" w:ascii="Times New Roman" w:hAnsi="Times New Roman" w:eastAsia="宋体" w:cs="Times New Roman"/>
                <w:b/>
                <w:bCs/>
                <w:snapToGrid w:val="0"/>
                <w:color w:val="auto"/>
                <w:spacing w:val="-16"/>
                <w:kern w:val="21"/>
                <w:sz w:val="21"/>
                <w:szCs w:val="21"/>
                <w:highlight w:val="none"/>
                <w:lang w:eastAsia="zh-CN"/>
              </w:rPr>
              <w:t>本项目</w:t>
            </w:r>
            <w:r>
              <w:rPr>
                <w:rFonts w:hint="default" w:ascii="Times New Roman" w:hAnsi="Times New Roman" w:eastAsia="宋体" w:cs="Times New Roman"/>
                <w:b/>
                <w:bCs/>
                <w:snapToGrid w:val="0"/>
                <w:color w:val="auto"/>
                <w:spacing w:val="-16"/>
                <w:kern w:val="21"/>
                <w:sz w:val="21"/>
                <w:szCs w:val="21"/>
                <w:highlight w:val="none"/>
              </w:rPr>
              <w:t>建成后全厂排放量（固体废物产生量）</w:t>
            </w:r>
            <w:r>
              <w:rPr>
                <w:rFonts w:hint="default" w:ascii="Times New Roman" w:hAnsi="Times New Roman" w:eastAsia="宋体" w:cs="Times New Roman"/>
                <w:b/>
                <w:bCs/>
                <w:snapToGrid w:val="0"/>
                <w:color w:val="auto"/>
                <w:spacing w:val="-16"/>
                <w:kern w:val="21"/>
                <w:sz w:val="21"/>
                <w:szCs w:val="21"/>
                <w:highlight w:val="none"/>
              </w:rPr>
              <w:fldChar w:fldCharType="begin"/>
            </w:r>
            <w:r>
              <w:rPr>
                <w:rFonts w:hint="default" w:ascii="Times New Roman" w:hAnsi="Times New Roman" w:eastAsia="宋体" w:cs="Times New Roman"/>
                <w:b/>
                <w:bCs/>
                <w:snapToGrid w:val="0"/>
                <w:color w:val="auto"/>
                <w:spacing w:val="-16"/>
                <w:kern w:val="21"/>
                <w:sz w:val="21"/>
                <w:szCs w:val="21"/>
                <w:highlight w:val="none"/>
              </w:rPr>
              <w:instrText xml:space="preserve"> = 6 \* GB3 \* MERGEFORMAT </w:instrText>
            </w:r>
            <w:r>
              <w:rPr>
                <w:rFonts w:hint="default" w:ascii="Times New Roman" w:hAnsi="Times New Roman" w:eastAsia="宋体" w:cs="Times New Roman"/>
                <w:b/>
                <w:bCs/>
                <w:snapToGrid w:val="0"/>
                <w:color w:val="auto"/>
                <w:spacing w:val="-16"/>
                <w:kern w:val="21"/>
                <w:sz w:val="21"/>
                <w:szCs w:val="21"/>
                <w:highlight w:val="none"/>
              </w:rPr>
              <w:fldChar w:fldCharType="separate"/>
            </w:r>
            <w:r>
              <w:rPr>
                <w:rFonts w:hint="default" w:ascii="Times New Roman" w:hAnsi="Times New Roman" w:eastAsia="宋体" w:cs="Times New Roman"/>
                <w:b/>
                <w:bCs/>
                <w:color w:val="auto"/>
                <w:kern w:val="2"/>
                <w:sz w:val="21"/>
                <w:szCs w:val="21"/>
                <w:highlight w:val="none"/>
              </w:rPr>
              <w:t>⑥</w:t>
            </w:r>
            <w:r>
              <w:rPr>
                <w:rFonts w:hint="default" w:ascii="Times New Roman" w:hAnsi="Times New Roman" w:eastAsia="宋体" w:cs="Times New Roman"/>
                <w:b/>
                <w:bCs/>
                <w:snapToGrid w:val="0"/>
                <w:color w:val="auto"/>
                <w:spacing w:val="-16"/>
                <w:kern w:val="21"/>
                <w:sz w:val="21"/>
                <w:szCs w:val="21"/>
                <w:highlight w:val="none"/>
              </w:rPr>
              <w:fldChar w:fldCharType="end"/>
            </w:r>
          </w:p>
        </w:tc>
        <w:tc>
          <w:tcPr>
            <w:tcW w:w="1456" w:type="dxa"/>
            <w:noWrap w:val="0"/>
            <w:tcMar>
              <w:left w:w="28" w:type="dxa"/>
              <w:right w:w="28" w:type="dxa"/>
            </w:tcMar>
            <w:vAlign w:val="center"/>
          </w:tcPr>
          <w:p w14:paraId="36FA2DD8">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b/>
                <w:bCs/>
                <w:snapToGrid w:val="0"/>
                <w:color w:val="auto"/>
                <w:spacing w:val="-6"/>
                <w:kern w:val="21"/>
                <w:sz w:val="21"/>
                <w:szCs w:val="21"/>
                <w:highlight w:val="none"/>
              </w:rPr>
            </w:pPr>
            <w:r>
              <w:rPr>
                <w:rFonts w:hint="default" w:ascii="Times New Roman" w:hAnsi="Times New Roman" w:eastAsia="宋体" w:cs="Times New Roman"/>
                <w:b/>
                <w:bCs/>
                <w:snapToGrid w:val="0"/>
                <w:color w:val="auto"/>
                <w:spacing w:val="-6"/>
                <w:kern w:val="21"/>
                <w:sz w:val="21"/>
                <w:szCs w:val="21"/>
                <w:highlight w:val="none"/>
              </w:rPr>
              <w:t>变化量</w:t>
            </w:r>
            <w:r>
              <w:rPr>
                <w:rFonts w:hint="default" w:ascii="Times New Roman" w:hAnsi="Times New Roman" w:eastAsia="宋体" w:cs="Times New Roman"/>
                <w:b/>
                <w:bCs/>
                <w:snapToGrid w:val="0"/>
                <w:color w:val="auto"/>
                <w:spacing w:val="-6"/>
                <w:kern w:val="21"/>
                <w:sz w:val="21"/>
                <w:szCs w:val="21"/>
                <w:highlight w:val="none"/>
              </w:rPr>
              <w:fldChar w:fldCharType="begin"/>
            </w:r>
            <w:r>
              <w:rPr>
                <w:rFonts w:hint="default" w:ascii="Times New Roman" w:hAnsi="Times New Roman" w:eastAsia="宋体" w:cs="Times New Roman"/>
                <w:b/>
                <w:bCs/>
                <w:snapToGrid w:val="0"/>
                <w:color w:val="auto"/>
                <w:spacing w:val="-6"/>
                <w:kern w:val="21"/>
                <w:sz w:val="21"/>
                <w:szCs w:val="21"/>
                <w:highlight w:val="none"/>
              </w:rPr>
              <w:instrText xml:space="preserve"> = 7 \* GB3 \* MERGEFORMAT </w:instrText>
            </w:r>
            <w:r>
              <w:rPr>
                <w:rFonts w:hint="default" w:ascii="Times New Roman" w:hAnsi="Times New Roman" w:eastAsia="宋体" w:cs="Times New Roman"/>
                <w:b/>
                <w:bCs/>
                <w:snapToGrid w:val="0"/>
                <w:color w:val="auto"/>
                <w:spacing w:val="-6"/>
                <w:kern w:val="21"/>
                <w:sz w:val="21"/>
                <w:szCs w:val="21"/>
                <w:highlight w:val="none"/>
              </w:rPr>
              <w:fldChar w:fldCharType="separate"/>
            </w:r>
            <w:r>
              <w:rPr>
                <w:rFonts w:hint="default" w:ascii="Times New Roman" w:hAnsi="Times New Roman" w:eastAsia="宋体" w:cs="Times New Roman"/>
                <w:b/>
                <w:bCs/>
                <w:color w:val="auto"/>
                <w:kern w:val="2"/>
                <w:sz w:val="21"/>
                <w:szCs w:val="21"/>
                <w:highlight w:val="none"/>
              </w:rPr>
              <w:t>⑦</w:t>
            </w:r>
            <w:r>
              <w:rPr>
                <w:rFonts w:hint="default" w:ascii="Times New Roman" w:hAnsi="Times New Roman" w:eastAsia="宋体" w:cs="Times New Roman"/>
                <w:b/>
                <w:bCs/>
                <w:snapToGrid w:val="0"/>
                <w:color w:val="auto"/>
                <w:spacing w:val="-6"/>
                <w:kern w:val="21"/>
                <w:sz w:val="21"/>
                <w:szCs w:val="21"/>
                <w:highlight w:val="none"/>
              </w:rPr>
              <w:fldChar w:fldCharType="end"/>
            </w:r>
          </w:p>
        </w:tc>
      </w:tr>
      <w:tr w14:paraId="7BA7F5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restart"/>
            <w:noWrap w:val="0"/>
            <w:vAlign w:val="center"/>
          </w:tcPr>
          <w:p w14:paraId="727A8C3C">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废气</w:t>
            </w:r>
          </w:p>
        </w:tc>
        <w:tc>
          <w:tcPr>
            <w:tcW w:w="1210" w:type="dxa"/>
            <w:noWrap w:val="0"/>
            <w:vAlign w:val="center"/>
          </w:tcPr>
          <w:p w14:paraId="3A9C9C94">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废气量</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万m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/a</w:t>
            </w:r>
            <w:r>
              <w:rPr>
                <w:rFonts w:hint="default" w:ascii="Times New Roman" w:hAnsi="Times New Roman" w:eastAsia="宋体" w:cs="Times New Roman"/>
                <w:color w:val="auto"/>
                <w:kern w:val="0"/>
                <w:sz w:val="21"/>
                <w:szCs w:val="21"/>
                <w:highlight w:val="none"/>
                <w:lang w:eastAsia="zh-CN" w:bidi="ar"/>
              </w:rPr>
              <w:t>）</w:t>
            </w:r>
          </w:p>
        </w:tc>
        <w:tc>
          <w:tcPr>
            <w:tcW w:w="1922" w:type="dxa"/>
            <w:noWrap w:val="0"/>
            <w:vAlign w:val="center"/>
          </w:tcPr>
          <w:p w14:paraId="6BF98D63">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0337323F">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32163C21">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4BB5FC24">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3360</w:t>
            </w:r>
          </w:p>
        </w:tc>
        <w:tc>
          <w:tcPr>
            <w:tcW w:w="1620" w:type="dxa"/>
            <w:noWrap w:val="0"/>
            <w:vAlign w:val="center"/>
          </w:tcPr>
          <w:p w14:paraId="761F288A">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5C5CC36B">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3360</w:t>
            </w:r>
          </w:p>
        </w:tc>
        <w:tc>
          <w:tcPr>
            <w:tcW w:w="1456" w:type="dxa"/>
            <w:noWrap w:val="0"/>
            <w:vAlign w:val="center"/>
          </w:tcPr>
          <w:p w14:paraId="13F1D000">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r>
              <w:rPr>
                <w:rFonts w:hint="default" w:ascii="Times New Roman" w:hAnsi="Times New Roman" w:cs="Times New Roman"/>
                <w:snapToGrid w:val="0"/>
                <w:color w:val="auto"/>
                <w:kern w:val="21"/>
                <w:sz w:val="21"/>
                <w:szCs w:val="21"/>
                <w:highlight w:val="none"/>
                <w:lang w:val="en-US" w:eastAsia="zh-CN"/>
              </w:rPr>
              <w:t>3360</w:t>
            </w:r>
          </w:p>
        </w:tc>
      </w:tr>
      <w:tr w14:paraId="129FB3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6DF66EF4">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6D563DA7">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非甲烷总烃</w:t>
            </w:r>
          </w:p>
        </w:tc>
        <w:tc>
          <w:tcPr>
            <w:tcW w:w="1922" w:type="dxa"/>
            <w:noWrap w:val="0"/>
            <w:vAlign w:val="center"/>
          </w:tcPr>
          <w:p w14:paraId="3DC5A864">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4D3E2E0D">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30562DE2">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3CB2CD33">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0.036</w:t>
            </w:r>
          </w:p>
        </w:tc>
        <w:tc>
          <w:tcPr>
            <w:tcW w:w="1620" w:type="dxa"/>
            <w:noWrap w:val="0"/>
            <w:vAlign w:val="center"/>
          </w:tcPr>
          <w:p w14:paraId="657C7423">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10F23D68">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0.036</w:t>
            </w:r>
          </w:p>
        </w:tc>
        <w:tc>
          <w:tcPr>
            <w:tcW w:w="1456" w:type="dxa"/>
            <w:noWrap w:val="0"/>
            <w:vAlign w:val="center"/>
          </w:tcPr>
          <w:p w14:paraId="3C78B8AB">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napToGrid w:val="0"/>
                <w:color w:val="auto"/>
                <w:kern w:val="21"/>
                <w:sz w:val="21"/>
                <w:szCs w:val="21"/>
                <w:highlight w:val="none"/>
                <w:lang w:val="en-US" w:eastAsia="zh-CN"/>
              </w:rPr>
              <w:t>+</w:t>
            </w:r>
            <w:r>
              <w:rPr>
                <w:rFonts w:hint="default" w:ascii="Times New Roman" w:hAnsi="Times New Roman" w:cs="Times New Roman"/>
                <w:i w:val="0"/>
                <w:iCs w:val="0"/>
                <w:color w:val="auto"/>
                <w:kern w:val="0"/>
                <w:sz w:val="21"/>
                <w:szCs w:val="21"/>
                <w:highlight w:val="none"/>
                <w:u w:val="none"/>
                <w:lang w:val="en-US" w:eastAsia="zh-CN" w:bidi="ar"/>
              </w:rPr>
              <w:t>0.036</w:t>
            </w:r>
          </w:p>
        </w:tc>
      </w:tr>
      <w:tr w14:paraId="3DF812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5148F1FB">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034BAE3B">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苯系物</w:t>
            </w:r>
          </w:p>
        </w:tc>
        <w:tc>
          <w:tcPr>
            <w:tcW w:w="1922" w:type="dxa"/>
            <w:noWrap w:val="0"/>
            <w:vAlign w:val="center"/>
          </w:tcPr>
          <w:p w14:paraId="61FFD2C7">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0F3E1DCC">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7A638EC3">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3543B2A6">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i w:val="0"/>
                <w:iCs w:val="0"/>
                <w:color w:val="auto"/>
                <w:sz w:val="21"/>
                <w:szCs w:val="21"/>
                <w:highlight w:val="none"/>
                <w:u w:val="none"/>
                <w:lang w:val="en-US" w:eastAsia="zh-CN"/>
              </w:rPr>
              <w:t>0.0002</w:t>
            </w:r>
          </w:p>
        </w:tc>
        <w:tc>
          <w:tcPr>
            <w:tcW w:w="1620" w:type="dxa"/>
            <w:noWrap w:val="0"/>
            <w:vAlign w:val="center"/>
          </w:tcPr>
          <w:p w14:paraId="1675846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324322B8">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i w:val="0"/>
                <w:iCs w:val="0"/>
                <w:color w:val="auto"/>
                <w:sz w:val="21"/>
                <w:szCs w:val="21"/>
                <w:highlight w:val="none"/>
                <w:u w:val="none"/>
                <w:lang w:val="en-US" w:eastAsia="zh-CN"/>
              </w:rPr>
              <w:t>0.0002</w:t>
            </w:r>
          </w:p>
        </w:tc>
        <w:tc>
          <w:tcPr>
            <w:tcW w:w="1456" w:type="dxa"/>
            <w:noWrap w:val="0"/>
            <w:vAlign w:val="center"/>
          </w:tcPr>
          <w:p w14:paraId="6969F9BD">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r>
              <w:rPr>
                <w:rFonts w:hint="default" w:ascii="Times New Roman" w:hAnsi="Times New Roman" w:cs="Times New Roman"/>
                <w:i w:val="0"/>
                <w:iCs w:val="0"/>
                <w:color w:val="auto"/>
                <w:sz w:val="21"/>
                <w:szCs w:val="21"/>
                <w:highlight w:val="none"/>
                <w:u w:val="none"/>
                <w:lang w:val="en-US" w:eastAsia="zh-CN"/>
              </w:rPr>
              <w:t>0.0002</w:t>
            </w:r>
          </w:p>
        </w:tc>
      </w:tr>
      <w:tr w14:paraId="12B157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79D48075">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14CC76C9">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颗粒物</w:t>
            </w:r>
          </w:p>
        </w:tc>
        <w:tc>
          <w:tcPr>
            <w:tcW w:w="1922" w:type="dxa"/>
            <w:noWrap w:val="0"/>
            <w:vAlign w:val="center"/>
          </w:tcPr>
          <w:p w14:paraId="47F1EA4D">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46F73ACF">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269FFB3D">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2EAC362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0.2471</w:t>
            </w:r>
          </w:p>
        </w:tc>
        <w:tc>
          <w:tcPr>
            <w:tcW w:w="1620" w:type="dxa"/>
            <w:noWrap w:val="0"/>
            <w:vAlign w:val="center"/>
          </w:tcPr>
          <w:p w14:paraId="26423E80">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32" w:type="dxa"/>
            <w:noWrap w:val="0"/>
            <w:vAlign w:val="center"/>
          </w:tcPr>
          <w:p w14:paraId="2F27D8B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0.2471</w:t>
            </w:r>
          </w:p>
        </w:tc>
        <w:tc>
          <w:tcPr>
            <w:tcW w:w="1456" w:type="dxa"/>
            <w:noWrap w:val="0"/>
            <w:vAlign w:val="center"/>
          </w:tcPr>
          <w:p w14:paraId="303FBEC5">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0.2471</w:t>
            </w:r>
          </w:p>
        </w:tc>
      </w:tr>
      <w:tr w14:paraId="565992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6F38682C">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2727705B">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二氧化硫</w:t>
            </w:r>
          </w:p>
        </w:tc>
        <w:tc>
          <w:tcPr>
            <w:tcW w:w="1922" w:type="dxa"/>
            <w:noWrap w:val="0"/>
            <w:vAlign w:val="center"/>
          </w:tcPr>
          <w:p w14:paraId="027BF85C">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65D0C166">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555CE20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76834FC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1620" w:type="dxa"/>
            <w:noWrap w:val="0"/>
            <w:vAlign w:val="center"/>
          </w:tcPr>
          <w:p w14:paraId="4D266B6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3E487D97">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0.073</w:t>
            </w:r>
          </w:p>
        </w:tc>
        <w:tc>
          <w:tcPr>
            <w:tcW w:w="1456" w:type="dxa"/>
            <w:noWrap w:val="0"/>
            <w:vAlign w:val="center"/>
          </w:tcPr>
          <w:p w14:paraId="234879BC">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0.073</w:t>
            </w:r>
          </w:p>
        </w:tc>
      </w:tr>
      <w:tr w14:paraId="0CD171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7D213E4D">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5DA5A3C2">
            <w:pPr>
              <w:keepNext w:val="0"/>
              <w:keepLines w:val="0"/>
              <w:pageBreakBefore w:val="0"/>
              <w:widowControl/>
              <w:suppressLineNumbers w:val="0"/>
              <w:wordWrap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氮氧化物</w:t>
            </w:r>
          </w:p>
        </w:tc>
        <w:tc>
          <w:tcPr>
            <w:tcW w:w="1922" w:type="dxa"/>
            <w:shd w:val="clear" w:color="auto" w:fill="auto"/>
            <w:noWrap w:val="0"/>
            <w:vAlign w:val="center"/>
          </w:tcPr>
          <w:p w14:paraId="41702499">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356" w:type="dxa"/>
            <w:shd w:val="clear" w:color="auto" w:fill="auto"/>
            <w:noWrap w:val="0"/>
            <w:vAlign w:val="center"/>
          </w:tcPr>
          <w:p w14:paraId="24596E0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644" w:type="dxa"/>
            <w:shd w:val="clear" w:color="auto" w:fill="auto"/>
            <w:noWrap w:val="0"/>
            <w:vAlign w:val="center"/>
          </w:tcPr>
          <w:p w14:paraId="5FF8E17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488" w:type="dxa"/>
            <w:shd w:val="clear" w:color="auto" w:fill="auto"/>
            <w:noWrap w:val="0"/>
            <w:vAlign w:val="center"/>
          </w:tcPr>
          <w:p w14:paraId="0C545D2D">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1620" w:type="dxa"/>
            <w:shd w:val="clear" w:color="auto" w:fill="auto"/>
            <w:noWrap w:val="0"/>
            <w:vAlign w:val="center"/>
          </w:tcPr>
          <w:p w14:paraId="0FFD3C9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932" w:type="dxa"/>
            <w:shd w:val="clear" w:color="auto" w:fill="auto"/>
            <w:noWrap w:val="0"/>
            <w:vAlign w:val="center"/>
          </w:tcPr>
          <w:p w14:paraId="647E5688">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0.684</w:t>
            </w:r>
          </w:p>
        </w:tc>
        <w:tc>
          <w:tcPr>
            <w:tcW w:w="1456" w:type="dxa"/>
            <w:shd w:val="clear" w:color="auto" w:fill="auto"/>
            <w:noWrap w:val="0"/>
            <w:vAlign w:val="center"/>
          </w:tcPr>
          <w:p w14:paraId="02A7F921">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0.684</w:t>
            </w:r>
          </w:p>
        </w:tc>
      </w:tr>
      <w:tr w14:paraId="6F0507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2FCB055B">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7AB5DB86">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臭气浓度</w:t>
            </w:r>
          </w:p>
        </w:tc>
        <w:tc>
          <w:tcPr>
            <w:tcW w:w="1922" w:type="dxa"/>
            <w:noWrap w:val="0"/>
            <w:vAlign w:val="center"/>
          </w:tcPr>
          <w:p w14:paraId="06624ACF">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2573E81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41EB5549">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644FB40A">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1620" w:type="dxa"/>
            <w:noWrap w:val="0"/>
            <w:vAlign w:val="center"/>
          </w:tcPr>
          <w:p w14:paraId="471BFE09">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17512B60">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1456" w:type="dxa"/>
            <w:noWrap w:val="0"/>
            <w:vAlign w:val="center"/>
          </w:tcPr>
          <w:p w14:paraId="1CFAC0AE">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少量</w:t>
            </w:r>
          </w:p>
        </w:tc>
      </w:tr>
      <w:tr w14:paraId="7F18EC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restart"/>
            <w:noWrap w:val="0"/>
            <w:vAlign w:val="center"/>
          </w:tcPr>
          <w:p w14:paraId="29429E96">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废水</w:t>
            </w:r>
          </w:p>
        </w:tc>
        <w:tc>
          <w:tcPr>
            <w:tcW w:w="1210" w:type="dxa"/>
            <w:noWrap w:val="0"/>
            <w:vAlign w:val="center"/>
          </w:tcPr>
          <w:p w14:paraId="7CA4A86A">
            <w:pPr>
              <w:keepNext w:val="0"/>
              <w:keepLines w:val="0"/>
              <w:pageBreakBefore w:val="0"/>
              <w:suppressLineNumbers w:val="0"/>
              <w:wordWrap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废水量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万t/a</w:t>
            </w:r>
            <w:r>
              <w:rPr>
                <w:rFonts w:hint="default" w:ascii="Times New Roman" w:hAnsi="Times New Roman" w:eastAsia="宋体" w:cs="Times New Roman"/>
                <w:color w:val="auto"/>
                <w:sz w:val="21"/>
                <w:szCs w:val="21"/>
                <w:highlight w:val="none"/>
                <w:lang w:eastAsia="zh-CN"/>
              </w:rPr>
              <w:t>）</w:t>
            </w:r>
          </w:p>
        </w:tc>
        <w:tc>
          <w:tcPr>
            <w:tcW w:w="1922" w:type="dxa"/>
            <w:noWrap w:val="0"/>
            <w:vAlign w:val="center"/>
          </w:tcPr>
          <w:p w14:paraId="45751B4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21E9AD86">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4CE1ACF8">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6466239F">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2"/>
                <w:sz w:val="21"/>
                <w:szCs w:val="21"/>
                <w:highlight w:val="none"/>
                <w:u w:val="none"/>
                <w:lang w:val="en-US" w:eastAsia="zh-CN" w:bidi="ar-SA"/>
              </w:rPr>
              <w:t>0.0</w:t>
            </w:r>
            <w:r>
              <w:rPr>
                <w:rFonts w:hint="default" w:ascii="Times New Roman" w:hAnsi="Times New Roman" w:cs="Times New Roman"/>
                <w:i w:val="0"/>
                <w:iCs w:val="0"/>
                <w:color w:val="auto"/>
                <w:kern w:val="2"/>
                <w:sz w:val="21"/>
                <w:szCs w:val="21"/>
                <w:highlight w:val="none"/>
                <w:u w:val="none"/>
                <w:lang w:val="en-US" w:eastAsia="zh-CN" w:bidi="ar-SA"/>
              </w:rPr>
              <w:t>36</w:t>
            </w:r>
          </w:p>
        </w:tc>
        <w:tc>
          <w:tcPr>
            <w:tcW w:w="1620" w:type="dxa"/>
            <w:noWrap w:val="0"/>
            <w:vAlign w:val="center"/>
          </w:tcPr>
          <w:p w14:paraId="12053E6B">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2B4C2EF1">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0.0</w:t>
            </w:r>
            <w:r>
              <w:rPr>
                <w:rFonts w:hint="default" w:ascii="Times New Roman" w:hAnsi="Times New Roman" w:cs="Times New Roman"/>
                <w:i w:val="0"/>
                <w:iCs w:val="0"/>
                <w:color w:val="auto"/>
                <w:kern w:val="2"/>
                <w:sz w:val="21"/>
                <w:szCs w:val="21"/>
                <w:highlight w:val="none"/>
                <w:u w:val="none"/>
                <w:lang w:val="en-US" w:eastAsia="zh-CN" w:bidi="ar-SA"/>
              </w:rPr>
              <w:t>36</w:t>
            </w:r>
          </w:p>
        </w:tc>
        <w:tc>
          <w:tcPr>
            <w:tcW w:w="1456" w:type="dxa"/>
            <w:noWrap w:val="0"/>
            <w:vAlign w:val="center"/>
          </w:tcPr>
          <w:p w14:paraId="7CCC0A63">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+0.0</w:t>
            </w:r>
            <w:r>
              <w:rPr>
                <w:rFonts w:hint="default" w:ascii="Times New Roman" w:hAnsi="Times New Roman" w:cs="Times New Roman"/>
                <w:i w:val="0"/>
                <w:iCs w:val="0"/>
                <w:color w:val="auto"/>
                <w:kern w:val="2"/>
                <w:sz w:val="21"/>
                <w:szCs w:val="21"/>
                <w:highlight w:val="none"/>
                <w:u w:val="none"/>
                <w:lang w:val="en-US" w:eastAsia="zh-CN" w:bidi="ar-SA"/>
              </w:rPr>
              <w:t>36</w:t>
            </w:r>
          </w:p>
        </w:tc>
      </w:tr>
      <w:tr w14:paraId="78450F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shd w:val="clear" w:color="auto" w:fill="auto"/>
            <w:noWrap w:val="0"/>
            <w:vAlign w:val="center"/>
          </w:tcPr>
          <w:p w14:paraId="77E453C8">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4273761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922" w:type="dxa"/>
            <w:shd w:val="clear" w:color="auto" w:fill="auto"/>
            <w:noWrap w:val="0"/>
            <w:vAlign w:val="center"/>
          </w:tcPr>
          <w:p w14:paraId="064EA9CD">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textAlignment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napToGrid w:val="0"/>
                <w:color w:val="auto"/>
                <w:kern w:val="21"/>
                <w:sz w:val="21"/>
                <w:szCs w:val="21"/>
                <w:highlight w:val="none"/>
              </w:rPr>
              <w:t>--</w:t>
            </w:r>
          </w:p>
        </w:tc>
        <w:tc>
          <w:tcPr>
            <w:tcW w:w="1356" w:type="dxa"/>
            <w:shd w:val="clear" w:color="auto" w:fill="auto"/>
            <w:noWrap w:val="0"/>
            <w:vAlign w:val="center"/>
          </w:tcPr>
          <w:p w14:paraId="69F974C2">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shd w:val="clear" w:color="auto" w:fill="auto"/>
            <w:noWrap w:val="0"/>
            <w:vAlign w:val="center"/>
          </w:tcPr>
          <w:p w14:paraId="0DFE506F">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shd w:val="clear" w:color="auto" w:fill="auto"/>
            <w:noWrap w:val="0"/>
            <w:vAlign w:val="center"/>
          </w:tcPr>
          <w:p w14:paraId="2DA82CE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c>
          <w:tcPr>
            <w:tcW w:w="1620" w:type="dxa"/>
            <w:shd w:val="clear" w:color="auto" w:fill="auto"/>
            <w:noWrap w:val="0"/>
            <w:vAlign w:val="center"/>
          </w:tcPr>
          <w:p w14:paraId="59D677DA">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shd w:val="clear" w:color="auto" w:fill="FFFFFF"/>
            <w:noWrap w:val="0"/>
            <w:vAlign w:val="center"/>
          </w:tcPr>
          <w:p w14:paraId="7297E03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c>
          <w:tcPr>
            <w:tcW w:w="1456" w:type="dxa"/>
            <w:shd w:val="clear" w:color="auto" w:fill="FFFFFF"/>
            <w:noWrap w:val="0"/>
            <w:vAlign w:val="center"/>
          </w:tcPr>
          <w:p w14:paraId="1687A3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r>
      <w:tr w14:paraId="5B4848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shd w:val="clear" w:color="auto" w:fill="auto"/>
            <w:noWrap w:val="0"/>
            <w:vAlign w:val="center"/>
          </w:tcPr>
          <w:p w14:paraId="32456000">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1D12633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922" w:type="dxa"/>
            <w:shd w:val="clear" w:color="auto" w:fill="auto"/>
            <w:noWrap w:val="0"/>
            <w:vAlign w:val="center"/>
          </w:tcPr>
          <w:p w14:paraId="4EB890D3">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napToGrid w:val="0"/>
                <w:color w:val="auto"/>
                <w:kern w:val="21"/>
                <w:sz w:val="21"/>
                <w:szCs w:val="21"/>
                <w:highlight w:val="none"/>
              </w:rPr>
              <w:t>--</w:t>
            </w:r>
          </w:p>
        </w:tc>
        <w:tc>
          <w:tcPr>
            <w:tcW w:w="1356" w:type="dxa"/>
            <w:shd w:val="clear" w:color="auto" w:fill="auto"/>
            <w:noWrap w:val="0"/>
            <w:vAlign w:val="center"/>
          </w:tcPr>
          <w:p w14:paraId="3D11D92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shd w:val="clear" w:color="auto" w:fill="auto"/>
            <w:noWrap w:val="0"/>
            <w:vAlign w:val="center"/>
          </w:tcPr>
          <w:p w14:paraId="08C4EA2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shd w:val="clear" w:color="auto" w:fill="auto"/>
            <w:noWrap w:val="0"/>
            <w:vAlign w:val="center"/>
          </w:tcPr>
          <w:p w14:paraId="21DFFF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0.051</w:t>
            </w:r>
          </w:p>
        </w:tc>
        <w:tc>
          <w:tcPr>
            <w:tcW w:w="1620" w:type="dxa"/>
            <w:shd w:val="clear" w:color="auto" w:fill="auto"/>
            <w:noWrap w:val="0"/>
            <w:vAlign w:val="center"/>
          </w:tcPr>
          <w:p w14:paraId="75CE7B13">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shd w:val="clear" w:color="auto" w:fill="FFFFFF"/>
            <w:noWrap w:val="0"/>
            <w:vAlign w:val="center"/>
          </w:tcPr>
          <w:p w14:paraId="5FCA62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0.051</w:t>
            </w:r>
          </w:p>
        </w:tc>
        <w:tc>
          <w:tcPr>
            <w:tcW w:w="1456" w:type="dxa"/>
            <w:shd w:val="clear" w:color="auto" w:fill="FFFFFF"/>
            <w:noWrap w:val="0"/>
            <w:vAlign w:val="center"/>
          </w:tcPr>
          <w:p w14:paraId="030332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+0.051</w:t>
            </w:r>
          </w:p>
        </w:tc>
      </w:tr>
      <w:tr w14:paraId="18679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shd w:val="clear" w:color="auto" w:fill="auto"/>
            <w:noWrap w:val="0"/>
            <w:vAlign w:val="center"/>
          </w:tcPr>
          <w:p w14:paraId="464AB26F">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0ED9F60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922" w:type="dxa"/>
            <w:shd w:val="clear" w:color="auto" w:fill="auto"/>
            <w:noWrap w:val="0"/>
            <w:vAlign w:val="center"/>
          </w:tcPr>
          <w:p w14:paraId="19C31FDB">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napToGrid w:val="0"/>
                <w:color w:val="auto"/>
                <w:kern w:val="21"/>
                <w:sz w:val="21"/>
                <w:szCs w:val="21"/>
                <w:highlight w:val="none"/>
              </w:rPr>
              <w:t>--</w:t>
            </w:r>
          </w:p>
        </w:tc>
        <w:tc>
          <w:tcPr>
            <w:tcW w:w="1356" w:type="dxa"/>
            <w:shd w:val="clear" w:color="auto" w:fill="auto"/>
            <w:noWrap w:val="0"/>
            <w:vAlign w:val="center"/>
          </w:tcPr>
          <w:p w14:paraId="3CA0B92B">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shd w:val="clear" w:color="auto" w:fill="auto"/>
            <w:noWrap w:val="0"/>
            <w:vAlign w:val="center"/>
          </w:tcPr>
          <w:p w14:paraId="5740AAFF">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shd w:val="clear" w:color="auto" w:fill="auto"/>
            <w:noWrap w:val="0"/>
            <w:vAlign w:val="center"/>
          </w:tcPr>
          <w:p w14:paraId="3B014C7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0.038</w:t>
            </w:r>
          </w:p>
        </w:tc>
        <w:tc>
          <w:tcPr>
            <w:tcW w:w="1620" w:type="dxa"/>
            <w:shd w:val="clear" w:color="auto" w:fill="auto"/>
            <w:noWrap w:val="0"/>
            <w:vAlign w:val="center"/>
          </w:tcPr>
          <w:p w14:paraId="60B62857">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shd w:val="clear" w:color="auto" w:fill="FFFFFF"/>
            <w:noWrap w:val="0"/>
            <w:vAlign w:val="center"/>
          </w:tcPr>
          <w:p w14:paraId="4F9B44D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0.038</w:t>
            </w:r>
          </w:p>
        </w:tc>
        <w:tc>
          <w:tcPr>
            <w:tcW w:w="1456" w:type="dxa"/>
            <w:shd w:val="clear" w:color="auto" w:fill="FFFFFF"/>
            <w:noWrap w:val="0"/>
            <w:vAlign w:val="center"/>
          </w:tcPr>
          <w:p w14:paraId="01CD476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+0.038</w:t>
            </w:r>
          </w:p>
        </w:tc>
      </w:tr>
      <w:tr w14:paraId="190B9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shd w:val="clear" w:color="auto" w:fill="auto"/>
            <w:noWrap w:val="0"/>
            <w:vAlign w:val="center"/>
          </w:tcPr>
          <w:p w14:paraId="288E6D09">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6B0417E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922" w:type="dxa"/>
            <w:shd w:val="clear" w:color="auto" w:fill="auto"/>
            <w:noWrap w:val="0"/>
            <w:vAlign w:val="center"/>
          </w:tcPr>
          <w:p w14:paraId="3B4C2EE0">
            <w:pPr>
              <w:keepNext w:val="0"/>
              <w:keepLines w:val="0"/>
              <w:pageBreakBefore w:val="0"/>
              <w:widowControl/>
              <w:suppressLineNumbers w:val="0"/>
              <w:wordWrap w:val="0"/>
              <w:bidi w:val="0"/>
              <w:spacing w:before="0" w:beforeAutospacing="0" w:after="0" w:afterAutospacing="0" w:line="240" w:lineRule="auto"/>
              <w:ind w:left="0" w:right="0"/>
              <w:jc w:val="center"/>
              <w:textAlignment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napToGrid w:val="0"/>
                <w:color w:val="auto"/>
                <w:kern w:val="21"/>
                <w:sz w:val="21"/>
                <w:szCs w:val="21"/>
                <w:highlight w:val="none"/>
              </w:rPr>
              <w:t>--</w:t>
            </w:r>
          </w:p>
        </w:tc>
        <w:tc>
          <w:tcPr>
            <w:tcW w:w="1356" w:type="dxa"/>
            <w:shd w:val="clear" w:color="auto" w:fill="auto"/>
            <w:noWrap w:val="0"/>
            <w:vAlign w:val="center"/>
          </w:tcPr>
          <w:p w14:paraId="089E2E48">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shd w:val="clear" w:color="auto" w:fill="auto"/>
            <w:noWrap w:val="0"/>
            <w:vAlign w:val="center"/>
          </w:tcPr>
          <w:p w14:paraId="3CA5BAC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shd w:val="clear" w:color="auto" w:fill="auto"/>
            <w:noWrap w:val="0"/>
            <w:vAlign w:val="center"/>
          </w:tcPr>
          <w:p w14:paraId="7485E01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c>
          <w:tcPr>
            <w:tcW w:w="1620" w:type="dxa"/>
            <w:shd w:val="clear" w:color="auto" w:fill="auto"/>
            <w:noWrap w:val="0"/>
            <w:vAlign w:val="center"/>
          </w:tcPr>
          <w:p w14:paraId="028B0F08">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shd w:val="clear" w:color="auto" w:fill="FFFFFF"/>
            <w:noWrap w:val="0"/>
            <w:vAlign w:val="center"/>
          </w:tcPr>
          <w:p w14:paraId="30EC5C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c>
          <w:tcPr>
            <w:tcW w:w="1456" w:type="dxa"/>
            <w:shd w:val="clear" w:color="auto" w:fill="FFFFFF"/>
            <w:noWrap w:val="0"/>
            <w:vAlign w:val="center"/>
          </w:tcPr>
          <w:p w14:paraId="3564353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r>
      <w:tr w14:paraId="7659BB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noWrap w:val="0"/>
            <w:vAlign w:val="center"/>
          </w:tcPr>
          <w:p w14:paraId="5C39337D">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10" w:type="dxa"/>
            <w:noWrap w:val="0"/>
            <w:vAlign w:val="center"/>
          </w:tcPr>
          <w:p w14:paraId="38F7447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lang w:val="en-US" w:eastAsia="zh-CN"/>
              </w:rPr>
              <w:t>生活垃圾</w:t>
            </w:r>
          </w:p>
        </w:tc>
        <w:tc>
          <w:tcPr>
            <w:tcW w:w="1922" w:type="dxa"/>
            <w:noWrap w:val="0"/>
            <w:vAlign w:val="center"/>
          </w:tcPr>
          <w:p w14:paraId="21FD561F">
            <w:pPr>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78676B69">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1400D9B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06FA7A88">
            <w:pPr>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12</w:t>
            </w:r>
          </w:p>
        </w:tc>
        <w:tc>
          <w:tcPr>
            <w:tcW w:w="1620" w:type="dxa"/>
            <w:noWrap w:val="0"/>
            <w:vAlign w:val="center"/>
          </w:tcPr>
          <w:p w14:paraId="37045C87">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2F86C7A1">
            <w:pPr>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rPr>
              <w:t>12</w:t>
            </w:r>
          </w:p>
        </w:tc>
        <w:tc>
          <w:tcPr>
            <w:tcW w:w="1456" w:type="dxa"/>
            <w:noWrap w:val="0"/>
            <w:vAlign w:val="center"/>
          </w:tcPr>
          <w:p w14:paraId="4250D4C7">
            <w:pPr>
              <w:keepNext w:val="0"/>
              <w:keepLines w:val="0"/>
              <w:pageBreakBefore w:val="0"/>
              <w:widowControl/>
              <w:suppressLineNumbers w:val="0"/>
              <w:wordWrap w:val="0"/>
              <w:bidi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snapToGrid w:val="0"/>
                <w:color w:val="auto"/>
                <w:kern w:val="21"/>
                <w:sz w:val="21"/>
                <w:szCs w:val="21"/>
                <w:highlight w:val="none"/>
                <w:lang w:val="en-US" w:eastAsia="zh-CN"/>
              </w:rPr>
              <w:t>12</w:t>
            </w:r>
          </w:p>
        </w:tc>
      </w:tr>
      <w:tr w14:paraId="461715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restart"/>
            <w:noWrap w:val="0"/>
            <w:vAlign w:val="center"/>
          </w:tcPr>
          <w:p w14:paraId="265EC5E9">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一般工业</w:t>
            </w:r>
          </w:p>
          <w:p w14:paraId="23846655">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固体废物</w:t>
            </w:r>
          </w:p>
        </w:tc>
        <w:tc>
          <w:tcPr>
            <w:tcW w:w="1210" w:type="dxa"/>
            <w:noWrap w:val="0"/>
            <w:vAlign w:val="center"/>
          </w:tcPr>
          <w:p w14:paraId="0051BF5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废包装材料</w:t>
            </w:r>
          </w:p>
        </w:tc>
        <w:tc>
          <w:tcPr>
            <w:tcW w:w="1922" w:type="dxa"/>
            <w:noWrap w:val="0"/>
            <w:vAlign w:val="center"/>
          </w:tcPr>
          <w:p w14:paraId="433DC2E0">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4E19EA51">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6B285B77">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0E09C2C6">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620" w:type="dxa"/>
            <w:noWrap w:val="0"/>
            <w:vAlign w:val="center"/>
          </w:tcPr>
          <w:p w14:paraId="55FAAFA9">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1DA83737">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456" w:type="dxa"/>
            <w:noWrap w:val="0"/>
            <w:vAlign w:val="center"/>
          </w:tcPr>
          <w:p w14:paraId="18E33D22">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r>
      <w:tr w14:paraId="73ED58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28FED2BB">
            <w:pPr>
              <w:pStyle w:val="65"/>
              <w:keepNext w:val="0"/>
              <w:keepLines w:val="0"/>
              <w:pageBreakBefore w:val="0"/>
              <w:suppressLineNumbers w:val="0"/>
              <w:wordWrap w:val="0"/>
              <w:bidi w:val="0"/>
              <w:spacing w:beforeLines="0" w:beforeAutospacing="0" w:afterLines="0" w:afterAutospacing="0" w:line="240" w:lineRule="auto"/>
              <w:ind w:left="0" w:right="0" w:firstLine="48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0ADC656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废</w:t>
            </w:r>
            <w:r>
              <w:rPr>
                <w:rFonts w:hint="default" w:ascii="Times New Roman" w:hAnsi="Times New Roman" w:cs="Times New Roman"/>
                <w:i w:val="0"/>
                <w:iCs w:val="0"/>
                <w:color w:val="auto"/>
                <w:kern w:val="0"/>
                <w:sz w:val="21"/>
                <w:szCs w:val="21"/>
                <w:highlight w:val="none"/>
                <w:u w:val="none"/>
                <w:lang w:val="en-US" w:eastAsia="zh-CN" w:bidi="ar"/>
              </w:rPr>
              <w:t>布袋</w:t>
            </w:r>
          </w:p>
        </w:tc>
        <w:tc>
          <w:tcPr>
            <w:tcW w:w="1922" w:type="dxa"/>
            <w:noWrap w:val="0"/>
            <w:vAlign w:val="center"/>
          </w:tcPr>
          <w:p w14:paraId="78C550D6">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4A8D8B2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130A29D2">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50C59DEC">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0.0119</w:t>
            </w:r>
          </w:p>
        </w:tc>
        <w:tc>
          <w:tcPr>
            <w:tcW w:w="1620" w:type="dxa"/>
            <w:noWrap w:val="0"/>
            <w:vAlign w:val="center"/>
          </w:tcPr>
          <w:p w14:paraId="2FA81BF4">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775236C0">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0.0119</w:t>
            </w:r>
          </w:p>
        </w:tc>
        <w:tc>
          <w:tcPr>
            <w:tcW w:w="1456" w:type="dxa"/>
            <w:noWrap w:val="0"/>
            <w:vAlign w:val="center"/>
          </w:tcPr>
          <w:p w14:paraId="64C80560">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0.0119</w:t>
            </w:r>
          </w:p>
        </w:tc>
      </w:tr>
      <w:tr w14:paraId="0E2EF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restart"/>
            <w:noWrap w:val="0"/>
            <w:vAlign w:val="center"/>
          </w:tcPr>
          <w:p w14:paraId="1D846F9C">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危险废物</w:t>
            </w:r>
          </w:p>
        </w:tc>
        <w:tc>
          <w:tcPr>
            <w:tcW w:w="1210" w:type="dxa"/>
            <w:noWrap w:val="0"/>
            <w:vAlign w:val="center"/>
          </w:tcPr>
          <w:p w14:paraId="7FCA0A1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废活性炭</w:t>
            </w:r>
          </w:p>
        </w:tc>
        <w:tc>
          <w:tcPr>
            <w:tcW w:w="1922" w:type="dxa"/>
            <w:noWrap w:val="0"/>
            <w:vAlign w:val="center"/>
          </w:tcPr>
          <w:p w14:paraId="4739D7CC">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138C3257">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1F7E831E">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68048DE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1.5</w:t>
            </w:r>
          </w:p>
        </w:tc>
        <w:tc>
          <w:tcPr>
            <w:tcW w:w="1620" w:type="dxa"/>
            <w:noWrap w:val="0"/>
            <w:vAlign w:val="center"/>
          </w:tcPr>
          <w:p w14:paraId="6E8D80C0">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5C6ADE1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1.5</w:t>
            </w:r>
          </w:p>
        </w:tc>
        <w:tc>
          <w:tcPr>
            <w:tcW w:w="1456" w:type="dxa"/>
            <w:noWrap w:val="0"/>
            <w:vAlign w:val="center"/>
          </w:tcPr>
          <w:p w14:paraId="05FFE82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+1.5</w:t>
            </w:r>
          </w:p>
        </w:tc>
      </w:tr>
      <w:tr w14:paraId="4661C0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1469BDD1">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p>
        </w:tc>
        <w:tc>
          <w:tcPr>
            <w:tcW w:w="1210" w:type="dxa"/>
            <w:noWrap w:val="0"/>
            <w:vAlign w:val="center"/>
          </w:tcPr>
          <w:p w14:paraId="53B6C4A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废机油</w:t>
            </w:r>
            <w:r>
              <w:rPr>
                <w:rFonts w:hint="default" w:ascii="Times New Roman" w:hAnsi="Times New Roman" w:cs="Times New Roman"/>
                <w:i w:val="0"/>
                <w:iCs w:val="0"/>
                <w:color w:val="auto"/>
                <w:kern w:val="0"/>
                <w:sz w:val="21"/>
                <w:szCs w:val="21"/>
                <w:highlight w:val="none"/>
                <w:u w:val="none"/>
                <w:lang w:val="en-US" w:eastAsia="zh-CN" w:bidi="ar"/>
              </w:rPr>
              <w:t>及</w:t>
            </w:r>
            <w:r>
              <w:rPr>
                <w:rFonts w:hint="default" w:ascii="Times New Roman" w:hAnsi="Times New Roman" w:eastAsia="宋体" w:cs="Times New Roman"/>
                <w:i w:val="0"/>
                <w:iCs w:val="0"/>
                <w:color w:val="auto"/>
                <w:kern w:val="0"/>
                <w:sz w:val="21"/>
                <w:szCs w:val="21"/>
                <w:highlight w:val="none"/>
                <w:u w:val="none"/>
                <w:lang w:val="en-US" w:eastAsia="zh-CN" w:bidi="ar"/>
              </w:rPr>
              <w:t>桶</w:t>
            </w:r>
          </w:p>
        </w:tc>
        <w:tc>
          <w:tcPr>
            <w:tcW w:w="1922" w:type="dxa"/>
            <w:noWrap w:val="0"/>
            <w:vAlign w:val="center"/>
          </w:tcPr>
          <w:p w14:paraId="3D8399D5">
            <w:pPr>
              <w:keepNext w:val="0"/>
              <w:keepLines w:val="0"/>
              <w:pageBreakBefore w:val="0"/>
              <w:widowControl/>
              <w:suppressLineNumbers w:val="0"/>
              <w:kinsoku/>
              <w:wordWrap w:val="0"/>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517F0C3C">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1AE1359A">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0F38C9F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0.205</w:t>
            </w:r>
          </w:p>
        </w:tc>
        <w:tc>
          <w:tcPr>
            <w:tcW w:w="1620" w:type="dxa"/>
            <w:noWrap w:val="0"/>
            <w:vAlign w:val="center"/>
          </w:tcPr>
          <w:p w14:paraId="717E3FA5">
            <w:pPr>
              <w:keepNext w:val="0"/>
              <w:keepLines w:val="0"/>
              <w:pageBreakBefore w:val="0"/>
              <w:suppressLineNumbers w:val="0"/>
              <w:wordWrap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55A4BD8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0.205</w:t>
            </w:r>
          </w:p>
        </w:tc>
        <w:tc>
          <w:tcPr>
            <w:tcW w:w="1456" w:type="dxa"/>
            <w:noWrap w:val="0"/>
            <w:vAlign w:val="center"/>
          </w:tcPr>
          <w:p w14:paraId="43CF814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+0.205</w:t>
            </w:r>
          </w:p>
        </w:tc>
      </w:tr>
      <w:tr w14:paraId="2CECF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5EB7E230">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56201FF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含油废抹布</w:t>
            </w:r>
          </w:p>
        </w:tc>
        <w:tc>
          <w:tcPr>
            <w:tcW w:w="1922" w:type="dxa"/>
            <w:shd w:val="clear" w:color="auto" w:fill="auto"/>
            <w:noWrap w:val="0"/>
            <w:vAlign w:val="center"/>
          </w:tcPr>
          <w:p w14:paraId="2C31BD22">
            <w:pPr>
              <w:keepNext w:val="0"/>
              <w:keepLines w:val="0"/>
              <w:pageBreakBefore w:val="0"/>
              <w:widowControl/>
              <w:suppressLineNumbers w:val="0"/>
              <w:kinsoku/>
              <w:wordWrap w:val="0"/>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356" w:type="dxa"/>
            <w:shd w:val="clear" w:color="auto" w:fill="auto"/>
            <w:noWrap w:val="0"/>
            <w:vAlign w:val="center"/>
          </w:tcPr>
          <w:p w14:paraId="78FDD90F">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644" w:type="dxa"/>
            <w:shd w:val="clear" w:color="auto" w:fill="auto"/>
            <w:noWrap w:val="0"/>
            <w:vAlign w:val="center"/>
          </w:tcPr>
          <w:p w14:paraId="278C67F7">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488" w:type="dxa"/>
            <w:shd w:val="clear" w:color="auto" w:fill="auto"/>
            <w:noWrap w:val="0"/>
            <w:vAlign w:val="center"/>
          </w:tcPr>
          <w:p w14:paraId="0E8C4E1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0.001</w:t>
            </w:r>
          </w:p>
        </w:tc>
        <w:tc>
          <w:tcPr>
            <w:tcW w:w="1620" w:type="dxa"/>
            <w:shd w:val="clear" w:color="auto" w:fill="auto"/>
            <w:noWrap w:val="0"/>
            <w:vAlign w:val="center"/>
          </w:tcPr>
          <w:p w14:paraId="5065878F">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rPr>
              <w:t>--</w:t>
            </w:r>
          </w:p>
        </w:tc>
        <w:tc>
          <w:tcPr>
            <w:tcW w:w="1932" w:type="dxa"/>
            <w:shd w:val="clear" w:color="auto" w:fill="auto"/>
            <w:noWrap w:val="0"/>
            <w:vAlign w:val="center"/>
          </w:tcPr>
          <w:p w14:paraId="74C56A8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0.001</w:t>
            </w:r>
          </w:p>
        </w:tc>
        <w:tc>
          <w:tcPr>
            <w:tcW w:w="1456" w:type="dxa"/>
            <w:shd w:val="clear" w:color="auto" w:fill="auto"/>
            <w:noWrap w:val="0"/>
            <w:vAlign w:val="center"/>
          </w:tcPr>
          <w:p w14:paraId="308B786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+0.001</w:t>
            </w:r>
          </w:p>
        </w:tc>
      </w:tr>
      <w:tr w14:paraId="3CFD38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48062C53">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3C85890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水帘柜废水</w:t>
            </w:r>
          </w:p>
        </w:tc>
        <w:tc>
          <w:tcPr>
            <w:tcW w:w="1922" w:type="dxa"/>
            <w:noWrap w:val="0"/>
            <w:vAlign w:val="center"/>
          </w:tcPr>
          <w:p w14:paraId="70E40F22">
            <w:pPr>
              <w:keepNext w:val="0"/>
              <w:keepLines w:val="0"/>
              <w:pageBreakBefore w:val="0"/>
              <w:widowControl/>
              <w:suppressLineNumbers w:val="0"/>
              <w:kinsoku/>
              <w:wordWrap w:val="0"/>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48ADFAB6">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415F36BA">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170E2FE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620" w:type="dxa"/>
            <w:noWrap w:val="0"/>
            <w:vAlign w:val="center"/>
          </w:tcPr>
          <w:p w14:paraId="7AA9EA57">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565CE87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456" w:type="dxa"/>
            <w:noWrap w:val="0"/>
            <w:vAlign w:val="center"/>
          </w:tcPr>
          <w:p w14:paraId="0B92932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r>
      <w:tr w14:paraId="111D51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41B46B8E">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3F05817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水帘柜喷淋沉渣</w:t>
            </w:r>
          </w:p>
        </w:tc>
        <w:tc>
          <w:tcPr>
            <w:tcW w:w="1922" w:type="dxa"/>
            <w:noWrap w:val="0"/>
            <w:vAlign w:val="center"/>
          </w:tcPr>
          <w:p w14:paraId="13886C49">
            <w:pPr>
              <w:keepNext w:val="0"/>
              <w:keepLines w:val="0"/>
              <w:pageBreakBefore w:val="0"/>
              <w:widowControl/>
              <w:suppressLineNumbers w:val="0"/>
              <w:kinsoku/>
              <w:wordWrap w:val="0"/>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688547F7">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2AAAC255">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2788A370">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0.354</w:t>
            </w:r>
          </w:p>
        </w:tc>
        <w:tc>
          <w:tcPr>
            <w:tcW w:w="1620" w:type="dxa"/>
            <w:noWrap w:val="0"/>
            <w:vAlign w:val="center"/>
          </w:tcPr>
          <w:p w14:paraId="65DC531C">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4C40DA5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0.354</w:t>
            </w:r>
          </w:p>
        </w:tc>
        <w:tc>
          <w:tcPr>
            <w:tcW w:w="1456" w:type="dxa"/>
            <w:noWrap w:val="0"/>
            <w:vAlign w:val="center"/>
          </w:tcPr>
          <w:p w14:paraId="71A5B72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+0.354</w:t>
            </w:r>
          </w:p>
        </w:tc>
      </w:tr>
      <w:tr w14:paraId="652F4C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05469DB1">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3CED163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漆渣</w:t>
            </w:r>
          </w:p>
        </w:tc>
        <w:tc>
          <w:tcPr>
            <w:tcW w:w="1922" w:type="dxa"/>
            <w:noWrap w:val="0"/>
            <w:vAlign w:val="center"/>
          </w:tcPr>
          <w:p w14:paraId="311E1B31">
            <w:pPr>
              <w:keepNext w:val="0"/>
              <w:keepLines w:val="0"/>
              <w:pageBreakBefore w:val="0"/>
              <w:widowControl/>
              <w:suppressLineNumbers w:val="0"/>
              <w:kinsoku/>
              <w:wordWrap w:val="0"/>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5585D69D">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41711C49">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79DAD57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0.19</w:t>
            </w:r>
          </w:p>
        </w:tc>
        <w:tc>
          <w:tcPr>
            <w:tcW w:w="1620" w:type="dxa"/>
            <w:noWrap w:val="0"/>
            <w:vAlign w:val="center"/>
          </w:tcPr>
          <w:p w14:paraId="0C41C1E0">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42D03C1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0.19</w:t>
            </w:r>
          </w:p>
        </w:tc>
        <w:tc>
          <w:tcPr>
            <w:tcW w:w="1456" w:type="dxa"/>
            <w:noWrap w:val="0"/>
            <w:vAlign w:val="center"/>
          </w:tcPr>
          <w:p w14:paraId="66F3ECC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+0.19</w:t>
            </w:r>
          </w:p>
        </w:tc>
      </w:tr>
      <w:tr w14:paraId="0173EE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9" w:type="dxa"/>
            <w:vMerge w:val="continue"/>
            <w:noWrap w:val="0"/>
            <w:vAlign w:val="center"/>
          </w:tcPr>
          <w:p w14:paraId="5DA334C4">
            <w:pPr>
              <w:pStyle w:val="65"/>
              <w:keepNext w:val="0"/>
              <w:keepLines w:val="0"/>
              <w:pageBreakBefore w:val="0"/>
              <w:suppressLineNumbers w:val="0"/>
              <w:wordWrap w:val="0"/>
              <w:bidi w:val="0"/>
              <w:spacing w:beforeLines="0" w:beforeAutospacing="0" w:afterLines="0" w:afterAutospacing="0" w:line="240" w:lineRule="auto"/>
              <w:ind w:left="0" w:right="0" w:firstLine="0" w:firstLineChars="0"/>
              <w:jc w:val="center"/>
              <w:rPr>
                <w:rFonts w:hint="default" w:ascii="Times New Roman" w:hAnsi="Times New Roman" w:eastAsia="宋体" w:cs="Times New Roman"/>
                <w:snapToGrid w:val="0"/>
                <w:color w:val="auto"/>
                <w:kern w:val="21"/>
                <w:sz w:val="21"/>
                <w:szCs w:val="21"/>
                <w:highlight w:val="none"/>
              </w:rPr>
            </w:pPr>
          </w:p>
        </w:tc>
        <w:tc>
          <w:tcPr>
            <w:tcW w:w="1210" w:type="dxa"/>
            <w:shd w:val="clear" w:color="auto" w:fill="auto"/>
            <w:noWrap w:val="0"/>
            <w:vAlign w:val="center"/>
          </w:tcPr>
          <w:p w14:paraId="15005A5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喷枪清洗废液</w:t>
            </w:r>
          </w:p>
        </w:tc>
        <w:tc>
          <w:tcPr>
            <w:tcW w:w="1922" w:type="dxa"/>
            <w:noWrap w:val="0"/>
            <w:vAlign w:val="center"/>
          </w:tcPr>
          <w:p w14:paraId="02682B8A">
            <w:pPr>
              <w:keepNext w:val="0"/>
              <w:keepLines w:val="0"/>
              <w:pageBreakBefore w:val="0"/>
              <w:widowControl/>
              <w:suppressLineNumbers w:val="0"/>
              <w:kinsoku/>
              <w:wordWrap w:val="0"/>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rPr>
              <w:t>--</w:t>
            </w:r>
          </w:p>
        </w:tc>
        <w:tc>
          <w:tcPr>
            <w:tcW w:w="1356" w:type="dxa"/>
            <w:noWrap w:val="0"/>
            <w:vAlign w:val="center"/>
          </w:tcPr>
          <w:p w14:paraId="12073A7D">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644" w:type="dxa"/>
            <w:noWrap w:val="0"/>
            <w:vAlign w:val="center"/>
          </w:tcPr>
          <w:p w14:paraId="67793055">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488" w:type="dxa"/>
            <w:noWrap w:val="0"/>
            <w:vAlign w:val="center"/>
          </w:tcPr>
          <w:p w14:paraId="51C9C955">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0.6</w:t>
            </w:r>
          </w:p>
        </w:tc>
        <w:tc>
          <w:tcPr>
            <w:tcW w:w="1620" w:type="dxa"/>
            <w:noWrap w:val="0"/>
            <w:vAlign w:val="center"/>
          </w:tcPr>
          <w:p w14:paraId="7F5BC526">
            <w:pPr>
              <w:keepNext w:val="0"/>
              <w:keepLines w:val="0"/>
              <w:pageBreakBefore w:val="0"/>
              <w:suppressLineNumbers w:val="0"/>
              <w:wordWrap w:val="0"/>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932" w:type="dxa"/>
            <w:noWrap w:val="0"/>
            <w:vAlign w:val="center"/>
          </w:tcPr>
          <w:p w14:paraId="3F9286C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0.6</w:t>
            </w:r>
          </w:p>
        </w:tc>
        <w:tc>
          <w:tcPr>
            <w:tcW w:w="1456" w:type="dxa"/>
            <w:noWrap w:val="0"/>
            <w:vAlign w:val="center"/>
          </w:tcPr>
          <w:p w14:paraId="08DFA4C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+0.6</w:t>
            </w:r>
          </w:p>
        </w:tc>
      </w:tr>
    </w:tbl>
    <w:p w14:paraId="0E3C9A93">
      <w:pPr>
        <w:pStyle w:val="65"/>
        <w:pageBreakBefore w:val="0"/>
        <w:wordWrap w:val="0"/>
        <w:bidi w:val="0"/>
        <w:spacing w:before="192" w:beforeLines="80" w:after="24"/>
        <w:ind w:firstLine="480"/>
        <w:jc w:val="left"/>
        <w:rPr>
          <w:rFonts w:hint="default" w:ascii="Times New Roman" w:hAnsi="Times New Roman" w:cs="Times New Roman"/>
          <w:color w:val="auto"/>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0B00AB5A">
      <w:pPr>
        <w:pStyle w:val="54"/>
        <w:pageBreakBefore w:val="0"/>
        <w:wordWrap w:val="0"/>
        <w:bidi w:val="0"/>
        <w:jc w:val="center"/>
        <w:rPr>
          <w:rFonts w:hint="default" w:ascii="Times New Roman" w:hAnsi="Times New Roman" w:cs="Times New Roman"/>
          <w:b w:val="0"/>
          <w:bCs w:val="0"/>
          <w:color w:val="auto"/>
          <w:highlight w:val="none"/>
        </w:rPr>
      </w:pPr>
      <w:r>
        <w:rPr>
          <w:rFonts w:hint="default" w:ascii="Times New Roman" w:hAnsi="Times New Roman" w:cs="Times New Roman"/>
          <w:color w:val="auto"/>
          <w:highlight w:val="none"/>
        </w:rPr>
        <w:drawing>
          <wp:anchor distT="0" distB="0" distL="114300" distR="114300" simplePos="0" relativeHeight="251667456" behindDoc="0" locked="0" layoutInCell="1" allowOverlap="1">
            <wp:simplePos x="0" y="0"/>
            <wp:positionH relativeFrom="column">
              <wp:posOffset>6816725</wp:posOffset>
            </wp:positionH>
            <wp:positionV relativeFrom="paragraph">
              <wp:posOffset>62230</wp:posOffset>
            </wp:positionV>
            <wp:extent cx="972185" cy="996950"/>
            <wp:effectExtent l="9525" t="9525" r="21590" b="9525"/>
            <wp:wrapNone/>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17"/>
                    <a:stretch>
                      <a:fillRect/>
                    </a:stretch>
                  </pic:blipFill>
                  <pic:spPr>
                    <a:xfrm>
                      <a:off x="0" y="0"/>
                      <a:ext cx="972185" cy="996950"/>
                    </a:xfrm>
                    <a:prstGeom prst="rect">
                      <a:avLst/>
                    </a:prstGeom>
                    <a:noFill/>
                    <a:ln>
                      <a:solidFill>
                        <a:schemeClr val="tx1"/>
                      </a:solidFill>
                    </a:ln>
                  </pic:spPr>
                </pic:pic>
              </a:graphicData>
            </a:graphic>
          </wp:anchor>
        </w:drawing>
      </w:r>
      <w:r>
        <w:rPr>
          <w:rFonts w:hint="default" w:ascii="Times New Roman" w:hAnsi="Times New Roman"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2560955</wp:posOffset>
                </wp:positionH>
                <wp:positionV relativeFrom="paragraph">
                  <wp:posOffset>2072005</wp:posOffset>
                </wp:positionV>
                <wp:extent cx="1009015" cy="373380"/>
                <wp:effectExtent l="6350" t="6350" r="432435" b="20320"/>
                <wp:wrapNone/>
                <wp:docPr id="139" name="矩形标注 139"/>
                <wp:cNvGraphicFramePr/>
                <a:graphic xmlns:a="http://schemas.openxmlformats.org/drawingml/2006/main">
                  <a:graphicData uri="http://schemas.microsoft.com/office/word/2010/wordprocessingShape">
                    <wps:wsp>
                      <wps:cNvSpPr/>
                      <wps:spPr>
                        <a:xfrm>
                          <a:off x="4960620" y="3176270"/>
                          <a:ext cx="1009015" cy="373380"/>
                        </a:xfrm>
                        <a:prstGeom prst="wedgeRectCallout">
                          <a:avLst>
                            <a:gd name="adj1" fmla="val 86752"/>
                            <a:gd name="adj2" fmla="val 4472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B51551">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1.65pt;margin-top:163.15pt;height:29.4pt;width:79.45pt;z-index:251666432;v-text-anchor:middle;mso-width-relative:page;mso-height-relative:page;" fillcolor="#FFFFFF [3201]" filled="t" stroked="t" coordsize="21600,21600" o:gfxdata="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wpOzPNoAAAALAQAADwAAAAAAAAAB&#10;ACAAAAAiAAAAZHJzL2Rvd25yZXYueG1sUEsBAhQAFAAAAAgAh07iQLmLXZ25AgAAcgUAAA4AAAAA&#10;AAAAAQAgAAAAKQEAAGRycy9lMm9Eb2MueG1sUEsFBgAAAAAGAAYAWQEAAFQGAAAAAA==&#10;" adj="29538,20461">
                <v:fill on="t" focussize="0,0"/>
                <v:stroke weight="1pt" color="#000000 [3213]" miterlimit="8" joinstyle="miter"/>
                <v:imagedata o:title=""/>
                <o:lock v:ext="edit" aspectratio="f"/>
                <v:textbox>
                  <w:txbxContent>
                    <w:p w14:paraId="79B51551">
                      <w:pPr>
                        <w:jc w:val="center"/>
                      </w:pPr>
                      <w:r>
                        <w:rPr>
                          <w:rFonts w:hint="eastAsia"/>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6580505" cy="4885690"/>
            <wp:effectExtent l="0" t="0" r="10795" b="381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8"/>
                    <a:stretch>
                      <a:fillRect/>
                    </a:stretch>
                  </pic:blipFill>
                  <pic:spPr>
                    <a:xfrm>
                      <a:off x="0" y="0"/>
                      <a:ext cx="6580505" cy="4885690"/>
                    </a:xfrm>
                    <a:prstGeom prst="rect">
                      <a:avLst/>
                    </a:prstGeom>
                    <a:noFill/>
                    <a:ln>
                      <a:noFill/>
                    </a:ln>
                  </pic:spPr>
                </pic:pic>
              </a:graphicData>
            </a:graphic>
          </wp:inline>
        </w:drawing>
      </w:r>
    </w:p>
    <w:p w14:paraId="1E9A84BB">
      <w:pPr>
        <w:pStyle w:val="54"/>
        <w:pageBreakBefore w:val="0"/>
        <w:wordWrap w:val="0"/>
        <w:bidi w:val="0"/>
        <w:jc w:val="center"/>
        <w:outlineLvl w:val="0"/>
        <w:rPr>
          <w:rFonts w:hint="default" w:ascii="Times New Roman" w:hAnsi="Times New Roman" w:cs="Times New Roman"/>
          <w:color w:val="auto"/>
          <w:sz w:val="24"/>
          <w:szCs w:val="24"/>
          <w:highlight w:val="none"/>
        </w:rPr>
      </w:pPr>
      <w:bookmarkStart w:id="145" w:name="_Toc27190"/>
      <w:bookmarkStart w:id="146" w:name="_Toc6195"/>
      <w:bookmarkStart w:id="147" w:name="_Toc11755"/>
      <w:r>
        <w:rPr>
          <w:rFonts w:hint="default" w:ascii="Times New Roman" w:hAnsi="Times New Roman" w:cs="Times New Roman"/>
          <w:color w:val="auto"/>
          <w:sz w:val="24"/>
          <w:szCs w:val="24"/>
          <w:highlight w:val="none"/>
        </w:rPr>
        <w:t>附图1项目地理位置图</w:t>
      </w:r>
      <w:bookmarkEnd w:id="145"/>
      <w:bookmarkEnd w:id="146"/>
      <w:bookmarkEnd w:id="147"/>
    </w:p>
    <w:p w14:paraId="3C14C0A9">
      <w:pPr>
        <w:pageBreakBefore w:val="0"/>
        <w:wordWrap w:val="0"/>
        <w:bidi w:val="0"/>
        <w:jc w:val="center"/>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48" w:name="_Toc21760"/>
      <w:bookmarkStart w:id="149" w:name="_Toc17352"/>
    </w:p>
    <w:p w14:paraId="323205D6">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30944" behindDoc="0" locked="0" layoutInCell="1" allowOverlap="1">
                <wp:simplePos x="0" y="0"/>
                <wp:positionH relativeFrom="column">
                  <wp:posOffset>2068830</wp:posOffset>
                </wp:positionH>
                <wp:positionV relativeFrom="paragraph">
                  <wp:posOffset>122555</wp:posOffset>
                </wp:positionV>
                <wp:extent cx="1270635" cy="435610"/>
                <wp:effectExtent l="6350" t="6350" r="113665" b="205740"/>
                <wp:wrapNone/>
                <wp:docPr id="52" name="圆角矩形标注 52"/>
                <wp:cNvGraphicFramePr/>
                <a:graphic xmlns:a="http://schemas.openxmlformats.org/drawingml/2006/main">
                  <a:graphicData uri="http://schemas.microsoft.com/office/word/2010/wordprocessingShape">
                    <wps:wsp>
                      <wps:cNvSpPr/>
                      <wps:spPr>
                        <a:xfrm>
                          <a:off x="3392170" y="1158240"/>
                          <a:ext cx="1270635" cy="435610"/>
                        </a:xfrm>
                        <a:prstGeom prst="wedgeRoundRectCallout">
                          <a:avLst>
                            <a:gd name="adj1" fmla="val 55297"/>
                            <a:gd name="adj2" fmla="val 92625"/>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E3DE718">
                            <w:pPr>
                              <w:jc w:val="center"/>
                              <w:rPr>
                                <w:rFonts w:hint="default" w:eastAsiaTheme="minorEastAsia"/>
                                <w:sz w:val="22"/>
                                <w:szCs w:val="22"/>
                                <w:highlight w:val="none"/>
                                <w:lang w:val="en-US" w:eastAsia="zh-CN"/>
                              </w:rPr>
                            </w:pPr>
                            <w:r>
                              <w:rPr>
                                <w:rFonts w:hint="eastAsia"/>
                                <w:color w:val="000000" w:themeColor="text1"/>
                                <w:sz w:val="22"/>
                                <w:szCs w:val="22"/>
                                <w:highlight w:val="none"/>
                                <w:lang w:val="en-US" w:eastAsia="zh-CN"/>
                                <w14:textFill>
                                  <w14:solidFill>
                                    <w14:schemeClr w14:val="tx1"/>
                                  </w14:solidFill>
                                </w14:textFill>
                              </w:rPr>
                              <w:t>众诚实业办公楼</w:t>
                            </w:r>
                          </w:p>
                          <w:p w14:paraId="150B489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2.9pt;margin-top:9.65pt;height:34.3pt;width:100.05pt;z-index:251730944;v-text-anchor:middle;mso-width-relative:page;mso-height-relative:page;" fillcolor="#FFFFFF [3212]" filled="t" stroked="t" coordsize="21600,21600" o:gfxdata="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Wbgk5toAAAAJAQAADwAAAAAAAAABACAAAAAiAAAAZHJzL2Rvd25yZXYueG1sUEsBAhQAFAAA&#10;AAgAh07iQCZt16HRAgAAnwUAAA4AAAAAAAAAAQAgAAAAKQEAAGRycy9lMm9Eb2MueG1sUEsFBgAA&#10;AAAGAAYAWQEAAGwGAAAAAA==&#10;" adj="22744,30807,14400">
                <v:fill on="t" focussize="0,0"/>
                <v:stroke weight="1pt" color="#000000 [3213]" miterlimit="8" joinstyle="miter"/>
                <v:imagedata o:title=""/>
                <o:lock v:ext="edit" aspectratio="f"/>
                <v:textbox>
                  <w:txbxContent>
                    <w:p w14:paraId="6E3DE718">
                      <w:pPr>
                        <w:jc w:val="center"/>
                        <w:rPr>
                          <w:rFonts w:hint="default" w:eastAsiaTheme="minorEastAsia"/>
                          <w:sz w:val="22"/>
                          <w:szCs w:val="22"/>
                          <w:highlight w:val="none"/>
                          <w:lang w:val="en-US" w:eastAsia="zh-CN"/>
                        </w:rPr>
                      </w:pPr>
                      <w:r>
                        <w:rPr>
                          <w:rFonts w:hint="eastAsia"/>
                          <w:color w:val="000000" w:themeColor="text1"/>
                          <w:sz w:val="22"/>
                          <w:szCs w:val="22"/>
                          <w:highlight w:val="none"/>
                          <w:lang w:val="en-US" w:eastAsia="zh-CN"/>
                          <w14:textFill>
                            <w14:solidFill>
                              <w14:schemeClr w14:val="tx1"/>
                            </w14:solidFill>
                          </w14:textFill>
                        </w:rPr>
                        <w:t>众诚实业办公楼</w:t>
                      </w:r>
                    </w:p>
                    <w:p w14:paraId="150B4899">
                      <w:pPr>
                        <w:jc w:val="cente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663575</wp:posOffset>
                </wp:positionH>
                <wp:positionV relativeFrom="paragraph">
                  <wp:posOffset>1914525</wp:posOffset>
                </wp:positionV>
                <wp:extent cx="1887220" cy="824865"/>
                <wp:effectExtent l="0" t="0" r="0" b="0"/>
                <wp:wrapNone/>
                <wp:docPr id="24" name="文本框 24"/>
                <wp:cNvGraphicFramePr/>
                <a:graphic xmlns:a="http://schemas.openxmlformats.org/drawingml/2006/main">
                  <a:graphicData uri="http://schemas.microsoft.com/office/word/2010/wordprocessingShape">
                    <wps:wsp>
                      <wps:cNvSpPr txBox="1"/>
                      <wps:spPr>
                        <a:xfrm>
                          <a:off x="2303780" y="2814320"/>
                          <a:ext cx="1887220" cy="824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AA8746">
                            <w:pPr>
                              <w:rPr>
                                <w:highlight w:val="yellow"/>
                              </w:rPr>
                            </w:pPr>
                            <w:r>
                              <w:rPr>
                                <w:rFonts w:hint="eastAsia" w:cs="Times New Roman"/>
                                <w:bCs/>
                                <w:color w:val="auto"/>
                                <w:highlight w:val="yellow"/>
                                <w:lang w:val="en-US" w:eastAsia="zh-CN"/>
                              </w:rPr>
                              <w:t>广东沃府实业有限公司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25pt;margin-top:150.75pt;height:64.95pt;width:148.6pt;z-index:251721728;mso-width-relative:page;mso-height-relative:page;" filled="f" stroked="f" coordsize="21600,21600" o:gfxdata="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iGjvdoAAAALAQAADwAAAAAAAAAB&#10;ACAAAAAiAAAAZHJzL2Rvd25yZXYueG1sUEsBAhQAFAAAAAgAh07iQPBYzYZHAgAAdAQAAA4AAAAA&#10;AAAAAQAgAAAAKQEAAGRycy9lMm9Eb2MueG1sUEsFBgAAAAAGAAYAWQEAAOIFAAAAAA==&#10;">
                <v:fill on="f" focussize="0,0"/>
                <v:stroke on="f" weight="0.5pt"/>
                <v:imagedata o:title=""/>
                <o:lock v:ext="edit" aspectratio="f"/>
                <v:textbox>
                  <w:txbxContent>
                    <w:p w14:paraId="25AA8746">
                      <w:pPr>
                        <w:rPr>
                          <w:highlight w:val="yellow"/>
                        </w:rPr>
                      </w:pPr>
                      <w:r>
                        <w:rPr>
                          <w:rFonts w:hint="eastAsia" w:cs="Times New Roman"/>
                          <w:bCs/>
                          <w:color w:val="auto"/>
                          <w:highlight w:val="yellow"/>
                          <w:lang w:val="en-US" w:eastAsia="zh-CN"/>
                        </w:rPr>
                        <w:t>广东沃府实业有限公司</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710464" behindDoc="0" locked="0" layoutInCell="1" allowOverlap="1">
            <wp:simplePos x="0" y="0"/>
            <wp:positionH relativeFrom="column">
              <wp:posOffset>7174230</wp:posOffset>
            </wp:positionH>
            <wp:positionV relativeFrom="paragraph">
              <wp:posOffset>74930</wp:posOffset>
            </wp:positionV>
            <wp:extent cx="972185" cy="996950"/>
            <wp:effectExtent l="9525" t="9525" r="21590" b="9525"/>
            <wp:wrapNone/>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17"/>
                    <a:stretch>
                      <a:fillRect/>
                    </a:stretch>
                  </pic:blipFill>
                  <pic:spPr>
                    <a:xfrm>
                      <a:off x="0" y="0"/>
                      <a:ext cx="972185" cy="996950"/>
                    </a:xfrm>
                    <a:prstGeom prst="rect">
                      <a:avLst/>
                    </a:prstGeom>
                    <a:noFill/>
                    <a:ln>
                      <a:solidFill>
                        <a:schemeClr val="tx1"/>
                      </a:solid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1534160</wp:posOffset>
                </wp:positionH>
                <wp:positionV relativeFrom="paragraph">
                  <wp:posOffset>4391660</wp:posOffset>
                </wp:positionV>
                <wp:extent cx="312420" cy="295275"/>
                <wp:effectExtent l="6985" t="6350" r="23495" b="22225"/>
                <wp:wrapNone/>
                <wp:docPr id="34" name="任意多边形 34"/>
                <wp:cNvGraphicFramePr/>
                <a:graphic xmlns:a="http://schemas.openxmlformats.org/drawingml/2006/main">
                  <a:graphicData uri="http://schemas.microsoft.com/office/word/2010/wordprocessingShape">
                    <wps:wsp>
                      <wps:cNvSpPr/>
                      <wps:spPr>
                        <a:xfrm>
                          <a:off x="6618605" y="3990975"/>
                          <a:ext cx="312420" cy="295275"/>
                        </a:xfrm>
                        <a:custGeom>
                          <a:avLst/>
                          <a:gdLst>
                            <a:gd name="connisteX0" fmla="*/ 623570 w 632460"/>
                            <a:gd name="connsiteY0" fmla="*/ 0 h 709930"/>
                            <a:gd name="connisteX1" fmla="*/ 251460 w 632460"/>
                            <a:gd name="connsiteY1" fmla="*/ 0 h 709930"/>
                            <a:gd name="connisteX2" fmla="*/ 242570 w 632460"/>
                            <a:gd name="connsiteY2" fmla="*/ 406400 h 709930"/>
                            <a:gd name="connisteX3" fmla="*/ 0 w 632460"/>
                            <a:gd name="connsiteY3" fmla="*/ 415290 h 709930"/>
                            <a:gd name="connisteX4" fmla="*/ 17780 w 632460"/>
                            <a:gd name="connsiteY4" fmla="*/ 701040 h 709930"/>
                            <a:gd name="connisteX5" fmla="*/ 632460 w 632460"/>
                            <a:gd name="connsiteY5" fmla="*/ 709930 h 709930"/>
                            <a:gd name="connisteX6" fmla="*/ 623570 w 632460"/>
                            <a:gd name="connsiteY6" fmla="*/ 0 h 7099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632460" h="709930">
                              <a:moveTo>
                                <a:pt x="623570" y="0"/>
                              </a:moveTo>
                              <a:lnTo>
                                <a:pt x="251460" y="0"/>
                              </a:lnTo>
                              <a:lnTo>
                                <a:pt x="242570" y="406400"/>
                              </a:lnTo>
                              <a:lnTo>
                                <a:pt x="0" y="415290"/>
                              </a:lnTo>
                              <a:lnTo>
                                <a:pt x="17780" y="701040"/>
                              </a:lnTo>
                              <a:lnTo>
                                <a:pt x="632460" y="709930"/>
                              </a:lnTo>
                              <a:lnTo>
                                <a:pt x="62357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0.8pt;margin-top:345.8pt;height:23.25pt;width:24.6pt;z-index:251715584;mso-width-relative:page;mso-height-relative:page;" filled="f" stroked="t" coordsize="632460,709930" o:gfxdata="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" path="m623570,0l251460,0,242570,406400,0,415290,17780,701040,632460,709930,623570,0xe">
                <v:path o:connectlocs="308028,0;124215,0;119823,169030;0,172727;8782,291577;312420,295275;308028,0" o:connectangles="0,0,0,0,0,0,0"/>
                <v:fill on="f"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1210310</wp:posOffset>
                </wp:positionH>
                <wp:positionV relativeFrom="paragraph">
                  <wp:posOffset>4764405</wp:posOffset>
                </wp:positionV>
                <wp:extent cx="303530" cy="181610"/>
                <wp:effectExtent l="6350" t="6350" r="13970" b="21590"/>
                <wp:wrapNone/>
                <wp:docPr id="38" name="矩形 38"/>
                <wp:cNvGraphicFramePr/>
                <a:graphic xmlns:a="http://schemas.openxmlformats.org/drawingml/2006/main">
                  <a:graphicData uri="http://schemas.microsoft.com/office/word/2010/wordprocessingShape">
                    <wps:wsp>
                      <wps:cNvSpPr/>
                      <wps:spPr>
                        <a:xfrm>
                          <a:off x="2211070" y="5324475"/>
                          <a:ext cx="303530" cy="18161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3pt;margin-top:375.15pt;height:14.3pt;width:23.9pt;z-index:251716608;v-text-anchor:middle;mso-width-relative:page;mso-height-relative:page;" filled="f" stroked="t" coordsize="21600,21600" o:gfxdata="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&#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yTTvw2gAAAAsBAAAPAAAAAAAAAAEAIAAAACIAAABk&#10;cnMvZG93bnJldi54bWxQSwECFAAUAAAACACHTuJA+556anYCAADYBAAADgAAAAAAAAABACAAAAAp&#10;AQAAZHJzL2Uyb0RvYy54bWxQSwUGAAAAAAYABgBZAQAAEQYAAAAA&#10;">
                <v:fill on="f" focussize="0,0"/>
                <v:stroke weight="1pt" color="#FFFF00 [24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641985</wp:posOffset>
                </wp:positionH>
                <wp:positionV relativeFrom="paragraph">
                  <wp:posOffset>4055110</wp:posOffset>
                </wp:positionV>
                <wp:extent cx="1687830" cy="1134745"/>
                <wp:effectExtent l="4445" t="4445" r="22225" b="22860"/>
                <wp:wrapNone/>
                <wp:docPr id="33" name="文本框 33"/>
                <wp:cNvGraphicFramePr/>
                <a:graphic xmlns:a="http://schemas.openxmlformats.org/drawingml/2006/main">
                  <a:graphicData uri="http://schemas.microsoft.com/office/word/2010/wordprocessingShape">
                    <wps:wsp>
                      <wps:cNvSpPr txBox="1"/>
                      <wps:spPr>
                        <a:xfrm>
                          <a:off x="1631315" y="4544695"/>
                          <a:ext cx="1687830" cy="1134745"/>
                        </a:xfrm>
                        <a:prstGeom prst="rect">
                          <a:avLst/>
                        </a:prstGeom>
                        <a:solidFill>
                          <a:schemeClr val="bg1">
                            <a:lumMod val="7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EE38739">
                            <w:pPr>
                              <w:jc w:val="center"/>
                              <w:rPr>
                                <w:rFonts w:hint="eastAsia"/>
                                <w:lang w:val="en-US" w:eastAsia="zh-CN"/>
                              </w:rPr>
                            </w:pPr>
                            <w:r>
                              <w:rPr>
                                <w:rFonts w:hint="eastAsia"/>
                                <w:lang w:val="en-US" w:eastAsia="zh-CN"/>
                              </w:rPr>
                              <w:t>图例</w:t>
                            </w:r>
                          </w:p>
                          <w:p w14:paraId="449B1709">
                            <w:pPr>
                              <w:rPr>
                                <w:rFonts w:hint="eastAsia"/>
                                <w:lang w:val="en-US" w:eastAsia="zh-CN"/>
                              </w:rPr>
                            </w:pPr>
                            <w:r>
                              <w:rPr>
                                <w:rFonts w:hint="eastAsia"/>
                                <w:lang w:val="en-US" w:eastAsia="zh-CN"/>
                              </w:rPr>
                              <w:t>项目位置：</w:t>
                            </w:r>
                          </w:p>
                          <w:p w14:paraId="793F629D">
                            <w:pPr>
                              <w:rPr>
                                <w:rFonts w:hint="default"/>
                                <w:lang w:val="en-US" w:eastAsia="zh-CN"/>
                              </w:rPr>
                            </w:pPr>
                            <w:r>
                              <w:rPr>
                                <w:rFonts w:hint="eastAsia"/>
                                <w:lang w:val="en-US" w:eastAsia="zh-CN"/>
                              </w:rPr>
                              <w:t>四至：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5pt;margin-top:319.3pt;height:89.35pt;width:132.9pt;z-index:251714560;mso-width-relative:page;mso-height-relative:page;" fillcolor="#BFBFBF [2412]" filled="t" stroked="t" coordsize="21600,21600" o:gfxdata="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3R8bI2gAAAAsBAAAPAAAAAAAAAAEAIAAA&#10;ACIAAABkcnMvZG93bnJldi54bWxQSwECFAAUAAAACACHTuJA99TDxXwCAADoBAAADgAAAAAAAAAB&#10;ACAAAAApAQAAZHJzL2Uyb0RvYy54bWxQSwUGAAAAAAYABgBZAQAAFwYAAAAA&#10;">
                <v:fill on="t" focussize="0,0"/>
                <v:stroke weight="0.5pt" color="#000000 [3204]" joinstyle="round"/>
                <v:imagedata o:title=""/>
                <o:lock v:ext="edit" aspectratio="f"/>
                <v:textbox>
                  <w:txbxContent>
                    <w:p w14:paraId="1EE38739">
                      <w:pPr>
                        <w:jc w:val="center"/>
                        <w:rPr>
                          <w:rFonts w:hint="eastAsia"/>
                          <w:lang w:val="en-US" w:eastAsia="zh-CN"/>
                        </w:rPr>
                      </w:pPr>
                      <w:r>
                        <w:rPr>
                          <w:rFonts w:hint="eastAsia"/>
                          <w:lang w:val="en-US" w:eastAsia="zh-CN"/>
                        </w:rPr>
                        <w:t>图例</w:t>
                      </w:r>
                    </w:p>
                    <w:p w14:paraId="449B1709">
                      <w:pPr>
                        <w:rPr>
                          <w:rFonts w:hint="eastAsia"/>
                          <w:lang w:val="en-US" w:eastAsia="zh-CN"/>
                        </w:rPr>
                      </w:pPr>
                      <w:r>
                        <w:rPr>
                          <w:rFonts w:hint="eastAsia"/>
                          <w:lang w:val="en-US" w:eastAsia="zh-CN"/>
                        </w:rPr>
                        <w:t>项目位置：</w:t>
                      </w:r>
                    </w:p>
                    <w:p w14:paraId="793F629D">
                      <w:pPr>
                        <w:rPr>
                          <w:rFonts w:hint="default"/>
                          <w:lang w:val="en-US" w:eastAsia="zh-CN"/>
                        </w:rPr>
                      </w:pPr>
                      <w:r>
                        <w:rPr>
                          <w:rFonts w:hint="eastAsia"/>
                          <w:lang w:val="en-US" w:eastAsia="zh-CN"/>
                        </w:rPr>
                        <w:t>四至：</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603250</wp:posOffset>
                </wp:positionH>
                <wp:positionV relativeFrom="paragraph">
                  <wp:posOffset>596265</wp:posOffset>
                </wp:positionV>
                <wp:extent cx="2168525" cy="3439795"/>
                <wp:effectExtent l="14605" t="14605" r="26670" b="31750"/>
                <wp:wrapNone/>
                <wp:docPr id="23" name="任意多边形 23"/>
                <wp:cNvGraphicFramePr/>
                <a:graphic xmlns:a="http://schemas.openxmlformats.org/drawingml/2006/main">
                  <a:graphicData uri="http://schemas.microsoft.com/office/word/2010/wordprocessingShape">
                    <wps:wsp>
                      <wps:cNvSpPr/>
                      <wps:spPr>
                        <a:xfrm>
                          <a:off x="1593215" y="1496060"/>
                          <a:ext cx="2168525" cy="3439795"/>
                        </a:xfrm>
                        <a:custGeom>
                          <a:avLst/>
                          <a:gdLst>
                            <a:gd name="connisteX0" fmla="*/ 0 w 2168525"/>
                            <a:gd name="connsiteY0" fmla="*/ 0 h 3439795"/>
                            <a:gd name="connisteX1" fmla="*/ 1978025 w 2168525"/>
                            <a:gd name="connsiteY1" fmla="*/ 8255 h 3439795"/>
                            <a:gd name="connisteX2" fmla="*/ 2168525 w 2168525"/>
                            <a:gd name="connsiteY2" fmla="*/ 337820 h 3439795"/>
                            <a:gd name="connisteX3" fmla="*/ 2168525 w 2168525"/>
                            <a:gd name="connsiteY3" fmla="*/ 3120390 h 3439795"/>
                            <a:gd name="connisteX4" fmla="*/ 2007235 w 2168525"/>
                            <a:gd name="connsiteY4" fmla="*/ 3439795 h 3439795"/>
                            <a:gd name="connisteX5" fmla="*/ 43815 w 2168525"/>
                            <a:gd name="connsiteY5" fmla="*/ 3329940 h 3439795"/>
                            <a:gd name="connisteX6" fmla="*/ 0 w 2168525"/>
                            <a:gd name="connsiteY6" fmla="*/ 0 h 34397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168525" h="3439795">
                              <a:moveTo>
                                <a:pt x="0" y="0"/>
                              </a:moveTo>
                              <a:lnTo>
                                <a:pt x="1978025" y="8255"/>
                              </a:lnTo>
                              <a:lnTo>
                                <a:pt x="2168525" y="337820"/>
                              </a:lnTo>
                              <a:lnTo>
                                <a:pt x="2168525" y="3120390"/>
                              </a:lnTo>
                              <a:lnTo>
                                <a:pt x="2007235" y="3439795"/>
                              </a:lnTo>
                              <a:lnTo>
                                <a:pt x="43815" y="3329940"/>
                              </a:lnTo>
                              <a:lnTo>
                                <a:pt x="0" y="0"/>
                              </a:lnTo>
                              <a:close/>
                            </a:path>
                          </a:pathLst>
                        </a:cu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5pt;margin-top:46.95pt;height:270.85pt;width:170.75pt;z-index:251720704;mso-width-relative:page;mso-height-relative:page;" filled="f" stroked="t" coordsize="2168525,3439795" o:gfxdata="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" path="m0,0l1978025,8255,2168525,337820,2168525,3120390,2007235,3439795,43815,3329940,0,0xe">
                <v:path o:connectlocs="0,0;1978025,8255;2168525,337820;2168525,3120390;2007235,3439795;43815,3329940;0,0" o:connectangles="0,0,0,0,0,0,0"/>
                <v:fill on="f" focussize="0,0"/>
                <v:stroke weight="2.25pt" color="#FFFF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3274060</wp:posOffset>
                </wp:positionH>
                <wp:positionV relativeFrom="paragraph">
                  <wp:posOffset>2779395</wp:posOffset>
                </wp:positionV>
                <wp:extent cx="1831975" cy="662940"/>
                <wp:effectExtent l="0" t="0" r="0" b="0"/>
                <wp:wrapNone/>
                <wp:docPr id="41" name="文本框 41"/>
                <wp:cNvGraphicFramePr/>
                <a:graphic xmlns:a="http://schemas.openxmlformats.org/drawingml/2006/main">
                  <a:graphicData uri="http://schemas.microsoft.com/office/word/2010/wordprocessingShape">
                    <wps:wsp>
                      <wps:cNvSpPr txBox="1"/>
                      <wps:spPr>
                        <a:xfrm>
                          <a:off x="4843780" y="3679190"/>
                          <a:ext cx="1831975" cy="662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366400">
                            <w:pPr>
                              <w:rPr>
                                <w:rFonts w:hint="default"/>
                                <w:highlight w:val="yellow"/>
                                <w:lang w:val="en-US"/>
                              </w:rPr>
                            </w:pPr>
                            <w:r>
                              <w:rPr>
                                <w:rFonts w:hint="default"/>
                                <w:highlight w:val="yellow"/>
                                <w:lang w:val="en-US"/>
                              </w:rPr>
                              <w:t>欧昊科技韶关有限公司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8pt;margin-top:218.85pt;height:52.2pt;width:144.25pt;z-index:251717632;mso-width-relative:page;mso-height-relative:page;" filled="f" stroked="f" coordsize="21600,21600" o:gfxdata="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2m8w9wAAAALAQAADwAAAAAA&#10;AAABACAAAAAiAAAAZHJzL2Rvd25yZXYueG1sUEsBAhQAFAAAAAgAh07iQChyEy9IAgAAdAQAAA4A&#10;AAAAAAAAAQAgAAAAKwEAAGRycy9lMm9Eb2MueG1sUEsFBgAAAAAGAAYAWQEAAOUFAAAAAA==&#10;">
                <v:fill on="f" focussize="0,0"/>
                <v:stroke on="f" weight="0.5pt"/>
                <v:imagedata o:title=""/>
                <o:lock v:ext="edit" aspectratio="f"/>
                <v:textbox>
                  <w:txbxContent>
                    <w:p w14:paraId="63366400">
                      <w:pPr>
                        <w:rPr>
                          <w:rFonts w:hint="default"/>
                          <w:highlight w:val="yellow"/>
                          <w:lang w:val="en-US"/>
                        </w:rPr>
                      </w:pPr>
                      <w:r>
                        <w:rPr>
                          <w:rFonts w:hint="default"/>
                          <w:highlight w:val="yellow"/>
                          <w:lang w:val="en-US"/>
                        </w:rPr>
                        <w:t>欧昊科技韶关有限公司</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3576320</wp:posOffset>
                </wp:positionH>
                <wp:positionV relativeFrom="paragraph">
                  <wp:posOffset>533400</wp:posOffset>
                </wp:positionV>
                <wp:extent cx="914400" cy="914400"/>
                <wp:effectExtent l="0" t="0" r="0" b="0"/>
                <wp:wrapNone/>
                <wp:docPr id="15" name="文本框 15"/>
                <wp:cNvGraphicFramePr/>
                <a:graphic xmlns:a="http://schemas.openxmlformats.org/drawingml/2006/main">
                  <a:graphicData uri="http://schemas.microsoft.com/office/word/2010/wordprocessingShape">
                    <wps:wsp>
                      <wps:cNvSpPr txBox="1"/>
                      <wps:spPr>
                        <a:xfrm>
                          <a:off x="4834890" y="1095375"/>
                          <a:ext cx="91440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9ABC3F">
                            <w:pPr>
                              <w:rPr>
                                <w:highlight w:val="yellow"/>
                              </w:rPr>
                            </w:pPr>
                            <w:r>
                              <w:rPr>
                                <w:rFonts w:hint="eastAsia"/>
                                <w:highlight w:val="yellow"/>
                              </w:rPr>
                              <w:t>众诚实业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6pt;margin-top:42pt;height:72pt;width:72pt;z-index:251713536;mso-width-relative:page;mso-height-relative:page;" filled="f" stroked="f" coordsize="21600,21600" o:gfxdata="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2EJR02wAAAAoBAAAPAAAAAAAAAAEAIAAA&#10;ACIAAABkcnMvZG93bnJldi54bWxQSwECFAAUAAAACACHTuJA7+frCEICAABzBAAADgAAAAAAAAAB&#10;ACAAAAAqAQAAZHJzL2Uyb0RvYy54bWxQSwUGAAAAAAYABgBZAQAA3gUAAAAA&#10;">
                <v:fill on="f" focussize="0,0"/>
                <v:stroke on="f" weight="0.5pt"/>
                <v:imagedata o:title=""/>
                <o:lock v:ext="edit" aspectratio="f"/>
                <v:textbox>
                  <w:txbxContent>
                    <w:p w14:paraId="259ABC3F">
                      <w:pPr>
                        <w:rPr>
                          <w:highlight w:val="yellow"/>
                        </w:rPr>
                      </w:pPr>
                      <w:r>
                        <w:rPr>
                          <w:rFonts w:hint="eastAsia"/>
                          <w:highlight w:val="yellow"/>
                        </w:rPr>
                        <w:t>众诚实业</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4641215</wp:posOffset>
                </wp:positionH>
                <wp:positionV relativeFrom="paragraph">
                  <wp:posOffset>965835</wp:posOffset>
                </wp:positionV>
                <wp:extent cx="1590675" cy="638175"/>
                <wp:effectExtent l="0" t="0" r="0" b="0"/>
                <wp:wrapNone/>
                <wp:docPr id="12" name="文本框 12"/>
                <wp:cNvGraphicFramePr/>
                <a:graphic xmlns:a="http://schemas.openxmlformats.org/drawingml/2006/main">
                  <a:graphicData uri="http://schemas.microsoft.com/office/word/2010/wordprocessingShape">
                    <wps:wsp>
                      <wps:cNvSpPr txBox="1"/>
                      <wps:spPr>
                        <a:xfrm>
                          <a:off x="6263640" y="2151380"/>
                          <a:ext cx="1590675" cy="638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227216">
                            <w:pPr>
                              <w:jc w:val="center"/>
                              <w:rPr>
                                <w:rFonts w:hint="default"/>
                                <w:highlight w:val="yellow"/>
                                <w:lang w:val="en-US"/>
                              </w:rPr>
                            </w:pPr>
                            <w:r>
                              <w:rPr>
                                <w:rFonts w:hint="default"/>
                                <w:highlight w:val="yellow"/>
                                <w:lang w:val="en-US"/>
                              </w:rPr>
                              <w:t>广东科优精密机械制造有限公司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45pt;margin-top:76.05pt;height:50.25pt;width:125.25pt;z-index:251712512;mso-width-relative:page;mso-height-relative:page;" filled="f" stroked="f" coordsize="21600,21600" o:gfxdata="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E+jlLcAAAACwEAAA8AAAAAAAAA&#10;AQAgAAAAIgAAAGRycy9kb3ducmV2LnhtbFBLAQIUABQAAAAIAIdO4kCx20DoRgIAAHQEAAAOAAAA&#10;AAAAAAEAIAAAACsBAABkcnMvZTJvRG9jLnhtbFBLBQYAAAAABgAGAFkBAADjBQAAAAA=&#10;">
                <v:fill on="f" focussize="0,0"/>
                <v:stroke on="f" weight="0.5pt"/>
                <v:imagedata o:title=""/>
                <o:lock v:ext="edit" aspectratio="f"/>
                <v:textbox>
                  <w:txbxContent>
                    <w:p w14:paraId="64227216">
                      <w:pPr>
                        <w:jc w:val="center"/>
                        <w:rPr>
                          <w:rFonts w:hint="default"/>
                          <w:highlight w:val="yellow"/>
                          <w:lang w:val="en-US"/>
                        </w:rPr>
                      </w:pPr>
                      <w:r>
                        <w:rPr>
                          <w:rFonts w:hint="default"/>
                          <w:highlight w:val="yellow"/>
                          <w:lang w:val="en-US"/>
                        </w:rPr>
                        <w:t>广东科优精密机械制造有限公司</w:t>
                      </w:r>
                    </w:p>
                  </w:txbxContent>
                </v:textbox>
              </v:shape>
            </w:pict>
          </mc:Fallback>
        </mc:AlternateContent>
      </w:r>
      <w:r>
        <w:rPr>
          <w:rFonts w:hint="default" w:ascii="Times New Roman" w:hAnsi="Times New Roman" w:cs="Times New Roman"/>
          <w:color w:val="auto"/>
          <w:highlight w:val="none"/>
        </w:rPr>
        <w:drawing>
          <wp:inline distT="0" distB="0" distL="114300" distR="114300">
            <wp:extent cx="7553325" cy="4852670"/>
            <wp:effectExtent l="0" t="0" r="3175"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9"/>
                    <a:stretch>
                      <a:fillRect/>
                    </a:stretch>
                  </pic:blipFill>
                  <pic:spPr>
                    <a:xfrm>
                      <a:off x="0" y="0"/>
                      <a:ext cx="7553325" cy="4852670"/>
                    </a:xfrm>
                    <a:prstGeom prst="rect">
                      <a:avLst/>
                    </a:prstGeom>
                    <a:noFill/>
                    <a:ln>
                      <a:noFill/>
                    </a:ln>
                  </pic:spPr>
                </pic:pic>
              </a:graphicData>
            </a:graphic>
          </wp:inline>
        </w:drawing>
      </w:r>
    </w:p>
    <w:p w14:paraId="596C9391">
      <w:pPr>
        <w:pStyle w:val="54"/>
        <w:pageBreakBefore w:val="0"/>
        <w:wordWrap w:val="0"/>
        <w:bidi w:val="0"/>
        <w:jc w:val="center"/>
        <w:outlineLvl w:val="0"/>
        <w:rPr>
          <w:rFonts w:hint="default" w:ascii="Times New Roman" w:hAnsi="Times New Roman" w:cs="Times New Roman"/>
          <w:color w:val="auto"/>
          <w:sz w:val="24"/>
          <w:szCs w:val="24"/>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50" w:name="_Toc3325"/>
      <w:r>
        <w:rPr>
          <w:rFonts w:hint="default" w:ascii="Times New Roman" w:hAnsi="Times New Roman" w:cs="Times New Roman"/>
          <w:color w:val="auto"/>
          <w:sz w:val="24"/>
          <w:highlight w:val="none"/>
        </w:rPr>
        <mc:AlternateContent>
          <mc:Choice Requires="wpg">
            <w:drawing>
              <wp:anchor distT="0" distB="0" distL="114300" distR="114300" simplePos="0" relativeHeight="251668480" behindDoc="0" locked="0" layoutInCell="1" allowOverlap="1">
                <wp:simplePos x="0" y="0"/>
                <wp:positionH relativeFrom="column">
                  <wp:posOffset>1212850</wp:posOffset>
                </wp:positionH>
                <wp:positionV relativeFrom="paragraph">
                  <wp:posOffset>3641725</wp:posOffset>
                </wp:positionV>
                <wp:extent cx="1200150" cy="1000125"/>
                <wp:effectExtent l="5080" t="4445" r="13970" b="5080"/>
                <wp:wrapNone/>
                <wp:docPr id="58" name="组合 58"/>
                <wp:cNvGraphicFramePr/>
                <a:graphic xmlns:a="http://schemas.openxmlformats.org/drawingml/2006/main">
                  <a:graphicData uri="http://schemas.microsoft.com/office/word/2010/wordprocessingGroup">
                    <wpg:wgp>
                      <wpg:cNvGrpSpPr/>
                      <wpg:grpSpPr>
                        <a:xfrm>
                          <a:off x="0" y="0"/>
                          <a:ext cx="1200150" cy="1000125"/>
                          <a:chOff x="15112" y="1682833"/>
                          <a:chExt cx="1890" cy="1575"/>
                        </a:xfrm>
                      </wpg:grpSpPr>
                      <wps:wsp>
                        <wps:cNvPr id="66" name="文本框 66"/>
                        <wps:cNvSpPr txBox="1"/>
                        <wps:spPr>
                          <a:xfrm>
                            <a:off x="15112" y="1682833"/>
                            <a:ext cx="1890" cy="1575"/>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3BE8BB">
                              <w:pPr>
                                <w:jc w:val="center"/>
                                <w:rPr>
                                  <w:b/>
                                  <w:bCs/>
                                </w:rPr>
                              </w:pPr>
                              <w:r>
                                <w:rPr>
                                  <w:rFonts w:hint="eastAsia"/>
                                  <w:b/>
                                  <w:bCs/>
                                </w:rPr>
                                <w:t>图例</w:t>
                              </w:r>
                            </w:p>
                            <w:p w14:paraId="10DC199E">
                              <w:pPr>
                                <w:pStyle w:val="43"/>
                              </w:pPr>
                              <w:r>
                                <w:rPr>
                                  <w:rFonts w:hint="eastAsia"/>
                                </w:rPr>
                                <w:t>项目位置：</w:t>
                              </w:r>
                            </w:p>
                            <w:p w14:paraId="74FCE000">
                              <w:pPr>
                                <w:pStyle w:val="43"/>
                              </w:pPr>
                              <w:r>
                                <w:rPr>
                                  <w:rFonts w:hint="eastAsia"/>
                                </w:rPr>
                                <w:t>四至情况：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矩形 125"/>
                        <wps:cNvSpPr/>
                        <wps:spPr>
                          <a:xfrm>
                            <a:off x="16432" y="1683493"/>
                            <a:ext cx="435" cy="240"/>
                          </a:xfrm>
                          <a:prstGeom prst="rect">
                            <a:avLst/>
                          </a:prstGeom>
                          <a:noFill/>
                          <a:ln w="28575">
                            <a:solidFill>
                              <a:srgbClr val="56C7A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矩形 129"/>
                        <wps:cNvSpPr/>
                        <wps:spPr>
                          <a:xfrm>
                            <a:off x="16452" y="1683973"/>
                            <a:ext cx="435" cy="240"/>
                          </a:xfrm>
                          <a:prstGeom prst="rect">
                            <a:avLst/>
                          </a:prstGeom>
                          <a:noFill/>
                          <a:ln w="28575">
                            <a:solidFill>
                              <a:srgbClr val="322EB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95.5pt;margin-top:286.75pt;height:78.75pt;width:94.5pt;z-index:251668480;mso-width-relative:page;mso-height-relative:page;" coordorigin="15112,1682833" coordsize="1890,1575" o:gfxdata="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">
                <o:lock v:ext="edit" aspectratio="f"/>
                <v:shape id="_x0000_s1026" o:spid="_x0000_s1026" o:spt="202" type="#_x0000_t202" style="position:absolute;left:15112;top:1682833;height:1575;width:1890;" fillcolor="#DEEBF7 [660]" filled="t" stroked="t" coordsize="21600,21600" o:gfxdata="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b0qIL4A&#10;AADbAAAADwAAAAAAAAABACAAAAAiAAAAZHJzL2Rvd25yZXYueG1sUEsBAhQAFAAAAAgAh07iQDMv&#10;BZ47AAAAOQAAABAAAAAAAAAAAQAgAAAADQEAAGRycy9zaGFwZXhtbC54bWxQSwUGAAAAAAYABgBb&#10;AQAAtwMAAAAA&#10;">
                  <v:fill on="t" focussize="0,0"/>
                  <v:stroke weight="0.5pt" color="#000000 [3204]" joinstyle="round"/>
                  <v:imagedata o:title=""/>
                  <o:lock v:ext="edit" aspectratio="f"/>
                  <v:textbox>
                    <w:txbxContent>
                      <w:p w14:paraId="723BE8BB">
                        <w:pPr>
                          <w:jc w:val="center"/>
                          <w:rPr>
                            <w:b/>
                            <w:bCs/>
                          </w:rPr>
                        </w:pPr>
                        <w:r>
                          <w:rPr>
                            <w:rFonts w:hint="eastAsia"/>
                            <w:b/>
                            <w:bCs/>
                          </w:rPr>
                          <w:t>图例</w:t>
                        </w:r>
                      </w:p>
                      <w:p w14:paraId="10DC199E">
                        <w:pPr>
                          <w:pStyle w:val="43"/>
                        </w:pPr>
                        <w:r>
                          <w:rPr>
                            <w:rFonts w:hint="eastAsia"/>
                          </w:rPr>
                          <w:t>项目位置：</w:t>
                        </w:r>
                      </w:p>
                      <w:p w14:paraId="74FCE000">
                        <w:pPr>
                          <w:pStyle w:val="43"/>
                        </w:pPr>
                        <w:r>
                          <w:rPr>
                            <w:rFonts w:hint="eastAsia"/>
                          </w:rPr>
                          <w:t>四至情况：</w:t>
                        </w:r>
                      </w:p>
                    </w:txbxContent>
                  </v:textbox>
                </v:shape>
                <v:rect id="_x0000_s1026" o:spid="_x0000_s1026" o:spt="1" style="position:absolute;left:16432;top:1683493;height:240;width:435;v-text-anchor:middle;" filled="f" stroked="t" coordsize="21600,21600" o:gfxdata="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n7EZ7sAAADc&#10;AAAADwAAAAAAAAABACAAAAAiAAAAZHJzL2Rvd25yZXYueG1sUEsBAhQAFAAAAAgAh07iQDMvBZ47&#10;AAAAOQAAABAAAAAAAAAAAQAgAAAACgEAAGRycy9zaGFwZXhtbC54bWxQSwUGAAAAAAYABgBbAQAA&#10;tAMAAAAA&#10;">
                  <v:fill on="f" focussize="0,0"/>
                  <v:stroke weight="2.25pt" color="#56C7AF [3204]" miterlimit="8" joinstyle="miter"/>
                  <v:imagedata o:title=""/>
                  <o:lock v:ext="edit" aspectratio="f"/>
                </v:rect>
                <v:rect id="_x0000_s1026" o:spid="_x0000_s1026" o:spt="1" style="position:absolute;left:16452;top:1683973;height:240;width:435;v-text-anchor:middle;" filled="f" stroked="t" coordsize="21600,21600" o:gfxdata="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9MB1W8AAAA&#10;3AAAAA8AAAAAAAAAAQAgAAAAIgAAAGRycy9kb3ducmV2LnhtbFBLAQIUABQAAAAIAIdO4kAzLwWe&#10;OwAAADkAAAAQAAAAAAAAAAEAIAAAAAsBAABkcnMvc2hhcGV4bWwueG1sUEsFBgAAAAAGAAYAWwEA&#10;ALUDAAAAAA==&#10;">
                  <v:fill on="f" focussize="0,0"/>
                  <v:stroke weight="2.25pt" color="#322EB9 [3204]" miterlimit="8" joinstyle="miter"/>
                  <v:imagedata o:title=""/>
                  <o:lock v:ext="edit" aspectratio="f"/>
                </v:rect>
              </v:group>
            </w:pict>
          </mc:Fallback>
        </mc:AlternateContent>
      </w:r>
      <w:r>
        <w:rPr>
          <w:rFonts w:hint="default" w:ascii="Times New Roman" w:hAnsi="Times New Roman" w:cs="Times New Roman"/>
          <w:color w:val="auto"/>
          <w:sz w:val="24"/>
          <w:szCs w:val="24"/>
          <w:highlight w:val="none"/>
        </w:rPr>
        <w:t>附图2 项目四至情况</w:t>
      </w:r>
      <w:bookmarkEnd w:id="148"/>
      <w:bookmarkEnd w:id="149"/>
      <w:bookmarkEnd w:id="150"/>
    </w:p>
    <w:p w14:paraId="0D75E564">
      <w:pPr>
        <w:pageBreakBefore w:val="0"/>
        <w:wordWrap w:val="0"/>
        <w:bidi w:val="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5729605" cy="5354955"/>
            <wp:effectExtent l="0" t="0" r="10795" b="444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20"/>
                    <a:stretch>
                      <a:fillRect/>
                    </a:stretch>
                  </pic:blipFill>
                  <pic:spPr>
                    <a:xfrm>
                      <a:off x="0" y="0"/>
                      <a:ext cx="5729605" cy="5354955"/>
                    </a:xfrm>
                    <a:prstGeom prst="rect">
                      <a:avLst/>
                    </a:prstGeom>
                    <a:noFill/>
                    <a:ln>
                      <a:noFill/>
                    </a:ln>
                  </pic:spPr>
                </pic:pic>
              </a:graphicData>
            </a:graphic>
          </wp:inline>
        </w:drawing>
      </w:r>
      <w:r>
        <w:rPr>
          <w:rFonts w:hint="default" w:ascii="Times New Roman" w:hAnsi="Times New Roman" w:cs="Times New Roman"/>
          <w:color w:val="auto"/>
          <w:highlight w:val="none"/>
        </w:rPr>
        <w:drawing>
          <wp:anchor distT="0" distB="0" distL="114300" distR="114300" simplePos="0" relativeHeight="251761664" behindDoc="0" locked="0" layoutInCell="1" allowOverlap="1">
            <wp:simplePos x="0" y="0"/>
            <wp:positionH relativeFrom="column">
              <wp:posOffset>43815</wp:posOffset>
            </wp:positionH>
            <wp:positionV relativeFrom="paragraph">
              <wp:posOffset>5088255</wp:posOffset>
            </wp:positionV>
            <wp:extent cx="838200" cy="306705"/>
            <wp:effectExtent l="0" t="0" r="0" b="10795"/>
            <wp:wrapNone/>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21"/>
                    <a:stretch>
                      <a:fillRect/>
                    </a:stretch>
                  </pic:blipFill>
                  <pic:spPr>
                    <a:xfrm>
                      <a:off x="0" y="0"/>
                      <a:ext cx="838200" cy="306705"/>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60640" behindDoc="0" locked="0" layoutInCell="1" allowOverlap="1">
                <wp:simplePos x="0" y="0"/>
                <wp:positionH relativeFrom="column">
                  <wp:posOffset>513715</wp:posOffset>
                </wp:positionH>
                <wp:positionV relativeFrom="paragraph">
                  <wp:posOffset>3015615</wp:posOffset>
                </wp:positionV>
                <wp:extent cx="638810" cy="367665"/>
                <wp:effectExtent l="0" t="0" r="0" b="0"/>
                <wp:wrapNone/>
                <wp:docPr id="127" name="圆角矩形标注 127"/>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41550"/>
                            <a:gd name="adj2" fmla="val 17357"/>
                            <a:gd name="adj3" fmla="val 16667"/>
                          </a:avLst>
                        </a:prstGeom>
                        <a:noFill/>
                        <a:ln>
                          <a:noFill/>
                        </a:ln>
                      </wps:spPr>
                      <wps:style>
                        <a:lnRef idx="2">
                          <a:schemeClr val="accent1"/>
                        </a:lnRef>
                        <a:fillRef idx="0">
                          <a:srgbClr val="FFFFFF"/>
                        </a:fillRef>
                        <a:effectRef idx="0">
                          <a:srgbClr val="FFFFFF"/>
                        </a:effectRef>
                        <a:fontRef idx="minor">
                          <a:schemeClr val="tx1"/>
                        </a:fontRef>
                      </wps:style>
                      <wps:txbx>
                        <w:txbxContent>
                          <w:p w14:paraId="4F9425C4">
                            <w:pPr>
                              <w:jc w:val="center"/>
                              <w:rPr>
                                <w:rFonts w:hint="eastAsia" w:eastAsia="宋体"/>
                                <w:sz w:val="20"/>
                                <w:szCs w:val="20"/>
                                <w:highlight w:val="yellow"/>
                                <w:lang w:val="en-US" w:eastAsia="zh-CN"/>
                              </w:rPr>
                            </w:pPr>
                            <w:r>
                              <w:rPr>
                                <w:rFonts w:hint="eastAsia"/>
                                <w:sz w:val="20"/>
                                <w:szCs w:val="20"/>
                                <w:highlight w:val="yellow"/>
                                <w:lang w:val="en-US" w:eastAsia="zh-CN"/>
                              </w:rPr>
                              <w:t>DW001间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0.45pt;margin-top:237.45pt;height:28.95pt;width:50.3pt;z-index:251760640;v-text-anchor:middle;mso-width-relative:page;mso-height-relative:page;" filled="f" stroked="f" coordsize="21600,21600" o:gfxdata="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gizic9oAAAAKAQAADwAAAAAAAAABACAAAAAiAAAA&#10;ZHJzL2Rvd25yZXYueG1sUEsBAhQAFAAAAAgAh07iQHbnNkSwAgAAQgUAAA4AAAAAAAAAAQAgAAAA&#10;KQEAAGRycy9lMm9Eb2MueG1sUEsFBgAAAAAGAAYAWQEAAEsGAAAAAA==&#10;" adj="19775,14549,14400">
                <v:fill on="f" focussize="0,0"/>
                <v:stroke on="f" weight="1pt" miterlimit="8" joinstyle="miter"/>
                <v:imagedata o:title=""/>
                <o:lock v:ext="edit" aspectratio="f"/>
                <v:textbox>
                  <w:txbxContent>
                    <w:p w14:paraId="4F9425C4">
                      <w:pPr>
                        <w:jc w:val="center"/>
                        <w:rPr>
                          <w:rFonts w:hint="eastAsia" w:eastAsia="宋体"/>
                          <w:sz w:val="20"/>
                          <w:szCs w:val="20"/>
                          <w:highlight w:val="yellow"/>
                          <w:lang w:val="en-US" w:eastAsia="zh-CN"/>
                        </w:rPr>
                      </w:pPr>
                      <w:r>
                        <w:rPr>
                          <w:rFonts w:hint="eastAsia"/>
                          <w:sz w:val="20"/>
                          <w:szCs w:val="20"/>
                          <w:highlight w:val="yellow"/>
                          <w:lang w:val="en-US" w:eastAsia="zh-CN"/>
                        </w:rPr>
                        <w:t>DW001间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8592" behindDoc="0" locked="0" layoutInCell="1" allowOverlap="1">
                <wp:simplePos x="0" y="0"/>
                <wp:positionH relativeFrom="column">
                  <wp:posOffset>2990850</wp:posOffset>
                </wp:positionH>
                <wp:positionV relativeFrom="paragraph">
                  <wp:posOffset>4540885</wp:posOffset>
                </wp:positionV>
                <wp:extent cx="638810" cy="367665"/>
                <wp:effectExtent l="0" t="0" r="0" b="0"/>
                <wp:wrapNone/>
                <wp:docPr id="124" name="圆角矩形标注 124"/>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41550"/>
                            <a:gd name="adj2" fmla="val 17357"/>
                            <a:gd name="adj3" fmla="val 16667"/>
                          </a:avLst>
                        </a:prstGeom>
                        <a:noFill/>
                        <a:ln>
                          <a:noFill/>
                        </a:ln>
                      </wps:spPr>
                      <wps:style>
                        <a:lnRef idx="2">
                          <a:schemeClr val="accent1"/>
                        </a:lnRef>
                        <a:fillRef idx="0">
                          <a:srgbClr val="FFFFFF"/>
                        </a:fillRef>
                        <a:effectRef idx="0">
                          <a:srgbClr val="FFFFFF"/>
                        </a:effectRef>
                        <a:fontRef idx="minor">
                          <a:schemeClr val="tx1"/>
                        </a:fontRef>
                      </wps:style>
                      <wps:txbx>
                        <w:txbxContent>
                          <w:p w14:paraId="44A757E0">
                            <w:pPr>
                              <w:jc w:val="center"/>
                              <w:rPr>
                                <w:rFonts w:hint="eastAsia" w:eastAsia="宋体"/>
                                <w:sz w:val="20"/>
                                <w:szCs w:val="20"/>
                                <w:lang w:val="en-US" w:eastAsia="zh-CN"/>
                              </w:rPr>
                            </w:pPr>
                            <w:r>
                              <w:rPr>
                                <w:rFonts w:hint="eastAsia"/>
                                <w:sz w:val="20"/>
                                <w:szCs w:val="20"/>
                                <w:highlight w:val="yellow"/>
                                <w:lang w:val="en-US" w:eastAsia="zh-CN"/>
                              </w:rPr>
                              <w:t>DA001</w:t>
                            </w:r>
                            <w:r>
                              <w:rPr>
                                <w:rFonts w:hint="eastAsia"/>
                                <w:sz w:val="20"/>
                                <w:szCs w:val="20"/>
                                <w:lang w:val="en-US" w:eastAsia="zh-CN"/>
                              </w:rPr>
                              <w:t>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5.5pt;margin-top:357.55pt;height:28.95pt;width:50.3pt;z-index:251758592;v-text-anchor:middle;mso-width-relative:page;mso-height-relative:page;" filled="f" stroked="f" coordsize="21600,21600" o:gfxdata="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IqqCnXbAAAACwEAAA8AAAAAAAAAAQAgAAAAIgAA&#10;AGRycy9kb3ducmV2LnhtbFBLAQIUABQAAAAIAIdO4kBHhlRWsAIAAEIFAAAOAAAAAAAAAAEAIAAA&#10;ACoBAABkcnMvZTJvRG9jLnhtbFBLBQYAAAAABgAGAFkBAABMBgAAAAA=&#10;" adj="19775,14549,14400">
                <v:fill on="f" focussize="0,0"/>
                <v:stroke on="f" weight="1pt" miterlimit="8" joinstyle="miter"/>
                <v:imagedata o:title=""/>
                <o:lock v:ext="edit" aspectratio="f"/>
                <v:textbox>
                  <w:txbxContent>
                    <w:p w14:paraId="44A757E0">
                      <w:pPr>
                        <w:jc w:val="center"/>
                        <w:rPr>
                          <w:rFonts w:hint="eastAsia" w:eastAsia="宋体"/>
                          <w:sz w:val="20"/>
                          <w:szCs w:val="20"/>
                          <w:lang w:val="en-US" w:eastAsia="zh-CN"/>
                        </w:rPr>
                      </w:pPr>
                      <w:r>
                        <w:rPr>
                          <w:rFonts w:hint="eastAsia"/>
                          <w:sz w:val="20"/>
                          <w:szCs w:val="20"/>
                          <w:highlight w:val="yellow"/>
                          <w:lang w:val="en-US" w:eastAsia="zh-CN"/>
                        </w:rPr>
                        <w:t>DA001</w:t>
                      </w:r>
                      <w:r>
                        <w:rPr>
                          <w:rFonts w:hint="eastAsia"/>
                          <w:sz w:val="20"/>
                          <w:szCs w:val="20"/>
                          <w:lang w:val="en-US" w:eastAsia="zh-CN"/>
                        </w:rPr>
                        <w:t>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9616" behindDoc="0" locked="0" layoutInCell="1" allowOverlap="1">
                <wp:simplePos x="0" y="0"/>
                <wp:positionH relativeFrom="column">
                  <wp:posOffset>271145</wp:posOffset>
                </wp:positionH>
                <wp:positionV relativeFrom="paragraph">
                  <wp:posOffset>3101975</wp:posOffset>
                </wp:positionV>
                <wp:extent cx="219075" cy="210820"/>
                <wp:effectExtent l="6350" t="6350" r="22225" b="11430"/>
                <wp:wrapNone/>
                <wp:docPr id="126" name="流程图: 汇总连接 126"/>
                <wp:cNvGraphicFramePr/>
                <a:graphic xmlns:a="http://schemas.openxmlformats.org/drawingml/2006/main">
                  <a:graphicData uri="http://schemas.microsoft.com/office/word/2010/wordprocessingShape">
                    <wps:wsp>
                      <wps:cNvSpPr/>
                      <wps:spPr>
                        <a:xfrm>
                          <a:off x="2281555" y="3831590"/>
                          <a:ext cx="219075" cy="210820"/>
                        </a:xfrm>
                        <a:prstGeom prst="flowChartSummingJunction">
                          <a:avLst/>
                        </a:prstGeom>
                        <a:solidFill>
                          <a:srgbClr val="0070C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21.35pt;margin-top:244.25pt;height:16.6pt;width:17.25pt;z-index:251759616;v-text-anchor:middle;mso-width-relative:page;mso-height-relative:page;" fillcolor="#0070C0" filled="t" stroked="t" coordsize="21600,21600" o:gfxdata="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R8M709cAAAAJAQAADwAAAAAAAAABACAAAAAiAAAAZHJzL2Rvd25y&#10;ZXYueG1sUEsBAhQAFAAAAAgAh07iQPcaPt2qAgAAKAUAAA4AAAAAAAAAAQAgAAAAJgEAAGRycy9l&#10;Mm9Eb2MueG1sUEsFBgAAAAAGAAYAWQEAAEIGAAAAAA==&#1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7568" behindDoc="0" locked="0" layoutInCell="1" allowOverlap="1">
                <wp:simplePos x="0" y="0"/>
                <wp:positionH relativeFrom="column">
                  <wp:posOffset>3178810</wp:posOffset>
                </wp:positionH>
                <wp:positionV relativeFrom="paragraph">
                  <wp:posOffset>4197350</wp:posOffset>
                </wp:positionV>
                <wp:extent cx="125730" cy="337185"/>
                <wp:effectExtent l="6350" t="6350" r="20320" b="18415"/>
                <wp:wrapNone/>
                <wp:docPr id="123" name="圆柱形 123"/>
                <wp:cNvGraphicFramePr/>
                <a:graphic xmlns:a="http://schemas.openxmlformats.org/drawingml/2006/main">
                  <a:graphicData uri="http://schemas.microsoft.com/office/word/2010/wordprocessingShape">
                    <wps:wsp>
                      <wps:cNvSpPr/>
                      <wps:spPr>
                        <a:xfrm>
                          <a:off x="3773170" y="5003165"/>
                          <a:ext cx="125730" cy="337185"/>
                        </a:xfrm>
                        <a:prstGeom prst="can">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250.3pt;margin-top:330.5pt;height:26.55pt;width:9.9pt;z-index:251757568;v-text-anchor:middle;mso-width-relative:page;mso-height-relative:page;" fillcolor="#FF0000" filled="t" stroked="t" coordsize="21600,21600" o:gfxdata="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ai0jzYAAAACwEAAA8AAAAAAAAA&#10;AQAgAAAAIgAAAGRycy9kb3ducmV2LnhtbFBLAQIUABQAAAAIAIdO4kDBL2xrgwIAAAUFAAAOAAAA&#10;AAAAAAEAIAAAACcBAABkcnMvZTJvRG9jLnhtbFBLBQYAAAAABgAGAFkBAAAcBgAAAAA=&#10;" adj="2014">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8112" behindDoc="0" locked="0" layoutInCell="1" allowOverlap="1">
                <wp:simplePos x="0" y="0"/>
                <wp:positionH relativeFrom="column">
                  <wp:posOffset>2131060</wp:posOffset>
                </wp:positionH>
                <wp:positionV relativeFrom="paragraph">
                  <wp:posOffset>1075055</wp:posOffset>
                </wp:positionV>
                <wp:extent cx="638810" cy="367665"/>
                <wp:effectExtent l="0" t="0" r="0" b="0"/>
                <wp:wrapNone/>
                <wp:docPr id="63" name="圆角矩形标注 63"/>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41550"/>
                            <a:gd name="adj2" fmla="val 17357"/>
                            <a:gd name="adj3" fmla="val 16667"/>
                          </a:avLst>
                        </a:prstGeom>
                        <a:noFill/>
                        <a:ln>
                          <a:noFill/>
                        </a:ln>
                      </wps:spPr>
                      <wps:style>
                        <a:lnRef idx="2">
                          <a:schemeClr val="accent1"/>
                        </a:lnRef>
                        <a:fillRef idx="0">
                          <a:srgbClr val="FFFFFF"/>
                        </a:fillRef>
                        <a:effectRef idx="0">
                          <a:srgbClr val="FFFFFF"/>
                        </a:effectRef>
                        <a:fontRef idx="minor">
                          <a:schemeClr val="tx1"/>
                        </a:fontRef>
                      </wps:style>
                      <wps:txbx>
                        <w:txbxContent>
                          <w:p w14:paraId="7BBEA29C">
                            <w:pPr>
                              <w:jc w:val="center"/>
                              <w:rPr>
                                <w:rFonts w:hint="eastAsia" w:eastAsia="宋体"/>
                                <w:sz w:val="20"/>
                                <w:szCs w:val="20"/>
                                <w:lang w:val="en-US" w:eastAsia="zh-CN"/>
                              </w:rPr>
                            </w:pPr>
                            <w:r>
                              <w:rPr>
                                <w:rFonts w:hint="eastAsia"/>
                                <w:sz w:val="20"/>
                                <w:szCs w:val="20"/>
                                <w:lang w:val="en-US" w:eastAsia="zh-CN"/>
                              </w:rPr>
                              <w:t>办公室间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7.8pt;margin-top:84.65pt;height:28.95pt;width:50.3pt;z-index:251738112;v-text-anchor:middle;mso-width-relative:page;mso-height-relative:page;" filled="f" stroked="f" coordsize="21600,21600" o:gfxdata="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JtInmtsAAAALAQAADwAAAAAAAAABACAAAAAi&#10;AAAAZHJzL2Rvd25yZXYueG1sUEsBAhQAFAAAAAgAh07iQCdlb5KyAgAAQAUAAA4AAAAAAAAAAQAg&#10;AAAAKgEAAGRycy9lMm9Eb2MueG1sUEsFBgAAAAAGAAYAWQEAAE4GAAAAAA==&#10;" adj="19775,14549,14400">
                <v:fill on="f" focussize="0,0"/>
                <v:stroke on="f" weight="1pt" miterlimit="8" joinstyle="miter"/>
                <v:imagedata o:title=""/>
                <o:lock v:ext="edit" aspectratio="f"/>
                <v:textbox>
                  <w:txbxContent>
                    <w:p w14:paraId="7BBEA29C">
                      <w:pPr>
                        <w:jc w:val="center"/>
                        <w:rPr>
                          <w:rFonts w:hint="eastAsia" w:eastAsia="宋体"/>
                          <w:sz w:val="20"/>
                          <w:szCs w:val="20"/>
                          <w:lang w:val="en-US" w:eastAsia="zh-CN"/>
                        </w:rPr>
                      </w:pPr>
                      <w:r>
                        <w:rPr>
                          <w:rFonts w:hint="eastAsia"/>
                          <w:sz w:val="20"/>
                          <w:szCs w:val="20"/>
                          <w:lang w:val="en-US" w:eastAsia="zh-CN"/>
                        </w:rPr>
                        <w:t>办公室间</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756544" behindDoc="0" locked="0" layoutInCell="1" allowOverlap="1">
            <wp:simplePos x="0" y="0"/>
            <wp:positionH relativeFrom="column">
              <wp:posOffset>54610</wp:posOffset>
            </wp:positionH>
            <wp:positionV relativeFrom="paragraph">
              <wp:posOffset>149225</wp:posOffset>
            </wp:positionV>
            <wp:extent cx="748665" cy="774065"/>
            <wp:effectExtent l="9525" t="9525" r="16510" b="16510"/>
            <wp:wrapNone/>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22"/>
                    <a:stretch>
                      <a:fillRect/>
                    </a:stretch>
                  </pic:blipFill>
                  <pic:spPr>
                    <a:xfrm>
                      <a:off x="0" y="0"/>
                      <a:ext cx="748665" cy="774065"/>
                    </a:xfrm>
                    <a:prstGeom prst="rect">
                      <a:avLst/>
                    </a:prstGeom>
                    <a:noFill/>
                    <a:ln>
                      <a:solidFill>
                        <a:schemeClr val="tx1"/>
                      </a:solid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37088" behindDoc="0" locked="0" layoutInCell="1" allowOverlap="1">
                <wp:simplePos x="0" y="0"/>
                <wp:positionH relativeFrom="column">
                  <wp:posOffset>1767205</wp:posOffset>
                </wp:positionH>
                <wp:positionV relativeFrom="paragraph">
                  <wp:posOffset>926465</wp:posOffset>
                </wp:positionV>
                <wp:extent cx="1569720" cy="654685"/>
                <wp:effectExtent l="6350" t="6350" r="24130" b="24765"/>
                <wp:wrapNone/>
                <wp:docPr id="61" name="矩形 61"/>
                <wp:cNvGraphicFramePr/>
                <a:graphic xmlns:a="http://schemas.openxmlformats.org/drawingml/2006/main">
                  <a:graphicData uri="http://schemas.microsoft.com/office/word/2010/wordprocessingShape">
                    <wps:wsp>
                      <wps:cNvSpPr/>
                      <wps:spPr>
                        <a:xfrm>
                          <a:off x="2681605" y="1623695"/>
                          <a:ext cx="1569720" cy="65468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15pt;margin-top:72.95pt;height:51.55pt;width:123.6pt;z-index:251737088;v-text-anchor:middle;mso-width-relative:page;mso-height-relative:page;" fillcolor="#FFFFFF [3212]" filled="t" stroked="t" coordsize="21600,21600" o:gfxdata="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ApX19gAAAALAQAADwAAAAAAAAABACAAAAAi&#10;AAAAZHJzL2Rvd25yZXYueG1sUEsBAhQAFAAAAAgAh07iQN9xWgZ8AgAAAgUAAA4AAAAAAAAAAQAg&#10;AAAAJwEAAGRycy9lMm9Eb2MueG1sUEsFBgAAAAAGAAYAWQEAABUGA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5053965</wp:posOffset>
                </wp:positionH>
                <wp:positionV relativeFrom="paragraph">
                  <wp:posOffset>4497070</wp:posOffset>
                </wp:positionV>
                <wp:extent cx="638810" cy="367665"/>
                <wp:effectExtent l="222250" t="6350" r="15240" b="6985"/>
                <wp:wrapNone/>
                <wp:docPr id="59" name="圆角矩形标注 59"/>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80222"/>
                            <a:gd name="adj2" fmla="val 41650"/>
                            <a:gd name="adj3" fmla="val 16667"/>
                          </a:avLst>
                        </a:prstGeom>
                        <a:solidFill>
                          <a:schemeClr val="bg1"/>
                        </a:solidFill>
                      </wps:spPr>
                      <wps:style>
                        <a:lnRef idx="2">
                          <a:schemeClr val="accent1"/>
                        </a:lnRef>
                        <a:fillRef idx="0">
                          <a:srgbClr val="FFFFFF"/>
                        </a:fillRef>
                        <a:effectRef idx="0">
                          <a:srgbClr val="FFFFFF"/>
                        </a:effectRef>
                        <a:fontRef idx="minor">
                          <a:schemeClr val="tx1"/>
                        </a:fontRef>
                      </wps:style>
                      <wps:txbx>
                        <w:txbxContent>
                          <w:p w14:paraId="1C749CB5">
                            <w:pPr>
                              <w:jc w:val="center"/>
                              <w:rPr>
                                <w:rFonts w:hint="eastAsia" w:eastAsia="宋体"/>
                                <w:sz w:val="20"/>
                                <w:szCs w:val="20"/>
                                <w:lang w:val="en-US" w:eastAsia="zh-CN"/>
                              </w:rPr>
                            </w:pPr>
                            <w:r>
                              <w:rPr>
                                <w:rFonts w:hint="eastAsia"/>
                                <w:sz w:val="20"/>
                                <w:szCs w:val="20"/>
                                <w:lang w:val="en-US" w:eastAsia="zh-CN"/>
                              </w:rPr>
                              <w:t>固废间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97.95pt;margin-top:354.1pt;height:28.95pt;width:50.3pt;z-index:251736064;v-text-anchor:middle;mso-width-relative:page;mso-height-relative:page;" fillcolor="#FFFFFF [3212]" filled="t" stroked="t" coordsize="21600,21600" o:gfxdata="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QGG1&#10;ENgAAAALAQAADwAAAAAAAAABACAAAAAiAAAAZHJzL2Rvd25yZXYueG1sUEsBAhQAFAAAAAgAh07i&#10;QBRyfczNAgAAkwUAAA4AAAAAAAAAAQAgAAAAJwEAAGRycy9lMm9Eb2MueG1sUEsFBgAAAAAGAAYA&#10;WQEAAGYGAAAAAA==&#10;" adj="-6528,19796,14400">
                <v:fill on="t" focussize="0,0"/>
                <v:stroke weight="1pt" color="#5B9BD5 [3204]" miterlimit="8" joinstyle="miter"/>
                <v:imagedata o:title=""/>
                <o:lock v:ext="edit" aspectratio="f"/>
                <v:textbox>
                  <w:txbxContent>
                    <w:p w14:paraId="1C749CB5">
                      <w:pPr>
                        <w:jc w:val="center"/>
                        <w:rPr>
                          <w:rFonts w:hint="eastAsia" w:eastAsia="宋体"/>
                          <w:sz w:val="20"/>
                          <w:szCs w:val="20"/>
                          <w:lang w:val="en-US" w:eastAsia="zh-CN"/>
                        </w:rPr>
                      </w:pPr>
                      <w:r>
                        <w:rPr>
                          <w:rFonts w:hint="eastAsia"/>
                          <w:sz w:val="20"/>
                          <w:szCs w:val="20"/>
                          <w:lang w:val="en-US" w:eastAsia="zh-CN"/>
                        </w:rPr>
                        <w:t>固废间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4016" behindDoc="0" locked="0" layoutInCell="1" allowOverlap="1">
                <wp:simplePos x="0" y="0"/>
                <wp:positionH relativeFrom="column">
                  <wp:posOffset>4732655</wp:posOffset>
                </wp:positionH>
                <wp:positionV relativeFrom="paragraph">
                  <wp:posOffset>4616450</wp:posOffset>
                </wp:positionV>
                <wp:extent cx="306705" cy="292735"/>
                <wp:effectExtent l="6350" t="6350" r="10795" b="24765"/>
                <wp:wrapNone/>
                <wp:docPr id="56" name="矩形 56"/>
                <wp:cNvGraphicFramePr/>
                <a:graphic xmlns:a="http://schemas.openxmlformats.org/drawingml/2006/main">
                  <a:graphicData uri="http://schemas.microsoft.com/office/word/2010/wordprocessingShape">
                    <wps:wsp>
                      <wps:cNvSpPr/>
                      <wps:spPr>
                        <a:xfrm>
                          <a:off x="5389245" y="5313680"/>
                          <a:ext cx="306705" cy="29273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2.65pt;margin-top:363.5pt;height:23.05pt;width:24.15pt;z-index:251734016;v-text-anchor:middle;mso-width-relative:page;mso-height-relative:page;" fillcolor="#FFFFFF [3212]" filled="t" stroked="t" coordsize="21600,21600" o:gfxdata="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aAnU9gAAAALAQAADwAAAAAAAAABACAAAAAiAAAA&#10;ZHJzL2Rvd25yZXYueG1sUEsBAhQAFAAAAAgAh07iQCaRku95AgAAAQUAAA4AAAAAAAAAAQAgAAAA&#10;JwEAAGRycy9lMm9Eb2MueG1sUEsFBgAAAAAGAAYAWQEAABIGA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5040" behindDoc="0" locked="0" layoutInCell="1" allowOverlap="1">
                <wp:simplePos x="0" y="0"/>
                <wp:positionH relativeFrom="column">
                  <wp:posOffset>5223510</wp:posOffset>
                </wp:positionH>
                <wp:positionV relativeFrom="paragraph">
                  <wp:posOffset>728980</wp:posOffset>
                </wp:positionV>
                <wp:extent cx="638810" cy="367665"/>
                <wp:effectExtent l="222250" t="6350" r="15240" b="6985"/>
                <wp:wrapNone/>
                <wp:docPr id="57" name="圆角矩形标注 57"/>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80222"/>
                            <a:gd name="adj2" fmla="val 41650"/>
                            <a:gd name="adj3" fmla="val 16667"/>
                          </a:avLst>
                        </a:prstGeom>
                        <a:solidFill>
                          <a:schemeClr val="bg1"/>
                        </a:solidFill>
                      </wps:spPr>
                      <wps:style>
                        <a:lnRef idx="2">
                          <a:schemeClr val="accent1"/>
                        </a:lnRef>
                        <a:fillRef idx="0">
                          <a:srgbClr val="FFFFFF"/>
                        </a:fillRef>
                        <a:effectRef idx="0">
                          <a:srgbClr val="FFFFFF"/>
                        </a:effectRef>
                        <a:fontRef idx="minor">
                          <a:schemeClr val="tx1"/>
                        </a:fontRef>
                      </wps:style>
                      <wps:txbx>
                        <w:txbxContent>
                          <w:p w14:paraId="49681FFC">
                            <w:pPr>
                              <w:jc w:val="center"/>
                              <w:rPr>
                                <w:rFonts w:hint="eastAsia" w:eastAsia="宋体"/>
                                <w:sz w:val="20"/>
                                <w:szCs w:val="20"/>
                                <w:lang w:val="en-US" w:eastAsia="zh-CN"/>
                              </w:rPr>
                            </w:pPr>
                            <w:r>
                              <w:rPr>
                                <w:rFonts w:hint="eastAsia"/>
                                <w:sz w:val="20"/>
                                <w:szCs w:val="20"/>
                                <w:lang w:val="en-US" w:eastAsia="zh-CN"/>
                              </w:rPr>
                              <w:t>危废间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11.3pt;margin-top:57.4pt;height:28.95pt;width:50.3pt;z-index:251735040;v-text-anchor:middle;mso-width-relative:page;mso-height-relative:page;" fillcolor="#FFFFFF [3212]" filled="t" stroked="t" coordsize="21600,21600" o:gfxdata="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5/D1&#10;f9gAAAALAQAADwAAAAAAAAABACAAAAAiAAAAZHJzL2Rvd25yZXYueG1sUEsBAhQAFAAAAAgAh07i&#10;QDjnyJDNAgAAkwUAAA4AAAAAAAAAAQAgAAAAJwEAAGRycy9lMm9Eb2MueG1sUEsFBgAAAAAGAAYA&#10;WQEAAGYGAAAAAA==&#10;" adj="-6528,19796,14400">
                <v:fill on="t" focussize="0,0"/>
                <v:stroke weight="1pt" color="#5B9BD5 [3204]" miterlimit="8" joinstyle="miter"/>
                <v:imagedata o:title=""/>
                <o:lock v:ext="edit" aspectratio="f"/>
                <v:textbox>
                  <w:txbxContent>
                    <w:p w14:paraId="49681FFC">
                      <w:pPr>
                        <w:jc w:val="center"/>
                        <w:rPr>
                          <w:rFonts w:hint="eastAsia" w:eastAsia="宋体"/>
                          <w:sz w:val="20"/>
                          <w:szCs w:val="20"/>
                          <w:lang w:val="en-US" w:eastAsia="zh-CN"/>
                        </w:rPr>
                      </w:pPr>
                      <w:r>
                        <w:rPr>
                          <w:rFonts w:hint="eastAsia"/>
                          <w:sz w:val="20"/>
                          <w:szCs w:val="20"/>
                          <w:lang w:val="en-US" w:eastAsia="zh-CN"/>
                        </w:rPr>
                        <w:t>危废间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5223510</wp:posOffset>
                </wp:positionH>
                <wp:positionV relativeFrom="paragraph">
                  <wp:posOffset>728980</wp:posOffset>
                </wp:positionV>
                <wp:extent cx="638810" cy="367665"/>
                <wp:effectExtent l="222250" t="6350" r="15240" b="6985"/>
                <wp:wrapNone/>
                <wp:docPr id="28" name="圆角矩形标注 28"/>
                <wp:cNvGraphicFramePr/>
                <a:graphic xmlns:a="http://schemas.openxmlformats.org/drawingml/2006/main">
                  <a:graphicData uri="http://schemas.microsoft.com/office/word/2010/wordprocessingShape">
                    <wps:wsp>
                      <wps:cNvSpPr/>
                      <wps:spPr>
                        <a:xfrm>
                          <a:off x="6436995" y="1215390"/>
                          <a:ext cx="638810" cy="367665"/>
                        </a:xfrm>
                        <a:prstGeom prst="wedgeRoundRectCallout">
                          <a:avLst>
                            <a:gd name="adj1" fmla="val -80222"/>
                            <a:gd name="adj2" fmla="val 41650"/>
                            <a:gd name="adj3" fmla="val 16667"/>
                          </a:avLst>
                        </a:prstGeom>
                        <a:solidFill>
                          <a:schemeClr val="bg1"/>
                        </a:solidFill>
                      </wps:spPr>
                      <wps:style>
                        <a:lnRef idx="2">
                          <a:schemeClr val="accent1"/>
                        </a:lnRef>
                        <a:fillRef idx="0">
                          <a:srgbClr val="FFFFFF"/>
                        </a:fillRef>
                        <a:effectRef idx="0">
                          <a:srgbClr val="FFFFFF"/>
                        </a:effectRef>
                        <a:fontRef idx="minor">
                          <a:schemeClr val="tx1"/>
                        </a:fontRef>
                      </wps:style>
                      <wps:txbx>
                        <w:txbxContent>
                          <w:p w14:paraId="71D7A10C">
                            <w:pPr>
                              <w:jc w:val="center"/>
                              <w:rPr>
                                <w:rFonts w:hint="eastAsia" w:eastAsia="宋体"/>
                                <w:sz w:val="20"/>
                                <w:szCs w:val="20"/>
                                <w:lang w:val="en-US" w:eastAsia="zh-CN"/>
                              </w:rPr>
                            </w:pPr>
                            <w:r>
                              <w:rPr>
                                <w:rFonts w:hint="eastAsia"/>
                                <w:sz w:val="20"/>
                                <w:szCs w:val="20"/>
                                <w:lang w:val="en-US" w:eastAsia="zh-CN"/>
                              </w:rPr>
                              <w:t>危废间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11.3pt;margin-top:57.4pt;height:28.95pt;width:50.3pt;z-index:251729920;v-text-anchor:middle;mso-width-relative:page;mso-height-relative:page;" fillcolor="#FFFFFF [3212]" filled="t" stroked="t" coordsize="21600,21600" o:gfxdata="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Dn8PV/2AAAAAsBAAAPAAAAAAAAAAEAIAAAACIAAABkcnMvZG93bnJldi54bWxQSwEC&#10;FAAUAAAACACHTuJAarFhxNgCAACfBQAADgAAAAAAAAABACAAAAAnAQAAZHJzL2Uyb0RvYy54bWxQ&#10;SwUGAAAAAAYABgBZAQAAcQYAAAAA&#10;" adj="-6528,19796,14400">
                <v:fill on="t" focussize="0,0"/>
                <v:stroke weight="1pt" color="#5B9BD5 [3204]" miterlimit="8" joinstyle="miter"/>
                <v:imagedata o:title=""/>
                <o:lock v:ext="edit" aspectratio="f"/>
                <v:textbox>
                  <w:txbxContent>
                    <w:p w14:paraId="71D7A10C">
                      <w:pPr>
                        <w:jc w:val="center"/>
                        <w:rPr>
                          <w:rFonts w:hint="eastAsia" w:eastAsia="宋体"/>
                          <w:sz w:val="20"/>
                          <w:szCs w:val="20"/>
                          <w:lang w:val="en-US" w:eastAsia="zh-CN"/>
                        </w:rPr>
                      </w:pPr>
                      <w:r>
                        <w:rPr>
                          <w:rFonts w:hint="eastAsia"/>
                          <w:sz w:val="20"/>
                          <w:szCs w:val="20"/>
                          <w:lang w:val="en-US" w:eastAsia="zh-CN"/>
                        </w:rPr>
                        <w:t>危废间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4841875</wp:posOffset>
                </wp:positionH>
                <wp:positionV relativeFrom="paragraph">
                  <wp:posOffset>929005</wp:posOffset>
                </wp:positionV>
                <wp:extent cx="224790" cy="217805"/>
                <wp:effectExtent l="6350" t="6350" r="16510" b="23495"/>
                <wp:wrapNone/>
                <wp:docPr id="14" name="矩形 14"/>
                <wp:cNvGraphicFramePr/>
                <a:graphic xmlns:a="http://schemas.openxmlformats.org/drawingml/2006/main">
                  <a:graphicData uri="http://schemas.microsoft.com/office/word/2010/wordprocessingShape">
                    <wps:wsp>
                      <wps:cNvSpPr/>
                      <wps:spPr>
                        <a:xfrm>
                          <a:off x="5770245" y="1653540"/>
                          <a:ext cx="224790" cy="217805"/>
                        </a:xfrm>
                        <a:prstGeom prst="rect">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1.25pt;margin-top:73.15pt;height:17.15pt;width:17.7pt;z-index:251728896;v-text-anchor:middle;mso-width-relative:page;mso-height-relative:page;" fillcolor="#FFFF00" filled="t" stroked="t" coordsize="21600,21600" o:gfxdata="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Mz5JqtoAAAALAQAADwAAAAAAAAABACAA&#10;AAAiAAAAZHJzL2Rvd25yZXYueG1sUEsBAhQAFAAAAAgAh07iQMjWxAp9AgAAAQUAAA4AAAAAAAAA&#10;AQAgAAAAKQEAAGRycy9lMm9Eb2MueG1sUEsFBgAAAAAGAAYAWQEAABgGAAAAAA==&#10;">
                <v:fill on="t" focussize="0,0"/>
                <v:stroke weight="1pt" color="#000000 [3213]" miterlimit="8" joinstyle="miter"/>
                <v:imagedata o:title=""/>
                <o:lock v:ext="edit" aspectratio="f"/>
              </v:rect>
            </w:pict>
          </mc:Fallback>
        </mc:AlternateContent>
      </w:r>
    </w:p>
    <w:p w14:paraId="4E1BB1F8">
      <w:pPr>
        <w:pageBreakBefore w:val="0"/>
        <w:wordWrap w:val="0"/>
        <w:bidi w:val="0"/>
        <w:jc w:val="center"/>
        <w:outlineLvl w:val="0"/>
        <w:rPr>
          <w:rFonts w:hint="default" w:ascii="Times New Roman" w:hAnsi="Times New Roman" w:eastAsia="宋体" w:cs="Times New Roman"/>
          <w:b/>
          <w:bCs/>
          <w:color w:val="auto"/>
          <w:sz w:val="24"/>
          <w:szCs w:val="24"/>
          <w:highlight w:val="none"/>
        </w:rPr>
        <w:sectPr>
          <w:pgSz w:w="11906" w:h="16838"/>
          <w:pgMar w:top="1083" w:right="1440" w:bottom="1083" w:left="1440"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51" w:name="_Toc3262"/>
      <w:bookmarkStart w:id="152" w:name="_Toc21131"/>
      <w:r>
        <w:rPr>
          <w:rFonts w:hint="default" w:ascii="Times New Roman" w:hAnsi="Times New Roman" w:cs="Times New Roman"/>
          <w:b/>
          <w:bCs/>
          <w:color w:val="auto"/>
          <w:sz w:val="24"/>
          <w:szCs w:val="24"/>
          <w:highlight w:val="none"/>
        </w:rPr>
        <w:t>附图</w:t>
      </w:r>
      <w:r>
        <w:rPr>
          <w:rFonts w:hint="default" w:ascii="Times New Roman" w:hAnsi="Times New Roman" w:cs="Times New Roman"/>
          <w:b/>
          <w:bCs/>
          <w:color w:val="auto"/>
          <w:sz w:val="24"/>
          <w:szCs w:val="24"/>
          <w:highlight w:val="none"/>
          <w:lang w:val="en-US" w:eastAsia="zh-CN"/>
        </w:rPr>
        <w:t>3-1项目首层</w:t>
      </w:r>
      <w:r>
        <w:rPr>
          <w:rFonts w:hint="default" w:ascii="Times New Roman" w:hAnsi="Times New Roman" w:eastAsia="宋体" w:cs="Times New Roman"/>
          <w:b/>
          <w:bCs/>
          <w:color w:val="auto"/>
          <w:sz w:val="24"/>
          <w:szCs w:val="24"/>
          <w:highlight w:val="none"/>
        </w:rPr>
        <w:t>平面布置图</w:t>
      </w:r>
      <w:bookmarkEnd w:id="151"/>
      <w:bookmarkEnd w:id="152"/>
    </w:p>
    <w:p w14:paraId="43D823AC">
      <w:pPr>
        <w:pageBreakBefore w:val="0"/>
        <w:wordWrap w:val="0"/>
        <w:bidi w:val="0"/>
        <w:jc w:val="center"/>
        <w:outlineLvl w:val="0"/>
        <w:rPr>
          <w:rFonts w:hint="default" w:ascii="Times New Roman" w:hAnsi="Times New Roman" w:eastAsia="宋体" w:cs="Times New Roman"/>
          <w:b/>
          <w:bCs/>
          <w:color w:val="auto"/>
          <w:sz w:val="24"/>
          <w:szCs w:val="24"/>
          <w:highlight w:val="none"/>
        </w:rPr>
        <w:sectPr>
          <w:pgSz w:w="11906" w:h="16838"/>
          <w:pgMar w:top="1083" w:right="1440" w:bottom="1083" w:left="1440"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53" w:name="_Toc2305"/>
      <w:r>
        <w:rPr>
          <w:rFonts w:hint="default" w:ascii="Times New Roman" w:hAnsi="Times New Roman" w:cs="Times New Roman"/>
          <w:color w:val="auto"/>
          <w:highlight w:val="none"/>
        </w:rPr>
        <w:drawing>
          <wp:anchor distT="0" distB="0" distL="114300" distR="114300" simplePos="0" relativeHeight="251767808" behindDoc="0" locked="0" layoutInCell="1" allowOverlap="1">
            <wp:simplePos x="0" y="0"/>
            <wp:positionH relativeFrom="column">
              <wp:posOffset>4943475</wp:posOffset>
            </wp:positionH>
            <wp:positionV relativeFrom="paragraph">
              <wp:posOffset>65405</wp:posOffset>
            </wp:positionV>
            <wp:extent cx="748665" cy="774065"/>
            <wp:effectExtent l="9525" t="9525" r="16510" b="16510"/>
            <wp:wrapNone/>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22"/>
                    <a:stretch>
                      <a:fillRect/>
                    </a:stretch>
                  </pic:blipFill>
                  <pic:spPr>
                    <a:xfrm>
                      <a:off x="0" y="0"/>
                      <a:ext cx="748665" cy="774065"/>
                    </a:xfrm>
                    <a:prstGeom prst="rect">
                      <a:avLst/>
                    </a:prstGeom>
                    <a:noFill/>
                    <a:ln>
                      <a:solidFill>
                        <a:schemeClr val="tx1"/>
                      </a:solid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66784" behindDoc="0" locked="0" layoutInCell="1" allowOverlap="1">
                <wp:simplePos x="0" y="0"/>
                <wp:positionH relativeFrom="column">
                  <wp:posOffset>614680</wp:posOffset>
                </wp:positionH>
                <wp:positionV relativeFrom="paragraph">
                  <wp:posOffset>3023870</wp:posOffset>
                </wp:positionV>
                <wp:extent cx="638810" cy="367665"/>
                <wp:effectExtent l="0" t="0" r="0" b="0"/>
                <wp:wrapNone/>
                <wp:docPr id="134" name="圆角矩形标注 134"/>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41550"/>
                            <a:gd name="adj2" fmla="val 17357"/>
                            <a:gd name="adj3" fmla="val 16667"/>
                          </a:avLst>
                        </a:prstGeom>
                        <a:noFill/>
                        <a:ln>
                          <a:noFill/>
                        </a:ln>
                      </wps:spPr>
                      <wps:style>
                        <a:lnRef idx="2">
                          <a:schemeClr val="accent1"/>
                        </a:lnRef>
                        <a:fillRef idx="0">
                          <a:srgbClr val="FFFFFF"/>
                        </a:fillRef>
                        <a:effectRef idx="0">
                          <a:srgbClr val="FFFFFF"/>
                        </a:effectRef>
                        <a:fontRef idx="minor">
                          <a:schemeClr val="tx1"/>
                        </a:fontRef>
                      </wps:style>
                      <wps:txbx>
                        <w:txbxContent>
                          <w:p w14:paraId="59518A94">
                            <w:pPr>
                              <w:jc w:val="center"/>
                              <w:rPr>
                                <w:rFonts w:hint="eastAsia" w:eastAsia="宋体"/>
                                <w:sz w:val="20"/>
                                <w:szCs w:val="20"/>
                                <w:highlight w:val="yellow"/>
                                <w:lang w:val="en-US" w:eastAsia="zh-CN"/>
                              </w:rPr>
                            </w:pPr>
                            <w:r>
                              <w:rPr>
                                <w:rFonts w:hint="eastAsia"/>
                                <w:sz w:val="20"/>
                                <w:szCs w:val="20"/>
                                <w:highlight w:val="yellow"/>
                                <w:lang w:val="en-US" w:eastAsia="zh-CN"/>
                              </w:rPr>
                              <w:t>DW001间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8.4pt;margin-top:238.1pt;height:28.95pt;width:50.3pt;z-index:251766784;v-text-anchor:middle;mso-width-relative:page;mso-height-relative:page;" filled="f" stroked="f" coordsize="21600,21600" o:gfxdata="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M3Hji3bAAAACgEAAA8AAAAAAAAAAQAgAAAAIgAA&#10;AGRycy9kb3ducmV2LnhtbFBLAQIUABQAAAAIAIdO4kCxpT/QsAIAAEIFAAAOAAAAAAAAAAEAIAAA&#10;ACoBAABkcnMvZTJvRG9jLnhtbFBLBQYAAAAABgAGAFkBAABMBgAAAAA=&#10;" adj="19775,14549,14400">
                <v:fill on="f" focussize="0,0"/>
                <v:stroke on="f" weight="1pt" miterlimit="8" joinstyle="miter"/>
                <v:imagedata o:title=""/>
                <o:lock v:ext="edit" aspectratio="f"/>
                <v:textbox>
                  <w:txbxContent>
                    <w:p w14:paraId="59518A94">
                      <w:pPr>
                        <w:jc w:val="center"/>
                        <w:rPr>
                          <w:rFonts w:hint="eastAsia" w:eastAsia="宋体"/>
                          <w:sz w:val="20"/>
                          <w:szCs w:val="20"/>
                          <w:highlight w:val="yellow"/>
                          <w:lang w:val="en-US" w:eastAsia="zh-CN"/>
                        </w:rPr>
                      </w:pPr>
                      <w:r>
                        <w:rPr>
                          <w:rFonts w:hint="eastAsia"/>
                          <w:sz w:val="20"/>
                          <w:szCs w:val="20"/>
                          <w:highlight w:val="yellow"/>
                          <w:lang w:val="en-US" w:eastAsia="zh-CN"/>
                        </w:rPr>
                        <w:t>DW001间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65760" behindDoc="0" locked="0" layoutInCell="1" allowOverlap="1">
                <wp:simplePos x="0" y="0"/>
                <wp:positionH relativeFrom="column">
                  <wp:posOffset>819150</wp:posOffset>
                </wp:positionH>
                <wp:positionV relativeFrom="paragraph">
                  <wp:posOffset>2840355</wp:posOffset>
                </wp:positionV>
                <wp:extent cx="219075" cy="210820"/>
                <wp:effectExtent l="6350" t="6350" r="22225" b="11430"/>
                <wp:wrapNone/>
                <wp:docPr id="133" name="流程图: 汇总连接 133"/>
                <wp:cNvGraphicFramePr/>
                <a:graphic xmlns:a="http://schemas.openxmlformats.org/drawingml/2006/main">
                  <a:graphicData uri="http://schemas.microsoft.com/office/word/2010/wordprocessingShape">
                    <wps:wsp>
                      <wps:cNvSpPr/>
                      <wps:spPr>
                        <a:xfrm>
                          <a:off x="0" y="0"/>
                          <a:ext cx="219075" cy="210820"/>
                        </a:xfrm>
                        <a:prstGeom prst="flowChartSummingJunction">
                          <a:avLst/>
                        </a:prstGeom>
                        <a:solidFill>
                          <a:srgbClr val="0070C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3" type="#_x0000_t123" style="position:absolute;left:0pt;margin-left:64.5pt;margin-top:223.65pt;height:16.6pt;width:17.25pt;z-index:251765760;v-text-anchor:middle;mso-width-relative:page;mso-height-relative:page;" fillcolor="#0070C0" filled="t" stroked="t" coordsize="21600,21600" o:gfxdata="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d0tN09kAAAALAQAADwAAAAAAAAABACAAAAAiAAAAZHJzL2Rvd25yZXYueG1sUEsB&#10;AhQAFAAAAAgAh07iQMB+4s6fAgAAHAUAAA4AAAAAAAAAAQAgAAAAKAEAAGRycy9lMm9Eb2MueG1s&#10;UEsFBgAAAAAGAAYAWQEAADkGAAAAAA==&#1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64736" behindDoc="0" locked="0" layoutInCell="1" allowOverlap="1">
                <wp:simplePos x="0" y="0"/>
                <wp:positionH relativeFrom="column">
                  <wp:posOffset>2999105</wp:posOffset>
                </wp:positionH>
                <wp:positionV relativeFrom="paragraph">
                  <wp:posOffset>4229100</wp:posOffset>
                </wp:positionV>
                <wp:extent cx="638810" cy="367665"/>
                <wp:effectExtent l="0" t="0" r="0" b="0"/>
                <wp:wrapNone/>
                <wp:docPr id="132" name="圆角矩形标注 132"/>
                <wp:cNvGraphicFramePr/>
                <a:graphic xmlns:a="http://schemas.openxmlformats.org/drawingml/2006/main">
                  <a:graphicData uri="http://schemas.microsoft.com/office/word/2010/wordprocessingShape">
                    <wps:wsp>
                      <wps:cNvSpPr/>
                      <wps:spPr>
                        <a:xfrm>
                          <a:off x="0" y="0"/>
                          <a:ext cx="638810" cy="367665"/>
                        </a:xfrm>
                        <a:prstGeom prst="wedgeRoundRectCallout">
                          <a:avLst>
                            <a:gd name="adj1" fmla="val 41550"/>
                            <a:gd name="adj2" fmla="val 17357"/>
                            <a:gd name="adj3" fmla="val 16667"/>
                          </a:avLst>
                        </a:prstGeom>
                        <a:noFill/>
                        <a:ln>
                          <a:noFill/>
                        </a:ln>
                      </wps:spPr>
                      <wps:style>
                        <a:lnRef idx="2">
                          <a:schemeClr val="accent1"/>
                        </a:lnRef>
                        <a:fillRef idx="0">
                          <a:srgbClr val="FFFFFF"/>
                        </a:fillRef>
                        <a:effectRef idx="0">
                          <a:srgbClr val="FFFFFF"/>
                        </a:effectRef>
                        <a:fontRef idx="minor">
                          <a:schemeClr val="tx1"/>
                        </a:fontRef>
                      </wps:style>
                      <wps:txbx>
                        <w:txbxContent>
                          <w:p w14:paraId="29A03215">
                            <w:pPr>
                              <w:jc w:val="center"/>
                              <w:rPr>
                                <w:rFonts w:hint="eastAsia" w:eastAsia="宋体"/>
                                <w:sz w:val="20"/>
                                <w:szCs w:val="20"/>
                                <w:lang w:val="en-US" w:eastAsia="zh-CN"/>
                              </w:rPr>
                            </w:pPr>
                            <w:r>
                              <w:rPr>
                                <w:rFonts w:hint="eastAsia"/>
                                <w:sz w:val="20"/>
                                <w:szCs w:val="20"/>
                                <w:highlight w:val="yellow"/>
                                <w:lang w:val="en-US" w:eastAsia="zh-CN"/>
                              </w:rPr>
                              <w:t>DA001</w:t>
                            </w:r>
                            <w:r>
                              <w:rPr>
                                <w:rFonts w:hint="eastAsia"/>
                                <w:sz w:val="20"/>
                                <w:szCs w:val="20"/>
                                <w:lang w:val="en-US" w:eastAsia="zh-CN"/>
                              </w:rPr>
                              <w:t>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6.15pt;margin-top:333pt;height:28.95pt;width:50.3pt;z-index:251764736;v-text-anchor:middle;mso-width-relative:page;mso-height-relative:page;" filled="f" stroked="f" coordsize="21600,21600" o:gfxdata="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nsCH4doAAAALAQAADwAAAAAAAAABACAAAAAiAAAA&#10;ZHJzL2Rvd25yZXYueG1sUEsBAhQAFAAAAAgAh07iQNNn+/SwAgAAQgUAAA4AAAAAAAAAAQAgAAAA&#10;KQEAAGRycy9lMm9Eb2MueG1sUEsFBgAAAAAGAAYAWQEAAEsGAAAAAA==&#10;" adj="19775,14549,14400">
                <v:fill on="f" focussize="0,0"/>
                <v:stroke on="f" weight="1pt" miterlimit="8" joinstyle="miter"/>
                <v:imagedata o:title=""/>
                <o:lock v:ext="edit" aspectratio="f"/>
                <v:textbox>
                  <w:txbxContent>
                    <w:p w14:paraId="29A03215">
                      <w:pPr>
                        <w:jc w:val="center"/>
                        <w:rPr>
                          <w:rFonts w:hint="eastAsia" w:eastAsia="宋体"/>
                          <w:sz w:val="20"/>
                          <w:szCs w:val="20"/>
                          <w:lang w:val="en-US" w:eastAsia="zh-CN"/>
                        </w:rPr>
                      </w:pPr>
                      <w:r>
                        <w:rPr>
                          <w:rFonts w:hint="eastAsia"/>
                          <w:sz w:val="20"/>
                          <w:szCs w:val="20"/>
                          <w:highlight w:val="yellow"/>
                          <w:lang w:val="en-US" w:eastAsia="zh-CN"/>
                        </w:rPr>
                        <w:t>DA001</w:t>
                      </w:r>
                      <w:r>
                        <w:rPr>
                          <w:rFonts w:hint="eastAsia"/>
                          <w:sz w:val="20"/>
                          <w:szCs w:val="20"/>
                          <w:lang w:val="en-US" w:eastAsia="zh-CN"/>
                        </w:rPr>
                        <w:t>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63712" behindDoc="0" locked="0" layoutInCell="1" allowOverlap="1">
                <wp:simplePos x="0" y="0"/>
                <wp:positionH relativeFrom="column">
                  <wp:posOffset>3212465</wp:posOffset>
                </wp:positionH>
                <wp:positionV relativeFrom="paragraph">
                  <wp:posOffset>3902710</wp:posOffset>
                </wp:positionV>
                <wp:extent cx="125730" cy="337185"/>
                <wp:effectExtent l="6350" t="6350" r="20320" b="18415"/>
                <wp:wrapNone/>
                <wp:docPr id="131" name="圆柱形 131"/>
                <wp:cNvGraphicFramePr/>
                <a:graphic xmlns:a="http://schemas.openxmlformats.org/drawingml/2006/main">
                  <a:graphicData uri="http://schemas.microsoft.com/office/word/2010/wordprocessingShape">
                    <wps:wsp>
                      <wps:cNvSpPr/>
                      <wps:spPr>
                        <a:xfrm>
                          <a:off x="0" y="0"/>
                          <a:ext cx="125730" cy="337185"/>
                        </a:xfrm>
                        <a:prstGeom prst="can">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252.95pt;margin-top:307.3pt;height:26.55pt;width:9.9pt;z-index:251763712;v-text-anchor:middle;mso-width-relative:page;mso-height-relative:page;" fillcolor="#FF0000" filled="t" stroked="t" coordsize="21600,21600" o:gfxdata="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AxKTt2QAAAAsBAAAPAAAAAAAAAAEAIAAAACIAAABkcnMv&#10;ZG93bnJldi54bWxQSwECFAAUAAAACACHTuJALa0gGHQCAAD5BAAADgAAAAAAAAABACAAAAAoAQAA&#10;ZHJzL2Uyb0RvYy54bWxQSwUGAAAAAAYABgBZAQAADgYAAAAA&#10;" adj="2014">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62688" behindDoc="0" locked="0" layoutInCell="1" allowOverlap="1">
            <wp:simplePos x="0" y="0"/>
            <wp:positionH relativeFrom="column">
              <wp:posOffset>35560</wp:posOffset>
            </wp:positionH>
            <wp:positionV relativeFrom="paragraph">
              <wp:posOffset>4549140</wp:posOffset>
            </wp:positionV>
            <wp:extent cx="838200" cy="306705"/>
            <wp:effectExtent l="0" t="0" r="0" b="10795"/>
            <wp:wrapNone/>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21"/>
                    <a:stretch>
                      <a:fillRect/>
                    </a:stretch>
                  </pic:blipFill>
                  <pic:spPr>
                    <a:xfrm>
                      <a:off x="0" y="0"/>
                      <a:ext cx="838200" cy="30670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5723255" cy="4884420"/>
            <wp:effectExtent l="0" t="0" r="4445" b="508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23"/>
                    <a:stretch>
                      <a:fillRect/>
                    </a:stretch>
                  </pic:blipFill>
                  <pic:spPr>
                    <a:xfrm>
                      <a:off x="0" y="0"/>
                      <a:ext cx="5723255" cy="4884420"/>
                    </a:xfrm>
                    <a:prstGeom prst="rect">
                      <a:avLst/>
                    </a:prstGeom>
                    <a:noFill/>
                    <a:ln>
                      <a:noFill/>
                    </a:ln>
                  </pic:spPr>
                </pic:pic>
              </a:graphicData>
            </a:graphic>
          </wp:inline>
        </w:drawing>
      </w:r>
      <w:r>
        <w:rPr>
          <w:rFonts w:hint="default" w:ascii="Times New Roman" w:hAnsi="Times New Roman" w:cs="Times New Roman"/>
          <w:b/>
          <w:bCs/>
          <w:color w:val="auto"/>
          <w:sz w:val="24"/>
          <w:szCs w:val="24"/>
          <w:highlight w:val="none"/>
        </w:rPr>
        <w:t>附图</w:t>
      </w:r>
      <w:r>
        <w:rPr>
          <w:rFonts w:hint="default" w:ascii="Times New Roman" w:hAnsi="Times New Roman" w:cs="Times New Roman"/>
          <w:b/>
          <w:bCs/>
          <w:color w:val="auto"/>
          <w:sz w:val="24"/>
          <w:szCs w:val="24"/>
          <w:highlight w:val="none"/>
          <w:lang w:val="en-US" w:eastAsia="zh-CN"/>
        </w:rPr>
        <w:t>3-2项目夹层</w:t>
      </w:r>
      <w:r>
        <w:rPr>
          <w:rFonts w:hint="default" w:ascii="Times New Roman" w:hAnsi="Times New Roman" w:eastAsia="宋体" w:cs="Times New Roman"/>
          <w:b/>
          <w:bCs/>
          <w:color w:val="auto"/>
          <w:sz w:val="24"/>
          <w:szCs w:val="24"/>
          <w:highlight w:val="none"/>
        </w:rPr>
        <w:t>平面布置图</w:t>
      </w:r>
      <w:bookmarkEnd w:id="153"/>
    </w:p>
    <w:p w14:paraId="3C2B9ABE">
      <w:pPr>
        <w:pStyle w:val="43"/>
        <w:keepNext w:val="0"/>
        <w:keepLines w:val="0"/>
        <w:pageBreakBefore w:val="0"/>
        <w:widowControl w:val="0"/>
        <w:kinsoku/>
        <w:wordWrap w:val="0"/>
        <w:overflowPunct/>
        <w:topLinePunct w:val="0"/>
        <w:autoSpaceDE/>
        <w:autoSpaceDN/>
        <w:bidi w:val="0"/>
        <w:snapToGrid w:val="0"/>
        <w:spacing w:line="240" w:lineRule="auto"/>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32992" behindDoc="0" locked="0" layoutInCell="1" allowOverlap="1">
                <wp:simplePos x="0" y="0"/>
                <wp:positionH relativeFrom="column">
                  <wp:posOffset>3065145</wp:posOffset>
                </wp:positionH>
                <wp:positionV relativeFrom="paragraph">
                  <wp:posOffset>1659890</wp:posOffset>
                </wp:positionV>
                <wp:extent cx="914400" cy="914400"/>
                <wp:effectExtent l="0" t="0" r="0" b="0"/>
                <wp:wrapNone/>
                <wp:docPr id="54" name="文本框 54"/>
                <wp:cNvGraphicFramePr/>
                <a:graphic xmlns:a="http://schemas.openxmlformats.org/drawingml/2006/main">
                  <a:graphicData uri="http://schemas.microsoft.com/office/word/2010/wordprocessingShape">
                    <wps:wsp>
                      <wps:cNvSpPr txBox="1"/>
                      <wps:spPr>
                        <a:xfrm>
                          <a:off x="4208145" y="2574290"/>
                          <a:ext cx="91440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DB3D40">
                            <w:pPr>
                              <w:rPr>
                                <w:rFonts w:hint="default" w:eastAsia="宋体"/>
                                <w:highlight w:val="yellow"/>
                                <w:lang w:val="en-US" w:eastAsia="zh-CN"/>
                              </w:rPr>
                            </w:pPr>
                            <w:r>
                              <w:rPr>
                                <w:rFonts w:hint="eastAsia"/>
                                <w:highlight w:val="yellow"/>
                                <w:lang w:val="en-US" w:eastAsia="zh-CN"/>
                              </w:rPr>
                              <w:t>500米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35pt;margin-top:130.7pt;height:72pt;width:72pt;z-index:251732992;mso-width-relative:page;mso-height-relative:page;" filled="f" stroked="f" coordsize="21600,21600" o:gfxdata="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wfavbbAAAACwEAAA8AAAAAAAAAAQAg&#10;AAAAIgAAAGRycy9kb3ducmV2LnhtbFBLAQIUABQAAAAIAIdO4kB8G67mRAIAAHMEAAAOAAAAAAAA&#10;AAEAIAAAACoBAABkcnMvZTJvRG9jLnhtbFBLBQYAAAAABgAGAFkBAADgBQAAAAA=&#10;">
                <v:fill on="f" focussize="0,0"/>
                <v:stroke on="f" weight="0.5pt"/>
                <v:imagedata o:title=""/>
                <o:lock v:ext="edit" aspectratio="f"/>
                <v:textbox>
                  <w:txbxContent>
                    <w:p w14:paraId="0DDB3D40">
                      <w:pPr>
                        <w:rPr>
                          <w:rFonts w:hint="default" w:eastAsia="宋体"/>
                          <w:highlight w:val="yellow"/>
                          <w:lang w:val="en-US" w:eastAsia="zh-CN"/>
                        </w:rPr>
                      </w:pPr>
                      <w:r>
                        <w:rPr>
                          <w:rFonts w:hint="eastAsia"/>
                          <w:highlight w:val="yellow"/>
                          <w:lang w:val="en-US" w:eastAsia="zh-CN"/>
                        </w:rPr>
                        <w:t>500米</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1968" behindDoc="0" locked="0" layoutInCell="1" allowOverlap="1">
                <wp:simplePos x="0" y="0"/>
                <wp:positionH relativeFrom="column">
                  <wp:posOffset>1976755</wp:posOffset>
                </wp:positionH>
                <wp:positionV relativeFrom="paragraph">
                  <wp:posOffset>1503045</wp:posOffset>
                </wp:positionV>
                <wp:extent cx="2000250" cy="1000125"/>
                <wp:effectExtent l="0" t="8890" r="19050" b="19685"/>
                <wp:wrapNone/>
                <wp:docPr id="53" name="直接箭头连接符 53"/>
                <wp:cNvGraphicFramePr/>
                <a:graphic xmlns:a="http://schemas.openxmlformats.org/drawingml/2006/main">
                  <a:graphicData uri="http://schemas.microsoft.com/office/word/2010/wordprocessingShape">
                    <wps:wsp>
                      <wps:cNvCnPr/>
                      <wps:spPr>
                        <a:xfrm flipH="1" flipV="1">
                          <a:off x="3119755" y="2417445"/>
                          <a:ext cx="2000250" cy="1000125"/>
                        </a:xfrm>
                        <a:prstGeom prst="straightConnector1">
                          <a:avLst/>
                        </a:prstGeom>
                        <a:ln w="31750" cap="rnd">
                          <a:solidFill>
                            <a:srgbClr val="FFFF00"/>
                          </a:solidFill>
                          <a:round/>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55.65pt;margin-top:118.35pt;height:78.75pt;width:157.5pt;z-index:251731968;mso-width-relative:page;mso-height-relative:page;" filled="f" stroked="t" coordsize="21600,21600" o:gfxdata="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RntM2AAAAAsBAAAPAAAAAAAAAAEA&#10;IAAAACIAAABkcnMvZG93bnJldi54bWxQSwECFAAUAAAACACHTuJAd8O8EA8CAADcAwAADgAAAAAA&#10;AAABACAAAAAnAQAAZHJzL2Uyb0RvYy54bWxQSwUGAAAAAAYABgBZAQAAqAUAAAAA&#10;">
                <v:fill on="f" focussize="0,0"/>
                <v:stroke weight="2.5pt" color="#FFFF00" joinstyle="round" endcap="round"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69504" behindDoc="0" locked="0" layoutInCell="1" allowOverlap="1">
            <wp:simplePos x="0" y="0"/>
            <wp:positionH relativeFrom="column">
              <wp:posOffset>6399530</wp:posOffset>
            </wp:positionH>
            <wp:positionV relativeFrom="paragraph">
              <wp:posOffset>-1270</wp:posOffset>
            </wp:positionV>
            <wp:extent cx="972185" cy="996950"/>
            <wp:effectExtent l="9525" t="9525" r="21590" b="9525"/>
            <wp:wrapNone/>
            <wp:docPr id="2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
                    <pic:cNvPicPr>
                      <a:picLocks noChangeAspect="1"/>
                    </pic:cNvPicPr>
                  </pic:nvPicPr>
                  <pic:blipFill>
                    <a:blip r:embed="rId17"/>
                    <a:stretch>
                      <a:fillRect/>
                    </a:stretch>
                  </pic:blipFill>
                  <pic:spPr>
                    <a:xfrm>
                      <a:off x="0" y="0"/>
                      <a:ext cx="972185" cy="996950"/>
                    </a:xfrm>
                    <a:prstGeom prst="rect">
                      <a:avLst/>
                    </a:prstGeom>
                    <a:noFill/>
                    <a:ln>
                      <a:solidFill>
                        <a:schemeClr val="tx1"/>
                      </a:solid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7332980</wp:posOffset>
                </wp:positionH>
                <wp:positionV relativeFrom="paragraph">
                  <wp:posOffset>4439285</wp:posOffset>
                </wp:positionV>
                <wp:extent cx="207645" cy="199390"/>
                <wp:effectExtent l="6350" t="6350" r="14605" b="22860"/>
                <wp:wrapNone/>
                <wp:docPr id="44" name="椭圆 44"/>
                <wp:cNvGraphicFramePr/>
                <a:graphic xmlns:a="http://schemas.openxmlformats.org/drawingml/2006/main">
                  <a:graphicData uri="http://schemas.microsoft.com/office/word/2010/wordprocessingShape">
                    <wps:wsp>
                      <wps:cNvSpPr/>
                      <wps:spPr>
                        <a:xfrm>
                          <a:off x="2301875" y="5050790"/>
                          <a:ext cx="207645" cy="199390"/>
                        </a:xfrm>
                        <a:prstGeom prst="ellipse">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77.4pt;margin-top:349.55pt;height:15.7pt;width:16.35pt;z-index:251718656;v-text-anchor:middle;mso-width-relative:page;mso-height-relative:page;" filled="f" stroked="t" coordsize="21600,21600" o:gfxdata="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YU7859sAAAANAQAADwAAAAAAAAABACAAAAAi&#10;AAAAZHJzL2Rvd25yZXYueG1sUEsBAhQAFAAAAAgAh07iQP4NGV55AgAA2wQAAA4AAAAAAAAAAQAg&#10;AAAAKgEAAGRycy9lMm9Eb2MueG1sUEsFBgAAAAAGAAYAWQEAABUGAAAAAA==&#1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g">
            <w:drawing>
              <wp:anchor distT="0" distB="0" distL="114300" distR="114300" simplePos="0" relativeHeight="251709440" behindDoc="0" locked="0" layoutInCell="1" allowOverlap="1">
                <wp:simplePos x="0" y="0"/>
                <wp:positionH relativeFrom="column">
                  <wp:posOffset>6394450</wp:posOffset>
                </wp:positionH>
                <wp:positionV relativeFrom="paragraph">
                  <wp:posOffset>3672840</wp:posOffset>
                </wp:positionV>
                <wp:extent cx="1534160" cy="1321435"/>
                <wp:effectExtent l="0" t="0" r="0" b="0"/>
                <wp:wrapNone/>
                <wp:docPr id="206" name="组合 206"/>
                <wp:cNvGraphicFramePr/>
                <a:graphic xmlns:a="http://schemas.openxmlformats.org/drawingml/2006/main">
                  <a:graphicData uri="http://schemas.microsoft.com/office/word/2010/wordprocessingGroup">
                    <wpg:wgp>
                      <wpg:cNvGrpSpPr/>
                      <wpg:grpSpPr>
                        <a:xfrm>
                          <a:off x="0" y="0"/>
                          <a:ext cx="1534160" cy="1321435"/>
                          <a:chOff x="12779" y="1684314"/>
                          <a:chExt cx="2416" cy="2517"/>
                        </a:xfrm>
                      </wpg:grpSpPr>
                      <wps:wsp>
                        <wps:cNvPr id="172" name="文本框 172"/>
                        <wps:cNvSpPr txBox="1"/>
                        <wps:spPr>
                          <a:xfrm>
                            <a:off x="12779" y="1684314"/>
                            <a:ext cx="2416" cy="25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5A04E8">
                              <w:pPr>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图例</w:t>
                              </w:r>
                            </w:p>
                            <w:p w14:paraId="43251478">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项目范围：</w:t>
                              </w:r>
                            </w:p>
                            <w:p w14:paraId="4A38642A">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500m范围：</w:t>
                              </w:r>
                            </w:p>
                            <w:p w14:paraId="6576AED5">
                              <w:pPr>
                                <w:rPr>
                                  <w:rFonts w:hint="default"/>
                                  <w:b/>
                                  <w:bCs/>
                                  <w:color w:val="000000" w:themeColor="text1"/>
                                  <w:sz w:val="21"/>
                                  <w:szCs w:val="21"/>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5" name="矩形 175"/>
                        <wps:cNvSpPr/>
                        <wps:spPr>
                          <a:xfrm>
                            <a:off x="14024" y="1685001"/>
                            <a:ext cx="459" cy="289"/>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03.5pt;margin-top:289.2pt;height:104.05pt;width:120.8pt;z-index:251709440;mso-width-relative:page;mso-height-relative:page;" coordorigin="12779,1684314" coordsize="2416,2517" o:gfxdata="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Ags5xX3AAAAA0BAAAPAAAAAAAAAAEAIAAAACIAAABkcnMvZG93bnJl&#10;di54bWxQSwECFAAUAAAACACHTuJAeFlPm08DAACcCAAADgAAAAAAAAABACAAAAArAQAAZHJzL2Uy&#10;b0RvYy54bWxQSwUGAAAAAAYABgBZAQAA7AYAAAAA&#10;">
                <o:lock v:ext="edit" aspectratio="f"/>
                <v:shape id="_x0000_s1026" o:spid="_x0000_s1026" o:spt="202" type="#_x0000_t202" style="position:absolute;left:12779;top:1684314;height:2517;width:2416;" filled="f" stroked="f" coordsize="21600,21600" o:gfxdata="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SRR+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75A04E8">
                        <w:pPr>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图例</w:t>
                        </w:r>
                      </w:p>
                      <w:p w14:paraId="43251478">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项目范围：</w:t>
                        </w:r>
                      </w:p>
                      <w:p w14:paraId="4A38642A">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500m范围：</w:t>
                        </w:r>
                      </w:p>
                      <w:p w14:paraId="6576AED5">
                        <w:pPr>
                          <w:rPr>
                            <w:rFonts w:hint="default"/>
                            <w:b/>
                            <w:bCs/>
                            <w:color w:val="000000" w:themeColor="text1"/>
                            <w:sz w:val="21"/>
                            <w:szCs w:val="21"/>
                            <w:lang w:val="en-US" w:eastAsia="zh-CN"/>
                            <w14:textFill>
                              <w14:solidFill>
                                <w14:schemeClr w14:val="tx1"/>
                              </w14:solidFill>
                            </w14:textFill>
                          </w:rPr>
                        </w:pPr>
                      </w:p>
                    </w:txbxContent>
                  </v:textbox>
                </v:shape>
                <v:rect id="_x0000_s1026" o:spid="_x0000_s1026" o:spt="1" style="position:absolute;left:14024;top:1685001;height:289;width:459;v-text-anchor:middle;" filled="f" stroked="t" coordsize="21600,21600" o:gfxdata="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3+dC8AAAA&#10;3AAAAA8AAAAAAAAAAQAgAAAAIgAAAGRycy9kb3ducmV2LnhtbFBLAQIUABQAAAAIAIdO4kAzLwWe&#10;OwAAADkAAAAQAAAAAAAAAAEAIAAAAAsBAABkcnMvc2hhcGV4bWwueG1sUEsFBgAAAAAGAAYAWwEA&#10;ALUDAAAAAA==&#10;">
                  <v:fill on="f" focussize="0,0"/>
                  <v:stroke weight="1.5pt" color="#FF0000 [2404]" miterlimit="8" joinstyle="miter"/>
                  <v:imagedata o:title=""/>
                  <o:lock v:ext="edit" aspectratio="f"/>
                </v:rect>
              </v:group>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6407150</wp:posOffset>
                </wp:positionH>
                <wp:positionV relativeFrom="paragraph">
                  <wp:posOffset>3672840</wp:posOffset>
                </wp:positionV>
                <wp:extent cx="1511935" cy="1113155"/>
                <wp:effectExtent l="6350" t="6350" r="24765" b="23495"/>
                <wp:wrapNone/>
                <wp:docPr id="171" name="矩形 171"/>
                <wp:cNvGraphicFramePr/>
                <a:graphic xmlns:a="http://schemas.openxmlformats.org/drawingml/2006/main">
                  <a:graphicData uri="http://schemas.microsoft.com/office/word/2010/wordprocessingShape">
                    <wps:wsp>
                      <wps:cNvSpPr/>
                      <wps:spPr>
                        <a:xfrm>
                          <a:off x="8428355" y="5351145"/>
                          <a:ext cx="1511935" cy="1113155"/>
                        </a:xfrm>
                        <a:prstGeom prst="rect">
                          <a:avLst/>
                        </a:prstGeom>
                        <a:solidFill>
                          <a:schemeClr val="bg2"/>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4.5pt;margin-top:289.2pt;height:87.65pt;width:119.05pt;z-index:251707392;v-text-anchor:middle;mso-width-relative:page;mso-height-relative:page;" fillcolor="#E7E6E6 [3214]" filled="t" stroked="t" coordsize="21600,21600" o:gfxdata="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nDsBi2wAAAA0BAAAPAAAAAAAAAAEA&#10;IAAAACIAAABkcnMvZG93bnJldi54bWxQSwECFAAUAAAACACHTuJAunvgYH4CAAAFBQAADgAAAAAA&#10;AAABACAAAAAqAQAAZHJzL2Uyb0RvYy54bWxQSwUGAAAAAAYABgBZAQAAGgY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highlight w:val="none"/>
        </w:rPr>
        <w:drawing>
          <wp:inline distT="0" distB="0" distL="114300" distR="114300">
            <wp:extent cx="6330950" cy="5208905"/>
            <wp:effectExtent l="0" t="0" r="6350" b="1079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24"/>
                    <a:stretch>
                      <a:fillRect/>
                    </a:stretch>
                  </pic:blipFill>
                  <pic:spPr>
                    <a:xfrm>
                      <a:off x="0" y="0"/>
                      <a:ext cx="6330950" cy="5208905"/>
                    </a:xfrm>
                    <a:prstGeom prst="rect">
                      <a:avLst/>
                    </a:prstGeom>
                    <a:noFill/>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25">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65408;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MROymPbAAAACwEAAA8AAAAAAAAA&#10;AQAgAAAAIgAAAGRycy9kb3ducmV2LnhtbFBLAQIUABQAAAAIAIdO4kBxoh1yjwEAAHoDAAAOAAAA&#10;AAAAAAEAIAAAACoBAABkcnMvZTJvRG9jLnhtbFBLAQIUAAoAAAAAAIdO4kAAAAAAAAAAAAAAAAAI&#10;AAAAAAAAAAAAEAAAAOUCAABkcnMvaW5rL1BLAQIUABQAAAAIAIdO4kBYy9UZpQEAAOADAAAQAAAA&#10;AAAAAAEAIAAAAAsDAABkcnMvaW5rL2luazEueG1sUEsFBgAAAAAKAAoATAIAAEkIAAAAAA==&#10;">
                <v:imagedata r:id="rId26"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27">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64384;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">
                <v:imagedata r:id="rId26"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28">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3360;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">
                <v:imagedata r:id="rId26"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2336"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29">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62336;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BYN4XfZAAAACwEAAA8AAAAAAAAA&#10;AQAgAAAAIgAAAGRycy9kb3ducmV2LnhtbFBLAQIUABQAAAAIAIdO4kB5nFw6kQEAAHoDAAAOAAAA&#10;AAAAAAEAIAAAACgBAABkcnMvZTJvRG9jLnhtbFBLAQIUAAoAAAAAAIdO4kAAAAAAAAAAAAAAAAAI&#10;AAAAAAAAAAAAEAAAAOUCAABkcnMvaW5rL1BLAQIUABQAAAAIAIdO4kDHcTOwpQEAAOADAAAQAAAA&#10;AAAAAAEAIAAAAAsDAABkcnMvaW5rL2luazEueG1sUEsFBgAAAAAKAAoATAIAAEkIAAAAAA==&#10;">
                <v:imagedata r:id="rId26" o:title=""/>
                <o:lock v:ext="edit"/>
              </v:shape>
            </w:pict>
          </mc:Fallback>
        </mc:AlternateContent>
      </w:r>
      <w:bookmarkStart w:id="154" w:name="_Toc31546"/>
    </w:p>
    <w:p w14:paraId="3E78C296">
      <w:pPr>
        <w:pStyle w:val="54"/>
        <w:keepNext w:val="0"/>
        <w:keepLines w:val="0"/>
        <w:pageBreakBefore w:val="0"/>
        <w:widowControl w:val="0"/>
        <w:kinsoku/>
        <w:wordWrap w:val="0"/>
        <w:overflowPunct/>
        <w:topLinePunct w:val="0"/>
        <w:autoSpaceDE/>
        <w:autoSpaceDN/>
        <w:bidi w:val="0"/>
        <w:snapToGrid w:val="0"/>
        <w:ind w:left="0"/>
        <w:jc w:val="center"/>
        <w:textAlignment w:val="auto"/>
        <w:outlineLvl w:val="0"/>
        <w:rPr>
          <w:rFonts w:hint="default" w:ascii="Times New Roman" w:hAnsi="Times New Roman" w:cs="Times New Roman"/>
          <w:b/>
          <w:bCs/>
          <w:color w:val="auto"/>
          <w:sz w:val="24"/>
          <w:szCs w:val="24"/>
          <w:highlight w:val="none"/>
        </w:rPr>
      </w:pPr>
      <w:bookmarkStart w:id="155" w:name="_Toc4389"/>
      <w:bookmarkStart w:id="156" w:name="_Toc492"/>
      <w:r>
        <w:rPr>
          <w:rFonts w:hint="default" w:ascii="Times New Roman" w:hAnsi="Times New Roman" w:cs="Times New Roman"/>
          <w:b/>
          <w:bCs/>
          <w:color w:val="auto"/>
          <w:sz w:val="24"/>
          <w:szCs w:val="24"/>
          <w:highlight w:val="none"/>
        </w:rPr>
        <w:t>附图4 环境保护目标分布图</w:t>
      </w:r>
      <w:bookmarkEnd w:id="154"/>
      <w:bookmarkEnd w:id="155"/>
      <w:bookmarkEnd w:id="156"/>
    </w:p>
    <w:p w14:paraId="069EC0B8">
      <w:pPr>
        <w:pStyle w:val="54"/>
        <w:pageBreakBefore w:val="0"/>
        <w:wordWrap w:val="0"/>
        <w:bidi w:val="0"/>
        <w:jc w:val="center"/>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r>
        <w:rPr>
          <w:rFonts w:hint="default" w:ascii="Times New Roman" w:hAnsi="Times New Roman" w:cs="Times New Roman"/>
          <w:color w:val="auto"/>
          <w:sz w:val="32"/>
          <w:highlight w:val="none"/>
        </w:rPr>
        <mc:AlternateContent>
          <mc:Choice Requires="wps">
            <w:drawing>
              <wp:anchor distT="0" distB="0" distL="114300" distR="114300" simplePos="0" relativeHeight="251660288" behindDoc="0" locked="0" layoutInCell="1" allowOverlap="1">
                <wp:simplePos x="0" y="0"/>
                <wp:positionH relativeFrom="column">
                  <wp:posOffset>7571740</wp:posOffset>
                </wp:positionH>
                <wp:positionV relativeFrom="paragraph">
                  <wp:posOffset>3931285</wp:posOffset>
                </wp:positionV>
                <wp:extent cx="1513205" cy="1333500"/>
                <wp:effectExtent l="4445" t="4445" r="6350" b="14605"/>
                <wp:wrapNone/>
                <wp:docPr id="277" name="文本框 277"/>
                <wp:cNvGraphicFramePr/>
                <a:graphic xmlns:a="http://schemas.openxmlformats.org/drawingml/2006/main">
                  <a:graphicData uri="http://schemas.microsoft.com/office/word/2010/wordprocessingShape">
                    <wps:wsp>
                      <wps:cNvSpPr txBox="1"/>
                      <wps:spPr>
                        <a:xfrm>
                          <a:off x="7583170" y="4638040"/>
                          <a:ext cx="1513205" cy="1333500"/>
                        </a:xfrm>
                        <a:prstGeom prst="rect">
                          <a:avLst/>
                        </a:prstGeom>
                        <a:solidFill>
                          <a:schemeClr val="bg1">
                            <a:lumMod val="9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D6C7BE">
                            <w:pPr>
                              <w:jc w:val="center"/>
                              <w:rPr>
                                <w:b/>
                                <w:bCs/>
                                <w:sz w:val="24"/>
                                <w:szCs w:val="24"/>
                              </w:rPr>
                            </w:pPr>
                            <w:r>
                              <w:rPr>
                                <w:b/>
                                <w:bCs/>
                                <w:sz w:val="24"/>
                                <w:szCs w:val="24"/>
                              </w:rPr>
                              <w:t>图 例</w:t>
                            </w:r>
                          </w:p>
                          <w:p w14:paraId="1A04C0A3">
                            <w:pPr>
                              <w:pStyle w:val="43"/>
                              <w:spacing w:line="360" w:lineRule="auto"/>
                              <w:rPr>
                                <w:rFonts w:ascii="Times New Roman" w:cs="Times New Roman"/>
                                <w:b/>
                                <w:bCs/>
                              </w:rPr>
                            </w:pPr>
                            <w:r>
                              <w:rPr>
                                <w:rFonts w:ascii="Times New Roman" w:cs="Times New Roman"/>
                                <w:b/>
                                <w:bCs/>
                              </w:rPr>
                              <w:t>项目位置：</w:t>
                            </w:r>
                          </w:p>
                          <w:p w14:paraId="34DB81F5">
                            <w:pPr>
                              <w:pStyle w:val="45"/>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1"/>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6.2pt;margin-top:309.55pt;height:105pt;width:119.15pt;z-index:251660288;mso-width-relative:page;mso-height-relative:page;" fillcolor="#F2F2F2 [3052]" filled="t" stroked="t" coordsize="21600,21600" o:gfxdata="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hySCfaAAAADQEAAA8AAAAAAAAAAQAgAAAA&#10;IgAAAGRycy9kb3ducmV2LnhtbFBLAQIUABQAAAAIAIdO4kD/UjZNewIAAOoEAAAOAAAAAAAAAAEA&#10;IAAAACkBAABkcnMvZTJvRG9jLnhtbFBLBQYAAAAABgAGAFkBAAAWBgAAAAA=&#10;">
                <v:fill on="t" focussize="0,0"/>
                <v:stroke weight="0.5pt" color="#000000 [3204]" joinstyle="round"/>
                <v:imagedata o:title=""/>
                <o:lock v:ext="edit" aspectratio="f"/>
                <v:textbox>
                  <w:txbxContent>
                    <w:p w14:paraId="6AD6C7BE">
                      <w:pPr>
                        <w:jc w:val="center"/>
                        <w:rPr>
                          <w:b/>
                          <w:bCs/>
                          <w:sz w:val="24"/>
                          <w:szCs w:val="24"/>
                        </w:rPr>
                      </w:pPr>
                      <w:r>
                        <w:rPr>
                          <w:b/>
                          <w:bCs/>
                          <w:sz w:val="24"/>
                          <w:szCs w:val="24"/>
                        </w:rPr>
                        <w:t>图 例</w:t>
                      </w:r>
                    </w:p>
                    <w:p w14:paraId="1A04C0A3">
                      <w:pPr>
                        <w:pStyle w:val="43"/>
                        <w:spacing w:line="360" w:lineRule="auto"/>
                        <w:rPr>
                          <w:rFonts w:ascii="Times New Roman" w:cs="Times New Roman"/>
                          <w:b/>
                          <w:bCs/>
                        </w:rPr>
                      </w:pPr>
                      <w:r>
                        <w:rPr>
                          <w:rFonts w:ascii="Times New Roman" w:cs="Times New Roman"/>
                          <w:b/>
                          <w:bCs/>
                        </w:rPr>
                        <w:t>项目位置：</w:t>
                      </w:r>
                    </w:p>
                    <w:p w14:paraId="34DB81F5">
                      <w:pPr>
                        <w:pStyle w:val="45"/>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1"/>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v:textbox>
              </v:shape>
            </w:pict>
          </mc:Fallback>
        </mc:AlternateContent>
      </w:r>
    </w:p>
    <w:p w14:paraId="69049D10">
      <w:pPr>
        <w:pStyle w:val="43"/>
        <w:keepNext w:val="0"/>
        <w:keepLines w:val="0"/>
        <w:pageBreakBefore w:val="0"/>
        <w:widowControl w:val="0"/>
        <w:kinsoku/>
        <w:wordWrap w:val="0"/>
        <w:overflowPunct/>
        <w:topLinePunct w:val="0"/>
        <w:autoSpaceDE w:val="0"/>
        <w:autoSpaceDN w:val="0"/>
        <w:bidi w:val="0"/>
        <w:adjustRightInd w:val="0"/>
        <w:snapToGrid w:val="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08416" behindDoc="0" locked="0" layoutInCell="1" allowOverlap="1">
                <wp:simplePos x="0" y="0"/>
                <wp:positionH relativeFrom="column">
                  <wp:posOffset>2686685</wp:posOffset>
                </wp:positionH>
                <wp:positionV relativeFrom="paragraph">
                  <wp:posOffset>2428240</wp:posOffset>
                </wp:positionV>
                <wp:extent cx="1111250" cy="387985"/>
                <wp:effectExtent l="467360" t="9525" r="21590" b="307340"/>
                <wp:wrapNone/>
                <wp:docPr id="289" name="圆角矩形标注 289"/>
                <wp:cNvGraphicFramePr/>
                <a:graphic xmlns:a="http://schemas.openxmlformats.org/drawingml/2006/main">
                  <a:graphicData uri="http://schemas.microsoft.com/office/word/2010/wordprocessingShape">
                    <wps:wsp>
                      <wps:cNvSpPr/>
                      <wps:spPr>
                        <a:xfrm>
                          <a:off x="0" y="0"/>
                          <a:ext cx="1111250" cy="387985"/>
                        </a:xfrm>
                        <a:prstGeom prst="wedgeRoundRectCallout">
                          <a:avLst>
                            <a:gd name="adj1" fmla="val -85542"/>
                            <a:gd name="adj2" fmla="val 120376"/>
                            <a:gd name="adj3" fmla="val 16667"/>
                          </a:avLst>
                        </a:prstGeom>
                        <a:solidFill>
                          <a:schemeClr val="bg1">
                            <a:lumMod val="95000"/>
                          </a:schemeClr>
                        </a:solidFill>
                        <a:ln>
                          <a:solidFill>
                            <a:schemeClr val="tx1"/>
                          </a:solidFill>
                        </a:ln>
                      </wps:spPr>
                      <wps:style>
                        <a:lnRef idx="3">
                          <a:schemeClr val="accent1"/>
                        </a:lnRef>
                        <a:fillRef idx="0">
                          <a:srgbClr val="FFFFFF"/>
                        </a:fillRef>
                        <a:effectRef idx="0">
                          <a:srgbClr val="FFFFFF"/>
                        </a:effectRef>
                        <a:fontRef idx="minor">
                          <a:schemeClr val="tx1"/>
                        </a:fontRef>
                      </wps:style>
                      <wps:txbx>
                        <w:txbxContent>
                          <w:p w14:paraId="11EEB1A0">
                            <w:pPr>
                              <w:jc w:val="center"/>
                              <w:rPr>
                                <w:b/>
                                <w:bCs/>
                              </w:rPr>
                            </w:pPr>
                            <w:r>
                              <w:rPr>
                                <w:rFonts w:hint="eastAsia"/>
                                <w:b/>
                                <w:bCs/>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1.55pt;margin-top:191.2pt;height:30.55pt;width:87.5pt;z-index:251708416;v-text-anchor:middle;mso-width-relative:page;mso-height-relative:page;" fillcolor="#F2F2F2 [3052]" filled="t" stroked="t" coordsize="21600,21600" o:gfxdata="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4jGbXdoAAAALAQAADwAAAAAAAAABACAAAAAiAAAAZHJzL2Rvd25yZXYueG1s&#10;UEsBAhQAFAAAAAgAh07iQLk35xXaAgAAuQUAAA4AAAAAAAAAAQAgAAAAKQEAAGRycy9lMm9Eb2Mu&#10;eG1sUEsFBgAAAAAGAAYAWQEAAHUGAAAAAA==&#10;" adj="-7677,36801,14400">
                <v:fill on="t" focussize="0,0"/>
                <v:stroke weight="1.5pt" color="#000000 [3213]" miterlimit="8" joinstyle="miter"/>
                <v:imagedata o:title=""/>
                <o:lock v:ext="edit" aspectratio="f"/>
                <v:textbox>
                  <w:txbxContent>
                    <w:p w14:paraId="11EEB1A0">
                      <w:pPr>
                        <w:jc w:val="center"/>
                        <w:rPr>
                          <w:b/>
                          <w:bCs/>
                        </w:rPr>
                      </w:pPr>
                      <w:r>
                        <w:rPr>
                          <w:rFonts w:hint="eastAsia"/>
                          <w:b/>
                          <w:bCs/>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2204720</wp:posOffset>
                </wp:positionH>
                <wp:positionV relativeFrom="paragraph">
                  <wp:posOffset>3041650</wp:posOffset>
                </wp:positionV>
                <wp:extent cx="88265" cy="92710"/>
                <wp:effectExtent l="17780" t="22225" r="23495" b="25400"/>
                <wp:wrapNone/>
                <wp:docPr id="286" name="五角星 286"/>
                <wp:cNvGraphicFramePr/>
                <a:graphic xmlns:a="http://schemas.openxmlformats.org/drawingml/2006/main">
                  <a:graphicData uri="http://schemas.microsoft.com/office/word/2010/wordprocessingShape">
                    <wps:wsp>
                      <wps:cNvSpPr/>
                      <wps:spPr>
                        <a:xfrm>
                          <a:off x="0" y="0"/>
                          <a:ext cx="88265" cy="9271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3.6pt;margin-top:239.5pt;height:7.3pt;width:6.95pt;z-index:251670528;v-text-anchor:middle;mso-width-relative:page;mso-height-relative:page;" fillcolor="#FF0000" filled="t" stroked="t" coordsize="88265,92710" o:gfxdata="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pxmYDbAAAACwEAAA8AAAAAAAAAAQAgAAAAIgAA&#10;AGRycy9kb3ducmV2LnhtbFBLAQIUABQAAAAIAIdO4kAa/+IZdwIAAPkEAAAOAAAAAAAAAAEAIAAA&#10;ACoBAABkcnMvZTJvRG9jLnhtbFBLBQYAAAAABgAGAFkBAAATBgAAAAA=&#10;" path="m0,35411l33714,35412,44132,0,54550,35412,88264,35411,60989,57297,71407,92709,44132,70823,16857,92709,27275,57297xe">
                <v:path o:connectlocs="44132,0;0,35411;16857,92709;71407,92709;88264,35411"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8046720" cy="5444490"/>
            <wp:effectExtent l="9525" t="9525" r="20955" b="19685"/>
            <wp:docPr id="62" name="图片 62" descr="01城东法定图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1城东法定图则"/>
                    <pic:cNvPicPr>
                      <a:picLocks noChangeAspect="1"/>
                    </pic:cNvPicPr>
                  </pic:nvPicPr>
                  <pic:blipFill>
                    <a:blip r:embed="rId30"/>
                    <a:stretch>
                      <a:fillRect/>
                    </a:stretch>
                  </pic:blipFill>
                  <pic:spPr>
                    <a:xfrm>
                      <a:off x="0" y="0"/>
                      <a:ext cx="8046720" cy="5444490"/>
                    </a:xfrm>
                    <a:prstGeom prst="rect">
                      <a:avLst/>
                    </a:prstGeom>
                    <a:ln>
                      <a:solidFill>
                        <a:schemeClr val="tx1"/>
                      </a:solidFill>
                    </a:ln>
                  </pic:spPr>
                </pic:pic>
              </a:graphicData>
            </a:graphic>
          </wp:inline>
        </w:drawing>
      </w:r>
    </w:p>
    <w:p w14:paraId="3E5BE77E">
      <w:pPr>
        <w:pageBreakBefore w:val="0"/>
        <w:kinsoku w:val="0"/>
        <w:wordWrap w:val="0"/>
        <w:overflowPunct w:val="0"/>
        <w:bidi w:val="0"/>
        <w:adjustRightInd w:val="0"/>
        <w:snapToGrid w:val="0"/>
        <w:ind w:firstLine="482" w:firstLineChars="200"/>
        <w:jc w:val="center"/>
        <w:outlineLvl w:val="0"/>
        <w:rPr>
          <w:rFonts w:hint="default" w:ascii="Times New Roman" w:hAnsi="Times New Roman" w:cs="Times New Roman"/>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57" w:name="_Toc28121"/>
      <w:bookmarkStart w:id="158" w:name="_Toc30352"/>
      <w:bookmarkStart w:id="159" w:name="_Toc27954"/>
      <w:r>
        <w:rPr>
          <w:rFonts w:hint="default" w:ascii="Times New Roman" w:hAnsi="Times New Roman" w:cs="Times New Roman"/>
          <w:b/>
          <w:bCs/>
          <w:color w:val="auto"/>
          <w:szCs w:val="22"/>
          <w:highlight w:val="none"/>
        </w:rPr>
        <w:t xml:space="preserve">附图5 </w:t>
      </w:r>
      <w:bookmarkEnd w:id="157"/>
      <w:r>
        <w:rPr>
          <w:rFonts w:hint="default" w:ascii="Times New Roman" w:hAnsi="Times New Roman" w:cs="Times New Roman"/>
          <w:b/>
          <w:bCs/>
          <w:color w:val="auto"/>
          <w:szCs w:val="22"/>
          <w:highlight w:val="none"/>
        </w:rPr>
        <w:t>建设项目土地利用规划图</w:t>
      </w:r>
      <w:bookmarkEnd w:id="158"/>
      <w:bookmarkEnd w:id="159"/>
    </w:p>
    <w:p w14:paraId="4B6726A1">
      <w:pPr>
        <w:pStyle w:val="43"/>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32"/>
          <w:highlight w:val="none"/>
        </w:rPr>
        <mc:AlternateContent>
          <mc:Choice Requires="wps">
            <w:drawing>
              <wp:anchor distT="0" distB="0" distL="114300" distR="114300" simplePos="0" relativeHeight="251672576" behindDoc="0" locked="0" layoutInCell="1" allowOverlap="1">
                <wp:simplePos x="0" y="0"/>
                <wp:positionH relativeFrom="column">
                  <wp:posOffset>5735320</wp:posOffset>
                </wp:positionH>
                <wp:positionV relativeFrom="paragraph">
                  <wp:posOffset>3081020</wp:posOffset>
                </wp:positionV>
                <wp:extent cx="1087120" cy="422275"/>
                <wp:effectExtent l="107950" t="5080" r="5080" b="277495"/>
                <wp:wrapNone/>
                <wp:docPr id="292" name="圆角矩形标注 292"/>
                <wp:cNvGraphicFramePr/>
                <a:graphic xmlns:a="http://schemas.openxmlformats.org/drawingml/2006/main">
                  <a:graphicData uri="http://schemas.microsoft.com/office/word/2010/wordprocessingShape">
                    <wps:wsp>
                      <wps:cNvSpPr/>
                      <wps:spPr>
                        <a:xfrm>
                          <a:off x="4039870" y="1560195"/>
                          <a:ext cx="1087120" cy="422275"/>
                        </a:xfrm>
                        <a:prstGeom prst="wedgeRoundRectCallout">
                          <a:avLst>
                            <a:gd name="adj1" fmla="val -57710"/>
                            <a:gd name="adj2" fmla="val 110751"/>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51.6pt;margin-top:242.6pt;height:33.25pt;width:85.6pt;z-index:251672576;v-text-anchor:middle;mso-width-relative:page;mso-height-relative:page;" fillcolor="#FFFFFF [3212]" filled="t" stroked="t" coordsize="21600,21600" o:gfxdata="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BgAGVZ3QAAAAwBAAAPAAAAAAAAAAEAIAAAACIAAABkcnMvZG93bnJldi54bWxQ&#10;SwECFAAUAAAACACHTuJAeOIM2dYCAACiBQAADgAAAAAAAAABACAAAAAsAQAAZHJzL2Uyb0RvYy54&#10;bWxQSwUGAAAAAAYABgBZAQAAdAYAAAAA&#10;" adj="-1665,34722,14400">
                <v:fill on="t" focussize="0,0"/>
                <v:stroke color="#000000 [3213]" miterlimit="8" joinstyle="miter"/>
                <v:imagedata o:title=""/>
                <o:lock v:ext="edit" aspectratio="f"/>
                <v:textbo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671552" behindDoc="0" locked="0" layoutInCell="1" allowOverlap="1">
                <wp:simplePos x="0" y="0"/>
                <wp:positionH relativeFrom="column">
                  <wp:posOffset>5593715</wp:posOffset>
                </wp:positionH>
                <wp:positionV relativeFrom="paragraph">
                  <wp:posOffset>3670300</wp:posOffset>
                </wp:positionV>
                <wp:extent cx="139065" cy="141605"/>
                <wp:effectExtent l="13970" t="16510" r="18415" b="13335"/>
                <wp:wrapNone/>
                <wp:docPr id="291" name="五角星 291"/>
                <wp:cNvGraphicFramePr/>
                <a:graphic xmlns:a="http://schemas.openxmlformats.org/drawingml/2006/main">
                  <a:graphicData uri="http://schemas.microsoft.com/office/word/2010/wordprocessingShape">
                    <wps:wsp>
                      <wps:cNvSpPr/>
                      <wps:spPr>
                        <a:xfrm>
                          <a:off x="3783965" y="2263140"/>
                          <a:ext cx="139065" cy="141605"/>
                        </a:xfrm>
                        <a:prstGeom prst="star5">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0.45pt;margin-top:289pt;height:11.15pt;width:10.95pt;z-index:251671552;v-text-anchor:middle;mso-width-relative:page;mso-height-relative:page;" fillcolor="#FF0000" filled="t" stroked="t" coordsize="139065,141605" o:gfxdata="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4V+uR2QAAAAsBAAAPAAAAAAAA&#10;AAEAIAAAACIAAABkcnMvZG93bnJldi54bWxQSwECFAAUAAAACACHTuJADMfoiIMCAAAGBQAADgAA&#10;AAAAAAABACAAAAAoAQAAZHJzL2Uyb0RvYy54bWxQSwUGAAAAAAYABgBZAQAAHQYAAAAA&#10;" path="m0,54088l53118,54088,69532,0,85946,54088,139064,54088,96091,87516,112505,141604,69532,108175,26559,141604,42973,87516xe">
                <v:path o:connectlocs="69532,0;0,54088;26559,141604;112505,141604;139064,54088" o:connectangles="247,164,82,82,0"/>
                <v:fill on="t" focussize="0,0"/>
                <v:stroke color="#000000 [3213]" miterlimit="8"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7645400" cy="5318760"/>
            <wp:effectExtent l="28575" t="28575" r="34925" b="37465"/>
            <wp:docPr id="3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5"/>
                    <pic:cNvPicPr>
                      <a:picLocks noChangeAspect="1"/>
                    </pic:cNvPicPr>
                  </pic:nvPicPr>
                  <pic:blipFill>
                    <a:blip r:embed="rId31"/>
                    <a:stretch>
                      <a:fillRect/>
                    </a:stretch>
                  </pic:blipFill>
                  <pic:spPr>
                    <a:xfrm>
                      <a:off x="0" y="0"/>
                      <a:ext cx="7645400" cy="5318760"/>
                    </a:xfrm>
                    <a:prstGeom prst="rect">
                      <a:avLst/>
                    </a:prstGeom>
                    <a:noFill/>
                    <a:ln w="28575">
                      <a:solidFill>
                        <a:schemeClr val="tx1"/>
                      </a:solidFill>
                    </a:ln>
                  </pic:spPr>
                </pic:pic>
              </a:graphicData>
            </a:graphic>
          </wp:inline>
        </w:drawing>
      </w:r>
    </w:p>
    <w:p w14:paraId="4BC2A38A">
      <w:pPr>
        <w:pageBreakBefore w:val="0"/>
        <w:kinsoku w:val="0"/>
        <w:wordWrap w:val="0"/>
        <w:overflowPunct w:val="0"/>
        <w:bidi w:val="0"/>
        <w:adjustRightInd w:val="0"/>
        <w:snapToGrid w:val="0"/>
        <w:ind w:firstLine="482" w:firstLineChars="200"/>
        <w:jc w:val="center"/>
        <w:outlineLvl w:val="0"/>
        <w:rPr>
          <w:rFonts w:hint="default" w:ascii="Times New Roman" w:hAnsi="Times New Roman" w:cs="Times New Roman"/>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60" w:name="_Toc7414"/>
      <w:bookmarkStart w:id="161" w:name="_Toc26751"/>
      <w:bookmarkStart w:id="162" w:name="_Toc9577"/>
      <w:r>
        <w:rPr>
          <w:rFonts w:hint="default" w:ascii="Times New Roman" w:hAnsi="Times New Roman" w:cs="Times New Roman"/>
          <w:b/>
          <w:bCs/>
          <w:color w:val="auto"/>
          <w:szCs w:val="22"/>
          <w:highlight w:val="none"/>
        </w:rPr>
        <w:t xml:space="preserve">附图6 </w:t>
      </w:r>
      <w:bookmarkEnd w:id="160"/>
      <w:r>
        <w:rPr>
          <w:rFonts w:hint="default" w:ascii="Times New Roman" w:hAnsi="Times New Roman" w:cs="Times New Roman"/>
          <w:b/>
          <w:bCs/>
          <w:color w:val="auto"/>
          <w:szCs w:val="22"/>
          <w:highlight w:val="none"/>
        </w:rPr>
        <w:t>大气环境功能区划图</w:t>
      </w:r>
      <w:bookmarkEnd w:id="161"/>
      <w:bookmarkEnd w:id="162"/>
    </w:p>
    <w:p w14:paraId="52D3BF6B">
      <w:pPr>
        <w:pageBreakBefore w:val="0"/>
        <w:kinsoku w:val="0"/>
        <w:wordWrap w:val="0"/>
        <w:overflowPunct w:val="0"/>
        <w:bidi w:val="0"/>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83840" behindDoc="0" locked="0" layoutInCell="1" allowOverlap="1">
                <wp:simplePos x="0" y="0"/>
                <wp:positionH relativeFrom="column">
                  <wp:posOffset>5832475</wp:posOffset>
                </wp:positionH>
                <wp:positionV relativeFrom="paragraph">
                  <wp:posOffset>3618230</wp:posOffset>
                </wp:positionV>
                <wp:extent cx="161290" cy="154305"/>
                <wp:effectExtent l="19685" t="20955" r="28575" b="34290"/>
                <wp:wrapNone/>
                <wp:docPr id="314" name="五角星 314"/>
                <wp:cNvGraphicFramePr/>
                <a:graphic xmlns:a="http://schemas.openxmlformats.org/drawingml/2006/main">
                  <a:graphicData uri="http://schemas.microsoft.com/office/word/2010/wordprocessingShape">
                    <wps:wsp>
                      <wps:cNvSpPr/>
                      <wps:spPr>
                        <a:xfrm>
                          <a:off x="0" y="0"/>
                          <a:ext cx="161290" cy="15430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0B261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9.25pt;margin-top:284.9pt;height:12.15pt;width:12.7pt;z-index:251683840;v-text-anchor:middle;mso-width-relative:page;mso-height-relative:page;" fillcolor="#FF0000" filled="t" stroked="t" coordsize="161290,154305" o:gfxdata="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cihaT9wAAAALAQAADwAAAAAAAAAB&#10;ACAAAAAiAAAAZHJzL2Rvd25yZXYueG1sUEsBAhQAFAAAAAgAh07iQMvNzkJ+AgAABgUAAA4AAAAA&#10;AAAAAQAgAAAAKwEAAGRycy9lMm9Eb2MueG1sUEsFBgAAAAAGAAYAWQEAABsGAAAAAA==&#10;" path="m0,58939l61607,58939,80645,0,99682,58939,161289,58939,111448,95365,130486,154304,80645,117877,30803,154304,49841,95365xe">
                <v:path textboxrect="0,0,161290,154305" o:connectlocs="80645,0;0,58939;30803,154304;130486,154304;161289,58939" o:connectangles="247,164,82,82,0"/>
                <v:fill on="t" focussize="0,0"/>
                <v:stroke weight="1pt" color="#000000 [3213]" miterlimit="8" joinstyle="miter"/>
                <v:imagedata o:title=""/>
                <o:lock v:ext="edit" aspectratio="f"/>
                <v:textbox>
                  <w:txbxContent>
                    <w:p w14:paraId="320B2617">
                      <w:pPr>
                        <w:jc w:val="cente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6912" behindDoc="0" locked="0" layoutInCell="1" allowOverlap="1">
                <wp:simplePos x="0" y="0"/>
                <wp:positionH relativeFrom="column">
                  <wp:posOffset>4198620</wp:posOffset>
                </wp:positionH>
                <wp:positionV relativeFrom="paragraph">
                  <wp:posOffset>3184525</wp:posOffset>
                </wp:positionV>
                <wp:extent cx="1276350" cy="589915"/>
                <wp:effectExtent l="13970" t="13970" r="462280" b="24765"/>
                <wp:wrapNone/>
                <wp:docPr id="317" name="圆角矩形标注 317"/>
                <wp:cNvGraphicFramePr/>
                <a:graphic xmlns:a="http://schemas.openxmlformats.org/drawingml/2006/main">
                  <a:graphicData uri="http://schemas.microsoft.com/office/word/2010/wordprocessingShape">
                    <wps:wsp>
                      <wps:cNvSpPr/>
                      <wps:spPr>
                        <a:xfrm>
                          <a:off x="0" y="0"/>
                          <a:ext cx="1276350"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7192A9">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0.6pt;margin-top:250.75pt;height:46.45pt;width:100.5pt;z-index:251686912;v-text-anchor:middle;mso-width-relative:page;mso-height-relative:page;" fillcolor="#FFFFFF [3212]" filled="t" stroked="t" coordsize="21600,21600" o:gfxdata="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NBSfxzb&#10;AAAACwEAAA8AAAAAAAAAAQAgAAAAIgAAAGRycy9kb3ducmV2LnhtbFBLAQIUABQAAAAIAIdO4kBA&#10;9X8oyAIAAJUFAAAOAAAAAAAAAAEAIAAAACoBAABkcnMvZTJvRG9jLnhtbFBLBQYAAAAABgAGAFkB&#10;AABkBgAAAAA=&#10;" adj="27904,19283,14400">
                <v:fill on="t" focussize="0,0"/>
                <v:stroke weight="2.25pt" color="#000000 [3213]" miterlimit="8" joinstyle="miter"/>
                <v:imagedata o:title=""/>
                <o:lock v:ext="edit" aspectratio="f"/>
                <v:textbox>
                  <w:txbxContent>
                    <w:p w14:paraId="1E7192A9">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2816" behindDoc="0" locked="0" layoutInCell="1" allowOverlap="1">
                <wp:simplePos x="0" y="0"/>
                <wp:positionH relativeFrom="column">
                  <wp:posOffset>5958205</wp:posOffset>
                </wp:positionH>
                <wp:positionV relativeFrom="paragraph">
                  <wp:posOffset>999490</wp:posOffset>
                </wp:positionV>
                <wp:extent cx="219075" cy="209550"/>
                <wp:effectExtent l="19685" t="20955" r="27940" b="17145"/>
                <wp:wrapNone/>
                <wp:docPr id="313" name="五角星 313"/>
                <wp:cNvGraphicFramePr/>
                <a:graphic xmlns:a="http://schemas.openxmlformats.org/drawingml/2006/main">
                  <a:graphicData uri="http://schemas.microsoft.com/office/word/2010/wordprocessingShape">
                    <wps:wsp>
                      <wps:cNvSpPr/>
                      <wps:spPr>
                        <a:xfrm>
                          <a:off x="6902450" y="1977390"/>
                          <a:ext cx="219075" cy="20955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82CA9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9.15pt;margin-top:78.7pt;height:16.5pt;width:17.25pt;z-index:251682816;v-text-anchor:middle;mso-width-relative:page;mso-height-relative:page;" fillcolor="#FF0000" filled="t" stroked="t" coordsize="219075,209550" o:gfxdata="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BVqYY7ZAAAACwEA&#10;AA8AAAAAAAAAAQAgAAAAIgAAAGRycy9kb3ducmV2LnhtbFBLAQIUABQAAAAIAIdO4kBzi/8qiwIA&#10;ABIFAAAOAAAAAAAAAAEAIAAAACgBAABkcnMvZTJvRG9jLnhtbFBLBQYAAAAABgAGAFkBAAAlBgAA&#10;AAA=&#10;" path="m0,80040l83679,80041,109537,0,135395,80041,219074,80040,151376,129508,177235,209549,109537,160080,41839,209549,67698,129508xe">
                <v:path textboxrect="0,0,219075,209550" o:connectlocs="109537,0;0,80040;41839,209549;177235,209549;219074,80040" o:connectangles="247,164,82,82,0"/>
                <v:fill on="t" focussize="0,0"/>
                <v:stroke weight="1pt" color="#000000 [3213]" miterlimit="8" joinstyle="miter"/>
                <v:imagedata o:title=""/>
                <o:lock v:ext="edit" aspectratio="f"/>
                <v:textbox>
                  <w:txbxContent>
                    <w:p w14:paraId="3D82CA96">
                      <w:pPr>
                        <w:jc w:val="cente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4067810</wp:posOffset>
                </wp:positionH>
                <wp:positionV relativeFrom="paragraph">
                  <wp:posOffset>823595</wp:posOffset>
                </wp:positionV>
                <wp:extent cx="1276350" cy="589915"/>
                <wp:effectExtent l="13970" t="13970" r="728345" b="22225"/>
                <wp:wrapNone/>
                <wp:docPr id="315" name="圆角矩形标注 315"/>
                <wp:cNvGraphicFramePr/>
                <a:graphic xmlns:a="http://schemas.openxmlformats.org/drawingml/2006/main">
                  <a:graphicData uri="http://schemas.microsoft.com/office/word/2010/wordprocessingShape">
                    <wps:wsp>
                      <wps:cNvSpPr/>
                      <wps:spPr>
                        <a:xfrm>
                          <a:off x="0" y="0"/>
                          <a:ext cx="1276350" cy="589915"/>
                        </a:xfrm>
                        <a:prstGeom prst="wedgeRoundRectCallout">
                          <a:avLst>
                            <a:gd name="adj1" fmla="val 98059"/>
                            <a:gd name="adj2" fmla="val 6189"/>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4BDA57C">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3pt;margin-top:64.85pt;height:46.45pt;width:100.5pt;z-index:251684864;v-text-anchor:middle;mso-width-relative:page;mso-height-relative:page;" fillcolor="#FFFFFF [3212]" filled="t" stroked="t" coordsize="21600,21600" o:gfxdata="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MQWP57aAAAACwEA&#10;AA8AAAAAAAAAAQAgAAAAIgAAAGRycy9kb3ducmV2LnhtbFBLAQIUABQAAAAIAIdO4kCEZ7uGwwIA&#10;AJQFAAAOAAAAAAAAAAEAIAAAACkBAABkcnMvZTJvRG9jLnhtbFBLBQYAAAAABgAGAFkBAABeBgAA&#10;AAA=&#10;" adj="31981,12137,14400">
                <v:fill on="t" focussize="0,0"/>
                <v:stroke weight="2.25pt" color="#000000 [3213]" miterlimit="8" joinstyle="miter"/>
                <v:imagedata o:title=""/>
                <o:lock v:ext="edit" aspectratio="f"/>
                <v:textbox>
                  <w:txbxContent>
                    <w:p w14:paraId="74BDA57C">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5901055</wp:posOffset>
                </wp:positionH>
                <wp:positionV relativeFrom="paragraph">
                  <wp:posOffset>2379345</wp:posOffset>
                </wp:positionV>
                <wp:extent cx="12065" cy="1238885"/>
                <wp:effectExtent l="53340" t="0" r="74295" b="5715"/>
                <wp:wrapNone/>
                <wp:docPr id="316" name="直接箭头连接符 316"/>
                <wp:cNvGraphicFramePr/>
                <a:graphic xmlns:a="http://schemas.openxmlformats.org/drawingml/2006/main">
                  <a:graphicData uri="http://schemas.microsoft.com/office/word/2010/wordprocessingShape">
                    <wps:wsp>
                      <wps:cNvCnPr>
                        <a:stCxn id="312" idx="2"/>
                        <a:endCxn id="314" idx="0"/>
                      </wps:cNvCnPr>
                      <wps:spPr>
                        <a:xfrm>
                          <a:off x="6850380" y="3279140"/>
                          <a:ext cx="12065" cy="123888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64.65pt;margin-top:187.35pt;height:97.55pt;width:0.95pt;z-index:251685888;mso-width-relative:page;mso-height-relative:page;" filled="f" stroked="t" coordsize="21600,21600" o:gfxdata="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BRmp72QAAAAsBAAAPAAAAAAAAAAEAIAAAACIAAABkcnMvZG93bnJldi54bWxQ&#10;SwECFAAUAAAACACHTuJAmmoZlS8CAAA3BAAADgAAAAAAAAABACAAAAAoAQAAZHJzL2Uyb0RvYy54&#10;bWxQSwUGAAAAAAYABgBZAQAAyQU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81792" behindDoc="0" locked="0" layoutInCell="1" allowOverlap="1">
            <wp:simplePos x="0" y="0"/>
            <wp:positionH relativeFrom="column">
              <wp:posOffset>4534535</wp:posOffset>
            </wp:positionH>
            <wp:positionV relativeFrom="paragraph">
              <wp:posOffset>360045</wp:posOffset>
            </wp:positionV>
            <wp:extent cx="2732405" cy="2019300"/>
            <wp:effectExtent l="28575" t="28575" r="33020" b="34925"/>
            <wp:wrapNone/>
            <wp:docPr id="3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7"/>
                    <pic:cNvPicPr>
                      <a:picLocks noChangeAspect="1"/>
                    </pic:cNvPicPr>
                  </pic:nvPicPr>
                  <pic:blipFill>
                    <a:blip r:embed="rId32"/>
                    <a:stretch>
                      <a:fillRect/>
                    </a:stretch>
                  </pic:blipFill>
                  <pic:spPr>
                    <a:xfrm>
                      <a:off x="0" y="0"/>
                      <a:ext cx="2732405" cy="2019300"/>
                    </a:xfrm>
                    <a:prstGeom prst="rect">
                      <a:avLst/>
                    </a:prstGeom>
                    <a:noFill/>
                    <a:ln w="28575">
                      <a:solidFill>
                        <a:schemeClr val="tx1"/>
                      </a:solidFill>
                    </a:ln>
                  </pic:spPr>
                </pic:pic>
              </a:graphicData>
            </a:graphic>
          </wp:anchor>
        </w:drawing>
      </w:r>
      <w:r>
        <w:rPr>
          <w:rFonts w:hint="default" w:ascii="Times New Roman" w:hAnsi="Times New Roman" w:cs="Times New Roman"/>
          <w:color w:val="auto"/>
          <w:highlight w:val="none"/>
        </w:rPr>
        <w:drawing>
          <wp:inline distT="0" distB="0" distL="114300" distR="114300">
            <wp:extent cx="7670800" cy="5343525"/>
            <wp:effectExtent l="28575" t="28575" r="34925" b="38100"/>
            <wp:docPr id="3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6"/>
                    <pic:cNvPicPr>
                      <a:picLocks noChangeAspect="1"/>
                    </pic:cNvPicPr>
                  </pic:nvPicPr>
                  <pic:blipFill>
                    <a:blip r:embed="rId33"/>
                    <a:stretch>
                      <a:fillRect/>
                    </a:stretch>
                  </pic:blipFill>
                  <pic:spPr>
                    <a:xfrm>
                      <a:off x="0" y="0"/>
                      <a:ext cx="7670800" cy="5343525"/>
                    </a:xfrm>
                    <a:prstGeom prst="rect">
                      <a:avLst/>
                    </a:prstGeom>
                    <a:noFill/>
                    <a:ln w="28575">
                      <a:solidFill>
                        <a:schemeClr val="tx1"/>
                      </a:solidFill>
                    </a:ln>
                  </pic:spPr>
                </pic:pic>
              </a:graphicData>
            </a:graphic>
          </wp:inline>
        </w:drawing>
      </w:r>
    </w:p>
    <w:p w14:paraId="2C18EAB3">
      <w:pPr>
        <w:pageBreakBefore w:val="0"/>
        <w:kinsoku w:val="0"/>
        <w:wordWrap w:val="0"/>
        <w:overflowPunct w:val="0"/>
        <w:bidi w:val="0"/>
        <w:adjustRightInd w:val="0"/>
        <w:snapToGrid w:val="0"/>
        <w:ind w:firstLine="482" w:firstLineChars="200"/>
        <w:jc w:val="center"/>
        <w:outlineLvl w:val="0"/>
        <w:rPr>
          <w:rFonts w:hint="default" w:ascii="Times New Roman" w:hAnsi="Times New Roman" w:cs="Times New Roman"/>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63" w:name="_Toc3229"/>
      <w:bookmarkStart w:id="164" w:name="_Toc1410"/>
      <w:bookmarkStart w:id="165" w:name="_Toc16814"/>
      <w:r>
        <w:rPr>
          <w:rFonts w:hint="default" w:ascii="Times New Roman" w:hAnsi="Times New Roman" w:cs="Times New Roman"/>
          <w:b/>
          <w:bCs/>
          <w:color w:val="auto"/>
          <w:szCs w:val="22"/>
          <w:highlight w:val="none"/>
        </w:rPr>
        <w:t xml:space="preserve">附图7 </w:t>
      </w:r>
      <w:bookmarkEnd w:id="163"/>
      <w:r>
        <w:rPr>
          <w:rFonts w:hint="default" w:ascii="Times New Roman" w:hAnsi="Times New Roman" w:cs="Times New Roman"/>
          <w:b/>
          <w:bCs/>
          <w:color w:val="auto"/>
          <w:szCs w:val="22"/>
          <w:highlight w:val="none"/>
        </w:rPr>
        <w:t>水环境功能区划图</w:t>
      </w:r>
      <w:bookmarkEnd w:id="164"/>
      <w:bookmarkEnd w:id="165"/>
    </w:p>
    <w:p w14:paraId="5B395812">
      <w:pPr>
        <w:pStyle w:val="44"/>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5674360</wp:posOffset>
                </wp:positionH>
                <wp:positionV relativeFrom="paragraph">
                  <wp:posOffset>3630295</wp:posOffset>
                </wp:positionV>
                <wp:extent cx="159385" cy="152400"/>
                <wp:effectExtent l="19685" t="20955" r="30480" b="17145"/>
                <wp:wrapNone/>
                <wp:docPr id="295" name="五角星 295"/>
                <wp:cNvGraphicFramePr/>
                <a:graphic xmlns:a="http://schemas.openxmlformats.org/drawingml/2006/main">
                  <a:graphicData uri="http://schemas.microsoft.com/office/word/2010/wordprocessingShape">
                    <wps:wsp>
                      <wps:cNvSpPr/>
                      <wps:spPr>
                        <a:xfrm>
                          <a:off x="7077075" y="1751965"/>
                          <a:ext cx="159385" cy="15240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59169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8pt;margin-top:285.85pt;height:12pt;width:12.55pt;z-index:251673600;v-text-anchor:middle;mso-width-relative:page;mso-height-relative:page;" fillcolor="#FF0000" filled="t" stroked="t" coordsize="159385,152400" o:gfxdata="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SM6sB2gAAAAsB&#10;AAAPAAAAAAAAAAEAIAAAACIAAABkcnMvZG93bnJldi54bWxQSwECFAAUAAAACACHTuJA6xBXtIsC&#10;AAASBQAADgAAAAAAAAABACAAAAApAQAAZHJzL2Uyb0RvYy54bWxQSwUGAAAAAAYABgBZAQAAJgYA&#10;AAAA&#10;" path="m0,58211l60879,58211,79692,0,98505,58211,159384,58211,110131,94187,128945,152399,79692,116422,30439,152399,49253,94187xe">
                <v:path textboxrect="0,0,159385,152400" o:connectlocs="79692,0;0,58211;30439,152399;128945,152399;159384,58211" o:connectangles="247,164,82,82,0"/>
                <v:fill on="t" focussize="0,0"/>
                <v:stroke weight="1pt" color="#000000 [3213]" miterlimit="8" joinstyle="miter"/>
                <v:imagedata o:title=""/>
                <o:lock v:ext="edit" aspectratio="f"/>
                <v:textbox>
                  <w:txbxContent>
                    <w:p w14:paraId="3359169A">
                      <w:pPr>
                        <w:jc w:val="cente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5977890</wp:posOffset>
                </wp:positionH>
                <wp:positionV relativeFrom="paragraph">
                  <wp:posOffset>851535</wp:posOffset>
                </wp:positionV>
                <wp:extent cx="233045" cy="186690"/>
                <wp:effectExtent l="22225" t="17780" r="30480" b="24130"/>
                <wp:wrapNone/>
                <wp:docPr id="301" name="五角星 301"/>
                <wp:cNvGraphicFramePr/>
                <a:graphic xmlns:a="http://schemas.openxmlformats.org/drawingml/2006/main">
                  <a:graphicData uri="http://schemas.microsoft.com/office/word/2010/wordprocessingShape">
                    <wps:wsp>
                      <wps:cNvSpPr/>
                      <wps:spPr>
                        <a:xfrm>
                          <a:off x="0" y="0"/>
                          <a:ext cx="233045" cy="18669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70.7pt;margin-top:67.05pt;height:14.7pt;width:18.35pt;z-index:251675648;v-text-anchor:middle;mso-width-relative:page;mso-height-relative:page;" fillcolor="#FF0000" filled="t" stroked="t" coordsize="233045,186690" o:gfxdata="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cpL0tkAAAALAQAADwAAAAAAAAABACAAAAAiAAAA&#10;ZHJzL2Rvd25yZXYueG1sUEsBAhQAFAAAAAgAh07iQEucDgR4AgAA+wQAAA4AAAAAAAAAAQAgAAAA&#10;KAEAAGRycy9lMm9Eb2MueG1sUEsFBgAAAAAGAAYAWQEAABIGAAAAAA==&#10;" path="m0,71309l89015,71309,116522,0,144029,71309,233044,71309,161029,115380,188537,186689,116522,142617,44507,186689,72015,115380xe">
                <v:path o:connectlocs="116522,0;0,71309;44507,186689;188537,186689;233044,7130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7696" behindDoc="0" locked="0" layoutInCell="1" allowOverlap="1">
                <wp:simplePos x="0" y="0"/>
                <wp:positionH relativeFrom="column">
                  <wp:posOffset>4099560</wp:posOffset>
                </wp:positionH>
                <wp:positionV relativeFrom="paragraph">
                  <wp:posOffset>3068955</wp:posOffset>
                </wp:positionV>
                <wp:extent cx="1181735" cy="589915"/>
                <wp:effectExtent l="13970" t="13970" r="423545" b="24765"/>
                <wp:wrapNone/>
                <wp:docPr id="303" name="圆角矩形标注 303"/>
                <wp:cNvGraphicFramePr/>
                <a:graphic xmlns:a="http://schemas.openxmlformats.org/drawingml/2006/main">
                  <a:graphicData uri="http://schemas.microsoft.com/office/word/2010/wordprocessingShape">
                    <wps:wsp>
                      <wps:cNvSpPr/>
                      <wps:spPr>
                        <a:xfrm>
                          <a:off x="0" y="0"/>
                          <a:ext cx="118173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85B6DD7">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2.8pt;margin-top:241.65pt;height:46.45pt;width:93.05pt;z-index:251677696;v-text-anchor:middle;mso-width-relative:page;mso-height-relative:page;" fillcolor="#FFFFFF [3212]" filled="t" stroked="t" coordsize="21600,21600" o:gfxdata="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O/K3&#10;FNwAAAALAQAADwAAAAAAAAABACAAAAAiAAAAZHJzL2Rvd25yZXYueG1sUEsBAhQAFAAAAAgAh07i&#10;QAk9oxTJAgAAlQUAAA4AAAAAAAAAAQAgAAAAKwEAAGRycy9lMm9Eb2MueG1sUEsFBgAAAAAGAAYA&#10;WQEAAGYGAAAAAA==&#10;" adj="27904,19283,14400">
                <v:fill on="t" focussize="0,0"/>
                <v:stroke weight="2.25pt" color="#000000 [3213]" miterlimit="8" joinstyle="miter"/>
                <v:imagedata o:title=""/>
                <o:lock v:ext="edit" aspectratio="f"/>
                <v:textbox>
                  <w:txbxContent>
                    <w:p w14:paraId="785B6DD7">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5754370</wp:posOffset>
                </wp:positionH>
                <wp:positionV relativeFrom="paragraph">
                  <wp:posOffset>2256790</wp:posOffset>
                </wp:positionV>
                <wp:extent cx="219075" cy="1373505"/>
                <wp:effectExtent l="45720" t="2540" r="20955" b="14605"/>
                <wp:wrapNone/>
                <wp:docPr id="302" name="直接箭头连接符 302"/>
                <wp:cNvGraphicFramePr/>
                <a:graphic xmlns:a="http://schemas.openxmlformats.org/drawingml/2006/main">
                  <a:graphicData uri="http://schemas.microsoft.com/office/word/2010/wordprocessingShape">
                    <wps:wsp>
                      <wps:cNvCnPr>
                        <a:endCxn id="295" idx="0"/>
                      </wps:cNvCnPr>
                      <wps:spPr>
                        <a:xfrm flipH="1">
                          <a:off x="6697345" y="3049270"/>
                          <a:ext cx="219075" cy="137350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3.1pt;margin-top:177.7pt;height:108.15pt;width:17.25pt;z-index:251676672;mso-width-relative:page;mso-height-relative:page;" filled="f" stroked="t" coordsize="21600,21600" o:gfxdata="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CtIU+2gAAAAsBAAAPAAAAAAAAAAEAIAAAACIAAABkcnMvZG93bnJldi54bWxQ&#10;SwECFAAUAAAACACHTuJAgXIQxi4CAAAnBAAADgAAAAAAAAABACAAAAApAQAAZHJzL2Uyb0RvYy54&#10;bWxQSwUGAAAAAAYABgBZAQAAyQU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4146550</wp:posOffset>
                </wp:positionH>
                <wp:positionV relativeFrom="paragraph">
                  <wp:posOffset>491490</wp:posOffset>
                </wp:positionV>
                <wp:extent cx="1276350" cy="589915"/>
                <wp:effectExtent l="13970" t="13970" r="620395" b="22225"/>
                <wp:wrapNone/>
                <wp:docPr id="297" name="圆角矩形标注 297"/>
                <wp:cNvGraphicFramePr/>
                <a:graphic xmlns:a="http://schemas.openxmlformats.org/drawingml/2006/main">
                  <a:graphicData uri="http://schemas.microsoft.com/office/word/2010/wordprocessingShape">
                    <wps:wsp>
                      <wps:cNvSpPr/>
                      <wps:spPr>
                        <a:xfrm>
                          <a:off x="5388610" y="1444625"/>
                          <a:ext cx="1276350" cy="589915"/>
                        </a:xfrm>
                        <a:prstGeom prst="wedgeRoundRectCallout">
                          <a:avLst>
                            <a:gd name="adj1" fmla="val 89950"/>
                            <a:gd name="adj2" fmla="val 33423"/>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3953F2">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6.5pt;margin-top:38.7pt;height:46.45pt;width:100.5pt;z-index:251674624;v-text-anchor:middle;mso-width-relative:page;mso-height-relative:page;" fillcolor="#FFFFFF [3212]" filled="t" stroked="t" coordsize="21600,21600" o:gfxdata="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AkKZxk2wAAAAoBAAAPAAAAAAAAAAEAIAAAACIAAABkcnMvZG93bnJldi54bWxQSwECFAAU&#10;AAAACACHTuJAAVPL+9ICAAChBQAADgAAAAAAAAABACAAAAAqAQAAZHJzL2Uyb0RvYy54bWxQSwUG&#10;AAAAAAYABgBZAQAAbgYAAAAA&#10;" adj="30229,18019,14400">
                <v:fill on="t" focussize="0,0"/>
                <v:stroke weight="2.25pt" color="#000000 [3213]" miterlimit="8" joinstyle="miter"/>
                <v:imagedata o:title=""/>
                <o:lock v:ext="edit" aspectratio="f"/>
                <v:textbox>
                  <w:txbxContent>
                    <w:p w14:paraId="0C3953F2">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61312" behindDoc="0" locked="0" layoutInCell="1" allowOverlap="1">
            <wp:simplePos x="0" y="0"/>
            <wp:positionH relativeFrom="column">
              <wp:posOffset>4425950</wp:posOffset>
            </wp:positionH>
            <wp:positionV relativeFrom="paragraph">
              <wp:posOffset>336550</wp:posOffset>
            </wp:positionV>
            <wp:extent cx="2755900" cy="1908175"/>
            <wp:effectExtent l="28575" t="28575" r="34925" b="31750"/>
            <wp:wrapNone/>
            <wp:docPr id="3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4"/>
                    <pic:cNvPicPr>
                      <a:picLocks noChangeAspect="1"/>
                    </pic:cNvPicPr>
                  </pic:nvPicPr>
                  <pic:blipFill>
                    <a:blip r:embed="rId34"/>
                    <a:stretch>
                      <a:fillRect/>
                    </a:stretch>
                  </pic:blipFill>
                  <pic:spPr>
                    <a:xfrm>
                      <a:off x="0" y="0"/>
                      <a:ext cx="2755900" cy="1908175"/>
                    </a:xfrm>
                    <a:prstGeom prst="rect">
                      <a:avLst/>
                    </a:prstGeom>
                    <a:noFill/>
                    <a:ln w="28575">
                      <a:solidFill>
                        <a:schemeClr val="tx1"/>
                      </a:solidFill>
                    </a:ln>
                  </pic:spPr>
                </pic:pic>
              </a:graphicData>
            </a:graphic>
          </wp:anchor>
        </w:drawing>
      </w:r>
      <w:r>
        <w:rPr>
          <w:rFonts w:hint="default" w:ascii="Times New Roman" w:hAnsi="Times New Roman" w:cs="Times New Roman"/>
          <w:color w:val="auto"/>
          <w:highlight w:val="none"/>
        </w:rPr>
        <w:drawing>
          <wp:inline distT="0" distB="0" distL="114300" distR="114300">
            <wp:extent cx="7590155" cy="5270500"/>
            <wp:effectExtent l="28575" t="28575" r="39370" b="34925"/>
            <wp:docPr id="3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3"/>
                    <pic:cNvPicPr>
                      <a:picLocks noChangeAspect="1"/>
                    </pic:cNvPicPr>
                  </pic:nvPicPr>
                  <pic:blipFill>
                    <a:blip r:embed="rId35"/>
                    <a:stretch>
                      <a:fillRect/>
                    </a:stretch>
                  </pic:blipFill>
                  <pic:spPr>
                    <a:xfrm>
                      <a:off x="0" y="0"/>
                      <a:ext cx="7590155" cy="5270500"/>
                    </a:xfrm>
                    <a:prstGeom prst="rect">
                      <a:avLst/>
                    </a:prstGeom>
                    <a:noFill/>
                    <a:ln w="28575">
                      <a:solidFill>
                        <a:schemeClr val="tx1"/>
                      </a:solidFill>
                    </a:ln>
                  </pic:spPr>
                </pic:pic>
              </a:graphicData>
            </a:graphic>
          </wp:inline>
        </w:drawing>
      </w:r>
    </w:p>
    <w:p w14:paraId="1336E135">
      <w:pPr>
        <w:pStyle w:val="44"/>
        <w:pageBreakBefore w:val="0"/>
        <w:wordWrap w:val="0"/>
        <w:bidi w:val="0"/>
        <w:jc w:val="center"/>
        <w:outlineLvl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66" w:name="_Toc3469"/>
      <w:bookmarkStart w:id="167" w:name="_Toc16764"/>
      <w:r>
        <w:rPr>
          <w:rFonts w:hint="default" w:ascii="Times New Roman" w:hAnsi="Times New Roman" w:cs="Times New Roman"/>
          <w:b/>
          <w:bCs/>
          <w:color w:val="auto"/>
          <w:szCs w:val="22"/>
          <w:highlight w:val="none"/>
        </w:rPr>
        <w:t xml:space="preserve">附图8 </w:t>
      </w:r>
      <w:r>
        <w:rPr>
          <w:rFonts w:hint="default" w:ascii="Times New Roman" w:hAnsi="Times New Roman" w:cs="Times New Roman"/>
          <w:color w:val="auto"/>
          <w:highlight w:val="none"/>
        </w:rPr>
        <mc:AlternateContent>
          <mc:Choice Requires="wps">
            <w:drawing>
              <wp:anchor distT="0" distB="0" distL="114300" distR="114300" simplePos="0" relativeHeight="251680768"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306" name="圆角矩形标注 306"/>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B042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4.25pt;margin-top:248.8pt;height:46.45pt;width:95.25pt;z-index:251680768;v-text-anchor:middle;mso-width-relative:page;mso-height-relative:page;" fillcolor="#FFFFFF [3212]"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BIZfA&#10;2wAAAAsBAAAPAAAAAAAAAAEAIAAAACIAAABkcnMvZG93bnJldi54bWxQSwECFAAUAAAACACHTuJA&#10;RLZNyckCAACVBQAADgAAAAAAAAABACAAAAAqAQAAZHJzL2Uyb0RvYy54bWxQSwUGAAAAAAYABgBZ&#10;AQAAZQYAAAAA&#10;" adj="27904,19283,14400">
                <v:fill on="t" focussize="0,0"/>
                <v:stroke weight="2.25pt" color="#000000 [3213]" miterlimit="8" joinstyle="miter"/>
                <v:imagedata o:title=""/>
                <o:lock v:ext="edit" aspectratio="f"/>
                <v:textbox>
                  <w:txbxContent>
                    <w:p w14:paraId="25B042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9744"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307" name="直接箭头连接符 307"/>
                <wp:cNvGraphicFramePr/>
                <a:graphic xmlns:a="http://schemas.openxmlformats.org/drawingml/2006/main">
                  <a:graphicData uri="http://schemas.microsoft.com/office/word/2010/wordprocessingShape">
                    <wps:wsp>
                      <wps:cNvCnPr/>
                      <wps:spPr>
                        <a:xfrm flipH="1">
                          <a:off x="6792595" y="3194685"/>
                          <a:ext cx="342900" cy="136652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9pt;margin-top:169.25pt;height:107.6pt;width:27pt;z-index:251679744;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i&#10;7gCT2gAAAAsBAAAPAAAAAAAAAAEAIAAAACIAAABkcnMvZG93bnJldi54bWxQSwECFAAUAAAACACH&#10;TuJA0dQrKyICAAD+AwAADgAAAAAAAAABACAAAAApAQAAZHJzL2Uyb0RvYy54bWxQSwUGAAAAAAYA&#10;BgBZAQAAvQU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308" name="五角星 308"/>
                <wp:cNvGraphicFramePr/>
                <a:graphic xmlns:a="http://schemas.openxmlformats.org/drawingml/2006/main">
                  <a:graphicData uri="http://schemas.microsoft.com/office/word/2010/wordprocessingShape">
                    <wps:wsp>
                      <wps:cNvSpPr/>
                      <wps:spPr>
                        <a:xfrm>
                          <a:off x="0" y="0"/>
                          <a:ext cx="267970" cy="294005"/>
                        </a:xfrm>
                        <a:prstGeom prst="star5">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35pt;margin-top:276.85pt;height:23.15pt;width:21.1pt;z-index:251678720;v-text-anchor:middle;mso-width-relative:page;mso-height-relative:page;" fillcolor="#FFFF00" filled="t" stroked="t" coordsize="267970,294005" o:gfxdata="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wW2NN0AAAALAQAADwAAAAAAAAABACAA&#10;AAAiAAAAZHJzL2Rvd25yZXYueG1sUEsBAhQAFAAAAAgAh07iQKo9dod6AgAA+wQAAA4AAAAAAAAA&#10;AQAgAAAALAEAAGRycy9lMm9Eb2MueG1sUEsFBgAAAAAGAAYAWQEAABgGAAAAAA==&#10;" path="m0,112299l102355,112300,133985,0,165614,112300,267969,112299,185161,181704,216792,294004,133985,224598,51177,294004,82808,181704xe">
                <v:path o:connectlocs="133985,0;0,112299;51177,294004;216792,294004;267969,11229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b/>
          <w:bCs/>
          <w:color w:val="auto"/>
          <w:szCs w:val="22"/>
          <w:highlight w:val="none"/>
        </w:rPr>
        <w:t>生态红线分布图</w:t>
      </w:r>
      <w:bookmarkEnd w:id="166"/>
      <w:bookmarkEnd w:id="167"/>
    </w:p>
    <w:p w14:paraId="35138656">
      <w:pPr>
        <w:pStyle w:val="44"/>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3780790</wp:posOffset>
                </wp:positionH>
                <wp:positionV relativeFrom="paragraph">
                  <wp:posOffset>850900</wp:posOffset>
                </wp:positionV>
                <wp:extent cx="251460" cy="254000"/>
                <wp:effectExtent l="18415" t="21590" r="34925" b="29210"/>
                <wp:wrapNone/>
                <wp:docPr id="323" name="五角星 323"/>
                <wp:cNvGraphicFramePr/>
                <a:graphic xmlns:a="http://schemas.openxmlformats.org/drawingml/2006/main">
                  <a:graphicData uri="http://schemas.microsoft.com/office/word/2010/wordprocessingShape">
                    <wps:wsp>
                      <wps:cNvSpPr/>
                      <wps:spPr>
                        <a:xfrm>
                          <a:off x="0" y="0"/>
                          <a:ext cx="251460" cy="25400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BA7A9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7.7pt;margin-top:67pt;height:20pt;width:19.8pt;z-index:251692032;v-text-anchor:middle;mso-width-relative:page;mso-height-relative:page;" fillcolor="#FF0000" filled="t" stroked="t" coordsize="251460,254000" o:gfxdata="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8BpIm9cAAAALAQAADwAAAAAAAAABACAAAAAi&#10;AAAAZHJzL2Rvd25yZXYueG1sUEsBAhQAFAAAAAgAh07iQC0sJA19AgAABgUAAA4AAAAAAAAAAQAg&#10;AAAAJgEAAGRycy9lMm9Eb2MueG1sUEsFBgAAAAAGAAYAWQEAABUGAAAAAA==&#10;" path="m0,97019l96049,97019,125730,0,155410,97019,251459,97019,173753,156979,203435,253999,125730,194037,48024,253999,77706,156979xe">
                <v:path textboxrect="0,0,251460,254000" o:connectlocs="125730,0;0,97019;48024,253999;203435,253999;251459,97019" o:connectangles="247,164,82,82,0"/>
                <v:fill on="t" focussize="0,0"/>
                <v:stroke weight="1pt" color="#000000 [3213]" miterlimit="8" joinstyle="miter"/>
                <v:imagedata o:title=""/>
                <o:lock v:ext="edit" aspectratio="f"/>
                <v:textbox>
                  <w:txbxContent>
                    <w:p w14:paraId="25BA7A96">
                      <w:pPr>
                        <w:jc w:val="cente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3056" behindDoc="0" locked="0" layoutInCell="1" allowOverlap="1">
                <wp:simplePos x="0" y="0"/>
                <wp:positionH relativeFrom="column">
                  <wp:posOffset>5688965</wp:posOffset>
                </wp:positionH>
                <wp:positionV relativeFrom="paragraph">
                  <wp:posOffset>3596640</wp:posOffset>
                </wp:positionV>
                <wp:extent cx="180975" cy="167640"/>
                <wp:effectExtent l="19685" t="20320" r="27940" b="21590"/>
                <wp:wrapNone/>
                <wp:docPr id="324" name="五角星 324"/>
                <wp:cNvGraphicFramePr/>
                <a:graphic xmlns:a="http://schemas.openxmlformats.org/drawingml/2006/main">
                  <a:graphicData uri="http://schemas.microsoft.com/office/word/2010/wordprocessingShape">
                    <wps:wsp>
                      <wps:cNvSpPr/>
                      <wps:spPr>
                        <a:xfrm>
                          <a:off x="0" y="0"/>
                          <a:ext cx="180975" cy="16764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0CF766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7.95pt;margin-top:283.2pt;height:13.2pt;width:14.25pt;z-index:251693056;v-text-anchor:middle;mso-width-relative:page;mso-height-relative:page;" fillcolor="#FF0000" filled="t" stroked="t" coordsize="180975,167640" o:gfxdata="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48tqz2QAAAAsBAAAPAAAAAAAAAAEA&#10;IAAAACIAAABkcnMvZG93bnJldi54bWxQSwECFAAUAAAACACHTuJANcGxfoACAAAGBQAADgAAAAAA&#10;AAABACAAAAAoAQAAZHJzL2Uyb0RvYy54bWxQSwUGAAAAAAYABgBZAQAAGgYAAAAA&#10;" path="m0,64032l69126,64033,90487,0,111848,64033,180974,64032,125050,103606,146411,167639,90487,128064,34563,167639,55924,103606xe">
                <v:path textboxrect="0,0,180975,167640" o:connectlocs="90487,0;0,64032;34563,167639;146411,167639;180974,64032" o:connectangles="247,164,82,82,0"/>
                <v:fill on="t" focussize="0,0"/>
                <v:stroke weight="1pt" color="#000000 [3213]" miterlimit="8" joinstyle="miter"/>
                <v:imagedata o:title=""/>
                <o:lock v:ext="edit" aspectratio="f"/>
                <v:textbox>
                  <w:txbxContent>
                    <w:p w14:paraId="10CF7668">
                      <w:pPr>
                        <w:jc w:val="cente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5104" behindDoc="0" locked="0" layoutInCell="1" allowOverlap="1">
                <wp:simplePos x="0" y="0"/>
                <wp:positionH relativeFrom="column">
                  <wp:posOffset>5892800</wp:posOffset>
                </wp:positionH>
                <wp:positionV relativeFrom="paragraph">
                  <wp:posOffset>2849880</wp:posOffset>
                </wp:positionV>
                <wp:extent cx="1276350" cy="533400"/>
                <wp:effectExtent l="116205" t="13970" r="17145" b="290830"/>
                <wp:wrapNone/>
                <wp:docPr id="326" name="圆角矩形标注 326"/>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53681"/>
                            <a:gd name="adj2" fmla="val 94232"/>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639BA789">
                            <w:pPr>
                              <w:jc w:val="center"/>
                              <w:rPr>
                                <w:sz w:val="28"/>
                                <w:szCs w:val="28"/>
                              </w:rPr>
                            </w:pPr>
                            <w:r>
                              <w:rPr>
                                <w:rFonts w:hint="eastAsia"/>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4pt;margin-top:224.4pt;height:42pt;width:100.5pt;z-index:251695104;v-text-anchor:middle;mso-width-relative:page;mso-height-relative:page;" fillcolor="#F2F2F2 [3052]" filled="t" stroked="t" coordsize="21600,21600" o:gfxdata="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CLKRne2wAAAAwBAAAPAAAAAAAAAAEAIAAAACIAAABkcnMvZG93bnJldi54&#10;bWxQSwECFAAUAAAACACHTuJApZ5yBNsCAAC4BQAADgAAAAAAAAABACAAAAAqAQAAZHJzL2Uyb0Rv&#10;Yy54bWxQSwUGAAAAAAYABgBZAQAAdwYAAAAA&#10;" adj="-795,31154,14400">
                <v:fill on="t" focussize="0,0"/>
                <v:stroke weight="2.25pt" color="#000000 [3213]" miterlimit="8" joinstyle="miter"/>
                <v:imagedata o:title=""/>
                <o:lock v:ext="edit" aspectratio="f"/>
                <v:textbox>
                  <w:txbxContent>
                    <w:p w14:paraId="639BA789">
                      <w:pPr>
                        <w:jc w:val="center"/>
                        <w:rPr>
                          <w:sz w:val="28"/>
                          <w:szCs w:val="28"/>
                        </w:rPr>
                      </w:pPr>
                      <w:r>
                        <w:rPr>
                          <w:rFonts w:hint="eastAsia"/>
                          <w:sz w:val="28"/>
                          <w:szCs w:val="28"/>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4080" behindDoc="0" locked="0" layoutInCell="1" allowOverlap="1">
                <wp:simplePos x="0" y="0"/>
                <wp:positionH relativeFrom="column">
                  <wp:posOffset>1801495</wp:posOffset>
                </wp:positionH>
                <wp:positionV relativeFrom="paragraph">
                  <wp:posOffset>356870</wp:posOffset>
                </wp:positionV>
                <wp:extent cx="1276350" cy="600075"/>
                <wp:effectExtent l="13970" t="13970" r="805180" b="52705"/>
                <wp:wrapNone/>
                <wp:docPr id="325" name="圆角矩形标注 325"/>
                <wp:cNvGraphicFramePr/>
                <a:graphic xmlns:a="http://schemas.openxmlformats.org/drawingml/2006/main">
                  <a:graphicData uri="http://schemas.microsoft.com/office/word/2010/wordprocessingShape">
                    <wps:wsp>
                      <wps:cNvSpPr/>
                      <wps:spPr>
                        <a:xfrm>
                          <a:off x="2901950" y="1645920"/>
                          <a:ext cx="1276350" cy="600075"/>
                        </a:xfrm>
                        <a:prstGeom prst="wedgeRoundRectCallout">
                          <a:avLst>
                            <a:gd name="adj1" fmla="val 104328"/>
                            <a:gd name="adj2" fmla="val 51269"/>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62D9FCB2">
                            <w:pPr>
                              <w:jc w:val="center"/>
                              <w:rPr>
                                <w:sz w:val="28"/>
                                <w:szCs w:val="28"/>
                              </w:rPr>
                            </w:pPr>
                            <w:r>
                              <w:rPr>
                                <w:rFonts w:hint="eastAsia"/>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1.85pt;margin-top:28.1pt;height:47.25pt;width:100.5pt;z-index:251694080;v-text-anchor:middle;mso-width-relative:page;mso-height-relative:page;" fillcolor="#F2F2F2 [3052]" filled="t" stroked="t" coordsize="21600,21600" o:gfxdata="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&#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GkZ9qLaAAAACgEAAA8AAAAAAAAAAQAgAAAAIgAAAGRy&#10;cy9kb3ducmV2LnhtbFBLAQIUABQAAAAIAIdO4kB1optr5wIAAMQFAAAOAAAAAAAAAAEAIAAAACkB&#10;AABkcnMvZTJvRG9jLnhtbFBLBQYAAAAABgAGAFkBAACCBgAAAAA=&#10;" adj="33335,21874,14400">
                <v:fill on="t" focussize="0,0"/>
                <v:stroke weight="2.25pt" color="#000000 [3213]" miterlimit="8" joinstyle="miter"/>
                <v:imagedata o:title=""/>
                <o:lock v:ext="edit" aspectratio="f"/>
                <v:textbox>
                  <w:txbxContent>
                    <w:p w14:paraId="62D9FCB2">
                      <w:pPr>
                        <w:jc w:val="center"/>
                        <w:rPr>
                          <w:sz w:val="28"/>
                          <w:szCs w:val="28"/>
                        </w:rPr>
                      </w:pPr>
                      <w:r>
                        <w:rPr>
                          <w:rFonts w:hint="eastAsia"/>
                          <w:sz w:val="28"/>
                          <w:szCs w:val="28"/>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6128" behindDoc="0" locked="0" layoutInCell="1" allowOverlap="1">
                <wp:simplePos x="0" y="0"/>
                <wp:positionH relativeFrom="column">
                  <wp:posOffset>5121275</wp:posOffset>
                </wp:positionH>
                <wp:positionV relativeFrom="paragraph">
                  <wp:posOffset>2538730</wp:posOffset>
                </wp:positionV>
                <wp:extent cx="567690" cy="1122045"/>
                <wp:effectExtent l="12700" t="6350" r="10160" b="14605"/>
                <wp:wrapNone/>
                <wp:docPr id="327" name="直接箭头连接符 327"/>
                <wp:cNvGraphicFramePr/>
                <a:graphic xmlns:a="http://schemas.openxmlformats.org/drawingml/2006/main">
                  <a:graphicData uri="http://schemas.microsoft.com/office/word/2010/wordprocessingShape">
                    <wps:wsp>
                      <wps:cNvCnPr>
                        <a:endCxn id="324" idx="1"/>
                      </wps:cNvCnPr>
                      <wps:spPr>
                        <a:xfrm>
                          <a:off x="6140450" y="3398520"/>
                          <a:ext cx="567690" cy="112204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03.25pt;margin-top:199.9pt;height:88.35pt;width:44.7pt;z-index:251696128;mso-width-relative:page;mso-height-relative:page;" filled="f" stroked="t" coordsize="21600,21600" o:gfxdata="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LQbRQtcAAAALAQAADwAAAAAAAAABACAAAAAiAAAAZHJzL2Rvd25yZXYueG1sUEsBAhQAFAAA&#10;AAgAh07iQFXb4JopAgAAHQQAAA4AAAAAAAAAAQAgAAAAJgEAAGRycy9lMm9Eb2MueG1sUEsFBgAA&#10;AAAGAAYAWQEAAMEFA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91008" behindDoc="0" locked="0" layoutInCell="1" allowOverlap="1">
            <wp:simplePos x="0" y="0"/>
            <wp:positionH relativeFrom="column">
              <wp:posOffset>2209800</wp:posOffset>
            </wp:positionH>
            <wp:positionV relativeFrom="paragraph">
              <wp:posOffset>350520</wp:posOffset>
            </wp:positionV>
            <wp:extent cx="2924175" cy="2159635"/>
            <wp:effectExtent l="28575" t="28575" r="31750" b="34290"/>
            <wp:wrapNone/>
            <wp:docPr id="3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9"/>
                    <pic:cNvPicPr>
                      <a:picLocks noChangeAspect="1"/>
                    </pic:cNvPicPr>
                  </pic:nvPicPr>
                  <pic:blipFill>
                    <a:blip r:embed="rId36"/>
                    <a:stretch>
                      <a:fillRect/>
                    </a:stretch>
                  </pic:blipFill>
                  <pic:spPr>
                    <a:xfrm>
                      <a:off x="0" y="0"/>
                      <a:ext cx="2924175" cy="2159635"/>
                    </a:xfrm>
                    <a:prstGeom prst="rect">
                      <a:avLst/>
                    </a:prstGeom>
                    <a:noFill/>
                    <a:ln w="28575">
                      <a:solidFill>
                        <a:schemeClr val="tx1"/>
                      </a:solidFill>
                    </a:ln>
                  </pic:spPr>
                </pic:pic>
              </a:graphicData>
            </a:graphic>
          </wp:anchor>
        </w:drawing>
      </w:r>
      <w:r>
        <w:rPr>
          <w:rFonts w:hint="default" w:ascii="Times New Roman" w:hAnsi="Times New Roman" w:cs="Times New Roman"/>
          <w:color w:val="auto"/>
          <w:highlight w:val="none"/>
        </w:rPr>
        <w:drawing>
          <wp:inline distT="0" distB="0" distL="114300" distR="114300">
            <wp:extent cx="7498080" cy="5194935"/>
            <wp:effectExtent l="28575" t="28575" r="29845" b="34290"/>
            <wp:docPr id="3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8"/>
                    <pic:cNvPicPr>
                      <a:picLocks noChangeAspect="1"/>
                    </pic:cNvPicPr>
                  </pic:nvPicPr>
                  <pic:blipFill>
                    <a:blip r:embed="rId37"/>
                    <a:stretch>
                      <a:fillRect/>
                    </a:stretch>
                  </pic:blipFill>
                  <pic:spPr>
                    <a:xfrm>
                      <a:off x="0" y="0"/>
                      <a:ext cx="7498080" cy="5194935"/>
                    </a:xfrm>
                    <a:prstGeom prst="rect">
                      <a:avLst/>
                    </a:prstGeom>
                    <a:noFill/>
                    <a:ln w="28575">
                      <a:solidFill>
                        <a:schemeClr val="tx1"/>
                      </a:solidFill>
                    </a:ln>
                  </pic:spPr>
                </pic:pic>
              </a:graphicData>
            </a:graphic>
          </wp:inline>
        </w:drawing>
      </w:r>
    </w:p>
    <w:p w14:paraId="64E028B2">
      <w:pPr>
        <w:pStyle w:val="44"/>
        <w:pageBreakBefore w:val="0"/>
        <w:wordWrap w:val="0"/>
        <w:bidi w:val="0"/>
        <w:jc w:val="center"/>
        <w:outlineLvl w:val="0"/>
        <w:rPr>
          <w:rFonts w:hint="default" w:ascii="Times New Roman" w:hAnsi="Times New Roman" w:cs="Times New Roman"/>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68" w:name="_Toc14745"/>
      <w:bookmarkStart w:id="169" w:name="_Toc21031"/>
      <w:r>
        <w:rPr>
          <w:rFonts w:hint="default" w:ascii="Times New Roman" w:hAnsi="Times New Roman" w:cs="Times New Roman"/>
          <w:b/>
          <w:bCs/>
          <w:color w:val="auto"/>
          <w:szCs w:val="22"/>
          <w:highlight w:val="none"/>
        </w:rPr>
        <w:t xml:space="preserve">附图9 </w:t>
      </w:r>
      <w:r>
        <w:rPr>
          <w:rFonts w:hint="default" w:ascii="Times New Roman" w:hAnsi="Times New Roman" w:cs="Times New Roman"/>
          <w:b/>
          <w:bCs/>
          <w:color w:val="auto"/>
          <w:highlight w:val="none"/>
        </w:rPr>
        <mc:AlternateContent>
          <mc:Choice Requires="wps">
            <w:drawing>
              <wp:anchor distT="0" distB="0" distL="114300" distR="114300" simplePos="0" relativeHeight="251689984"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319" name="圆角矩形标注 319"/>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D046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4.25pt;margin-top:248.8pt;height:46.45pt;width:95.25pt;z-index:251689984;v-text-anchor:middle;mso-width-relative:page;mso-height-relative:page;" fillcolor="#FFFFFF [3212]"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Ehl8Db&#10;AAAACwEAAA8AAAAAAAAAAQAgAAAAIgAAAGRycy9kb3ducmV2LnhtbFBLAQIUABQAAAAIAIdO4kDw&#10;ghaZyAIAAJUFAAAOAAAAAAAAAAEAIAAAACoBAABkcnMvZTJvRG9jLnhtbFBLBQYAAAAABgAGAFkB&#10;AABkBgAAAAA=&#10;" adj="27904,19283,14400">
                <v:fill on="t" focussize="0,0"/>
                <v:stroke weight="2.25pt" color="#000000 [3213]" miterlimit="8" joinstyle="miter"/>
                <v:imagedata o:title=""/>
                <o:lock v:ext="edit" aspectratio="f"/>
                <v:textbox>
                  <w:txbxContent>
                    <w:p w14:paraId="19D046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hint="default" w:ascii="Times New Roman" w:hAnsi="Times New Roman" w:cs="Times New Roman"/>
          <w:b/>
          <w:bCs/>
          <w:color w:val="auto"/>
          <w:highlight w:val="none"/>
        </w:rPr>
        <mc:AlternateContent>
          <mc:Choice Requires="wps">
            <w:drawing>
              <wp:anchor distT="0" distB="0" distL="114300" distR="114300" simplePos="0" relativeHeight="251688960"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320" name="直接箭头连接符 320"/>
                <wp:cNvGraphicFramePr/>
                <a:graphic xmlns:a="http://schemas.openxmlformats.org/drawingml/2006/main">
                  <a:graphicData uri="http://schemas.microsoft.com/office/word/2010/wordprocessingShape">
                    <wps:wsp>
                      <wps:cNvCnPr/>
                      <wps:spPr>
                        <a:xfrm flipH="1">
                          <a:off x="6792595" y="3194685"/>
                          <a:ext cx="342900" cy="136652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9pt;margin-top:169.25pt;height:107.6pt;width:27pt;z-index:251688960;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Lu&#10;AJPaAAAACwEAAA8AAAAAAAAAAQAgAAAAIgAAAGRycy9kb3ducmV2LnhtbFBLAQIUABQAAAAIAIdO&#10;4kC3SfLYIQIAAP4DAAAOAAAAAAAAAAEAIAAAACkBAABkcnMvZTJvRG9jLnhtbFBLBQYAAAAABgAG&#10;AFkBAAC8BQ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b/>
          <w:bCs/>
          <w:color w:val="auto"/>
          <w:highlight w:val="none"/>
        </w:rPr>
        <mc:AlternateContent>
          <mc:Choice Requires="wps">
            <w:drawing>
              <wp:anchor distT="0" distB="0" distL="114300" distR="114300" simplePos="0" relativeHeight="251687936"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321" name="五角星 321"/>
                <wp:cNvGraphicFramePr/>
                <a:graphic xmlns:a="http://schemas.openxmlformats.org/drawingml/2006/main">
                  <a:graphicData uri="http://schemas.microsoft.com/office/word/2010/wordprocessingShape">
                    <wps:wsp>
                      <wps:cNvSpPr/>
                      <wps:spPr>
                        <a:xfrm>
                          <a:off x="0" y="0"/>
                          <a:ext cx="267970" cy="294005"/>
                        </a:xfrm>
                        <a:prstGeom prst="star5">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35pt;margin-top:276.85pt;height:23.15pt;width:21.1pt;z-index:251687936;v-text-anchor:middle;mso-width-relative:page;mso-height-relative:page;" fillcolor="#FFFF00" filled="t" stroked="t" coordsize="267970,294005" o:gfxdata="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wW2NN0AAAALAQAADwAAAAAAAAABACAA&#10;AAAiAAAAZHJzL2Rvd25yZXYueG1sUEsBAhQAFAAAAAgAh07iQEVN2l96AgAA+wQAAA4AAAAAAAAA&#10;AQAgAAAALAEAAGRycy9lMm9Eb2MueG1sUEsFBgAAAAAGAAYAWQEAABgGAAAAAA==&#10;" path="m0,112299l102355,112300,133985,0,165614,112300,267969,112299,185161,181704,216792,294004,133985,224598,51177,294004,82808,181704xe">
                <v:path o:connectlocs="133985,0;0,112299;51177,294004;216792,294004;267969,11229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b/>
          <w:bCs/>
          <w:color w:val="auto"/>
          <w:highlight w:val="none"/>
        </w:rPr>
        <w:t>水环境管控单元</w:t>
      </w:r>
      <w:r>
        <w:rPr>
          <w:rFonts w:hint="default" w:ascii="Times New Roman" w:hAnsi="Times New Roman" w:cs="Times New Roman"/>
          <w:b/>
          <w:bCs/>
          <w:color w:val="auto"/>
          <w:szCs w:val="22"/>
          <w:highlight w:val="none"/>
        </w:rPr>
        <w:t>图</w:t>
      </w:r>
      <w:bookmarkEnd w:id="168"/>
      <w:bookmarkEnd w:id="169"/>
    </w:p>
    <w:p w14:paraId="0508D392">
      <w:pPr>
        <w:pStyle w:val="44"/>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98176" behindDoc="0" locked="0" layoutInCell="1" allowOverlap="1">
                <wp:simplePos x="0" y="0"/>
                <wp:positionH relativeFrom="column">
                  <wp:posOffset>6036310</wp:posOffset>
                </wp:positionH>
                <wp:positionV relativeFrom="paragraph">
                  <wp:posOffset>1060450</wp:posOffset>
                </wp:positionV>
                <wp:extent cx="222250" cy="201295"/>
                <wp:effectExtent l="20320" t="19685" r="24130" b="26670"/>
                <wp:wrapNone/>
                <wp:docPr id="330" name="五角星 330"/>
                <wp:cNvGraphicFramePr/>
                <a:graphic xmlns:a="http://schemas.openxmlformats.org/drawingml/2006/main">
                  <a:graphicData uri="http://schemas.microsoft.com/office/word/2010/wordprocessingShape">
                    <wps:wsp>
                      <wps:cNvSpPr/>
                      <wps:spPr>
                        <a:xfrm>
                          <a:off x="7016750" y="2034540"/>
                          <a:ext cx="222250" cy="20129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75.3pt;margin-top:83.5pt;height:15.85pt;width:17.5pt;z-index:251698176;v-text-anchor:middle;mso-width-relative:page;mso-height-relative:page;" fillcolor="#FF0000" filled="t" stroked="t" coordsize="222250,201295" o:gfxdata="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fPyhTtoAAAALAQAADwAAAAAAAAAB&#10;ACAAAAAiAAAAZHJzL2Rvd25yZXYueG1sUEsBAhQAFAAAAAgAh07iQL5GKQOAAgAABwUAAA4AAAAA&#10;AAAAAQAgAAAAKQEAAGRycy9lMm9Eb2MueG1sUEsFBgAAAAAGAAYAWQEAABsGAAAAAA==&#10;" path="m0,76887l84892,76888,111125,0,137357,76888,222249,76887,153570,124406,179803,201294,111125,153774,42446,201294,68679,124406xe">
                <v:path o:connectlocs="111125,0;0,76887;42446,201294;179803,201294;222249,76887"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9200" behindDoc="0" locked="0" layoutInCell="1" allowOverlap="1">
                <wp:simplePos x="0" y="0"/>
                <wp:positionH relativeFrom="column">
                  <wp:posOffset>5740400</wp:posOffset>
                </wp:positionH>
                <wp:positionV relativeFrom="paragraph">
                  <wp:posOffset>3642360</wp:posOffset>
                </wp:positionV>
                <wp:extent cx="155575" cy="146050"/>
                <wp:effectExtent l="19685" t="20320" r="34290" b="24130"/>
                <wp:wrapNone/>
                <wp:docPr id="331" name="五角星 331"/>
                <wp:cNvGraphicFramePr/>
                <a:graphic xmlns:a="http://schemas.openxmlformats.org/drawingml/2006/main">
                  <a:graphicData uri="http://schemas.microsoft.com/office/word/2010/wordprocessingShape">
                    <wps:wsp>
                      <wps:cNvSpPr/>
                      <wps:spPr>
                        <a:xfrm>
                          <a:off x="0" y="0"/>
                          <a:ext cx="155575" cy="14605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2pt;margin-top:286.8pt;height:11.5pt;width:12.25pt;z-index:251699200;v-text-anchor:middle;mso-width-relative:page;mso-height-relative:page;" fillcolor="#FF0000" filled="t" stroked="t" coordsize="155575,146050" o:gfxdata="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zgCdkAAAALAQAADwAAAAAAAAABACAAAAAiAAAA&#10;ZHJzL2Rvd25yZXYueG1sUEsBAhQAFAAAAAgAh07iQIb6N7V4AgAA+wQAAA4AAAAAAAAAAQAgAAAA&#10;KAEAAGRycy9lMm9Eb2MueG1sUEsFBgAAAAAGAAYAWQEAABIGAAAAAA==&#10;" path="m0,55785l59424,55786,77787,0,96150,55786,155574,55785,107499,90263,125862,146049,77787,111571,29712,146049,48075,90263xe">
                <v:path o:connectlocs="77787,0;0,55785;29712,146049;125862,146049;155574,55785"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0224" behindDoc="0" locked="0" layoutInCell="1" allowOverlap="1">
                <wp:simplePos x="0" y="0"/>
                <wp:positionH relativeFrom="column">
                  <wp:posOffset>4584700</wp:posOffset>
                </wp:positionH>
                <wp:positionV relativeFrom="paragraph">
                  <wp:posOffset>628650</wp:posOffset>
                </wp:positionV>
                <wp:extent cx="1276350" cy="457200"/>
                <wp:effectExtent l="14605" t="13970" r="263525" b="133350"/>
                <wp:wrapNone/>
                <wp:docPr id="332" name="圆角矩形标注 332"/>
                <wp:cNvGraphicFramePr/>
                <a:graphic xmlns:a="http://schemas.openxmlformats.org/drawingml/2006/main">
                  <a:graphicData uri="http://schemas.microsoft.com/office/word/2010/wordprocessingShape">
                    <wps:wsp>
                      <wps:cNvSpPr/>
                      <wps:spPr>
                        <a:xfrm>
                          <a:off x="0" y="0"/>
                          <a:ext cx="1276350" cy="457200"/>
                        </a:xfrm>
                        <a:prstGeom prst="wedgeRoundRectCallout">
                          <a:avLst>
                            <a:gd name="adj1" fmla="val 61641"/>
                            <a:gd name="adj2" fmla="val 71388"/>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7C3359FE">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61pt;margin-top:49.5pt;height:36pt;width:100.5pt;z-index:251700224;v-text-anchor:middle;mso-width-relative:page;mso-height-relative:page;" fillcolor="#F2F2F2 [3052]" filled="t" stroked="t" coordsize="21600,21600" o:gfxdata="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AE6CoT2AAAAAoBAAAPAAAAAAAAAAEAIAAAACIAAABkcnMvZG93bnJldi54bWxQSwEC&#10;FAAUAAAACACHTuJAlOIVG9gCAAC3BQAADgAAAAAAAAABACAAAAAnAQAAZHJzL2Uyb0RvYy54bWxQ&#10;SwUGAAAAAAYABgBZAQAAcQYAAAAA&#10;" adj="24114,26220,14400">
                <v:fill on="t" focussize="0,0"/>
                <v:stroke weight="2.25pt" color="#000000 [3213]" miterlimit="8" joinstyle="miter"/>
                <v:imagedata o:title=""/>
                <o:lock v:ext="edit" aspectratio="f"/>
                <v:textbox>
                  <w:txbxContent>
                    <w:p w14:paraId="7C3359FE">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4320" behindDoc="0" locked="0" layoutInCell="1" allowOverlap="1">
                <wp:simplePos x="0" y="0"/>
                <wp:positionH relativeFrom="column">
                  <wp:posOffset>5818505</wp:posOffset>
                </wp:positionH>
                <wp:positionV relativeFrom="paragraph">
                  <wp:posOffset>2256155</wp:posOffset>
                </wp:positionV>
                <wp:extent cx="321310" cy="1386205"/>
                <wp:effectExtent l="37465" t="3175" r="19050" b="3175"/>
                <wp:wrapNone/>
                <wp:docPr id="334" name="直接箭头连接符 334"/>
                <wp:cNvGraphicFramePr/>
                <a:graphic xmlns:a="http://schemas.openxmlformats.org/drawingml/2006/main">
                  <a:graphicData uri="http://schemas.microsoft.com/office/word/2010/wordprocessingShape">
                    <wps:wsp>
                      <wps:cNvCnPr>
                        <a:endCxn id="331" idx="0"/>
                      </wps:cNvCnPr>
                      <wps:spPr>
                        <a:xfrm flipH="1">
                          <a:off x="6778625" y="3177540"/>
                          <a:ext cx="321310" cy="138620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8.15pt;margin-top:177.65pt;height:109.15pt;width:25.3pt;z-index:251704320;mso-width-relative:page;mso-height-relative:page;" filled="f" stroked="t" coordsize="21600,21600" o:gfxdata="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prFC02QAAAAsBAAAPAAAAAAAAAAEAIAAAACIAAABkcnMvZG93bnJldi54bWxQ&#10;SwECFAAUAAAACACHTuJAyNT49i8CAAAnBAAADgAAAAAAAAABACAAAAAoAQAAZHJzL2Uyb0RvYy54&#10;bWxQSwUGAAAAAAYABgBZAQAAyQU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3296" behindDoc="0" locked="0" layoutInCell="1" allowOverlap="1">
                <wp:simplePos x="0" y="0"/>
                <wp:positionH relativeFrom="column">
                  <wp:posOffset>4036060</wp:posOffset>
                </wp:positionH>
                <wp:positionV relativeFrom="paragraph">
                  <wp:posOffset>3283585</wp:posOffset>
                </wp:positionV>
                <wp:extent cx="1276350" cy="533400"/>
                <wp:effectExtent l="13970" t="13970" r="462280" b="24130"/>
                <wp:wrapNone/>
                <wp:docPr id="333" name="圆角矩形标注 333"/>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78507"/>
                            <a:gd name="adj2" fmla="val 24642"/>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4D3379BF">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7.8pt;margin-top:258.55pt;height:42pt;width:100.5pt;z-index:251703296;v-text-anchor:middle;mso-width-relative:page;mso-height-relative:page;" fillcolor="#F2F2F2 [3052]" filled="t" stroked="t" coordsize="21600,21600" o:gfxdata="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HenGF3aAAAACwEAAA8AAAAAAAAAAQAgAAAAIgAAAGRycy9kb3ducmV2Lnht&#10;bFBLAQIUABQAAAAIAIdO4kC+t0DS2wIAALcFAAAOAAAAAAAAAAEAIAAAACkBAABkcnMvZTJvRG9j&#10;LnhtbFBLBQYAAAAABgAGAFkBAAB2BgAAAAA=&#10;" adj="27758,16123,14400">
                <v:fill on="t" focussize="0,0"/>
                <v:stroke weight="2.25pt" color="#000000 [3213]" miterlimit="8" joinstyle="miter"/>
                <v:imagedata o:title=""/>
                <o:lock v:ext="edit" aspectratio="f"/>
                <v:textbox>
                  <w:txbxContent>
                    <w:p w14:paraId="4D3379BF">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97152" behindDoc="0" locked="0" layoutInCell="1" allowOverlap="1">
            <wp:simplePos x="0" y="0"/>
            <wp:positionH relativeFrom="column">
              <wp:posOffset>4380865</wp:posOffset>
            </wp:positionH>
            <wp:positionV relativeFrom="paragraph">
              <wp:posOffset>370840</wp:posOffset>
            </wp:positionV>
            <wp:extent cx="2748280" cy="1859280"/>
            <wp:effectExtent l="28575" t="28575" r="29845" b="29845"/>
            <wp:wrapNone/>
            <wp:docPr id="3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1"/>
                    <pic:cNvPicPr>
                      <a:picLocks noChangeAspect="1"/>
                    </pic:cNvPicPr>
                  </pic:nvPicPr>
                  <pic:blipFill>
                    <a:blip r:embed="rId38"/>
                    <a:stretch>
                      <a:fillRect/>
                    </a:stretch>
                  </pic:blipFill>
                  <pic:spPr>
                    <a:xfrm>
                      <a:off x="0" y="0"/>
                      <a:ext cx="2748280" cy="1859280"/>
                    </a:xfrm>
                    <a:prstGeom prst="rect">
                      <a:avLst/>
                    </a:prstGeom>
                    <a:noFill/>
                    <a:ln w="28575">
                      <a:solidFill>
                        <a:schemeClr val="tx1"/>
                      </a:solidFill>
                    </a:ln>
                  </pic:spPr>
                </pic:pic>
              </a:graphicData>
            </a:graphic>
          </wp:anchor>
        </w:drawing>
      </w:r>
      <w:r>
        <w:rPr>
          <w:rFonts w:hint="default" w:ascii="Times New Roman" w:hAnsi="Times New Roman" w:cs="Times New Roman"/>
          <w:color w:val="auto"/>
          <w:highlight w:val="none"/>
        </w:rPr>
        <w:drawing>
          <wp:inline distT="0" distB="0" distL="114300" distR="114300">
            <wp:extent cx="7539990" cy="5220335"/>
            <wp:effectExtent l="28575" t="28575" r="38735" b="34290"/>
            <wp:docPr id="3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0"/>
                    <pic:cNvPicPr>
                      <a:picLocks noChangeAspect="1"/>
                    </pic:cNvPicPr>
                  </pic:nvPicPr>
                  <pic:blipFill>
                    <a:blip r:embed="rId39"/>
                    <a:stretch>
                      <a:fillRect/>
                    </a:stretch>
                  </pic:blipFill>
                  <pic:spPr>
                    <a:xfrm>
                      <a:off x="0" y="0"/>
                      <a:ext cx="7539990" cy="5220335"/>
                    </a:xfrm>
                    <a:prstGeom prst="rect">
                      <a:avLst/>
                    </a:prstGeom>
                    <a:noFill/>
                    <a:ln w="28575">
                      <a:solidFill>
                        <a:schemeClr val="tx1"/>
                      </a:solidFill>
                    </a:ln>
                  </pic:spPr>
                </pic:pic>
              </a:graphicData>
            </a:graphic>
          </wp:inline>
        </w:drawing>
      </w:r>
    </w:p>
    <w:p w14:paraId="05EB7421">
      <w:pPr>
        <w:pStyle w:val="44"/>
        <w:pageBreakBefore w:val="0"/>
        <w:wordWrap w:val="0"/>
        <w:bidi w:val="0"/>
        <w:jc w:val="center"/>
        <w:outlineLvl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70" w:name="_Toc1193"/>
      <w:bookmarkStart w:id="171" w:name="_Toc1547"/>
      <w:r>
        <w:rPr>
          <w:rFonts w:hint="default" w:ascii="Times New Roman" w:hAnsi="Times New Roman" w:cs="Times New Roman"/>
          <w:b/>
          <w:bCs/>
          <w:color w:val="auto"/>
          <w:szCs w:val="22"/>
          <w:highlight w:val="none"/>
        </w:rPr>
        <w:t>附图10 大气环境管控单元图</w:t>
      </w:r>
      <w:bookmarkEnd w:id="170"/>
      <w:bookmarkEnd w:id="171"/>
    </w:p>
    <w:p w14:paraId="3FFFF895">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02272" behindDoc="0" locked="0" layoutInCell="1" allowOverlap="1">
                <wp:simplePos x="0" y="0"/>
                <wp:positionH relativeFrom="column">
                  <wp:posOffset>5662295</wp:posOffset>
                </wp:positionH>
                <wp:positionV relativeFrom="paragraph">
                  <wp:posOffset>3543935</wp:posOffset>
                </wp:positionV>
                <wp:extent cx="177165" cy="168275"/>
                <wp:effectExtent l="19685" t="20320" r="31750" b="20955"/>
                <wp:wrapNone/>
                <wp:docPr id="337" name="五角星 337"/>
                <wp:cNvGraphicFramePr/>
                <a:graphic xmlns:a="http://schemas.openxmlformats.org/drawingml/2006/main">
                  <a:graphicData uri="http://schemas.microsoft.com/office/word/2010/wordprocessingShape">
                    <wps:wsp>
                      <wps:cNvSpPr/>
                      <wps:spPr>
                        <a:xfrm>
                          <a:off x="0" y="0"/>
                          <a:ext cx="177165" cy="1682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5.85pt;margin-top:279.05pt;height:13.25pt;width:13.95pt;z-index:251702272;v-text-anchor:middle;mso-width-relative:page;mso-height-relative:page;" fillcolor="#FF0000" filled="t" stroked="t" coordsize="177165,168275" o:gfxdata="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1n6enaAAAACwEAAA8AAAAAAAAAAQAgAAAAIgAA&#10;AGRycy9kb3ducmV2LnhtbFBLAQIUABQAAAAIAIdO4kCG1rB0eAIAAPsEAAAOAAAAAAAAAAEAIAAA&#10;ACkBAABkcnMvZTJvRG9jLnhtbFBLBQYAAAAABgAGAFkBAAATBgAAAAA=&#10;" path="m0,64275l67671,64275,88582,0,109493,64275,177164,64275,122417,103999,143329,168274,88582,128549,33835,168274,54747,103999xe">
                <v:path o:connectlocs="88582,0;0,64275;33835,168274;143329,168274;177164,64275"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1248" behindDoc="0" locked="0" layoutInCell="1" allowOverlap="1">
                <wp:simplePos x="0" y="0"/>
                <wp:positionH relativeFrom="column">
                  <wp:posOffset>3969385</wp:posOffset>
                </wp:positionH>
                <wp:positionV relativeFrom="paragraph">
                  <wp:posOffset>3296920</wp:posOffset>
                </wp:positionV>
                <wp:extent cx="1276350" cy="533400"/>
                <wp:effectExtent l="13970" t="13970" r="462280" b="24130"/>
                <wp:wrapNone/>
                <wp:docPr id="336" name="圆角矩形标注 336"/>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78557"/>
                            <a:gd name="adj2" fmla="val 11904"/>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2CFD05AE">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2.55pt;margin-top:259.6pt;height:42pt;width:100.5pt;z-index:251701248;v-text-anchor:middle;mso-width-relative:page;mso-height-relative:page;" fillcolor="#F2F2F2 [3052]" filled="t" stroked="t" coordsize="21600,21600" o:gfxdata="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BuhxT82QAAAAsBAAAPAAAAAAAAAAEAIAAAACIAAABkcnMvZG93bnJldi54bWxQ&#10;SwECFAAUAAAACACHTuJA0NuyUdoCAAC3BQAADgAAAAAAAAABACAAAAAoAQAAZHJzL2Uyb0RvYy54&#10;bWxQSwUGAAAAAAYABgBZAQAAdAYAAAAA&#10;" adj="27768,13371,14400">
                <v:fill on="t" focussize="0,0"/>
                <v:stroke weight="2.25pt" color="#000000 [3213]" miterlimit="8" joinstyle="miter"/>
                <v:imagedata o:title=""/>
                <o:lock v:ext="edit" aspectratio="f"/>
                <v:textbox>
                  <w:txbxContent>
                    <w:p w14:paraId="2CFD05AE">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7325360" cy="5221605"/>
            <wp:effectExtent l="28575" t="28575" r="37465" b="33020"/>
            <wp:docPr id="3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2"/>
                    <pic:cNvPicPr>
                      <a:picLocks noChangeAspect="1"/>
                    </pic:cNvPicPr>
                  </pic:nvPicPr>
                  <pic:blipFill>
                    <a:blip r:embed="rId40"/>
                    <a:stretch>
                      <a:fillRect/>
                    </a:stretch>
                  </pic:blipFill>
                  <pic:spPr>
                    <a:xfrm>
                      <a:off x="0" y="0"/>
                      <a:ext cx="7325360" cy="5221605"/>
                    </a:xfrm>
                    <a:prstGeom prst="rect">
                      <a:avLst/>
                    </a:prstGeom>
                    <a:noFill/>
                    <a:ln w="28575">
                      <a:solidFill>
                        <a:schemeClr val="tx1"/>
                      </a:solidFill>
                    </a:ln>
                  </pic:spPr>
                </pic:pic>
              </a:graphicData>
            </a:graphic>
          </wp:inline>
        </w:drawing>
      </w:r>
    </w:p>
    <w:p w14:paraId="62C5D405">
      <w:pPr>
        <w:keepNext w:val="0"/>
        <w:keepLines w:val="0"/>
        <w:pageBreakBefore w:val="0"/>
        <w:widowControl w:val="0"/>
        <w:kinsoku/>
        <w:wordWrap w:val="0"/>
        <w:overflowPunct/>
        <w:topLinePunct w:val="0"/>
        <w:autoSpaceDE/>
        <w:autoSpaceDN/>
        <w:bidi w:val="0"/>
        <w:adjustRightInd/>
        <w:snapToGrid/>
        <w:jc w:val="center"/>
        <w:textAlignment w:val="auto"/>
        <w:outlineLvl w:val="0"/>
        <w:rPr>
          <w:rFonts w:hint="default" w:ascii="Times New Roman" w:hAnsi="Times New Roman" w:cs="Times New Roman"/>
          <w:color w:val="auto"/>
          <w:highlight w:val="none"/>
        </w:rPr>
      </w:pPr>
      <w:bookmarkStart w:id="172" w:name="_Toc23970"/>
      <w:bookmarkStart w:id="173" w:name="_Toc31569"/>
      <w:r>
        <w:rPr>
          <w:rFonts w:hint="default" w:ascii="Times New Roman" w:hAnsi="Times New Roman" w:cs="Times New Roman"/>
          <w:b/>
          <w:bCs/>
          <w:color w:val="auto"/>
          <w:szCs w:val="22"/>
          <w:highlight w:val="none"/>
        </w:rPr>
        <w:t>附图11 生态管控单元分区图</w:t>
      </w:r>
      <w:bookmarkEnd w:id="172"/>
      <w:r>
        <w:rPr>
          <w:rFonts w:hint="default" w:ascii="Times New Roman" w:hAnsi="Times New Roman" w:cs="Times New Roman"/>
          <w:color w:val="auto"/>
          <w:highlight w:val="none"/>
        </w:rPr>
        <mc:AlternateContent>
          <mc:Choice Requires="wps">
            <w:drawing>
              <wp:anchor distT="0" distB="0" distL="114300" distR="114300" simplePos="0" relativeHeight="251742208" behindDoc="0" locked="0" layoutInCell="1" allowOverlap="1">
                <wp:simplePos x="0" y="0"/>
                <wp:positionH relativeFrom="column">
                  <wp:posOffset>5873750</wp:posOffset>
                </wp:positionH>
                <wp:positionV relativeFrom="paragraph">
                  <wp:posOffset>2151380</wp:posOffset>
                </wp:positionV>
                <wp:extent cx="123190" cy="129540"/>
                <wp:effectExtent l="17780" t="22225" r="30480" b="19685"/>
                <wp:wrapNone/>
                <wp:docPr id="60" name="五角星 60"/>
                <wp:cNvGraphicFramePr/>
                <a:graphic xmlns:a="http://schemas.openxmlformats.org/drawingml/2006/main">
                  <a:graphicData uri="http://schemas.microsoft.com/office/word/2010/wordprocessingShape">
                    <wps:wsp>
                      <wps:cNvSpPr/>
                      <wps:spPr>
                        <a:xfrm>
                          <a:off x="0" y="0"/>
                          <a:ext cx="123190" cy="12954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2.5pt;margin-top:169.4pt;height:10.2pt;width:9.7pt;z-index:251742208;v-text-anchor:middle;mso-width-relative:page;mso-height-relative:page;" fillcolor="#FF0000" filled="t" stroked="t" coordsize="123190,129540" o:gfxdata="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&#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Ppx23aAAAACwEAAA8AAAAAAAAAAQAgAAAAIgAAAGRy&#10;cy9kb3ducmV2LnhtbFBLAQIUABQAAAAIAIdO4kCqVwbjdQIAAPkEAAAOAAAAAAAAAAEAIAAAACkB&#10;AABkcnMvZTJvRG9jLnhtbFBLBQYAAAAABgAGAFkBAAAQBgAAAAA=&#10;" path="m0,49479l47054,49480,61595,0,76135,49480,123189,49479,85121,80059,99662,129539,61595,98959,23527,129539,38068,80059xe">
                <v:path o:connectlocs="61595,0;0,49479;23527,129539;99662,129539;123189,49479" o:connectangles="247,164,82,82,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1"/>
          <w:szCs w:val="21"/>
          <w:highlight w:val="none"/>
          <w:lang w:eastAsia="zh-CN"/>
        </w:rPr>
        <w:drawing>
          <wp:inline distT="0" distB="0" distL="114300" distR="114300">
            <wp:extent cx="7479665" cy="5291455"/>
            <wp:effectExtent l="0" t="0" r="635" b="4445"/>
            <wp:docPr id="97" name="图片 1" descr="乐昌市声环境功能区划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descr="乐昌市声环境功能区划_10"/>
                    <pic:cNvPicPr>
                      <a:picLocks noChangeAspect="1"/>
                    </pic:cNvPicPr>
                  </pic:nvPicPr>
                  <pic:blipFill>
                    <a:blip r:embed="rId41"/>
                    <a:srcRect l="1221" t="1717" r="1207" b="1756"/>
                    <a:stretch>
                      <a:fillRect/>
                    </a:stretch>
                  </pic:blipFill>
                  <pic:spPr>
                    <a:xfrm>
                      <a:off x="0" y="0"/>
                      <a:ext cx="7479665" cy="5291455"/>
                    </a:xfrm>
                    <a:prstGeom prst="rect">
                      <a:avLst/>
                    </a:prstGeom>
                    <a:noFill/>
                    <a:ln>
                      <a:noFill/>
                    </a:ln>
                  </pic:spPr>
                </pic:pic>
              </a:graphicData>
            </a:graphic>
          </wp:inline>
        </w:drawing>
      </w:r>
      <w:r>
        <w:rPr>
          <w:rFonts w:hint="default" w:ascii="Times New Roman" w:hAnsi="Times New Roman" w:cs="Times New Roman"/>
          <w:color w:val="auto"/>
          <w:highlight w:val="none"/>
        </w:rPr>
        <mc:AlternateContent>
          <mc:Choice Requires="wps">
            <w:drawing>
              <wp:anchor distT="0" distB="0" distL="114300" distR="114300" simplePos="0" relativeHeight="251741184" behindDoc="0" locked="0" layoutInCell="1" allowOverlap="1">
                <wp:simplePos x="0" y="0"/>
                <wp:positionH relativeFrom="column">
                  <wp:posOffset>3995420</wp:posOffset>
                </wp:positionH>
                <wp:positionV relativeFrom="paragraph">
                  <wp:posOffset>1996440</wp:posOffset>
                </wp:positionV>
                <wp:extent cx="1276350" cy="533400"/>
                <wp:effectExtent l="13970" t="13970" r="614680" b="24130"/>
                <wp:wrapNone/>
                <wp:docPr id="64" name="圆角矩形标注 64"/>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88955"/>
                            <a:gd name="adj2" fmla="val 357"/>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15B3DA9C">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4.6pt;margin-top:157.2pt;height:42pt;width:100.5pt;z-index:251741184;v-text-anchor:middle;mso-width-relative:page;mso-height-relative:page;" fillcolor="#F2F2F2 [3052]" filled="t" stroked="t" coordsize="21600,21600" o:gfxdata="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Pbt2TDaAAAACwEAAA8AAAAAAAAAAQAgAAAAIgAAAGRycy9kb3ducmV2LnhtbFBL&#10;AQIUABQAAAAIAIdO4kBCKpYR2AIAALMFAAAOAAAAAAAAAAEAIAAAACkBAABkcnMvZTJvRG9jLnht&#10;bFBLBQYAAAAABgAGAFkBAABzBgAAAAA=&#10;" adj="30014,10877,14400">
                <v:fill on="t" focussize="0,0"/>
                <v:stroke weight="2.25pt" color="#000000 [3213]" miterlimit="8" joinstyle="miter"/>
                <v:imagedata o:title=""/>
                <o:lock v:ext="edit" aspectratio="f"/>
                <v:textbox>
                  <w:txbxContent>
                    <w:p w14:paraId="15B3DA9C">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1"/>
          <w:szCs w:val="21"/>
          <w:highlight w:val="none"/>
          <w:lang w:val="en-US" w:eastAsia="zh-CN"/>
        </w:rPr>
        <w:t>i</w:t>
      </w:r>
      <w:bookmarkEnd w:id="173"/>
    </w:p>
    <w:p w14:paraId="2E176654">
      <w:pPr>
        <w:pStyle w:val="44"/>
        <w:pageBreakBefore w:val="0"/>
        <w:wordWrap w:val="0"/>
        <w:bidi w:val="0"/>
        <w:jc w:val="center"/>
        <w:outlineLvl w:val="0"/>
        <w:rPr>
          <w:rFonts w:hint="default" w:ascii="Times New Roman" w:hAnsi="Times New Roman" w:eastAsia="宋体"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74" w:name="_Toc32639"/>
      <w:r>
        <w:rPr>
          <w:rFonts w:hint="default" w:ascii="Times New Roman" w:hAnsi="Times New Roman" w:cs="Times New Roman"/>
          <w:b/>
          <w:bCs/>
          <w:color w:val="auto"/>
          <w:szCs w:val="22"/>
          <w:highlight w:val="none"/>
        </w:rPr>
        <w:t>附图1</w:t>
      </w:r>
      <w:r>
        <w:rPr>
          <w:rFonts w:hint="default" w:ascii="Times New Roman" w:hAnsi="Times New Roman" w:cs="Times New Roman"/>
          <w:b/>
          <w:bCs/>
          <w:color w:val="auto"/>
          <w:szCs w:val="22"/>
          <w:highlight w:val="none"/>
          <w:lang w:val="en-US" w:eastAsia="zh-CN"/>
        </w:rPr>
        <w:t>2</w:t>
      </w:r>
      <w:r>
        <w:rPr>
          <w:rFonts w:hint="default" w:ascii="Times New Roman" w:hAnsi="Times New Roman" w:cs="Times New Roman"/>
          <w:b/>
          <w:bCs/>
          <w:color w:val="auto"/>
          <w:szCs w:val="22"/>
          <w:highlight w:val="none"/>
        </w:rPr>
        <w:t xml:space="preserve"> </w:t>
      </w:r>
      <w:r>
        <w:rPr>
          <w:rFonts w:hint="default" w:ascii="Times New Roman" w:hAnsi="Times New Roman" w:cs="Times New Roman"/>
          <w:b/>
          <w:bCs/>
          <w:color w:val="auto"/>
          <w:szCs w:val="22"/>
          <w:highlight w:val="none"/>
          <w:lang w:val="en-US" w:eastAsia="zh-CN"/>
        </w:rPr>
        <w:t>声环境功能区区划</w:t>
      </w:r>
      <w:r>
        <w:rPr>
          <w:rFonts w:hint="default" w:ascii="Times New Roman" w:hAnsi="Times New Roman" w:cs="Times New Roman"/>
          <w:b/>
          <w:bCs/>
          <w:color w:val="auto"/>
          <w:szCs w:val="22"/>
          <w:highlight w:val="none"/>
        </w:rPr>
        <w:t>图</w:t>
      </w:r>
      <w:bookmarkEnd w:id="174"/>
      <w:r>
        <w:rPr>
          <w:rFonts w:hint="default" w:ascii="Times New Roman" w:hAnsi="Times New Roman" w:cs="Times New Roman"/>
          <w:b/>
          <w:bCs/>
          <w:color w:val="auto"/>
          <w:szCs w:val="22"/>
          <w:highlight w:val="none"/>
          <w:lang w:eastAsia="zh-CN"/>
        </w:rPr>
        <w:t>（</w:t>
      </w:r>
      <w:r>
        <w:rPr>
          <w:rFonts w:hint="default" w:ascii="Times New Roman" w:hAnsi="Times New Roman" w:cs="Times New Roman"/>
          <w:b/>
          <w:bCs/>
          <w:color w:val="auto"/>
          <w:szCs w:val="22"/>
          <w:highlight w:val="none"/>
          <w:lang w:val="en-US" w:eastAsia="zh-CN"/>
        </w:rPr>
        <w:t>3类</w:t>
      </w:r>
      <w:r>
        <w:rPr>
          <w:rFonts w:hint="default" w:ascii="Times New Roman" w:hAnsi="Times New Roman" w:cs="Times New Roman"/>
          <w:b/>
          <w:bCs/>
          <w:color w:val="auto"/>
          <w:szCs w:val="22"/>
          <w:highlight w:val="none"/>
          <w:lang w:eastAsia="zh-CN"/>
        </w:rPr>
        <w:t>）</w:t>
      </w:r>
    </w:p>
    <w:p w14:paraId="2512CF6D">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18"/>
          <w:highlight w:val="none"/>
        </w:rPr>
        <mc:AlternateContent>
          <mc:Choice Requires="wps">
            <w:drawing>
              <wp:anchor distT="0" distB="0" distL="114300" distR="114300" simplePos="0" relativeHeight="251751424" behindDoc="0" locked="0" layoutInCell="1" allowOverlap="1">
                <wp:simplePos x="0" y="0"/>
                <wp:positionH relativeFrom="column">
                  <wp:posOffset>2616200</wp:posOffset>
                </wp:positionH>
                <wp:positionV relativeFrom="paragraph">
                  <wp:posOffset>1864995</wp:posOffset>
                </wp:positionV>
                <wp:extent cx="1779905" cy="25590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779905" cy="255905"/>
                        </a:xfrm>
                        <a:prstGeom prst="rect">
                          <a:avLst/>
                        </a:prstGeom>
                        <a:noFill/>
                        <a:ln>
                          <a:noFill/>
                        </a:ln>
                      </wps:spPr>
                      <wps:txbx>
                        <w:txbxContent>
                          <w:p w14:paraId="4C9CDE10">
                            <w:pPr>
                              <w:keepNext w:val="0"/>
                              <w:keepLines w:val="0"/>
                              <w:pageBreakBefore w:val="0"/>
                              <w:widowControl w:val="0"/>
                              <w:kinsoku/>
                              <w:wordWrap/>
                              <w:overflowPunct/>
                              <w:topLinePunct w:val="0"/>
                              <w:bidi w:val="0"/>
                              <w:adjustRightInd/>
                              <w:snapToGrid w:val="0"/>
                              <w:textAlignment w:val="auto"/>
                              <w:rPr>
                                <w:rFonts w:hint="default" w:eastAsia="宋体"/>
                                <w:b/>
                                <w:bCs/>
                                <w:color w:val="000000"/>
                                <w:sz w:val="24"/>
                                <w:szCs w:val="32"/>
                                <w:highlight w:val="yellow"/>
                                <w:lang w:val="en-US" w:eastAsia="zh-CN"/>
                              </w:rPr>
                            </w:pPr>
                            <w:r>
                              <w:rPr>
                                <w:rFonts w:hint="eastAsia"/>
                                <w:b/>
                                <w:bCs/>
                                <w:color w:val="000000"/>
                                <w:sz w:val="24"/>
                                <w:szCs w:val="32"/>
                                <w:highlight w:val="yellow"/>
                                <w:lang w:val="en-US" w:eastAsia="zh-CN"/>
                              </w:rPr>
                              <w:t>与4a类范围距离：105m</w:t>
                            </w:r>
                          </w:p>
                        </w:txbxContent>
                      </wps:txbx>
                      <wps:bodyPr upright="1"/>
                    </wps:wsp>
                  </a:graphicData>
                </a:graphic>
              </wp:anchor>
            </w:drawing>
          </mc:Choice>
          <mc:Fallback>
            <w:pict>
              <v:shape id="_x0000_s1026" o:spid="_x0000_s1026" o:spt="202" type="#_x0000_t202" style="position:absolute;left:0pt;margin-left:206pt;margin-top:146.85pt;height:20.15pt;width:140.15pt;z-index:251751424;mso-width-relative:page;mso-height-relative:page;" filled="f" stroked="f" coordsize="21600,21600" o:gfxdata="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wHl7ydgA&#10;AAALAQAADwAAAAAAAAABACAAAAAiAAAAZHJzL2Rvd25yZXYueG1sUEsBAhQAFAAAAAgAh07iQHdP&#10;92mtAQAAUgMAAA4AAAAAAAAAAQAgAAAAJwEAAGRycy9lMm9Eb2MueG1sUEsFBgAAAAAGAAYAWQEA&#10;AEYFAAAAAA==&#10;">
                <v:fill on="f" focussize="0,0"/>
                <v:stroke on="f"/>
                <v:imagedata o:title=""/>
                <o:lock v:ext="edit" aspectratio="f"/>
                <v:textbox>
                  <w:txbxContent>
                    <w:p w14:paraId="4C9CDE10">
                      <w:pPr>
                        <w:keepNext w:val="0"/>
                        <w:keepLines w:val="0"/>
                        <w:pageBreakBefore w:val="0"/>
                        <w:widowControl w:val="0"/>
                        <w:kinsoku/>
                        <w:wordWrap/>
                        <w:overflowPunct/>
                        <w:topLinePunct w:val="0"/>
                        <w:bidi w:val="0"/>
                        <w:adjustRightInd/>
                        <w:snapToGrid w:val="0"/>
                        <w:textAlignment w:val="auto"/>
                        <w:rPr>
                          <w:rFonts w:hint="default" w:eastAsia="宋体"/>
                          <w:b/>
                          <w:bCs/>
                          <w:color w:val="000000"/>
                          <w:sz w:val="24"/>
                          <w:szCs w:val="32"/>
                          <w:highlight w:val="yellow"/>
                          <w:lang w:val="en-US" w:eastAsia="zh-CN"/>
                        </w:rPr>
                      </w:pPr>
                      <w:r>
                        <w:rPr>
                          <w:rFonts w:hint="eastAsia"/>
                          <w:b/>
                          <w:bCs/>
                          <w:color w:val="000000"/>
                          <w:sz w:val="24"/>
                          <w:szCs w:val="32"/>
                          <w:highlight w:val="yellow"/>
                          <w:lang w:val="en-US" w:eastAsia="zh-CN"/>
                        </w:rPr>
                        <w:t>与4a类范围距离：105m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0400" behindDoc="0" locked="0" layoutInCell="1" allowOverlap="1">
                <wp:simplePos x="0" y="0"/>
                <wp:positionH relativeFrom="column">
                  <wp:posOffset>3764915</wp:posOffset>
                </wp:positionH>
                <wp:positionV relativeFrom="paragraph">
                  <wp:posOffset>2319655</wp:posOffset>
                </wp:positionV>
                <wp:extent cx="471805" cy="1270"/>
                <wp:effectExtent l="0" t="53975" r="4445" b="59055"/>
                <wp:wrapNone/>
                <wp:docPr id="100" name="直接箭头连接符 100"/>
                <wp:cNvGraphicFramePr/>
                <a:graphic xmlns:a="http://schemas.openxmlformats.org/drawingml/2006/main">
                  <a:graphicData uri="http://schemas.microsoft.com/office/word/2010/wordprocessingShape">
                    <wps:wsp>
                      <wps:cNvCnPr/>
                      <wps:spPr>
                        <a:xfrm flipH="1" flipV="1">
                          <a:off x="5024755" y="3016885"/>
                          <a:ext cx="471805" cy="1270"/>
                        </a:xfrm>
                        <a:prstGeom prst="straightConnector1">
                          <a:avLst/>
                        </a:prstGeom>
                        <a:ln w="19050">
                          <a:solidFill>
                            <a:srgbClr val="7030A0"/>
                          </a:solidFill>
                          <a:prstDash val="solid"/>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96.45pt;margin-top:182.65pt;height:0.1pt;width:37.15pt;z-index:251750400;mso-width-relative:page;mso-height-relative:page;" filled="f" stroked="t" coordsize="21600,21600" o:gfxdata="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fbxxNcAAAALAQAADwAAAAAAAAABACAAAAAiAAAAZHJzL2Rvd25yZXYueG1sUEsBAhQA&#10;FAAAAAgAh07iQAwm6issAgAAHgQAAA4AAAAAAAAAAQAgAAAAJgEAAGRycy9lMm9Eb2MueG1sUEsF&#10;BgAAAAAGAAYAWQEAAMQFAAAAAA==&#10;">
                <v:fill on="f" focussize="0,0"/>
                <v:stroke weight="1.5pt" color="#7030A0 [3204]" miterlimit="8" joinstyle="miter" startarrow="open"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49376" behindDoc="0" locked="0" layoutInCell="1" allowOverlap="1">
                <wp:simplePos x="0" y="0"/>
                <wp:positionH relativeFrom="column">
                  <wp:posOffset>2621915</wp:posOffset>
                </wp:positionH>
                <wp:positionV relativeFrom="paragraph">
                  <wp:posOffset>2723515</wp:posOffset>
                </wp:positionV>
                <wp:extent cx="1066165" cy="398780"/>
                <wp:effectExtent l="13970" t="292735" r="24765" b="32385"/>
                <wp:wrapNone/>
                <wp:docPr id="99" name="圆角矩形标注 99"/>
                <wp:cNvGraphicFramePr/>
                <a:graphic xmlns:a="http://schemas.openxmlformats.org/drawingml/2006/main">
                  <a:graphicData uri="http://schemas.microsoft.com/office/word/2010/wordprocessingShape">
                    <wps:wsp>
                      <wps:cNvSpPr/>
                      <wps:spPr>
                        <a:xfrm>
                          <a:off x="0" y="0"/>
                          <a:ext cx="1066165" cy="398780"/>
                        </a:xfrm>
                        <a:prstGeom prst="wedgeRoundRectCallout">
                          <a:avLst>
                            <a:gd name="adj1" fmla="val 37016"/>
                            <a:gd name="adj2" fmla="val -114490"/>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52255136">
                            <w:pPr>
                              <w:keepNext w:val="0"/>
                              <w:keepLines w:val="0"/>
                              <w:pageBreakBefore w:val="0"/>
                              <w:widowControl w:val="0"/>
                              <w:kinsoku/>
                              <w:wordWrap/>
                              <w:overflowPunct/>
                              <w:topLinePunct w:val="0"/>
                              <w:bidi w:val="0"/>
                              <w:adjustRightInd w:val="0"/>
                              <w:snapToGrid w:val="0"/>
                              <w:spacing w:line="240" w:lineRule="auto"/>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06.45pt;margin-top:214.45pt;height:31.4pt;width:83.95pt;z-index:251749376;v-text-anchor:middle;mso-width-relative:page;mso-height-relative:page;" fillcolor="#F2F2F2 [3052]" filled="t" stroked="t" coordsize="21600,21600" o:gfxdata="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Jsbd8PYAAAACwEAAA8AAAAAAAAAAQAgAAAAIgAAAGRycy9kb3ducmV2Lnht&#10;bFBLAQIUABQAAAAIAIdO4kBQEBdo3QIAALcFAAAOAAAAAAAAAAEAIAAAACcBAABkcnMvZTJvRG9j&#10;LnhtbFBLBQYAAAAABgAGAFkBAAB2BgAAAAA=&#10;" adj="18795,-13930,14400">
                <v:fill on="t" focussize="0,0"/>
                <v:stroke weight="2.25pt" color="#000000 [3213]" miterlimit="8" joinstyle="miter"/>
                <v:imagedata o:title=""/>
                <o:lock v:ext="edit" aspectratio="f"/>
                <v:textbox>
                  <w:txbxContent>
                    <w:p w14:paraId="52255136">
                      <w:pPr>
                        <w:keepNext w:val="0"/>
                        <w:keepLines w:val="0"/>
                        <w:pageBreakBefore w:val="0"/>
                        <w:widowControl w:val="0"/>
                        <w:kinsoku/>
                        <w:wordWrap/>
                        <w:overflowPunct/>
                        <w:topLinePunct w:val="0"/>
                        <w:bidi w:val="0"/>
                        <w:adjustRightInd w:val="0"/>
                        <w:snapToGrid w:val="0"/>
                        <w:spacing w:line="240" w:lineRule="auto"/>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8352" behindDoc="0" locked="0" layoutInCell="1" allowOverlap="1">
                <wp:simplePos x="0" y="0"/>
                <wp:positionH relativeFrom="column">
                  <wp:posOffset>3562350</wp:posOffset>
                </wp:positionH>
                <wp:positionV relativeFrom="paragraph">
                  <wp:posOffset>2202815</wp:posOffset>
                </wp:positionV>
                <wp:extent cx="236220" cy="236220"/>
                <wp:effectExtent l="6350" t="6350" r="24130" b="24130"/>
                <wp:wrapNone/>
                <wp:docPr id="96" name="矩形 96"/>
                <wp:cNvGraphicFramePr/>
                <a:graphic xmlns:a="http://schemas.openxmlformats.org/drawingml/2006/main">
                  <a:graphicData uri="http://schemas.microsoft.com/office/word/2010/wordprocessingShape">
                    <wps:wsp>
                      <wps:cNvSpPr/>
                      <wps:spPr>
                        <a:xfrm>
                          <a:off x="4552315" y="3102610"/>
                          <a:ext cx="236220" cy="23622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5pt;margin-top:173.45pt;height:18.6pt;width:18.6pt;z-index:251748352;v-text-anchor:middle;mso-width-relative:page;mso-height-relative:page;" fillcolor="#FFFFFF [3212]" filled="t" stroked="t" coordsize="21600,21600" o:gfxdata="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Ssbo/ZAAAACwEAAA8AAAAAAAAAAQAgAAAAIgAA&#10;AGRycy9kb3ducmV2LnhtbFBLAQIUABQAAAAIAIdO4kC4C+79eQIAAAEFAAAOAAAAAAAAAAEAIAAA&#10;ACgBAABkcnMvZTJvRG9jLnhtbFBLBQYAAAAABgAGAFkBAAATBg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43232" behindDoc="0" locked="0" layoutInCell="1" allowOverlap="1">
                <wp:simplePos x="0" y="0"/>
                <wp:positionH relativeFrom="column">
                  <wp:posOffset>5419090</wp:posOffset>
                </wp:positionH>
                <wp:positionV relativeFrom="paragraph">
                  <wp:posOffset>2908935</wp:posOffset>
                </wp:positionV>
                <wp:extent cx="1276350" cy="533400"/>
                <wp:effectExtent l="13970" t="527050" r="24130" b="25400"/>
                <wp:wrapNone/>
                <wp:docPr id="95" name="圆角矩形标注 95"/>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4626"/>
                            <a:gd name="adj2" fmla="val -139761"/>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631ACA10">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6.7pt;margin-top:229.05pt;height:42pt;width:100.5pt;z-index:251743232;v-text-anchor:middle;mso-width-relative:page;mso-height-relative:page;" fillcolor="#F2F2F2 [3052]" filled="t" stroked="t" coordsize="21600,21600" o:gfxdata="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VdOWB9kAAAAMAQAADwAAAAAAAAABACAAAAAiAAAAZHJzL2Rvd25yZXYueG1s&#10;UEsBAhQAFAAAAAgAh07iQCtmr8XbAgAAtgUAAA4AAAAAAAAAAQAgAAAAKAEAAGRycy9lMm9Eb2Mu&#10;eG1sUEsFBgAAAAAGAAYAWQEAAHUGAAAAAA==&#10;" adj="11799,-19388,14400">
                <v:fill on="t" focussize="0,0"/>
                <v:stroke weight="2.25pt" color="#000000 [3213]" miterlimit="8" joinstyle="miter"/>
                <v:imagedata o:title=""/>
                <o:lock v:ext="edit" aspectratio="f"/>
                <v:textbox>
                  <w:txbxContent>
                    <w:p w14:paraId="631ACA10">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44256" behindDoc="0" locked="0" layoutInCell="1" allowOverlap="1">
                <wp:simplePos x="0" y="0"/>
                <wp:positionH relativeFrom="column">
                  <wp:posOffset>6016625</wp:posOffset>
                </wp:positionH>
                <wp:positionV relativeFrom="paragraph">
                  <wp:posOffset>2245995</wp:posOffset>
                </wp:positionV>
                <wp:extent cx="126365" cy="126365"/>
                <wp:effectExtent l="19050" t="21590" r="26035" b="23495"/>
                <wp:wrapNone/>
                <wp:docPr id="94" name="五角星 94"/>
                <wp:cNvGraphicFramePr/>
                <a:graphic xmlns:a="http://schemas.openxmlformats.org/drawingml/2006/main">
                  <a:graphicData uri="http://schemas.microsoft.com/office/word/2010/wordprocessingShape">
                    <wps:wsp>
                      <wps:cNvSpPr/>
                      <wps:spPr>
                        <a:xfrm>
                          <a:off x="0" y="0"/>
                          <a:ext cx="126365" cy="12636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73.75pt;margin-top:176.85pt;height:9.95pt;width:9.95pt;z-index:251744256;v-text-anchor:middle;mso-width-relative:page;mso-height-relative:page;" fillcolor="#FF0000" filled="t" stroked="t" coordsize="126365,126365" o:gfxdata="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8UEb7aAAAACwEAAA8AAAAAAAAAAQAgAAAAIgAAAGRycy9k&#10;b3ducmV2LnhtbFBLAQIUABQAAAAIAIdO4kASFb4OcgIAAPkEAAAOAAAAAAAAAAEAIAAAACkBAABk&#10;cnMvZTJvRG9jLnhtbFBLBQYAAAAABgAGAFkBAAANBgAAAAA=&#10;" path="m0,48267l48267,48267,63182,0,78097,48267,126364,48267,87315,78097,102231,126364,63182,96533,24133,126364,39049,78097xe">
                <v:path o:connectlocs="63182,0;0,48267;24133,126364;102231,126364;126364,48267"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6304" behindDoc="0" locked="0" layoutInCell="1" allowOverlap="1">
                <wp:simplePos x="0" y="0"/>
                <wp:positionH relativeFrom="column">
                  <wp:posOffset>4725670</wp:posOffset>
                </wp:positionH>
                <wp:positionV relativeFrom="paragraph">
                  <wp:posOffset>652145</wp:posOffset>
                </wp:positionV>
                <wp:extent cx="1188720" cy="1424305"/>
                <wp:effectExtent l="10795" t="8890" r="19685" b="14605"/>
                <wp:wrapNone/>
                <wp:docPr id="65" name="直接连接符 65"/>
                <wp:cNvGraphicFramePr/>
                <a:graphic xmlns:a="http://schemas.openxmlformats.org/drawingml/2006/main">
                  <a:graphicData uri="http://schemas.microsoft.com/office/word/2010/wordprocessingShape">
                    <wps:wsp>
                      <wps:cNvCnPr/>
                      <wps:spPr>
                        <a:xfrm>
                          <a:off x="5715635" y="1551940"/>
                          <a:ext cx="1188720" cy="1424305"/>
                        </a:xfrm>
                        <a:prstGeom prst="line">
                          <a:avLst/>
                        </a:prstGeom>
                        <a:ln w="28575">
                          <a:solidFill>
                            <a:schemeClr val="tx1"/>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72.1pt;margin-top:51.35pt;height:112.15pt;width:93.6pt;z-index:251746304;mso-width-relative:page;mso-height-relative:page;" filled="f" stroked="t" coordsize="21600,21600" o:gfxdata="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TVfUH2QAAAAsBAAAPAAAAAAAAAAEAIAAAACIAAABkcnMvZG93bnJldi54&#10;bWxQSwECFAAUAAAACACHTuJAZ56Kv/kBAADGAwAADgAAAAAAAAABACAAAAAoAQAAZHJzL2Uyb0Rv&#10;Yy54bWxQSwUGAAAAAAYABgBZAQAAkwUAAAAA&#10;">
                <v:fill on="f" focussize="0,0"/>
                <v:stroke weight="2.25pt" color="#000000 [3213]" miterlimit="8" joinstyle="miter"/>
                <v:imagedata o:title=""/>
                <o:lock v:ext="edit" aspectratio="f"/>
              </v:line>
            </w:pict>
          </mc:Fallback>
        </mc:AlternateContent>
      </w:r>
      <w:r>
        <w:rPr>
          <w:rFonts w:hint="default" w:ascii="Times New Roman" w:hAnsi="Times New Roman" w:cs="Times New Roman"/>
          <w:color w:val="auto"/>
          <w:highlight w:val="none"/>
        </w:rPr>
        <w:drawing>
          <wp:anchor distT="0" distB="0" distL="114300" distR="114300" simplePos="0" relativeHeight="251745280" behindDoc="0" locked="0" layoutInCell="1" allowOverlap="1">
            <wp:simplePos x="0" y="0"/>
            <wp:positionH relativeFrom="column">
              <wp:posOffset>2052320</wp:posOffset>
            </wp:positionH>
            <wp:positionV relativeFrom="paragraph">
              <wp:posOffset>647065</wp:posOffset>
            </wp:positionV>
            <wp:extent cx="2673985" cy="2940050"/>
            <wp:effectExtent l="9525" t="9525" r="21590" b="9525"/>
            <wp:wrapNone/>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2"/>
                    <a:stretch>
                      <a:fillRect/>
                    </a:stretch>
                  </pic:blipFill>
                  <pic:spPr>
                    <a:xfrm>
                      <a:off x="0" y="0"/>
                      <a:ext cx="2673985" cy="2940050"/>
                    </a:xfrm>
                    <a:prstGeom prst="rect">
                      <a:avLst/>
                    </a:prstGeom>
                    <a:noFill/>
                    <a:ln>
                      <a:solidFill>
                        <a:schemeClr val="tx1"/>
                      </a:solid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47328" behindDoc="0" locked="0" layoutInCell="1" allowOverlap="1">
                <wp:simplePos x="0" y="0"/>
                <wp:positionH relativeFrom="column">
                  <wp:posOffset>4717415</wp:posOffset>
                </wp:positionH>
                <wp:positionV relativeFrom="paragraph">
                  <wp:posOffset>2430780</wp:posOffset>
                </wp:positionV>
                <wp:extent cx="1196975" cy="1129665"/>
                <wp:effectExtent l="9525" t="10160" r="12700" b="22225"/>
                <wp:wrapNone/>
                <wp:docPr id="89" name="直接连接符 89"/>
                <wp:cNvGraphicFramePr/>
                <a:graphic xmlns:a="http://schemas.openxmlformats.org/drawingml/2006/main">
                  <a:graphicData uri="http://schemas.microsoft.com/office/word/2010/wordprocessingShape">
                    <wps:wsp>
                      <wps:cNvCnPr/>
                      <wps:spPr>
                        <a:xfrm flipV="1">
                          <a:off x="0" y="0"/>
                          <a:ext cx="1196975" cy="1129665"/>
                        </a:xfrm>
                        <a:prstGeom prst="line">
                          <a:avLst/>
                        </a:prstGeom>
                        <a:ln w="28575">
                          <a:solidFill>
                            <a:schemeClr val="tx1"/>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71.45pt;margin-top:191.4pt;height:88.95pt;width:94.25pt;z-index:251747328;mso-width-relative:page;mso-height-relative:page;" filled="f" stroked="t" coordsize="21600,21600" o:gfxdata="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7/1393AAAAAsBAAAPAAAAAAAAAAEAIAAAACIAAABkcnMvZG93bnJldi54bWxQSwEC&#10;FAAUAAAACACHTuJASPJIJ/ABAADEAwAADgAAAAAAAAABACAAAAArAQAAZHJzL2Uyb0RvYy54bWxQ&#10;SwUGAAAAAAYABgBZAQAAjQUAAAAA&#10;">
                <v:fill on="f" focussize="0,0"/>
                <v:stroke weight="2.25pt" color="#000000 [3213]" miterlimit="8" joinstyle="miter"/>
                <v:imagedata o:title=""/>
                <o:lock v:ext="edit" aspectratio="f"/>
              </v:line>
            </w:pict>
          </mc:Fallback>
        </mc:AlternateContent>
      </w:r>
      <w:r>
        <w:rPr>
          <w:rFonts w:hint="default" w:ascii="Times New Roman" w:hAnsi="Times New Roman" w:eastAsia="宋体" w:cs="Times New Roman"/>
          <w:color w:val="auto"/>
          <w:sz w:val="21"/>
          <w:szCs w:val="21"/>
          <w:highlight w:val="none"/>
          <w:lang w:eastAsia="zh-CN"/>
        </w:rPr>
        <w:drawing>
          <wp:inline distT="0" distB="0" distL="114300" distR="114300">
            <wp:extent cx="7776845" cy="5504815"/>
            <wp:effectExtent l="0" t="0" r="8255" b="6985"/>
            <wp:docPr id="98" name="图片 2" descr="乐昌市声环境功能区划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descr="乐昌市声环境功能区划_11"/>
                    <pic:cNvPicPr>
                      <a:picLocks noChangeAspect="1"/>
                    </pic:cNvPicPr>
                  </pic:nvPicPr>
                  <pic:blipFill>
                    <a:blip r:embed="rId43"/>
                    <a:srcRect l="1135" t="1849" r="1207" b="1736"/>
                    <a:stretch>
                      <a:fillRect/>
                    </a:stretch>
                  </pic:blipFill>
                  <pic:spPr>
                    <a:xfrm>
                      <a:off x="0" y="0"/>
                      <a:ext cx="7776845" cy="5504815"/>
                    </a:xfrm>
                    <a:prstGeom prst="rect">
                      <a:avLst/>
                    </a:prstGeom>
                    <a:noFill/>
                    <a:ln>
                      <a:noFill/>
                    </a:ln>
                  </pic:spPr>
                </pic:pic>
              </a:graphicData>
            </a:graphic>
          </wp:inline>
        </w:drawing>
      </w:r>
    </w:p>
    <w:p w14:paraId="267EE244">
      <w:pPr>
        <w:pStyle w:val="44"/>
        <w:pageBreakBefore w:val="0"/>
        <w:wordWrap w:val="0"/>
        <w:bidi w:val="0"/>
        <w:jc w:val="center"/>
        <w:outlineLvl w:val="0"/>
        <w:rPr>
          <w:rFonts w:hint="default" w:ascii="Times New Roman" w:hAnsi="Times New Roman" w:eastAsia="宋体" w:cs="Times New Roman"/>
          <w:color w:val="auto"/>
          <w:highlight w:val="none"/>
          <w:lang w:eastAsia="zh-CN"/>
        </w:rPr>
        <w:sectPr>
          <w:pgSz w:w="16838" w:h="11906" w:orient="landscape"/>
          <w:pgMar w:top="1417" w:right="1417" w:bottom="1134" w:left="1559" w:header="851" w:footer="737" w:gutter="0"/>
          <w:pgBorders>
            <w:top w:val="none" w:sz="0" w:space="0"/>
            <w:left w:val="none" w:sz="0" w:space="0"/>
            <w:bottom w:val="none" w:sz="0" w:space="0"/>
            <w:right w:val="none" w:sz="0" w:space="0"/>
          </w:pgBorders>
          <w:pgNumType w:fmt="numberInDash"/>
          <w:cols w:space="720" w:num="1"/>
          <w:docGrid w:type="lines" w:linePitch="312" w:charSpace="0"/>
        </w:sectPr>
      </w:pPr>
      <w:bookmarkStart w:id="175" w:name="_Toc11119"/>
      <w:r>
        <w:rPr>
          <w:rFonts w:hint="default" w:ascii="Times New Roman" w:hAnsi="Times New Roman" w:cs="Times New Roman"/>
          <w:b/>
          <w:bCs/>
          <w:color w:val="auto"/>
          <w:szCs w:val="22"/>
          <w:highlight w:val="none"/>
        </w:rPr>
        <w:t>附图1</w:t>
      </w:r>
      <w:r>
        <w:rPr>
          <w:rFonts w:hint="default" w:ascii="Times New Roman" w:hAnsi="Times New Roman" w:cs="Times New Roman"/>
          <w:b/>
          <w:bCs/>
          <w:color w:val="auto"/>
          <w:szCs w:val="22"/>
          <w:highlight w:val="none"/>
          <w:lang w:val="en-US" w:eastAsia="zh-CN"/>
        </w:rPr>
        <w:t>3</w:t>
      </w:r>
      <w:r>
        <w:rPr>
          <w:rFonts w:hint="default" w:ascii="Times New Roman" w:hAnsi="Times New Roman" w:cs="Times New Roman"/>
          <w:b/>
          <w:bCs/>
          <w:color w:val="auto"/>
          <w:szCs w:val="22"/>
          <w:highlight w:val="none"/>
        </w:rPr>
        <w:t xml:space="preserve"> </w:t>
      </w:r>
      <w:r>
        <w:rPr>
          <w:rFonts w:hint="default" w:ascii="Times New Roman" w:hAnsi="Times New Roman" w:cs="Times New Roman"/>
          <w:b/>
          <w:bCs/>
          <w:color w:val="auto"/>
          <w:szCs w:val="22"/>
          <w:highlight w:val="none"/>
          <w:lang w:val="en-US" w:eastAsia="zh-CN"/>
        </w:rPr>
        <w:t>声环境功能区区划</w:t>
      </w:r>
      <w:r>
        <w:rPr>
          <w:rFonts w:hint="default" w:ascii="Times New Roman" w:hAnsi="Times New Roman" w:cs="Times New Roman"/>
          <w:b/>
          <w:bCs/>
          <w:color w:val="auto"/>
          <w:szCs w:val="22"/>
          <w:highlight w:val="none"/>
        </w:rPr>
        <w:t>图</w:t>
      </w:r>
      <w:bookmarkEnd w:id="175"/>
      <w:r>
        <w:rPr>
          <w:rFonts w:hint="default" w:ascii="Times New Roman" w:hAnsi="Times New Roman" w:cs="Times New Roman"/>
          <w:b/>
          <w:bCs/>
          <w:color w:val="auto"/>
          <w:szCs w:val="22"/>
          <w:highlight w:val="none"/>
          <w:lang w:eastAsia="zh-CN"/>
        </w:rPr>
        <w:t>（</w:t>
      </w:r>
      <w:r>
        <w:rPr>
          <w:rFonts w:hint="default" w:ascii="Times New Roman" w:hAnsi="Times New Roman" w:cs="Times New Roman"/>
          <w:b/>
          <w:bCs/>
          <w:color w:val="auto"/>
          <w:szCs w:val="22"/>
          <w:highlight w:val="none"/>
          <w:lang w:val="en-US" w:eastAsia="zh-CN"/>
        </w:rPr>
        <w:t>4类</w:t>
      </w:r>
      <w:r>
        <w:rPr>
          <w:rFonts w:hint="default" w:ascii="Times New Roman" w:hAnsi="Times New Roman" w:cs="Times New Roman"/>
          <w:b/>
          <w:bCs/>
          <w:color w:val="auto"/>
          <w:szCs w:val="22"/>
          <w:highlight w:val="none"/>
          <w:lang w:eastAsia="zh-CN"/>
        </w:rPr>
        <w:t>）</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6"/>
        <w:gridCol w:w="4356"/>
      </w:tblGrid>
      <w:tr w14:paraId="1080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0" w:hRule="atLeast"/>
          <w:jc w:val="center"/>
        </w:trPr>
        <w:tc>
          <w:tcPr>
            <w:tcW w:w="4276" w:type="dxa"/>
            <w:vAlign w:val="center"/>
          </w:tcPr>
          <w:p w14:paraId="33B6A624">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572385" cy="1156970"/>
                  <wp:effectExtent l="0" t="0" r="5715" b="11430"/>
                  <wp:docPr id="3" name="图片 3" descr="（四至）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四至）东"/>
                          <pic:cNvPicPr>
                            <a:picLocks noChangeAspect="1"/>
                          </pic:cNvPicPr>
                        </pic:nvPicPr>
                        <pic:blipFill>
                          <a:blip r:embed="rId44"/>
                          <a:stretch>
                            <a:fillRect/>
                          </a:stretch>
                        </pic:blipFill>
                        <pic:spPr>
                          <a:xfrm>
                            <a:off x="0" y="0"/>
                            <a:ext cx="2572385" cy="1156970"/>
                          </a:xfrm>
                          <a:prstGeom prst="rect">
                            <a:avLst/>
                          </a:prstGeom>
                        </pic:spPr>
                      </pic:pic>
                    </a:graphicData>
                  </a:graphic>
                </wp:inline>
              </w:drawing>
            </w:r>
          </w:p>
        </w:tc>
        <w:tc>
          <w:tcPr>
            <w:tcW w:w="4348" w:type="dxa"/>
            <w:vAlign w:val="center"/>
          </w:tcPr>
          <w:p w14:paraId="07C8AA11">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626995" cy="1179830"/>
                  <wp:effectExtent l="0" t="0" r="1905" b="1270"/>
                  <wp:docPr id="11" name="图片 11" descr="（四至）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四至）南"/>
                          <pic:cNvPicPr>
                            <a:picLocks noChangeAspect="1"/>
                          </pic:cNvPicPr>
                        </pic:nvPicPr>
                        <pic:blipFill>
                          <a:blip r:embed="rId45"/>
                          <a:stretch>
                            <a:fillRect/>
                          </a:stretch>
                        </pic:blipFill>
                        <pic:spPr>
                          <a:xfrm>
                            <a:off x="0" y="0"/>
                            <a:ext cx="2626995" cy="1179830"/>
                          </a:xfrm>
                          <a:prstGeom prst="rect">
                            <a:avLst/>
                          </a:prstGeom>
                        </pic:spPr>
                      </pic:pic>
                    </a:graphicData>
                  </a:graphic>
                </wp:inline>
              </w:drawing>
            </w:r>
          </w:p>
        </w:tc>
      </w:tr>
      <w:tr w14:paraId="0AC45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4276" w:type="dxa"/>
            <w:vAlign w:val="center"/>
          </w:tcPr>
          <w:p w14:paraId="3B510C3F">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项目东面广东科优精密机械制造有限公司</w:t>
            </w:r>
          </w:p>
        </w:tc>
        <w:tc>
          <w:tcPr>
            <w:tcW w:w="4348" w:type="dxa"/>
            <w:vAlign w:val="center"/>
          </w:tcPr>
          <w:p w14:paraId="1B0BADA1">
            <w:pPr>
              <w:keepNext w:val="0"/>
              <w:keepLines w:val="0"/>
              <w:pageBreakBefore w:val="0"/>
              <w:suppressLineNumbers w:val="0"/>
              <w:wordWrap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kern w:val="2"/>
                <w:sz w:val="21"/>
                <w:szCs w:val="21"/>
                <w:highlight w:val="none"/>
                <w:lang w:val="en-US" w:eastAsia="zh-CN" w:bidi="ar-SA"/>
              </w:rPr>
              <w:t>项目南面 欧昊科技韶关有限公司</w:t>
            </w:r>
          </w:p>
        </w:tc>
      </w:tr>
      <w:tr w14:paraId="5466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4276" w:type="dxa"/>
            <w:vAlign w:val="center"/>
          </w:tcPr>
          <w:p w14:paraId="108FC406">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626995" cy="1179830"/>
                  <wp:effectExtent l="0" t="0" r="1905" b="1270"/>
                  <wp:docPr id="70" name="图片 70" descr="（四至）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四至）南"/>
                          <pic:cNvPicPr>
                            <a:picLocks noChangeAspect="1"/>
                          </pic:cNvPicPr>
                        </pic:nvPicPr>
                        <pic:blipFill>
                          <a:blip r:embed="rId45"/>
                          <a:stretch>
                            <a:fillRect/>
                          </a:stretch>
                        </pic:blipFill>
                        <pic:spPr>
                          <a:xfrm flipH="1">
                            <a:off x="0" y="0"/>
                            <a:ext cx="2626995" cy="1179830"/>
                          </a:xfrm>
                          <a:prstGeom prst="rect">
                            <a:avLst/>
                          </a:prstGeom>
                        </pic:spPr>
                      </pic:pic>
                    </a:graphicData>
                  </a:graphic>
                </wp:inline>
              </w:drawing>
            </w:r>
          </w:p>
        </w:tc>
        <w:tc>
          <w:tcPr>
            <w:tcW w:w="4348" w:type="dxa"/>
            <w:vAlign w:val="center"/>
          </w:tcPr>
          <w:p w14:paraId="6C02080E">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inline distT="0" distB="0" distL="114300" distR="114300">
                  <wp:extent cx="2614930" cy="1469390"/>
                  <wp:effectExtent l="0" t="0" r="1270" b="3810"/>
                  <wp:docPr id="262" name="图片 26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北"/>
                          <pic:cNvPicPr>
                            <a:picLocks noChangeAspect="1"/>
                          </pic:cNvPicPr>
                        </pic:nvPicPr>
                        <pic:blipFill>
                          <a:blip r:embed="rId46"/>
                          <a:stretch>
                            <a:fillRect/>
                          </a:stretch>
                        </pic:blipFill>
                        <pic:spPr>
                          <a:xfrm>
                            <a:off x="0" y="0"/>
                            <a:ext cx="2614930" cy="1469390"/>
                          </a:xfrm>
                          <a:prstGeom prst="rect">
                            <a:avLst/>
                          </a:prstGeom>
                        </pic:spPr>
                      </pic:pic>
                    </a:graphicData>
                  </a:graphic>
                </wp:inline>
              </w:drawing>
            </w:r>
          </w:p>
        </w:tc>
      </w:tr>
      <w:tr w14:paraId="495F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276" w:type="dxa"/>
            <w:vAlign w:val="center"/>
          </w:tcPr>
          <w:p w14:paraId="1C47C9F3">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项目</w:t>
            </w:r>
            <w:r>
              <w:rPr>
                <w:rFonts w:hint="default" w:ascii="Times New Roman" w:hAnsi="Times New Roman" w:cs="Times New Roman"/>
                <w:b/>
                <w:bCs/>
                <w:color w:val="auto"/>
                <w:sz w:val="21"/>
                <w:szCs w:val="21"/>
                <w:highlight w:val="none"/>
                <w:lang w:val="en-US" w:eastAsia="zh-CN"/>
              </w:rPr>
              <w:t>西面 园区道路</w:t>
            </w:r>
          </w:p>
        </w:tc>
        <w:tc>
          <w:tcPr>
            <w:tcW w:w="4348" w:type="dxa"/>
            <w:vAlign w:val="center"/>
          </w:tcPr>
          <w:p w14:paraId="538A9277">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项目</w:t>
            </w:r>
            <w:r>
              <w:rPr>
                <w:rFonts w:hint="default" w:ascii="Times New Roman" w:hAnsi="Times New Roman" w:cs="Times New Roman"/>
                <w:b/>
                <w:bCs/>
                <w:color w:val="auto"/>
                <w:sz w:val="21"/>
                <w:szCs w:val="21"/>
                <w:highlight w:val="none"/>
                <w:lang w:val="en-US" w:eastAsia="zh-CN"/>
              </w:rPr>
              <w:t>北</w:t>
            </w:r>
            <w:r>
              <w:rPr>
                <w:rFonts w:hint="default" w:ascii="Times New Roman" w:hAnsi="Times New Roman" w:cs="Times New Roman"/>
                <w:b/>
                <w:bCs/>
                <w:color w:val="auto"/>
                <w:sz w:val="21"/>
                <w:szCs w:val="21"/>
                <w:highlight w:val="none"/>
              </w:rPr>
              <w:t xml:space="preserve">面 </w:t>
            </w:r>
            <w:r>
              <w:rPr>
                <w:rFonts w:hint="default" w:ascii="Times New Roman" w:hAnsi="Times New Roman" w:cs="Times New Roman"/>
                <w:b/>
                <w:bCs/>
                <w:color w:val="auto"/>
                <w:sz w:val="21"/>
                <w:szCs w:val="21"/>
                <w:highlight w:val="none"/>
                <w:lang w:val="en-US" w:eastAsia="zh-CN"/>
              </w:rPr>
              <w:t>众城实业</w:t>
            </w:r>
          </w:p>
        </w:tc>
      </w:tr>
      <w:tr w14:paraId="0958C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0" w:type="auto"/>
            <w:gridSpan w:val="2"/>
            <w:vAlign w:val="center"/>
          </w:tcPr>
          <w:p w14:paraId="4E5A56E7">
            <w:pPr>
              <w:pStyle w:val="43"/>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bookmarkStart w:id="176" w:name="_Toc20038"/>
            <w:bookmarkStart w:id="177" w:name="_Toc28856"/>
            <w:r>
              <w:rPr>
                <w:rFonts w:hint="default" w:ascii="Times New Roman" w:hAnsi="Times New Roman" w:cs="Times New Roman"/>
                <w:b/>
                <w:bCs/>
                <w:color w:val="auto"/>
                <w:sz w:val="21"/>
                <w:szCs w:val="21"/>
                <w:highlight w:val="none"/>
                <w:lang w:val="en-US" w:eastAsia="zh-CN"/>
              </w:rPr>
              <w:t>项目现状照片</w:t>
            </w:r>
          </w:p>
        </w:tc>
      </w:tr>
    </w:tbl>
    <w:p w14:paraId="31C08156">
      <w:pPr>
        <w:keepNext w:val="0"/>
        <w:keepLines w:val="0"/>
        <w:pageBreakBefore w:val="0"/>
        <w:widowControl w:val="0"/>
        <w:kinsoku w:val="0"/>
        <w:wordWrap w:val="0"/>
        <w:overflowPunct w:val="0"/>
        <w:topLinePunct w:val="0"/>
        <w:autoSpaceDE/>
        <w:autoSpaceDN/>
        <w:bidi w:val="0"/>
        <w:adjustRightInd w:val="0"/>
        <w:snapToGrid w:val="0"/>
        <w:spacing w:before="157" w:beforeLines="50"/>
        <w:ind w:firstLine="482" w:firstLineChars="200"/>
        <w:jc w:val="center"/>
        <w:textAlignment w:val="auto"/>
        <w:outlineLvl w:val="0"/>
        <w:rPr>
          <w:rFonts w:hint="default" w:ascii="Times New Roman" w:hAnsi="Times New Roman" w:cs="Times New Roman"/>
          <w:b/>
          <w:bCs/>
          <w:color w:val="auto"/>
          <w:szCs w:val="22"/>
          <w:highlight w:val="none"/>
        </w:rPr>
      </w:pPr>
      <w:bookmarkStart w:id="178" w:name="_Toc27491"/>
      <w:r>
        <w:rPr>
          <w:rFonts w:hint="default" w:ascii="Times New Roman" w:hAnsi="Times New Roman" w:cs="Times New Roman"/>
          <w:b/>
          <w:bCs/>
          <w:color w:val="auto"/>
          <w:szCs w:val="22"/>
          <w:highlight w:val="none"/>
        </w:rPr>
        <w:t>附图1</w:t>
      </w:r>
      <w:r>
        <w:rPr>
          <w:rFonts w:hint="default" w:ascii="Times New Roman" w:hAnsi="Times New Roman" w:cs="Times New Roman"/>
          <w:b/>
          <w:bCs/>
          <w:color w:val="auto"/>
          <w:szCs w:val="22"/>
          <w:highlight w:val="none"/>
          <w:lang w:val="en-US" w:eastAsia="zh-CN"/>
        </w:rPr>
        <w:t>4</w:t>
      </w:r>
      <w:r>
        <w:rPr>
          <w:rFonts w:hint="default" w:ascii="Times New Roman" w:hAnsi="Times New Roman" w:cs="Times New Roman"/>
          <w:b/>
          <w:bCs/>
          <w:color w:val="auto"/>
          <w:szCs w:val="22"/>
          <w:highlight w:val="none"/>
        </w:rPr>
        <w:t xml:space="preserve"> 项目</w:t>
      </w:r>
      <w:r>
        <w:rPr>
          <w:rFonts w:hint="default" w:ascii="Times New Roman" w:hAnsi="Times New Roman" w:cs="Times New Roman"/>
          <w:b/>
          <w:bCs/>
          <w:color w:val="auto"/>
          <w:szCs w:val="22"/>
          <w:highlight w:val="none"/>
          <w:lang w:val="en-US" w:eastAsia="zh-CN"/>
        </w:rPr>
        <w:t>和项目</w:t>
      </w:r>
      <w:r>
        <w:rPr>
          <w:rFonts w:hint="default" w:ascii="Times New Roman" w:hAnsi="Times New Roman" w:cs="Times New Roman"/>
          <w:b/>
          <w:bCs/>
          <w:color w:val="auto"/>
          <w:szCs w:val="22"/>
          <w:highlight w:val="none"/>
        </w:rPr>
        <w:t>周边现状图</w:t>
      </w:r>
      <w:bookmarkEnd w:id="176"/>
      <w:bookmarkEnd w:id="177"/>
      <w:bookmarkEnd w:id="178"/>
    </w:p>
    <w:p w14:paraId="0231ABEB">
      <w:pPr>
        <w:pStyle w:val="45"/>
        <w:pageBreakBefore w:val="0"/>
        <w:wordWrap w:val="0"/>
        <w:bidi w:val="0"/>
        <w:ind w:right="-120"/>
        <w:rPr>
          <w:rFonts w:hint="default" w:ascii="Times New Roman" w:hAnsi="Times New Roman" w:cs="Times New Roman"/>
          <w:color w:val="auto"/>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B32BB3E">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2917825</wp:posOffset>
                </wp:positionH>
                <wp:positionV relativeFrom="paragraph">
                  <wp:posOffset>3619500</wp:posOffset>
                </wp:positionV>
                <wp:extent cx="1111250" cy="529590"/>
                <wp:effectExtent l="6350" t="355600" r="558800" b="10160"/>
                <wp:wrapNone/>
                <wp:docPr id="17" name="圆角矩形标注 17"/>
                <wp:cNvGraphicFramePr/>
                <a:graphic xmlns:a="http://schemas.openxmlformats.org/drawingml/2006/main">
                  <a:graphicData uri="http://schemas.microsoft.com/office/word/2010/wordprocessingShape">
                    <wps:wsp>
                      <wps:cNvSpPr/>
                      <wps:spPr>
                        <a:xfrm>
                          <a:off x="0" y="0"/>
                          <a:ext cx="1111250" cy="529590"/>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6164C38">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29.75pt;margin-top:285pt;height:41.7pt;width:87.5pt;z-index:251719680;v-text-anchor:middle;mso-width-relative:page;mso-height-relative:page;" fillcolor="#FFFFFF [3212]" filled="t" stroked="t" coordsize="21600,21600" o:gfxdata="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LOTtF9oA&#10;AAALAQAADwAAAAAAAAABACAAAAAiAAAAZHJzL2Rvd25yZXYueG1sUEsBAhQAFAAAAAgAh07iQLS3&#10;+vHIAgAAlQUAAA4AAAAAAAAAAQAgAAAAKQEAAGRycy9lMm9Eb2MueG1sUEsFBgAAAAAGAAYAWQEA&#10;AGMGAAAAAA==&#10;" adj="31376,-13597,14400">
                <v:fill on="t" focussize="0,0"/>
                <v:stroke weight="1pt" color="#000000 [3213]" miterlimit="8" joinstyle="miter"/>
                <v:imagedata o:title=""/>
                <o:lock v:ext="edit" aspectratio="f"/>
                <v:textbox>
                  <w:txbxContent>
                    <w:p w14:paraId="36164C38">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8778240" cy="4422140"/>
            <wp:effectExtent l="0" t="0" r="10160" b="10160"/>
            <wp:docPr id="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pic:cNvPicPr>
                      <a:picLocks noChangeAspect="1"/>
                    </pic:cNvPicPr>
                  </pic:nvPicPr>
                  <pic:blipFill>
                    <a:blip r:embed="rId47"/>
                    <a:stretch>
                      <a:fillRect/>
                    </a:stretch>
                  </pic:blipFill>
                  <pic:spPr>
                    <a:xfrm>
                      <a:off x="0" y="0"/>
                      <a:ext cx="8778240" cy="4422140"/>
                    </a:xfrm>
                    <a:prstGeom prst="rect">
                      <a:avLst/>
                    </a:prstGeom>
                    <a:noFill/>
                    <a:ln>
                      <a:noFill/>
                    </a:ln>
                  </pic:spPr>
                </pic:pic>
              </a:graphicData>
            </a:graphic>
          </wp:inline>
        </w:drawing>
      </w:r>
    </w:p>
    <w:p w14:paraId="19C10B56">
      <w:pPr>
        <w:pStyle w:val="43"/>
        <w:pageBreakBefore w:val="0"/>
        <w:wordWrap w:val="0"/>
        <w:bidi w:val="0"/>
        <w:jc w:val="center"/>
        <w:outlineLvl w:val="0"/>
        <w:rPr>
          <w:rFonts w:hint="default" w:ascii="Times New Roman" w:hAnsi="Times New Roman" w:cs="Times New Roman"/>
          <w:b/>
          <w:bCs/>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79" w:name="_Toc25232"/>
      <w:bookmarkStart w:id="180" w:name="_Toc24585"/>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15-1</w:t>
      </w:r>
      <w:r>
        <w:rPr>
          <w:rFonts w:hint="default" w:ascii="Times New Roman" w:hAnsi="Times New Roman" w:cs="Times New Roman"/>
          <w:b/>
          <w:bCs/>
          <w:color w:val="auto"/>
          <w:highlight w:val="none"/>
        </w:rPr>
        <w:t xml:space="preserve"> 广东省“三线一单”</w:t>
      </w:r>
      <w:r>
        <w:rPr>
          <w:rFonts w:hint="default" w:ascii="Times New Roman" w:hAnsi="Times New Roman" w:cs="Times New Roman"/>
          <w:b/>
          <w:bCs/>
          <w:color w:val="auto"/>
          <w:highlight w:val="none"/>
          <w:lang w:val="en-US" w:eastAsia="zh-CN"/>
        </w:rPr>
        <w:t>平台</w:t>
      </w:r>
      <w:r>
        <w:rPr>
          <w:rFonts w:hint="default" w:ascii="Times New Roman" w:hAnsi="Times New Roman" w:cs="Times New Roman"/>
          <w:b/>
          <w:bCs/>
          <w:color w:val="auto"/>
          <w:highlight w:val="none"/>
        </w:rPr>
        <w:t>截图</w:t>
      </w:r>
      <w:bookmarkEnd w:id="179"/>
      <w:r>
        <w:rPr>
          <w:rFonts w:hint="default" w:ascii="Times New Roman" w:hAnsi="Times New Roman" w:cs="Times New Roman"/>
          <w:b/>
          <w:bCs/>
          <w:color w:val="auto"/>
          <w:highlight w:val="none"/>
          <w:lang w:val="en-US" w:eastAsia="zh-CN"/>
        </w:rPr>
        <w:t>-乐昌经济开发区重点管控单元</w:t>
      </w:r>
      <w:bookmarkEnd w:id="180"/>
    </w:p>
    <w:p w14:paraId="67CF9AF0">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52448" behindDoc="0" locked="0" layoutInCell="1" allowOverlap="1">
                <wp:simplePos x="0" y="0"/>
                <wp:positionH relativeFrom="column">
                  <wp:posOffset>2774950</wp:posOffset>
                </wp:positionH>
                <wp:positionV relativeFrom="paragraph">
                  <wp:posOffset>2970530</wp:posOffset>
                </wp:positionV>
                <wp:extent cx="1111250" cy="529590"/>
                <wp:effectExtent l="6350" t="355600" r="558800" b="10160"/>
                <wp:wrapNone/>
                <wp:docPr id="105" name="圆角矩形标注 105"/>
                <wp:cNvGraphicFramePr/>
                <a:graphic xmlns:a="http://schemas.openxmlformats.org/drawingml/2006/main">
                  <a:graphicData uri="http://schemas.microsoft.com/office/word/2010/wordprocessingShape">
                    <wps:wsp>
                      <wps:cNvSpPr/>
                      <wps:spPr>
                        <a:xfrm>
                          <a:off x="0" y="0"/>
                          <a:ext cx="1111250" cy="529590"/>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6490E0D">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8.5pt;margin-top:233.9pt;height:41.7pt;width:87.5pt;z-index:251752448;v-text-anchor:middle;mso-width-relative:page;mso-height-relative:page;" fillcolor="#FFFFFF [3212]" filled="t" stroked="t" coordsize="21600,21600" o:gfxdata="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EwRATvaAAAA&#10;CwEAAA8AAAAAAAAAAQAgAAAAIgAAAGRycy9kb3ducmV2LnhtbFBLAQIUABQAAAAIAIdO4kBPnAtM&#10;xgIAAJcFAAAOAAAAAAAAAAEAIAAAACkBAABkcnMvZTJvRG9jLnhtbFBLBQYAAAAABgAGAFkBAABh&#10;BgAAAAA=&#10;" adj="31376,-13597,14400">
                <v:fill on="t" focussize="0,0"/>
                <v:stroke weight="1pt" color="#000000 [3213]" miterlimit="8" joinstyle="miter"/>
                <v:imagedata o:title=""/>
                <o:lock v:ext="edit" aspectratio="f"/>
                <v:textbox>
                  <w:txbxContent>
                    <w:p w14:paraId="46490E0D">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8778240" cy="4422140"/>
            <wp:effectExtent l="0" t="0" r="10160" b="1016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48"/>
                    <a:stretch>
                      <a:fillRect/>
                    </a:stretch>
                  </pic:blipFill>
                  <pic:spPr>
                    <a:xfrm>
                      <a:off x="0" y="0"/>
                      <a:ext cx="8778240" cy="4422140"/>
                    </a:xfrm>
                    <a:prstGeom prst="rect">
                      <a:avLst/>
                    </a:prstGeom>
                    <a:noFill/>
                    <a:ln>
                      <a:noFill/>
                    </a:ln>
                  </pic:spPr>
                </pic:pic>
              </a:graphicData>
            </a:graphic>
          </wp:inline>
        </w:drawing>
      </w:r>
    </w:p>
    <w:p w14:paraId="6877B545">
      <w:pPr>
        <w:pStyle w:val="43"/>
        <w:pageBreakBefore w:val="0"/>
        <w:wordWrap w:val="0"/>
        <w:bidi w:val="0"/>
        <w:jc w:val="center"/>
        <w:outlineLvl w:val="0"/>
        <w:rPr>
          <w:rFonts w:hint="default" w:ascii="Times New Roman" w:hAnsi="Times New Roman" w:cs="Times New Roman"/>
          <w:b/>
          <w:bCs/>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81" w:name="_Toc6191"/>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15-2</w:t>
      </w:r>
      <w:r>
        <w:rPr>
          <w:rFonts w:hint="default" w:ascii="Times New Roman" w:hAnsi="Times New Roman" w:cs="Times New Roman"/>
          <w:b/>
          <w:bCs/>
          <w:color w:val="auto"/>
          <w:highlight w:val="none"/>
        </w:rPr>
        <w:t xml:space="preserve"> 广东省“三线一单”</w:t>
      </w:r>
      <w:r>
        <w:rPr>
          <w:rFonts w:hint="default" w:ascii="Times New Roman" w:hAnsi="Times New Roman" w:cs="Times New Roman"/>
          <w:b/>
          <w:bCs/>
          <w:color w:val="auto"/>
          <w:highlight w:val="none"/>
          <w:lang w:val="en-US" w:eastAsia="zh-CN"/>
        </w:rPr>
        <w:t>平台</w:t>
      </w:r>
      <w:r>
        <w:rPr>
          <w:rFonts w:hint="default" w:ascii="Times New Roman" w:hAnsi="Times New Roman" w:cs="Times New Roman"/>
          <w:b/>
          <w:bCs/>
          <w:color w:val="auto"/>
          <w:highlight w:val="none"/>
        </w:rPr>
        <w:t>截图</w:t>
      </w:r>
      <w:r>
        <w:rPr>
          <w:rFonts w:hint="default" w:ascii="Times New Roman" w:hAnsi="Times New Roman" w:cs="Times New Roman"/>
          <w:b/>
          <w:bCs/>
          <w:color w:val="auto"/>
          <w:highlight w:val="none"/>
          <w:lang w:val="en-US" w:eastAsia="zh-CN"/>
        </w:rPr>
        <w:t>-乐昌市生态空间一般管控区</w:t>
      </w:r>
      <w:bookmarkEnd w:id="181"/>
    </w:p>
    <w:p w14:paraId="1B1E73A9">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53472" behindDoc="0" locked="0" layoutInCell="1" allowOverlap="1">
                <wp:simplePos x="0" y="0"/>
                <wp:positionH relativeFrom="column">
                  <wp:posOffset>2926715</wp:posOffset>
                </wp:positionH>
                <wp:positionV relativeFrom="paragraph">
                  <wp:posOffset>2616835</wp:posOffset>
                </wp:positionV>
                <wp:extent cx="1111250" cy="529590"/>
                <wp:effectExtent l="6350" t="355600" r="558800" b="10160"/>
                <wp:wrapNone/>
                <wp:docPr id="108" name="圆角矩形标注 108"/>
                <wp:cNvGraphicFramePr/>
                <a:graphic xmlns:a="http://schemas.openxmlformats.org/drawingml/2006/main">
                  <a:graphicData uri="http://schemas.microsoft.com/office/word/2010/wordprocessingShape">
                    <wps:wsp>
                      <wps:cNvSpPr/>
                      <wps:spPr>
                        <a:xfrm>
                          <a:off x="0" y="0"/>
                          <a:ext cx="1111250" cy="529590"/>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C9D7A95">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0.45pt;margin-top:206.05pt;height:41.7pt;width:87.5pt;z-index:251753472;v-text-anchor:middle;mso-width-relative:page;mso-height-relative:page;" fillcolor="#FFFFFF [3212]" filled="t" stroked="t" coordsize="21600,21600" o:gfxdata="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gm7jGNkAAAAL&#10;AQAADwAAAAAAAAABACAAAAAiAAAAZHJzL2Rvd25yZXYueG1sUEsBAhQAFAAAAAgAh07iQOQ6omjG&#10;AgAAlwUAAA4AAAAAAAAAAQAgAAAAKAEAAGRycy9lMm9Eb2MueG1sUEsFBgAAAAAGAAYAWQEAAGAG&#10;AAAAAA==&#10;" adj="31376,-13597,14400">
                <v:fill on="t" focussize="0,0"/>
                <v:stroke weight="1pt" color="#000000 [3213]" miterlimit="8" joinstyle="miter"/>
                <v:imagedata o:title=""/>
                <o:lock v:ext="edit" aspectratio="f"/>
                <v:textbox>
                  <w:txbxContent>
                    <w:p w14:paraId="3C9D7A95">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8778240" cy="4422140"/>
            <wp:effectExtent l="0" t="0" r="10160" b="10160"/>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49"/>
                    <a:stretch>
                      <a:fillRect/>
                    </a:stretch>
                  </pic:blipFill>
                  <pic:spPr>
                    <a:xfrm>
                      <a:off x="0" y="0"/>
                      <a:ext cx="8778240" cy="4422140"/>
                    </a:xfrm>
                    <a:prstGeom prst="rect">
                      <a:avLst/>
                    </a:prstGeom>
                    <a:noFill/>
                    <a:ln>
                      <a:noFill/>
                    </a:ln>
                  </pic:spPr>
                </pic:pic>
              </a:graphicData>
            </a:graphic>
          </wp:inline>
        </w:drawing>
      </w:r>
    </w:p>
    <w:p w14:paraId="43186177">
      <w:pPr>
        <w:pStyle w:val="43"/>
        <w:pageBreakBefore w:val="0"/>
        <w:wordWrap w:val="0"/>
        <w:bidi w:val="0"/>
        <w:jc w:val="center"/>
        <w:outlineLvl w:val="0"/>
        <w:rPr>
          <w:rFonts w:hint="default" w:ascii="Times New Roman" w:hAnsi="Times New Roman" w:cs="Times New Roman"/>
          <w:b/>
          <w:bCs/>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82" w:name="_Toc4430"/>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15-3</w:t>
      </w:r>
      <w:r>
        <w:rPr>
          <w:rFonts w:hint="default" w:ascii="Times New Roman" w:hAnsi="Times New Roman" w:cs="Times New Roman"/>
          <w:b/>
          <w:bCs/>
          <w:color w:val="auto"/>
          <w:highlight w:val="none"/>
        </w:rPr>
        <w:t xml:space="preserve"> 广东省“三线一单”</w:t>
      </w:r>
      <w:r>
        <w:rPr>
          <w:rFonts w:hint="default" w:ascii="Times New Roman" w:hAnsi="Times New Roman" w:cs="Times New Roman"/>
          <w:b/>
          <w:bCs/>
          <w:color w:val="auto"/>
          <w:highlight w:val="none"/>
          <w:lang w:val="en-US" w:eastAsia="zh-CN"/>
        </w:rPr>
        <w:t>平台</w:t>
      </w:r>
      <w:r>
        <w:rPr>
          <w:rFonts w:hint="default" w:ascii="Times New Roman" w:hAnsi="Times New Roman" w:cs="Times New Roman"/>
          <w:b/>
          <w:bCs/>
          <w:color w:val="auto"/>
          <w:highlight w:val="none"/>
        </w:rPr>
        <w:t>截图</w:t>
      </w:r>
      <w:r>
        <w:rPr>
          <w:rFonts w:hint="default" w:ascii="Times New Roman" w:hAnsi="Times New Roman" w:cs="Times New Roman"/>
          <w:b/>
          <w:bCs/>
          <w:color w:val="auto"/>
          <w:highlight w:val="none"/>
          <w:lang w:val="en-US" w:eastAsia="zh-CN"/>
        </w:rPr>
        <w:t>-武水韶关市长来-廊田镇控制单元</w:t>
      </w:r>
      <w:bookmarkEnd w:id="182"/>
    </w:p>
    <w:p w14:paraId="1B26279D">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54496" behindDoc="0" locked="0" layoutInCell="1" allowOverlap="1">
                <wp:simplePos x="0" y="0"/>
                <wp:positionH relativeFrom="column">
                  <wp:posOffset>2983865</wp:posOffset>
                </wp:positionH>
                <wp:positionV relativeFrom="paragraph">
                  <wp:posOffset>3311525</wp:posOffset>
                </wp:positionV>
                <wp:extent cx="1111250" cy="529590"/>
                <wp:effectExtent l="6350" t="355600" r="558800" b="10160"/>
                <wp:wrapNone/>
                <wp:docPr id="111" name="圆角矩形标注 111"/>
                <wp:cNvGraphicFramePr/>
                <a:graphic xmlns:a="http://schemas.openxmlformats.org/drawingml/2006/main">
                  <a:graphicData uri="http://schemas.microsoft.com/office/word/2010/wordprocessingShape">
                    <wps:wsp>
                      <wps:cNvSpPr/>
                      <wps:spPr>
                        <a:xfrm>
                          <a:off x="0" y="0"/>
                          <a:ext cx="1111250" cy="529590"/>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2BBDC523">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4.95pt;margin-top:260.75pt;height:41.7pt;width:87.5pt;z-index:251754496;v-text-anchor:middle;mso-width-relative:page;mso-height-relative:page;" fillcolor="#FFFFFF [3212]" filled="t" stroked="t" coordsize="21600,21600" o:gfxdata="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HzyJxTaAAAA&#10;CwEAAA8AAAAAAAAAAQAgAAAAIgAAAGRycy9kb3ducmV2LnhtbFBLAQIUABQAAAAIAIdO4kCz5BGk&#10;xgIAAJcFAAAOAAAAAAAAAAEAIAAAACkBAABkcnMvZTJvRG9jLnhtbFBLBQYAAAAABgAGAFkBAABh&#10;BgAAAAA=&#10;" adj="31376,-13597,14400">
                <v:fill on="t" focussize="0,0"/>
                <v:stroke weight="1pt" color="#000000 [3213]" miterlimit="8" joinstyle="miter"/>
                <v:imagedata o:title=""/>
                <o:lock v:ext="edit" aspectratio="f"/>
                <v:textbox>
                  <w:txbxContent>
                    <w:p w14:paraId="2BBDC523">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8778240" cy="4422140"/>
            <wp:effectExtent l="0" t="0" r="10160" b="10160"/>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50"/>
                    <a:stretch>
                      <a:fillRect/>
                    </a:stretch>
                  </pic:blipFill>
                  <pic:spPr>
                    <a:xfrm>
                      <a:off x="0" y="0"/>
                      <a:ext cx="8778240" cy="4422140"/>
                    </a:xfrm>
                    <a:prstGeom prst="rect">
                      <a:avLst/>
                    </a:prstGeom>
                    <a:noFill/>
                    <a:ln>
                      <a:noFill/>
                    </a:ln>
                  </pic:spPr>
                </pic:pic>
              </a:graphicData>
            </a:graphic>
          </wp:inline>
        </w:drawing>
      </w:r>
    </w:p>
    <w:p w14:paraId="5B7E65E3">
      <w:pPr>
        <w:pStyle w:val="43"/>
        <w:pageBreakBefore w:val="0"/>
        <w:wordWrap w:val="0"/>
        <w:bidi w:val="0"/>
        <w:jc w:val="center"/>
        <w:outlineLvl w:val="0"/>
        <w:rPr>
          <w:rFonts w:hint="default" w:ascii="Times New Roman" w:hAnsi="Times New Roman" w:cs="Times New Roman"/>
          <w:b/>
          <w:bCs/>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83" w:name="_Toc23727"/>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15-4</w:t>
      </w:r>
      <w:r>
        <w:rPr>
          <w:rFonts w:hint="default" w:ascii="Times New Roman" w:hAnsi="Times New Roman" w:cs="Times New Roman"/>
          <w:b/>
          <w:bCs/>
          <w:color w:val="auto"/>
          <w:highlight w:val="none"/>
        </w:rPr>
        <w:t xml:space="preserve"> 广东省“三线一单”</w:t>
      </w:r>
      <w:r>
        <w:rPr>
          <w:rFonts w:hint="default" w:ascii="Times New Roman" w:hAnsi="Times New Roman" w:cs="Times New Roman"/>
          <w:b/>
          <w:bCs/>
          <w:color w:val="auto"/>
          <w:highlight w:val="none"/>
          <w:lang w:val="en-US" w:eastAsia="zh-CN"/>
        </w:rPr>
        <w:t>平台</w:t>
      </w:r>
      <w:r>
        <w:rPr>
          <w:rFonts w:hint="default" w:ascii="Times New Roman" w:hAnsi="Times New Roman" w:cs="Times New Roman"/>
          <w:b/>
          <w:bCs/>
          <w:color w:val="auto"/>
          <w:highlight w:val="none"/>
        </w:rPr>
        <w:t>截图</w:t>
      </w:r>
      <w:r>
        <w:rPr>
          <w:rFonts w:hint="default" w:ascii="Times New Roman" w:hAnsi="Times New Roman" w:cs="Times New Roman"/>
          <w:b/>
          <w:bCs/>
          <w:color w:val="auto"/>
          <w:highlight w:val="none"/>
          <w:lang w:val="en-US" w:eastAsia="zh-CN"/>
        </w:rPr>
        <w:t>-大气环境高排放重点管控区</w:t>
      </w:r>
      <w:bookmarkEnd w:id="183"/>
    </w:p>
    <w:p w14:paraId="5A0E3E5B">
      <w:pPr>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55520" behindDoc="0" locked="0" layoutInCell="1" allowOverlap="1">
                <wp:simplePos x="0" y="0"/>
                <wp:positionH relativeFrom="column">
                  <wp:posOffset>2983865</wp:posOffset>
                </wp:positionH>
                <wp:positionV relativeFrom="paragraph">
                  <wp:posOffset>3311525</wp:posOffset>
                </wp:positionV>
                <wp:extent cx="1111250" cy="529590"/>
                <wp:effectExtent l="6350" t="355600" r="558800" b="10160"/>
                <wp:wrapNone/>
                <wp:docPr id="114" name="圆角矩形标注 114"/>
                <wp:cNvGraphicFramePr/>
                <a:graphic xmlns:a="http://schemas.openxmlformats.org/drawingml/2006/main">
                  <a:graphicData uri="http://schemas.microsoft.com/office/word/2010/wordprocessingShape">
                    <wps:wsp>
                      <wps:cNvSpPr/>
                      <wps:spPr>
                        <a:xfrm>
                          <a:off x="0" y="0"/>
                          <a:ext cx="1111250" cy="529590"/>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830545D">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4.95pt;margin-top:260.75pt;height:41.7pt;width:87.5pt;z-index:251755520;v-text-anchor:middle;mso-width-relative:page;mso-height-relative:page;" fillcolor="#FFFFFF [3212]" filled="t" stroked="t" coordsize="21600,21600" o:gfxdata="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HzyJxTaAAAA&#10;CwEAAA8AAAAAAAAAAQAgAAAAIgAAAGRycy9kb3ducmV2LnhtbFBLAQIUABQAAAAIAIdO4kAUftAS&#10;xgIAAJcFAAAOAAAAAAAAAAEAIAAAACkBAABkcnMvZTJvRG9jLnhtbFBLBQYAAAAABgAGAFkBAABh&#10;BgAAAAA=&#10;" adj="31376,-13597,14400">
                <v:fill on="t" focussize="0,0"/>
                <v:stroke weight="1pt" color="#000000 [3213]" miterlimit="8" joinstyle="miter"/>
                <v:imagedata o:title=""/>
                <o:lock v:ext="edit" aspectratio="f"/>
                <v:textbox>
                  <w:txbxContent>
                    <w:p w14:paraId="6830545D">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8778240" cy="4422140"/>
            <wp:effectExtent l="0" t="0" r="10160" b="10160"/>
            <wp:docPr id="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
                    <pic:cNvPicPr>
                      <a:picLocks noChangeAspect="1"/>
                    </pic:cNvPicPr>
                  </pic:nvPicPr>
                  <pic:blipFill>
                    <a:blip r:embed="rId51"/>
                    <a:stretch>
                      <a:fillRect/>
                    </a:stretch>
                  </pic:blipFill>
                  <pic:spPr>
                    <a:xfrm>
                      <a:off x="0" y="0"/>
                      <a:ext cx="8778240" cy="4422140"/>
                    </a:xfrm>
                    <a:prstGeom prst="rect">
                      <a:avLst/>
                    </a:prstGeom>
                    <a:noFill/>
                    <a:ln>
                      <a:noFill/>
                    </a:ln>
                  </pic:spPr>
                </pic:pic>
              </a:graphicData>
            </a:graphic>
          </wp:inline>
        </w:drawing>
      </w:r>
    </w:p>
    <w:p w14:paraId="13A03CFC">
      <w:pPr>
        <w:pStyle w:val="43"/>
        <w:pageBreakBefore w:val="0"/>
        <w:wordWrap w:val="0"/>
        <w:bidi w:val="0"/>
        <w:jc w:val="center"/>
        <w:outlineLvl w:val="0"/>
        <w:rPr>
          <w:rFonts w:hint="default" w:ascii="Times New Roman" w:hAnsi="Times New Roman" w:cs="Times New Roman"/>
          <w:b/>
          <w:bCs/>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84" w:name="_Toc17404"/>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15-5</w:t>
      </w:r>
      <w:r>
        <w:rPr>
          <w:rFonts w:hint="default" w:ascii="Times New Roman" w:hAnsi="Times New Roman" w:cs="Times New Roman"/>
          <w:b/>
          <w:bCs/>
          <w:color w:val="auto"/>
          <w:highlight w:val="none"/>
        </w:rPr>
        <w:t xml:space="preserve"> 广东省“三线一单”</w:t>
      </w:r>
      <w:r>
        <w:rPr>
          <w:rFonts w:hint="default" w:ascii="Times New Roman" w:hAnsi="Times New Roman" w:cs="Times New Roman"/>
          <w:b/>
          <w:bCs/>
          <w:color w:val="auto"/>
          <w:highlight w:val="none"/>
          <w:lang w:val="en-US" w:eastAsia="zh-CN"/>
        </w:rPr>
        <w:t>平台</w:t>
      </w:r>
      <w:r>
        <w:rPr>
          <w:rFonts w:hint="default" w:ascii="Times New Roman" w:hAnsi="Times New Roman" w:cs="Times New Roman"/>
          <w:b/>
          <w:bCs/>
          <w:color w:val="auto"/>
          <w:highlight w:val="none"/>
        </w:rPr>
        <w:t>截图</w:t>
      </w:r>
      <w:r>
        <w:rPr>
          <w:rFonts w:hint="default" w:ascii="Times New Roman" w:hAnsi="Times New Roman" w:cs="Times New Roman"/>
          <w:b/>
          <w:bCs/>
          <w:color w:val="auto"/>
          <w:highlight w:val="none"/>
          <w:lang w:val="en-US" w:eastAsia="zh-CN"/>
        </w:rPr>
        <w:t>-乐昌市高污染燃料禁燃区</w:t>
      </w:r>
      <w:bookmarkEnd w:id="184"/>
    </w:p>
    <w:p w14:paraId="5A5F6EC1">
      <w:pPr>
        <w:pStyle w:val="54"/>
        <w:pageBreakBefore w:val="0"/>
        <w:wordWrap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300" distR="114300" simplePos="0" relativeHeight="251768832" behindDoc="0" locked="0" layoutInCell="1" allowOverlap="1">
            <wp:simplePos x="0" y="0"/>
            <wp:positionH relativeFrom="column">
              <wp:posOffset>682625</wp:posOffset>
            </wp:positionH>
            <wp:positionV relativeFrom="paragraph">
              <wp:posOffset>4857115</wp:posOffset>
            </wp:positionV>
            <wp:extent cx="713105" cy="373380"/>
            <wp:effectExtent l="0" t="0" r="10795" b="7620"/>
            <wp:wrapNone/>
            <wp:docPr id="1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
                    <pic:cNvPicPr>
                      <a:picLocks noChangeAspect="1"/>
                    </pic:cNvPicPr>
                  </pic:nvPicPr>
                  <pic:blipFill>
                    <a:blip r:embed="rId52"/>
                    <a:stretch>
                      <a:fillRect/>
                    </a:stretch>
                  </pic:blipFill>
                  <pic:spPr>
                    <a:xfrm>
                      <a:off x="0" y="0"/>
                      <a:ext cx="713105" cy="373380"/>
                    </a:xfrm>
                    <a:prstGeom prst="rect">
                      <a:avLst/>
                    </a:prstGeom>
                    <a:noFill/>
                    <a:ln>
                      <a:noFill/>
                    </a:ln>
                  </pic:spPr>
                </pic:pic>
              </a:graphicData>
            </a:graphic>
          </wp:anchor>
        </w:drawing>
      </w:r>
      <w:r>
        <w:rPr>
          <w:rFonts w:hint="default" w:ascii="Times New Roman" w:hAnsi="Times New Roman" w:cs="Times New Roman"/>
          <w:color w:val="auto"/>
          <w:sz w:val="32"/>
          <w:highlight w:val="none"/>
        </w:rPr>
        <mc:AlternateContent>
          <mc:Choice Requires="wps">
            <w:drawing>
              <wp:anchor distT="0" distB="0" distL="114300" distR="114300" simplePos="0" relativeHeight="251723776" behindDoc="0" locked="0" layoutInCell="1" allowOverlap="1">
                <wp:simplePos x="0" y="0"/>
                <wp:positionH relativeFrom="column">
                  <wp:posOffset>4080510</wp:posOffset>
                </wp:positionH>
                <wp:positionV relativeFrom="paragraph">
                  <wp:posOffset>1727835</wp:posOffset>
                </wp:positionV>
                <wp:extent cx="914400" cy="406400"/>
                <wp:effectExtent l="0" t="0" r="0" b="0"/>
                <wp:wrapNone/>
                <wp:docPr id="37" name="文本框 37"/>
                <wp:cNvGraphicFramePr/>
                <a:graphic xmlns:a="http://schemas.openxmlformats.org/drawingml/2006/main">
                  <a:graphicData uri="http://schemas.microsoft.com/office/word/2010/wordprocessingShape">
                    <wps:wsp>
                      <wps:cNvSpPr txBox="1"/>
                      <wps:spPr>
                        <a:xfrm>
                          <a:off x="4773295" y="2776220"/>
                          <a:ext cx="914400" cy="406400"/>
                        </a:xfrm>
                        <a:prstGeom prst="rect">
                          <a:avLst/>
                        </a:prstGeom>
                        <a:noFill/>
                        <a:ln w="6350">
                          <a:solidFill>
                            <a:schemeClr val="bg1">
                              <a:alpha val="0"/>
                            </a:schemeClr>
                          </a:solidFill>
                        </a:ln>
                      </wps:spPr>
                      <wps:style>
                        <a:lnRef idx="0">
                          <a:schemeClr val="accent1"/>
                        </a:lnRef>
                        <a:fillRef idx="0">
                          <a:schemeClr val="accent1"/>
                        </a:fillRef>
                        <a:effectRef idx="0">
                          <a:schemeClr val="accent1"/>
                        </a:effectRef>
                        <a:fontRef idx="minor">
                          <a:schemeClr val="dk1"/>
                        </a:fontRef>
                      </wps:style>
                      <wps:txbx>
                        <w:txbxContent>
                          <w:p w14:paraId="470F3773">
                            <w:pPr>
                              <w:rPr>
                                <w:rFonts w:hint="default" w:eastAsia="宋体"/>
                                <w:highlight w:val="yellow"/>
                                <w:lang w:val="en-US" w:eastAsia="zh-CN"/>
                              </w:rPr>
                            </w:pPr>
                            <w:r>
                              <w:rPr>
                                <w:rFonts w:hint="eastAsia"/>
                                <w:highlight w:val="yellow"/>
                                <w:lang w:val="en-US" w:eastAsia="zh-CN"/>
                              </w:rPr>
                              <w:t>1680m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3pt;margin-top:136.05pt;height:32pt;width:72pt;z-index:251723776;mso-width-relative:page;mso-height-relative:page;" filled="f" stroked="t" coordsize="21600,21600" o:gfxdata="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bhxZZNoAAAALAQAADwAAAAAAAAABACAAAAAiAAAAZHJzL2Rvd25yZXYueG1sUEsB&#10;AhQAFAAAAAgAh07iQI8cQEBlAgAAuQQAAA4AAAAAAAAAAQAgAAAAKQEAAGRycy9lMm9Eb2MueG1s&#10;UEsFBgAAAAAGAAYAWQEAAAAGAAAAAA==&#10;">
                <v:fill on="f" focussize="0,0"/>
                <v:stroke weight="0.5pt" color="#FFFFFF [3212]" opacity="0f" joinstyle="round"/>
                <v:imagedata o:title=""/>
                <o:lock v:ext="edit" aspectratio="f"/>
                <v:textbox>
                  <w:txbxContent>
                    <w:p w14:paraId="470F3773">
                      <w:pPr>
                        <w:rPr>
                          <w:rFonts w:hint="default" w:eastAsia="宋体"/>
                          <w:highlight w:val="yellow"/>
                          <w:lang w:val="en-US" w:eastAsia="zh-CN"/>
                        </w:rPr>
                      </w:pPr>
                      <w:r>
                        <w:rPr>
                          <w:rFonts w:hint="eastAsia"/>
                          <w:highlight w:val="yellow"/>
                          <w:lang w:val="en-US" w:eastAsia="zh-CN"/>
                        </w:rPr>
                        <w:t>1680m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0160" behindDoc="0" locked="0" layoutInCell="1" allowOverlap="1">
                <wp:simplePos x="0" y="0"/>
                <wp:positionH relativeFrom="column">
                  <wp:posOffset>3859530</wp:posOffset>
                </wp:positionH>
                <wp:positionV relativeFrom="paragraph">
                  <wp:posOffset>4389755</wp:posOffset>
                </wp:positionV>
                <wp:extent cx="186690" cy="180975"/>
                <wp:effectExtent l="19050" t="20955" r="20955" b="24765"/>
                <wp:wrapNone/>
                <wp:docPr id="68" name="五角星 68"/>
                <wp:cNvGraphicFramePr/>
                <a:graphic xmlns:a="http://schemas.openxmlformats.org/drawingml/2006/main">
                  <a:graphicData uri="http://schemas.microsoft.com/office/word/2010/wordprocessingShape">
                    <wps:wsp>
                      <wps:cNvSpPr/>
                      <wps:spPr>
                        <a:xfrm>
                          <a:off x="0" y="0"/>
                          <a:ext cx="186690" cy="1809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3.9pt;margin-top:345.65pt;height:14.25pt;width:14.7pt;z-index:251740160;v-text-anchor:middle;mso-width-relative:page;mso-height-relative:page;" fillcolor="#FF0000" filled="t" stroked="t" coordsize="186690,180975" o:gfxdata="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&#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XRwI3AAAAAsBAAAPAAAAAAAAAAEAIAAAACIAAABk&#10;cnMvZG93bnJldi54bWxQSwECFAAUAAAACACHTuJAfgng/HQCAAD5BAAADgAAAAAAAAABACAAAAAr&#10;AQAAZHJzL2Uyb0RvYy54bWxQSwUGAAAAAAYABgBZAQAAEQYAAAAA&#10;" path="m0,69126l71309,69126,93345,0,115380,69126,186689,69126,128998,111848,151035,180974,93345,138251,35654,180974,57691,111848xe">
                <v:path o:connectlocs="93345,0;0,69126;35654,180974;151035,180974;186689,69126"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39136" behindDoc="0" locked="0" layoutInCell="1" allowOverlap="1">
                <wp:simplePos x="0" y="0"/>
                <wp:positionH relativeFrom="column">
                  <wp:posOffset>4100195</wp:posOffset>
                </wp:positionH>
                <wp:positionV relativeFrom="paragraph">
                  <wp:posOffset>669290</wp:posOffset>
                </wp:positionV>
                <wp:extent cx="163195" cy="180975"/>
                <wp:effectExtent l="17145" t="23495" r="24765" b="22225"/>
                <wp:wrapNone/>
                <wp:docPr id="67" name="五角星 67"/>
                <wp:cNvGraphicFramePr/>
                <a:graphic xmlns:a="http://schemas.openxmlformats.org/drawingml/2006/main">
                  <a:graphicData uri="http://schemas.microsoft.com/office/word/2010/wordprocessingShape">
                    <wps:wsp>
                      <wps:cNvSpPr/>
                      <wps:spPr>
                        <a:xfrm>
                          <a:off x="5090160" y="1569085"/>
                          <a:ext cx="163195" cy="1809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2.85pt;margin-top:52.7pt;height:14.25pt;width:12.85pt;z-index:251739136;v-text-anchor:middle;mso-width-relative:page;mso-height-relative:page;" fillcolor="#FF0000" filled="t" stroked="t" coordsize="163195,180975" o:gfxdata="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C4lcoXbAAAACwEAAA8AAAAAAAAA&#10;AQAgAAAAIgAAAGRycy9kb3ducmV2LnhtbFBLAQIUABQAAAAIAIdO4kDRCsQmgAIAAAUFAAAOAAAA&#10;AAAAAAEAIAAAACoBAABkcnMvZTJvRG9jLnhtbFBLBQYAAAAABgAGAFkBAAAcBgAAAAA=&#10;" path="m0,69126l62335,69126,81597,0,100859,69126,163194,69126,112764,111848,132027,180974,81597,138251,31167,180974,50430,111848xe">
                <v:path o:connectlocs="81597,0;0,69126;31167,180974;132027,180974;163194,69126"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2482215</wp:posOffset>
                </wp:positionH>
                <wp:positionV relativeFrom="paragraph">
                  <wp:posOffset>1334770</wp:posOffset>
                </wp:positionV>
                <wp:extent cx="1111250" cy="529590"/>
                <wp:effectExtent l="6350" t="483870" r="490855" b="12065"/>
                <wp:wrapNone/>
                <wp:docPr id="46" name="圆角矩形标注 46"/>
                <wp:cNvGraphicFramePr/>
                <a:graphic xmlns:a="http://schemas.openxmlformats.org/drawingml/2006/main">
                  <a:graphicData uri="http://schemas.microsoft.com/office/word/2010/wordprocessingShape">
                    <wps:wsp>
                      <wps:cNvSpPr/>
                      <wps:spPr>
                        <a:xfrm>
                          <a:off x="0" y="0"/>
                          <a:ext cx="1111250" cy="529590"/>
                        </a:xfrm>
                        <a:prstGeom prst="wedgeRoundRectCallout">
                          <a:avLst>
                            <a:gd name="adj1" fmla="val 90114"/>
                            <a:gd name="adj2" fmla="val -135971"/>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B6600C6">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5.45pt;margin-top:105.1pt;height:41.7pt;width:87.5pt;z-index:251724800;v-text-anchor:middle;mso-width-relative:page;mso-height-relative:page;" fillcolor="#FFFFFF [3212]" filled="t" stroked="t" coordsize="21600,21600" o:gfxdata="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vEvFQ2AAAAAsB&#10;AAAPAAAAAAAAAAEAIAAAACIAAABkcnMvZG93bnJldi54bWxQSwECFAAUAAAACACHTuJA251s8MYC&#10;AACVBQAADgAAAAAAAAABACAAAAAnAQAAZHJzL2Uyb0RvYy54bWxQSwUGAAAAAAYABgBZAQAAXwYA&#10;AAAA&#10;" adj="30265,-18570,14400">
                <v:fill on="t" focussize="0,0"/>
                <v:stroke weight="1pt" color="#000000 [3213]" miterlimit="8" joinstyle="miter"/>
                <v:imagedata o:title=""/>
                <o:lock v:ext="edit" aspectratio="f"/>
                <v:textbox>
                  <w:txbxContent>
                    <w:p w14:paraId="0B6600C6">
                      <w:pPr>
                        <w:jc w:val="center"/>
                        <w:rPr>
                          <w:b/>
                          <w:bCs/>
                          <w:sz w:val="28"/>
                          <w:szCs w:val="28"/>
                        </w:rPr>
                      </w:pPr>
                      <w:r>
                        <w:rPr>
                          <w:rFonts w:hint="eastAsia"/>
                          <w:b/>
                          <w:bCs/>
                          <w:sz w:val="28"/>
                          <w:szCs w:val="28"/>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4793615</wp:posOffset>
                </wp:positionH>
                <wp:positionV relativeFrom="paragraph">
                  <wp:posOffset>3033395</wp:posOffset>
                </wp:positionV>
                <wp:extent cx="1751965" cy="1021715"/>
                <wp:effectExtent l="753110" t="6350" r="10160" b="450850"/>
                <wp:wrapNone/>
                <wp:docPr id="47" name="圆角矩形标注 47"/>
                <wp:cNvGraphicFramePr/>
                <a:graphic xmlns:a="http://schemas.openxmlformats.org/drawingml/2006/main">
                  <a:graphicData uri="http://schemas.microsoft.com/office/word/2010/wordprocessingShape">
                    <wps:wsp>
                      <wps:cNvSpPr/>
                      <wps:spPr>
                        <a:xfrm>
                          <a:off x="0" y="0"/>
                          <a:ext cx="1751965" cy="1021715"/>
                        </a:xfrm>
                        <a:prstGeom prst="wedgeRoundRectCallout">
                          <a:avLst>
                            <a:gd name="adj1" fmla="val -90195"/>
                            <a:gd name="adj2" fmla="val 91578"/>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65323DB">
                            <w:pPr>
                              <w:jc w:val="center"/>
                              <w:rPr>
                                <w:rFonts w:hint="default" w:eastAsia="宋体"/>
                                <w:b/>
                                <w:bCs/>
                                <w:sz w:val="28"/>
                                <w:szCs w:val="28"/>
                                <w:lang w:val="en-US" w:eastAsia="zh-CN"/>
                              </w:rPr>
                            </w:pPr>
                            <w:r>
                              <w:rPr>
                                <w:rFonts w:hint="eastAsia"/>
                                <w:b/>
                                <w:bCs/>
                                <w:sz w:val="28"/>
                                <w:szCs w:val="28"/>
                                <w:lang w:val="en-US" w:eastAsia="zh-CN"/>
                              </w:rPr>
                              <w:t>大气引用监测点G1和村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77.45pt;margin-top:238.85pt;height:80.45pt;width:137.95pt;z-index:251725824;v-text-anchor:middle;mso-width-relative:page;mso-height-relative:page;" fillcolor="#FFFFFF [3212]" filled="t" stroked="t" coordsize="21600,21600" o:gfxdata="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M/vdEfZ&#10;AAAADAEAAA8AAAAAAAAAAQAgAAAAIgAAAGRycy9kb3ducmV2LnhtbFBLAQIUABQAAAAIAIdO4kDk&#10;biC6ygIAAJUFAAAOAAAAAAAAAAEAIAAAACgBAABkcnMvZTJvRG9jLnhtbFBLBQYAAAAABgAGAFkB&#10;AABkBgAAAAA=&#10;" adj="-8682,30581,14400">
                <v:fill on="t" focussize="0,0"/>
                <v:stroke weight="1pt" color="#000000 [3213]" miterlimit="8" joinstyle="miter"/>
                <v:imagedata o:title=""/>
                <o:lock v:ext="edit" aspectratio="f"/>
                <v:textbox>
                  <w:txbxContent>
                    <w:p w14:paraId="665323DB">
                      <w:pPr>
                        <w:jc w:val="center"/>
                        <w:rPr>
                          <w:rFonts w:hint="default" w:eastAsia="宋体"/>
                          <w:b/>
                          <w:bCs/>
                          <w:sz w:val="28"/>
                          <w:szCs w:val="28"/>
                          <w:lang w:val="en-US" w:eastAsia="zh-CN"/>
                        </w:rPr>
                      </w:pPr>
                      <w:r>
                        <w:rPr>
                          <w:rFonts w:hint="eastAsia"/>
                          <w:b/>
                          <w:bCs/>
                          <w:sz w:val="28"/>
                          <w:szCs w:val="28"/>
                          <w:lang w:val="en-US" w:eastAsia="zh-CN"/>
                        </w:rPr>
                        <w:t>大气引用监测点G1和村</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727872" behindDoc="0" locked="0" layoutInCell="1" allowOverlap="1">
            <wp:simplePos x="0" y="0"/>
            <wp:positionH relativeFrom="column">
              <wp:posOffset>7283450</wp:posOffset>
            </wp:positionH>
            <wp:positionV relativeFrom="paragraph">
              <wp:posOffset>60960</wp:posOffset>
            </wp:positionV>
            <wp:extent cx="972185" cy="996950"/>
            <wp:effectExtent l="9525" t="9525" r="21590" b="9525"/>
            <wp:wrapNone/>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17"/>
                    <a:stretch>
                      <a:fillRect/>
                    </a:stretch>
                  </pic:blipFill>
                  <pic:spPr>
                    <a:xfrm>
                      <a:off x="0" y="0"/>
                      <a:ext cx="972185" cy="996950"/>
                    </a:xfrm>
                    <a:prstGeom prst="rect">
                      <a:avLst/>
                    </a:prstGeom>
                    <a:noFill/>
                    <a:ln>
                      <a:solidFill>
                        <a:schemeClr val="tx1"/>
                      </a:solidFill>
                    </a:ln>
                  </pic:spPr>
                </pic:pic>
              </a:graphicData>
            </a:graphic>
          </wp:anchor>
        </w:drawing>
      </w:r>
      <w:r>
        <w:rPr>
          <w:rFonts w:hint="default" w:ascii="Times New Roman" w:hAnsi="Times New Roman" w:cs="Times New Roman"/>
          <w:color w:val="auto"/>
          <w:sz w:val="32"/>
          <w:highlight w:val="none"/>
        </w:rPr>
        <mc:AlternateContent>
          <mc:Choice Requires="wps">
            <w:drawing>
              <wp:anchor distT="0" distB="0" distL="114300" distR="114300" simplePos="0" relativeHeight="251722752" behindDoc="0" locked="0" layoutInCell="1" allowOverlap="1">
                <wp:simplePos x="0" y="0"/>
                <wp:positionH relativeFrom="column">
                  <wp:posOffset>3954780</wp:posOffset>
                </wp:positionH>
                <wp:positionV relativeFrom="paragraph">
                  <wp:posOffset>887095</wp:posOffset>
                </wp:positionV>
                <wp:extent cx="200025" cy="3597275"/>
                <wp:effectExtent l="48895" t="0" r="53340" b="8255"/>
                <wp:wrapNone/>
                <wp:docPr id="29" name="直接箭头连接符 29"/>
                <wp:cNvGraphicFramePr/>
                <a:graphic xmlns:a="http://schemas.openxmlformats.org/drawingml/2006/main">
                  <a:graphicData uri="http://schemas.microsoft.com/office/word/2010/wordprocessingShape">
                    <wps:wsp>
                      <wps:cNvCnPr/>
                      <wps:spPr>
                        <a:xfrm flipH="1">
                          <a:off x="3119755" y="2316480"/>
                          <a:ext cx="200025" cy="3597275"/>
                        </a:xfrm>
                        <a:prstGeom prst="straightConnector1">
                          <a:avLst/>
                        </a:prstGeom>
                        <a:ln>
                          <a:solidFill>
                            <a:schemeClr val="tx1"/>
                          </a:solidFill>
                          <a:headEnd type="arrow" w="med" len="med"/>
                          <a:tailEnd type="arrow" w="med" len="med"/>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1.4pt;margin-top:69.85pt;height:283.25pt;width:15.75pt;z-index:251722752;mso-width-relative:page;mso-height-relative:page;" filled="f" stroked="t" coordsize="21600,21600" o:gfxdata="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YM1KbaAAAACwEAAA8AAAAAAAAAAQAgAAAAIgAAAGRycy9kb3ducmV2Lnht&#10;bFBLAQIUABQAAAAIAIdO4kBEr+j2MAIAADkEAAAOAAAAAAAAAAEAIAAAACkBAABkcnMvZTJvRG9j&#10;LnhtbFBLBQYAAAAABgAGAFkBAADLBQAAAAA=&#10;">
                <v:fill on="f" focussize="0,0"/>
                <v:stroke weight="1.5pt" color="#000000 [3213]" miterlimit="8" joinstyle="miter" startarrow="open" endarrow="open"/>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7599045" cy="5228590"/>
            <wp:effectExtent l="0" t="0" r="8255" b="381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53"/>
                    <a:stretch>
                      <a:fillRect/>
                    </a:stretch>
                  </pic:blipFill>
                  <pic:spPr>
                    <a:xfrm>
                      <a:off x="0" y="0"/>
                      <a:ext cx="7599045" cy="5228590"/>
                    </a:xfrm>
                    <a:prstGeom prst="rect">
                      <a:avLst/>
                    </a:prstGeom>
                    <a:noFill/>
                    <a:ln>
                      <a:noFill/>
                    </a:ln>
                  </pic:spPr>
                </pic:pic>
              </a:graphicData>
            </a:graphic>
          </wp:inline>
        </w:drawing>
      </w:r>
    </w:p>
    <w:p w14:paraId="04B1DA79">
      <w:pPr>
        <w:pageBreakBefore w:val="0"/>
        <w:wordWrap w:val="0"/>
        <w:bidi w:val="0"/>
        <w:jc w:val="center"/>
        <w:outlineLvl w:val="0"/>
        <w:rPr>
          <w:rFonts w:hint="default" w:ascii="Times New Roman" w:hAnsi="Times New Roman" w:cs="Times New Roman"/>
          <w:b/>
          <w:bCs/>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85" w:name="_Toc10418"/>
      <w:r>
        <w:rPr>
          <w:rFonts w:hint="default" w:ascii="Times New Roman" w:hAnsi="Times New Roman" w:cs="Times New Roman"/>
          <w:b/>
          <w:bCs/>
          <w:color w:val="auto"/>
          <w:highlight w:val="none"/>
          <w:lang w:val="en-US" w:eastAsia="zh-CN"/>
        </w:rPr>
        <w:t xml:space="preserve">附图16 </w:t>
      </w:r>
      <w:r>
        <w:rPr>
          <w:rFonts w:hint="default" w:ascii="Times New Roman" w:hAnsi="Times New Roman" w:cs="Times New Roman"/>
          <w:b/>
          <w:bCs/>
          <w:color w:val="auto"/>
          <w:highlight w:val="none"/>
        </w:rPr>
        <w:t>项目与大气补充监测点位置图</w:t>
      </w:r>
      <w:r>
        <w:rPr>
          <w:rFonts w:hint="default" w:ascii="Times New Roman" w:hAnsi="Times New Roman" w:cs="Times New Roman"/>
          <w:color w:val="auto"/>
          <w:sz w:val="24"/>
          <w:highlight w:val="none"/>
        </w:rPr>
        <mc:AlternateContent>
          <mc:Choice Requires="wpg">
            <w:drawing>
              <wp:anchor distT="0" distB="0" distL="114300" distR="114300" simplePos="0" relativeHeight="251726848" behindDoc="0" locked="0" layoutInCell="1" allowOverlap="1">
                <wp:simplePos x="0" y="0"/>
                <wp:positionH relativeFrom="column">
                  <wp:posOffset>5234305</wp:posOffset>
                </wp:positionH>
                <wp:positionV relativeFrom="paragraph">
                  <wp:posOffset>-7998460</wp:posOffset>
                </wp:positionV>
                <wp:extent cx="342900" cy="681990"/>
                <wp:effectExtent l="0" t="0" r="0" b="23495"/>
                <wp:wrapNone/>
                <wp:docPr id="49" name="组合 49"/>
                <wp:cNvGraphicFramePr/>
                <a:graphic xmlns:a="http://schemas.openxmlformats.org/drawingml/2006/main">
                  <a:graphicData uri="http://schemas.microsoft.com/office/word/2010/wordprocessingGroup">
                    <wpg:wgp>
                      <wpg:cNvGrpSpPr/>
                      <wpg:grpSpPr>
                        <a:xfrm rot="0">
                          <a:off x="0" y="0"/>
                          <a:ext cx="342900" cy="681990"/>
                          <a:chOff x="9052" y="1688126"/>
                          <a:chExt cx="540" cy="1074"/>
                        </a:xfrm>
                      </wpg:grpSpPr>
                      <wps:wsp>
                        <wps:cNvPr id="285" name="上箭头 116"/>
                        <wps:cNvSpPr/>
                        <wps:spPr>
                          <a:xfrm>
                            <a:off x="9113" y="1688590"/>
                            <a:ext cx="375" cy="611"/>
                          </a:xfrm>
                          <a:prstGeom prst="upArrow">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 name="文本框 117"/>
                        <wps:cNvSpPr txBox="1"/>
                        <wps:spPr>
                          <a:xfrm>
                            <a:off x="9052" y="1688126"/>
                            <a:ext cx="540" cy="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843A2F">
                              <w:pPr>
                                <w:rPr>
                                  <w:rFonts w:hint="eastAsia" w:eastAsia="宋体"/>
                                  <w:b/>
                                  <w:bCs/>
                                  <w:lang w:val="en-US" w:eastAsia="zh-CN"/>
                                </w:rPr>
                              </w:pPr>
                              <w:r>
                                <w:rPr>
                                  <w:rFonts w:hint="eastAsia"/>
                                  <w:b/>
                                  <w:bCs/>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12.15pt;margin-top:-629.8pt;height:53.7pt;width:27pt;z-index:251726848;mso-width-relative:page;mso-height-relative:page;" coordorigin="9052,1688126" coordsize="540,1074" o:gfxdata="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l7QO1d4AAAAPAQAADwAAAAAAAAABACAA&#10;AAAiAAAAZHJzL2Rvd25yZXYueG1sUEsBAhQAFAAAAAgAh07iQJE1mZpdAwAAyAgAAA4AAAAAAAAA&#10;AQAgAAAALQEAAGRycy9lMm9Eb2MueG1sUEsFBgAAAAAGAAYAWQEAAPwGAAAAAA==&#10;">
                <o:lock v:ext="edit" aspectratio="f"/>
                <v:shape id="上箭头 116" o:spid="_x0000_s1026" o:spt="68" type="#_x0000_t68" style="position:absolute;left:9113;top:1688590;height:611;width:375;v-text-anchor:middle;" fillcolor="#FF0000" filled="t" stroked="t" coordsize="21600,21600" o:gfxdata="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RX5vvQAA&#10;ANwAAAAPAAAAAAAAAAEAIAAAACIAAABkcnMvZG93bnJldi54bWxQSwECFAAUAAAACACHTuJAMy8F&#10;njsAAAA5AAAAEAAAAAAAAAABACAAAAAMAQAAZHJzL3NoYXBleG1sLnhtbFBLBQYAAAAABgAGAFsB&#10;AAC2AwAAAAA=&#10;" adj="6628,5400">
                  <v:fill on="t" focussize="0,0"/>
                  <v:stroke color="#000000 [3213]" miterlimit="8" joinstyle="miter"/>
                  <v:imagedata o:title=""/>
                  <o:lock v:ext="edit" aspectratio="f"/>
                </v:shape>
                <v:shape id="文本框 117" o:spid="_x0000_s1026" o:spt="202" type="#_x0000_t202" style="position:absolute;left:9052;top:1688126;height:605;width:540;" filled="f" stroked="f" coordsize="21600,21600" o:gfxdata="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V99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65843A2F">
                        <w:pPr>
                          <w:rPr>
                            <w:rFonts w:hint="eastAsia" w:eastAsia="宋体"/>
                            <w:b/>
                            <w:bCs/>
                            <w:lang w:val="en-US" w:eastAsia="zh-CN"/>
                          </w:rPr>
                        </w:pPr>
                        <w:r>
                          <w:rPr>
                            <w:rFonts w:hint="eastAsia"/>
                            <w:b/>
                            <w:bCs/>
                            <w:lang w:val="en-US" w:eastAsia="zh-CN"/>
                          </w:rPr>
                          <w:t>N</w:t>
                        </w:r>
                      </w:p>
                    </w:txbxContent>
                  </v:textbox>
                </v:shape>
              </v:group>
            </w:pict>
          </mc:Fallback>
        </mc:AlternateContent>
      </w:r>
      <w:bookmarkEnd w:id="185"/>
    </w:p>
    <w:p w14:paraId="74D429C3">
      <w:pPr>
        <w:pStyle w:val="43"/>
        <w:pageBreakBefore w:val="0"/>
        <w:wordWrap w:val="0"/>
        <w:bidi w:val="0"/>
        <w:outlineLvl w:val="0"/>
        <w:rPr>
          <w:rFonts w:hint="default" w:ascii="Times New Roman" w:hAnsi="Times New Roman" w:eastAsia="宋体" w:cs="Times New Roman"/>
          <w:b/>
          <w:bCs/>
          <w:color w:val="auto"/>
          <w:highlight w:val="none"/>
          <w:lang w:val="en-US" w:eastAsia="zh-CN"/>
        </w:rPr>
      </w:pPr>
      <w:bookmarkStart w:id="186" w:name="_Toc20433"/>
      <w:bookmarkStart w:id="187" w:name="_Toc1513"/>
      <w:r>
        <w:rPr>
          <w:rFonts w:hint="default" w:ascii="Times New Roman" w:hAnsi="Times New Roman" w:cs="Times New Roman"/>
          <w:b/>
          <w:bCs/>
          <w:color w:val="auto"/>
          <w:highlight w:val="none"/>
          <w:lang w:eastAsia="zh-CN"/>
        </w:rPr>
        <w:t>附图</w:t>
      </w:r>
      <w:r>
        <w:rPr>
          <w:rFonts w:hint="default" w:ascii="Times New Roman" w:hAnsi="Times New Roman" w:cs="Times New Roman"/>
          <w:b/>
          <w:bCs/>
          <w:color w:val="auto"/>
          <w:highlight w:val="none"/>
          <w:lang w:val="en-US" w:eastAsia="zh-CN"/>
        </w:rPr>
        <w:t>17 乐昌产业转移工业园管网分布图</w:t>
      </w:r>
      <w:bookmarkEnd w:id="186"/>
      <w:bookmarkEnd w:id="187"/>
    </w:p>
    <w:p w14:paraId="776D909D">
      <w:pPr>
        <w:pStyle w:val="43"/>
        <w:pageBreakBefore w:val="0"/>
        <w:wordWrap w:val="0"/>
        <w:bidi w:val="0"/>
        <w:jc w:val="center"/>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rFonts w:hint="default" w:ascii="Times New Roman" w:hAnsi="Times New Roman" w:cs="Times New Roman"/>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1864995</wp:posOffset>
                </wp:positionH>
                <wp:positionV relativeFrom="paragraph">
                  <wp:posOffset>5340985</wp:posOffset>
                </wp:positionV>
                <wp:extent cx="1038225" cy="448310"/>
                <wp:effectExtent l="6350" t="6350" r="22225" b="421640"/>
                <wp:wrapNone/>
                <wp:docPr id="26" name="圆角矩形标注 26"/>
                <wp:cNvGraphicFramePr/>
                <a:graphic xmlns:a="http://schemas.openxmlformats.org/drawingml/2006/main">
                  <a:graphicData uri="http://schemas.microsoft.com/office/word/2010/wordprocessingShape">
                    <wps:wsp>
                      <wps:cNvSpPr/>
                      <wps:spPr>
                        <a:xfrm>
                          <a:off x="3569970" y="8168640"/>
                          <a:ext cx="1038225" cy="448310"/>
                        </a:xfrm>
                        <a:prstGeom prst="wedgeRoundRectCallout">
                          <a:avLst>
                            <a:gd name="adj1" fmla="val 45596"/>
                            <a:gd name="adj2" fmla="val 136827"/>
                            <a:gd name="adj3" fmla="val 16667"/>
                          </a:avLst>
                        </a:prstGeom>
                        <a:solidFill>
                          <a:schemeClr val="bg1">
                            <a:lumMod val="85000"/>
                          </a:schemeClr>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53981DE3">
                            <w:pPr>
                              <w:jc w:val="center"/>
                              <w:rPr>
                                <w:rFonts w:hint="eastAsia" w:eastAsia="宋体"/>
                                <w:b/>
                                <w:bCs/>
                                <w:highlight w:val="none"/>
                                <w:lang w:eastAsia="zh-CN"/>
                              </w:rPr>
                            </w:pPr>
                            <w:r>
                              <w:rPr>
                                <w:rFonts w:hint="eastAsia"/>
                                <w:b/>
                                <w:bCs/>
                                <w:highlight w:val="none"/>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6.85pt;margin-top:420.55pt;height:35.3pt;width:81.75pt;z-index:251706368;v-text-anchor:middle;mso-width-relative:page;mso-height-relative:page;" fillcolor="#D9D9D9 [2732]" filled="t" stroked="t" coordsize="21600,21600" o:gfxdata="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rR11pNwAAAALAQAADwAAAAAAAAABACAAAAAiAAAA&#10;ZHJzL2Rvd25yZXYueG1sUEsBAhQAFAAAAAgAh07iQPn6Y1HnAgAAwgUAAA4AAAAAAAAAAQAgAAAA&#10;KwEAAGRycy9lMm9Eb2MueG1sUEsFBgAAAAAGAAYAWQEAAIQGAAAAAA==&#10;" adj="20649,40355,14400">
                <v:fill on="t" focussize="0,0"/>
                <v:stroke weight="1pt" color="#000000 [3213]" miterlimit="8" joinstyle="miter"/>
                <v:imagedata o:title=""/>
                <o:lock v:ext="edit" aspectratio="f"/>
                <v:textbox>
                  <w:txbxContent>
                    <w:p w14:paraId="53981DE3">
                      <w:pPr>
                        <w:jc w:val="center"/>
                        <w:rPr>
                          <w:rFonts w:hint="eastAsia" w:eastAsia="宋体"/>
                          <w:b/>
                          <w:bCs/>
                          <w:highlight w:val="none"/>
                          <w:lang w:eastAsia="zh-CN"/>
                        </w:rPr>
                      </w:pPr>
                      <w:r>
                        <w:rPr>
                          <w:rFonts w:hint="eastAsia"/>
                          <w:b/>
                          <w:bCs/>
                          <w:highlight w:val="none"/>
                          <w:lang w:eastAsia="zh-CN"/>
                        </w:rPr>
                        <w:t>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2804160</wp:posOffset>
                </wp:positionH>
                <wp:positionV relativeFrom="paragraph">
                  <wp:posOffset>6045200</wp:posOffset>
                </wp:positionV>
                <wp:extent cx="171450" cy="180975"/>
                <wp:effectExtent l="17780" t="22860" r="20320" b="24765"/>
                <wp:wrapNone/>
                <wp:docPr id="22" name="五角星 22"/>
                <wp:cNvGraphicFramePr/>
                <a:graphic xmlns:a="http://schemas.openxmlformats.org/drawingml/2006/main">
                  <a:graphicData uri="http://schemas.microsoft.com/office/word/2010/wordprocessingShape">
                    <wps:wsp>
                      <wps:cNvSpPr/>
                      <wps:spPr>
                        <a:xfrm>
                          <a:off x="2950845" y="8197215"/>
                          <a:ext cx="171450" cy="1809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0.8pt;margin-top:476pt;height:14.25pt;width:13.5pt;z-index:251705344;v-text-anchor:middle;mso-width-relative:page;mso-height-relative:page;" fillcolor="#FF0000" filled="t" stroked="t" coordsize="171450,180975" o:gfxdata="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XIiWNgAAAALAQAADwAAAAAAAAAB&#10;ACAAAAAiAAAAZHJzL2Rvd25yZXYueG1sUEsBAhQAFAAAAAgAh07iQJ3eBTaCAgAABQUAAA4AAAAA&#10;AAAAAQAgAAAAJwEAAGRycy9lMm9Eb2MueG1sUEsFBgAAAAAGAAYAWQEAABsGAAAAAA==&#10;" path="m0,69126l65488,69126,85725,0,105961,69126,171449,69126,118468,111848,138705,180974,85725,138251,32744,180974,52981,111848xe">
                <v:path o:connectlocs="85725,0;0,69126;32744,180974;138705,180974;171449,69126"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5361305" cy="7713345"/>
            <wp:effectExtent l="19050" t="19050" r="29845" b="2730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4"/>
                    <a:stretch>
                      <a:fillRect/>
                    </a:stretch>
                  </pic:blipFill>
                  <pic:spPr>
                    <a:xfrm>
                      <a:off x="0" y="0"/>
                      <a:ext cx="5361305" cy="7713345"/>
                    </a:xfrm>
                    <a:prstGeom prst="rect">
                      <a:avLst/>
                    </a:prstGeom>
                    <a:noFill/>
                    <a:ln w="19050">
                      <a:solidFill>
                        <a:schemeClr val="tx1"/>
                      </a:solidFill>
                    </a:ln>
                  </pic:spPr>
                </pic:pic>
              </a:graphicData>
            </a:graphic>
          </wp:inline>
        </w:drawing>
      </w:r>
    </w:p>
    <w:p w14:paraId="6B8CDFF9">
      <w:pPr>
        <w:pStyle w:val="54"/>
        <w:pageBreakBefore w:val="0"/>
        <w:wordWrap w:val="0"/>
        <w:bidi w:val="0"/>
        <w:ind w:left="0"/>
        <w:outlineLvl w:val="0"/>
        <w:rPr>
          <w:rFonts w:hint="default" w:ascii="Times New Roman" w:hAnsi="Times New Roman" w:cs="Times New Roman"/>
          <w:b/>
          <w:bCs/>
          <w:color w:val="auto"/>
          <w:highlight w:val="none"/>
        </w:rPr>
      </w:pPr>
      <w:bookmarkStart w:id="188" w:name="_Toc25890"/>
      <w:bookmarkStart w:id="189" w:name="_Toc22104"/>
      <w:bookmarkStart w:id="190" w:name="_Toc31401"/>
      <w:r>
        <w:rPr>
          <w:rFonts w:hint="default" w:ascii="Times New Roman" w:hAnsi="Times New Roman" w:cs="Times New Roman"/>
          <w:b/>
          <w:bCs/>
          <w:color w:val="auto"/>
          <w:sz w:val="24"/>
          <w:szCs w:val="24"/>
          <w:highlight w:val="none"/>
        </w:rPr>
        <w:t>附件1营业执照</w:t>
      </w:r>
      <w:bookmarkEnd w:id="188"/>
      <w:bookmarkEnd w:id="189"/>
      <w:bookmarkEnd w:id="190"/>
    </w:p>
    <w:p w14:paraId="4F276AC2">
      <w:pPr>
        <w:pageBreakBefore w:val="0"/>
        <w:wordWrap w:val="0"/>
        <w:bidi w:val="0"/>
        <w:jc w:val="center"/>
        <w:rPr>
          <w:rFonts w:hint="default" w:ascii="Times New Roman" w:hAnsi="Times New Roman" w:eastAsia="宋体" w:cs="Times New Roman"/>
          <w:color w:val="auto"/>
          <w:highlight w:val="none"/>
          <w:lang w:eastAsia="zh-CN"/>
        </w:rPr>
      </w:pPr>
    </w:p>
    <w:p w14:paraId="3BD69244">
      <w:pPr>
        <w:pStyle w:val="4"/>
        <w:pageBreakBefore w:val="0"/>
        <w:wordWrap w:val="0"/>
        <w:bidi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74D26297">
      <w:pPr>
        <w:pageBreakBefore w:val="0"/>
        <w:wordWrap w:val="0"/>
        <w:bidi w:val="0"/>
        <w:jc w:val="left"/>
        <w:outlineLvl w:val="0"/>
        <w:rPr>
          <w:rFonts w:hint="default" w:ascii="Times New Roman" w:hAnsi="Times New Roman" w:cs="Times New Roman"/>
          <w:b/>
          <w:bCs/>
          <w:color w:val="auto"/>
          <w:highlight w:val="none"/>
        </w:rPr>
      </w:pPr>
      <w:bookmarkStart w:id="191" w:name="_Toc24134"/>
      <w:bookmarkStart w:id="192" w:name="_Toc11241"/>
      <w:bookmarkStart w:id="193" w:name="_Toc18937"/>
      <w:r>
        <w:rPr>
          <w:rFonts w:hint="default" w:ascii="Times New Roman" w:hAnsi="Times New Roman" w:cs="Times New Roman"/>
          <w:b/>
          <w:bCs/>
          <w:color w:val="auto"/>
          <w:highlight w:val="none"/>
        </w:rPr>
        <w:t>附件2 法人身份证复印件</w:t>
      </w:r>
      <w:bookmarkEnd w:id="191"/>
      <w:bookmarkEnd w:id="192"/>
      <w:bookmarkEnd w:id="193"/>
    </w:p>
    <w:p w14:paraId="226C9B58">
      <w:pPr>
        <w:pStyle w:val="43"/>
        <w:pageBreakBefore w:val="0"/>
        <w:wordWrap w:val="0"/>
        <w:bidi w:val="0"/>
        <w:rPr>
          <w:rFonts w:hint="default" w:ascii="Times New Roman" w:hAnsi="Times New Roman" w:eastAsia="宋体" w:cs="Times New Roman"/>
          <w:b/>
          <w:bCs/>
          <w:color w:val="auto"/>
          <w:highlight w:val="none"/>
          <w:lang w:eastAsia="zh-CN"/>
        </w:rPr>
      </w:pPr>
    </w:p>
    <w:p w14:paraId="1FF80EC4">
      <w:pPr>
        <w:pageBreakBefore w:val="0"/>
        <w:wordWrap w:val="0"/>
        <w:bidi w:val="0"/>
        <w:jc w:val="center"/>
        <w:outlineLvl w:val="0"/>
        <w:rPr>
          <w:rFonts w:hint="default" w:ascii="Times New Roman" w:hAnsi="Times New Roman" w:eastAsia="宋体" w:cs="Times New Roman"/>
          <w:b/>
          <w:bCs/>
          <w:color w:val="auto"/>
          <w:highlight w:val="none"/>
          <w:lang w:eastAsia="zh-CN" w:bidi="ar"/>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94" w:name="_Toc20998"/>
    </w:p>
    <w:p w14:paraId="4C206F88">
      <w:pPr>
        <w:pageBreakBefore w:val="0"/>
        <w:wordWrap w:val="0"/>
        <w:bidi w:val="0"/>
        <w:outlineLvl w:val="0"/>
        <w:rPr>
          <w:rFonts w:hint="default" w:ascii="Times New Roman" w:hAnsi="Times New Roman" w:cs="Times New Roman"/>
          <w:b/>
          <w:bCs/>
          <w:color w:val="auto"/>
          <w:highlight w:val="none"/>
          <w:lang w:val="en-US" w:eastAsia="zh-CN" w:bidi="ar"/>
        </w:rPr>
      </w:pPr>
      <w:bookmarkStart w:id="195" w:name="_Toc69"/>
      <w:bookmarkStart w:id="196" w:name="_Toc27747"/>
      <w:r>
        <w:rPr>
          <w:rFonts w:hint="default" w:ascii="Times New Roman" w:hAnsi="Times New Roman" w:cs="Times New Roman"/>
          <w:b/>
          <w:bCs/>
          <w:color w:val="auto"/>
          <w:highlight w:val="none"/>
          <w:lang w:bidi="ar"/>
        </w:rPr>
        <w:t>附件3</w:t>
      </w:r>
      <w:r>
        <w:rPr>
          <w:rFonts w:hint="default" w:ascii="Times New Roman" w:hAnsi="Times New Roman" w:cs="Times New Roman"/>
          <w:b/>
          <w:bCs/>
          <w:color w:val="auto"/>
          <w:sz w:val="28"/>
          <w:szCs w:val="28"/>
          <w:highlight w:val="none"/>
        </w:rPr>
        <w:t xml:space="preserve"> </w:t>
      </w:r>
      <w:bookmarkEnd w:id="194"/>
      <w:bookmarkEnd w:id="195"/>
      <w:r>
        <w:rPr>
          <w:rFonts w:hint="default" w:ascii="Times New Roman" w:hAnsi="Times New Roman" w:cs="Times New Roman"/>
          <w:b/>
          <w:bCs/>
          <w:color w:val="auto"/>
          <w:highlight w:val="none"/>
          <w:lang w:val="en-US" w:eastAsia="zh-CN" w:bidi="ar"/>
        </w:rPr>
        <w:t>不动产权证</w:t>
      </w:r>
      <w:bookmarkEnd w:id="196"/>
    </w:p>
    <w:p w14:paraId="1BDD182D">
      <w:pPr>
        <w:pageBreakBefore w:val="0"/>
        <w:wordWrap w:val="0"/>
        <w:bidi w:val="0"/>
        <w:jc w:val="center"/>
        <w:outlineLvl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p>
    <w:p w14:paraId="09ADFE79">
      <w:pPr>
        <w:pageBreakBefore w:val="0"/>
        <w:wordWrap w:val="0"/>
        <w:bidi w:val="0"/>
        <w:jc w:val="left"/>
        <w:outlineLvl w:val="0"/>
        <w:rPr>
          <w:rFonts w:hint="default" w:ascii="Times New Roman" w:hAnsi="Times New Roman" w:cs="Times New Roman"/>
          <w:color w:val="auto"/>
          <w:highlight w:val="none"/>
          <w:lang w:val="en-US" w:eastAsia="zh-CN"/>
        </w:rPr>
      </w:pPr>
      <w:bookmarkStart w:id="197" w:name="_Toc25489"/>
      <w:r>
        <w:rPr>
          <w:rFonts w:hint="default" w:ascii="Times New Roman" w:hAnsi="Times New Roman" w:cs="Times New Roman"/>
          <w:color w:val="auto"/>
          <w:highlight w:val="none"/>
          <w:lang w:val="en-US" w:eastAsia="zh-CN"/>
        </w:rPr>
        <w:t>附件4租赁合同</w:t>
      </w:r>
      <w:bookmarkEnd w:id="197"/>
    </w:p>
    <w:p w14:paraId="06D482F1">
      <w:pPr>
        <w:pageBreakBefore w:val="0"/>
        <w:wordWrap w:val="0"/>
        <w:bidi w:val="0"/>
        <w:outlineLvl w:val="9"/>
        <w:rPr>
          <w:rFonts w:hint="default" w:ascii="Times New Roman" w:hAnsi="Times New Roman" w:eastAsia="宋体" w:cs="Times New Roman"/>
          <w:b/>
          <w:bCs/>
          <w:color w:val="auto"/>
          <w:highlight w:val="none"/>
          <w:lang w:val="en-US" w:eastAsia="zh-CN" w:bidi="ar"/>
        </w:rPr>
      </w:pPr>
    </w:p>
    <w:p w14:paraId="63F4EE97">
      <w:pPr>
        <w:pStyle w:val="43"/>
        <w:pageBreakBefore w:val="0"/>
        <w:wordWrap w:val="0"/>
        <w:bidi w:val="0"/>
        <w:jc w:val="center"/>
        <w:rPr>
          <w:rFonts w:hint="default" w:ascii="Times New Roman" w:hAnsi="Times New Roman" w:cs="Times New Roman"/>
          <w:color w:val="auto"/>
          <w:highlight w:val="none"/>
        </w:rPr>
      </w:pPr>
    </w:p>
    <w:p w14:paraId="04F2209E">
      <w:pPr>
        <w:pageBreakBefore w:val="0"/>
        <w:wordWrap w:val="0"/>
        <w:bidi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p>
    <w:p w14:paraId="48947E64">
      <w:pPr>
        <w:pStyle w:val="54"/>
        <w:pageBreakBefore w:val="0"/>
        <w:wordWrap w:val="0"/>
        <w:bidi w:val="0"/>
        <w:outlineLvl w:val="0"/>
        <w:rPr>
          <w:rFonts w:hint="default" w:ascii="Times New Roman" w:hAnsi="Times New Roman" w:cs="Times New Roman"/>
          <w:color w:val="auto"/>
          <w:sz w:val="24"/>
          <w:szCs w:val="24"/>
          <w:highlight w:val="none"/>
          <w:lang w:val="en-US" w:eastAsia="zh-CN"/>
        </w:rPr>
      </w:pPr>
      <w:bookmarkStart w:id="198" w:name="_Toc9970"/>
      <w:bookmarkStart w:id="199" w:name="_Toc2034"/>
      <w:r>
        <w:rPr>
          <w:rFonts w:hint="default" w:ascii="Times New Roman" w:hAnsi="Times New Roman" w:cs="Times New Roman"/>
          <w:color w:val="auto"/>
          <w:sz w:val="24"/>
          <w:szCs w:val="24"/>
          <w:highlight w:val="none"/>
          <w:lang w:eastAsia="zh-CN"/>
        </w:rPr>
        <w:t>附件</w:t>
      </w:r>
      <w:r>
        <w:rPr>
          <w:rFonts w:hint="default" w:ascii="Times New Roman" w:hAnsi="Times New Roman" w:cs="Times New Roman"/>
          <w:color w:val="auto"/>
          <w:sz w:val="24"/>
          <w:szCs w:val="24"/>
          <w:highlight w:val="none"/>
          <w:lang w:val="en-US" w:eastAsia="zh-CN"/>
        </w:rPr>
        <w:t>5备案证</w:t>
      </w:r>
      <w:bookmarkEnd w:id="198"/>
      <w:bookmarkEnd w:id="199"/>
    </w:p>
    <w:p w14:paraId="46B9F97D">
      <w:pPr>
        <w:pageBreakBefore w:val="0"/>
        <w:wordWrap w:val="0"/>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6379210" cy="4518660"/>
            <wp:effectExtent l="0" t="0" r="8890" b="254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5"/>
                    <a:stretch>
                      <a:fillRect/>
                    </a:stretch>
                  </pic:blipFill>
                  <pic:spPr>
                    <a:xfrm>
                      <a:off x="0" y="0"/>
                      <a:ext cx="6379210" cy="4518660"/>
                    </a:xfrm>
                    <a:prstGeom prst="rect">
                      <a:avLst/>
                    </a:prstGeom>
                    <a:noFill/>
                    <a:ln>
                      <a:noFill/>
                    </a:ln>
                  </pic:spPr>
                </pic:pic>
              </a:graphicData>
            </a:graphic>
          </wp:inline>
        </w:drawing>
      </w:r>
    </w:p>
    <w:p w14:paraId="6EED3AEE">
      <w:pPr>
        <w:pStyle w:val="43"/>
        <w:pageBreakBefore w:val="0"/>
        <w:wordWrap w:val="0"/>
        <w:bidi w:val="0"/>
        <w:jc w:val="center"/>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79EFC322">
      <w:pPr>
        <w:pageBreakBefore w:val="0"/>
        <w:wordWrap w:val="0"/>
        <w:bidi w:val="0"/>
        <w:outlineLvl w:val="0"/>
        <w:rPr>
          <w:rFonts w:hint="default" w:ascii="Times New Roman" w:hAnsi="Times New Roman" w:cs="Times New Roman"/>
          <w:b/>
          <w:bCs/>
          <w:color w:val="auto"/>
          <w:sz w:val="24"/>
          <w:szCs w:val="24"/>
          <w:highlight w:val="none"/>
          <w:lang w:val="en-US" w:eastAsia="zh-CN"/>
        </w:rPr>
      </w:pPr>
      <w:bookmarkStart w:id="200" w:name="_Toc9757"/>
      <w:bookmarkStart w:id="201" w:name="_Toc30382"/>
      <w:r>
        <w:rPr>
          <w:rFonts w:hint="default" w:ascii="Times New Roman" w:hAnsi="Times New Roman" w:cs="Times New Roman"/>
          <w:b/>
          <w:bCs/>
          <w:color w:val="auto"/>
          <w:sz w:val="24"/>
          <w:szCs w:val="24"/>
          <w:highlight w:val="none"/>
          <w:lang w:bidi="ar"/>
        </w:rPr>
        <w:t>附件</w:t>
      </w:r>
      <w:bookmarkEnd w:id="200"/>
      <w:r>
        <w:rPr>
          <w:rFonts w:hint="default" w:ascii="Times New Roman" w:hAnsi="Times New Roman" w:cs="Times New Roman"/>
          <w:b/>
          <w:bCs/>
          <w:color w:val="auto"/>
          <w:sz w:val="24"/>
          <w:szCs w:val="24"/>
          <w:highlight w:val="none"/>
          <w:lang w:val="en-US" w:eastAsia="zh-CN" w:bidi="ar"/>
        </w:rPr>
        <w:t>6</w:t>
      </w:r>
      <w:r>
        <w:rPr>
          <w:rFonts w:hint="default" w:ascii="Times New Roman" w:hAnsi="Times New Roman" w:cs="Times New Roman"/>
          <w:b/>
          <w:bCs/>
          <w:color w:val="auto"/>
          <w:sz w:val="24"/>
          <w:szCs w:val="24"/>
          <w:highlight w:val="none"/>
          <w:lang w:val="en-US" w:eastAsia="zh-CN"/>
        </w:rPr>
        <w:t>水性漆MSDS及VOC检测报告</w:t>
      </w:r>
      <w:bookmarkEnd w:id="201"/>
    </w:p>
    <w:p w14:paraId="619A1971">
      <w:pPr>
        <w:pageBreakBefore w:val="0"/>
        <w:wordWrap w:val="0"/>
        <w:bidi w:val="0"/>
        <w:outlineLvl w:val="9"/>
        <w:rPr>
          <w:rFonts w:hint="default" w:ascii="Times New Roman" w:hAnsi="Times New Roman" w:eastAsia="宋体" w:cs="Times New Roman"/>
          <w:b/>
          <w:bCs/>
          <w:color w:val="auto"/>
          <w:sz w:val="24"/>
          <w:szCs w:val="24"/>
          <w:highlight w:val="none"/>
          <w:lang w:val="en-US" w:eastAsia="zh-CN" w:bidi="ar"/>
        </w:rPr>
      </w:pPr>
      <w:r>
        <w:rPr>
          <w:rFonts w:hint="default" w:ascii="Times New Roman" w:hAnsi="Times New Roman" w:cs="Times New Roman"/>
          <w:color w:val="auto"/>
          <w:highlight w:val="none"/>
        </w:rPr>
        <w:drawing>
          <wp:inline distT="0" distB="0" distL="114300" distR="114300">
            <wp:extent cx="5935345" cy="8404225"/>
            <wp:effectExtent l="0" t="0" r="8255" b="317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56"/>
                    <a:stretch>
                      <a:fillRect/>
                    </a:stretch>
                  </pic:blipFill>
                  <pic:spPr>
                    <a:xfrm>
                      <a:off x="0" y="0"/>
                      <a:ext cx="5935345" cy="84042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3440" cy="8410575"/>
            <wp:effectExtent l="0" t="0" r="10160" b="952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57"/>
                    <a:stretch>
                      <a:fillRect/>
                    </a:stretch>
                  </pic:blipFill>
                  <pic:spPr>
                    <a:xfrm>
                      <a:off x="0" y="0"/>
                      <a:ext cx="5933440" cy="84105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2170" cy="8416925"/>
            <wp:effectExtent l="0" t="0" r="11430" b="3175"/>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58"/>
                    <a:stretch>
                      <a:fillRect/>
                    </a:stretch>
                  </pic:blipFill>
                  <pic:spPr>
                    <a:xfrm>
                      <a:off x="0" y="0"/>
                      <a:ext cx="5932170" cy="84169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2170" cy="8416925"/>
            <wp:effectExtent l="0" t="0" r="11430" b="317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59"/>
                    <a:stretch>
                      <a:fillRect/>
                    </a:stretch>
                  </pic:blipFill>
                  <pic:spPr>
                    <a:xfrm>
                      <a:off x="0" y="0"/>
                      <a:ext cx="5932170" cy="84169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3440" cy="8410575"/>
            <wp:effectExtent l="0" t="0" r="10160" b="9525"/>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60"/>
                    <a:stretch>
                      <a:fillRect/>
                    </a:stretch>
                  </pic:blipFill>
                  <pic:spPr>
                    <a:xfrm>
                      <a:off x="0" y="0"/>
                      <a:ext cx="5933440" cy="84105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3440" cy="8410575"/>
            <wp:effectExtent l="0" t="0" r="10160" b="952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61"/>
                    <a:stretch>
                      <a:fillRect/>
                    </a:stretch>
                  </pic:blipFill>
                  <pic:spPr>
                    <a:xfrm>
                      <a:off x="0" y="0"/>
                      <a:ext cx="5933440" cy="84105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5345" cy="8395335"/>
            <wp:effectExtent l="0" t="0" r="8255" b="12065"/>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62"/>
                    <a:stretch>
                      <a:fillRect/>
                    </a:stretch>
                  </pic:blipFill>
                  <pic:spPr>
                    <a:xfrm>
                      <a:off x="0" y="0"/>
                      <a:ext cx="5935345" cy="839533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9790" cy="8406765"/>
            <wp:effectExtent l="0" t="0" r="3810" b="635"/>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63"/>
                    <a:stretch>
                      <a:fillRect/>
                    </a:stretch>
                  </pic:blipFill>
                  <pic:spPr>
                    <a:xfrm>
                      <a:off x="0" y="0"/>
                      <a:ext cx="5939790" cy="840676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6615" cy="7691120"/>
            <wp:effectExtent l="0" t="0" r="6985" b="508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64"/>
                    <a:stretch>
                      <a:fillRect/>
                    </a:stretch>
                  </pic:blipFill>
                  <pic:spPr>
                    <a:xfrm>
                      <a:off x="0" y="0"/>
                      <a:ext cx="5936615" cy="769112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7250" cy="8415655"/>
            <wp:effectExtent l="0" t="0" r="6350" b="444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65"/>
                    <a:stretch>
                      <a:fillRect/>
                    </a:stretch>
                  </pic:blipFill>
                  <pic:spPr>
                    <a:xfrm>
                      <a:off x="0" y="0"/>
                      <a:ext cx="5937250" cy="84156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6615" cy="8380730"/>
            <wp:effectExtent l="0" t="0" r="6985" b="1270"/>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66"/>
                    <a:stretch>
                      <a:fillRect/>
                    </a:stretch>
                  </pic:blipFill>
                  <pic:spPr>
                    <a:xfrm>
                      <a:off x="0" y="0"/>
                      <a:ext cx="5936615" cy="838073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4710" cy="7938770"/>
            <wp:effectExtent l="0" t="0" r="8890" b="11430"/>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pic:cNvPicPr>
                  </pic:nvPicPr>
                  <pic:blipFill>
                    <a:blip r:embed="rId67"/>
                    <a:stretch>
                      <a:fillRect/>
                    </a:stretch>
                  </pic:blipFill>
                  <pic:spPr>
                    <a:xfrm>
                      <a:off x="0" y="0"/>
                      <a:ext cx="5934710" cy="7938770"/>
                    </a:xfrm>
                    <a:prstGeom prst="rect">
                      <a:avLst/>
                    </a:prstGeom>
                    <a:noFill/>
                    <a:ln>
                      <a:noFill/>
                    </a:ln>
                  </pic:spPr>
                </pic:pic>
              </a:graphicData>
            </a:graphic>
          </wp:inline>
        </w:drawing>
      </w:r>
    </w:p>
    <w:p w14:paraId="792D7D76">
      <w:pPr>
        <w:pStyle w:val="54"/>
        <w:pageBreakBefore w:val="0"/>
        <w:wordWrap w:val="0"/>
        <w:bidi w:val="0"/>
        <w:jc w:val="center"/>
        <w:rPr>
          <w:rFonts w:hint="default" w:ascii="Times New Roman" w:hAnsi="Times New Roman" w:cs="Times New Roman"/>
          <w:color w:val="auto"/>
          <w:highlight w:val="none"/>
        </w:rPr>
      </w:pPr>
    </w:p>
    <w:p w14:paraId="525525B2">
      <w:pPr>
        <w:pStyle w:val="43"/>
        <w:pageBreakBefore w:val="0"/>
        <w:wordWrap w:val="0"/>
        <w:bidi w:val="0"/>
        <w:rPr>
          <w:rFonts w:hint="default" w:ascii="Times New Roman" w:hAnsi="Times New Roman" w:cs="Times New Roman"/>
          <w:color w:val="auto"/>
          <w:highlight w:val="none"/>
        </w:rPr>
      </w:pPr>
    </w:p>
    <w:p w14:paraId="55C49C3F">
      <w:pPr>
        <w:pageBreakBefore w:val="0"/>
        <w:wordWrap w:val="0"/>
        <w:bidi w:val="0"/>
        <w:jc w:val="left"/>
        <w:outlineLvl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503C51BE">
      <w:pPr>
        <w:pageBreakBefore w:val="0"/>
        <w:wordWrap w:val="0"/>
        <w:bidi w:val="0"/>
        <w:outlineLvl w:val="0"/>
        <w:rPr>
          <w:rFonts w:hint="default" w:ascii="Times New Roman" w:hAnsi="Times New Roman" w:cs="Times New Roman"/>
          <w:b/>
          <w:bCs/>
          <w:color w:val="auto"/>
          <w:sz w:val="24"/>
          <w:szCs w:val="24"/>
          <w:highlight w:val="none"/>
          <w:lang w:val="en-US" w:eastAsia="zh-CN"/>
        </w:rPr>
      </w:pPr>
      <w:bookmarkStart w:id="202" w:name="_Toc24143"/>
      <w:r>
        <w:rPr>
          <w:rFonts w:hint="default" w:ascii="Times New Roman" w:hAnsi="Times New Roman" w:cs="Times New Roman"/>
          <w:b/>
          <w:bCs/>
          <w:color w:val="auto"/>
          <w:sz w:val="24"/>
          <w:szCs w:val="24"/>
          <w:highlight w:val="none"/>
          <w:lang w:bidi="ar"/>
        </w:rPr>
        <w:t>附件</w:t>
      </w:r>
      <w:r>
        <w:rPr>
          <w:rFonts w:hint="default" w:ascii="Times New Roman" w:hAnsi="Times New Roman" w:cs="Times New Roman"/>
          <w:b/>
          <w:bCs/>
          <w:color w:val="auto"/>
          <w:sz w:val="24"/>
          <w:szCs w:val="24"/>
          <w:highlight w:val="none"/>
          <w:lang w:val="en-US" w:eastAsia="zh-CN" w:bidi="ar"/>
        </w:rPr>
        <w:t>7</w:t>
      </w:r>
      <w:r>
        <w:rPr>
          <w:rFonts w:hint="default" w:ascii="Times New Roman" w:hAnsi="Times New Roman" w:cs="Times New Roman"/>
          <w:b/>
          <w:bCs/>
          <w:color w:val="auto"/>
          <w:sz w:val="24"/>
          <w:szCs w:val="24"/>
          <w:highlight w:val="none"/>
          <w:lang w:val="en-US" w:eastAsia="zh-CN"/>
        </w:rPr>
        <w:t>丙烯酸乳液MSDS及VOC检测报告</w:t>
      </w:r>
      <w:bookmarkEnd w:id="202"/>
    </w:p>
    <w:p w14:paraId="3639E0E2">
      <w:pPr>
        <w:pageBreakBefore w:val="0"/>
        <w:wordWrap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933440" cy="8401685"/>
            <wp:effectExtent l="0" t="0" r="10160" b="5715"/>
            <wp:docPr id="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5"/>
                    <pic:cNvPicPr>
                      <a:picLocks noChangeAspect="1"/>
                    </pic:cNvPicPr>
                  </pic:nvPicPr>
                  <pic:blipFill>
                    <a:blip r:embed="rId68"/>
                    <a:stretch>
                      <a:fillRect/>
                    </a:stretch>
                  </pic:blipFill>
                  <pic:spPr>
                    <a:xfrm>
                      <a:off x="0" y="0"/>
                      <a:ext cx="5933440" cy="840168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3440" cy="8401050"/>
            <wp:effectExtent l="0" t="0" r="10160" b="6350"/>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pic:cNvPicPr>
                      <a:picLocks noChangeAspect="1"/>
                    </pic:cNvPicPr>
                  </pic:nvPicPr>
                  <pic:blipFill>
                    <a:blip r:embed="rId69"/>
                    <a:stretch>
                      <a:fillRect/>
                    </a:stretch>
                  </pic:blipFill>
                  <pic:spPr>
                    <a:xfrm>
                      <a:off x="0" y="0"/>
                      <a:ext cx="5933440" cy="84010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4710" cy="8411845"/>
            <wp:effectExtent l="0" t="0" r="8890" b="8255"/>
            <wp:docPr id="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
                    <pic:cNvPicPr>
                      <a:picLocks noChangeAspect="1"/>
                    </pic:cNvPicPr>
                  </pic:nvPicPr>
                  <pic:blipFill>
                    <a:blip r:embed="rId70"/>
                    <a:stretch>
                      <a:fillRect/>
                    </a:stretch>
                  </pic:blipFill>
                  <pic:spPr>
                    <a:xfrm>
                      <a:off x="0" y="0"/>
                      <a:ext cx="5934710" cy="841184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4075" cy="8402955"/>
            <wp:effectExtent l="0" t="0" r="9525" b="4445"/>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71"/>
                    <a:stretch>
                      <a:fillRect/>
                    </a:stretch>
                  </pic:blipFill>
                  <pic:spPr>
                    <a:xfrm>
                      <a:off x="0" y="0"/>
                      <a:ext cx="5934075" cy="84029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4075" cy="8402955"/>
            <wp:effectExtent l="0" t="0" r="9525" b="4445"/>
            <wp:docPr id="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9"/>
                    <pic:cNvPicPr>
                      <a:picLocks noChangeAspect="1"/>
                    </pic:cNvPicPr>
                  </pic:nvPicPr>
                  <pic:blipFill>
                    <a:blip r:embed="rId72"/>
                    <a:stretch>
                      <a:fillRect/>
                    </a:stretch>
                  </pic:blipFill>
                  <pic:spPr>
                    <a:xfrm>
                      <a:off x="0" y="0"/>
                      <a:ext cx="5934075" cy="84029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4710" cy="8394700"/>
            <wp:effectExtent l="0" t="0" r="8890" b="0"/>
            <wp:docPr id="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
                    <pic:cNvPicPr>
                      <a:picLocks noChangeAspect="1"/>
                    </pic:cNvPicPr>
                  </pic:nvPicPr>
                  <pic:blipFill>
                    <a:blip r:embed="rId73"/>
                    <a:stretch>
                      <a:fillRect/>
                    </a:stretch>
                  </pic:blipFill>
                  <pic:spPr>
                    <a:xfrm>
                      <a:off x="0" y="0"/>
                      <a:ext cx="5934710" cy="83947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3440" cy="8392795"/>
            <wp:effectExtent l="0" t="0" r="10160" b="1905"/>
            <wp:docPr id="9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1"/>
                    <pic:cNvPicPr>
                      <a:picLocks noChangeAspect="1"/>
                    </pic:cNvPicPr>
                  </pic:nvPicPr>
                  <pic:blipFill>
                    <a:blip r:embed="rId74"/>
                    <a:stretch>
                      <a:fillRect/>
                    </a:stretch>
                  </pic:blipFill>
                  <pic:spPr>
                    <a:xfrm>
                      <a:off x="0" y="0"/>
                      <a:ext cx="5933440" cy="839279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5980" cy="8388350"/>
            <wp:effectExtent l="0" t="0" r="7620" b="6350"/>
            <wp:docPr id="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2"/>
                    <pic:cNvPicPr>
                      <a:picLocks noChangeAspect="1"/>
                    </pic:cNvPicPr>
                  </pic:nvPicPr>
                  <pic:blipFill>
                    <a:blip r:embed="rId75"/>
                    <a:stretch>
                      <a:fillRect/>
                    </a:stretch>
                  </pic:blipFill>
                  <pic:spPr>
                    <a:xfrm>
                      <a:off x="0" y="0"/>
                      <a:ext cx="5935980" cy="83883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4710" cy="8453755"/>
            <wp:effectExtent l="0" t="0" r="8890" b="4445"/>
            <wp:docPr id="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3"/>
                    <pic:cNvPicPr>
                      <a:picLocks noChangeAspect="1"/>
                    </pic:cNvPicPr>
                  </pic:nvPicPr>
                  <pic:blipFill>
                    <a:blip r:embed="rId76"/>
                    <a:stretch>
                      <a:fillRect/>
                    </a:stretch>
                  </pic:blipFill>
                  <pic:spPr>
                    <a:xfrm>
                      <a:off x="0" y="0"/>
                      <a:ext cx="5934710" cy="84537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33440" cy="8409305"/>
            <wp:effectExtent l="0" t="0" r="10160" b="10795"/>
            <wp:docPr id="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4"/>
                    <pic:cNvPicPr>
                      <a:picLocks noChangeAspect="1"/>
                    </pic:cNvPicPr>
                  </pic:nvPicPr>
                  <pic:blipFill>
                    <a:blip r:embed="rId77"/>
                    <a:stretch>
                      <a:fillRect/>
                    </a:stretch>
                  </pic:blipFill>
                  <pic:spPr>
                    <a:xfrm>
                      <a:off x="0" y="0"/>
                      <a:ext cx="5933440" cy="8409305"/>
                    </a:xfrm>
                    <a:prstGeom prst="rect">
                      <a:avLst/>
                    </a:prstGeom>
                    <a:noFill/>
                    <a:ln>
                      <a:noFill/>
                    </a:ln>
                  </pic:spPr>
                </pic:pic>
              </a:graphicData>
            </a:graphic>
          </wp:inline>
        </w:drawing>
      </w:r>
    </w:p>
    <w:p w14:paraId="340DC2A6">
      <w:pPr>
        <w:pageBreakBefore w:val="0"/>
        <w:wordWrap w:val="0"/>
        <w:bidi w:val="0"/>
        <w:rPr>
          <w:rFonts w:hint="default" w:ascii="Times New Roman" w:hAnsi="Times New Roman" w:cs="Times New Roman"/>
          <w:color w:val="auto"/>
          <w:highlight w:val="none"/>
        </w:rPr>
      </w:pPr>
    </w:p>
    <w:p w14:paraId="0B501F0C">
      <w:pPr>
        <w:pageBreakBefore w:val="0"/>
        <w:wordWrap w:val="0"/>
        <w:bidi w:val="0"/>
        <w:jc w:val="left"/>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附件8总量指标来源说明</w:t>
      </w:r>
      <w:r>
        <w:rPr>
          <w:rFonts w:hint="default" w:ascii="Times New Roman" w:hAnsi="Times New Roman" w:eastAsia="宋体" w:cs="Times New Roman"/>
          <w:color w:val="auto"/>
          <w:highlight w:val="none"/>
          <w:lang w:val="en-US" w:eastAsia="zh-CN"/>
        </w:rPr>
        <w:drawing>
          <wp:inline distT="0" distB="0" distL="114300" distR="114300">
            <wp:extent cx="5905500" cy="4175760"/>
            <wp:effectExtent l="0" t="0" r="0" b="2540"/>
            <wp:docPr id="16" name="图片 16" descr="新改扩建项目氮氧化物总量指标来源说明 乐昌鑫景源新材料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新改扩建项目氮氧化物总量指标来源说明 乐昌鑫景源新材料项目_01"/>
                    <pic:cNvPicPr>
                      <a:picLocks noChangeAspect="1"/>
                    </pic:cNvPicPr>
                  </pic:nvPicPr>
                  <pic:blipFill>
                    <a:blip r:embed="rId78"/>
                    <a:stretch>
                      <a:fillRect/>
                    </a:stretch>
                  </pic:blipFill>
                  <pic:spPr>
                    <a:xfrm>
                      <a:off x="0" y="0"/>
                      <a:ext cx="5905500" cy="4175760"/>
                    </a:xfrm>
                    <a:prstGeom prst="rect">
                      <a:avLst/>
                    </a:prstGeom>
                  </pic:spPr>
                </pic:pic>
              </a:graphicData>
            </a:graphic>
          </wp:inline>
        </w:drawing>
      </w:r>
    </w:p>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033F02F-AAFD-40BA-B87E-D59DB5AB6D19}"/>
  </w:font>
  <w:font w:name="Arial">
    <w:panose1 w:val="020B0604020202020204"/>
    <w:charset w:val="01"/>
    <w:family w:val="swiss"/>
    <w:pitch w:val="default"/>
    <w:sig w:usb0="E0002EFF" w:usb1="C000785B" w:usb2="00000009" w:usb3="00000000" w:csb0="400001FF" w:csb1="FFFF0000"/>
    <w:embedRegular r:id="rId2" w:fontKey="{FDA92A1F-2F04-4BD1-A7E1-DB28AF515904}"/>
  </w:font>
  <w:font w:name="黑体">
    <w:panose1 w:val="02010609060101010101"/>
    <w:charset w:val="86"/>
    <w:family w:val="auto"/>
    <w:pitch w:val="default"/>
    <w:sig w:usb0="800002BF" w:usb1="38CF7CFA" w:usb2="00000016" w:usb3="00000000" w:csb0="00040001" w:csb1="00000000"/>
    <w:embedRegular r:id="rId3" w:fontKey="{0B914A9D-C003-42BC-8B85-F807FF222DD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_GB2312">
    <w:panose1 w:val="02010609030101010101"/>
    <w:charset w:val="86"/>
    <w:family w:val="modern"/>
    <w:pitch w:val="default"/>
    <w:sig w:usb0="00000001" w:usb1="080E0000" w:usb2="00000000" w:usb3="00000000" w:csb0="00040000" w:csb1="00000000"/>
    <w:embedRegular r:id="rId4" w:fontKey="{03DE9B34-FCCD-4BD3-8479-FD93890B833A}"/>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embedRegular r:id="rId5" w:fontKey="{C80B8D2D-3AC3-48A3-876C-6D7FFEB9A21B}"/>
  </w:font>
  <w:font w:name="宋体.....">
    <w:altName w:val="宋体"/>
    <w:panose1 w:val="00000000000000000000"/>
    <w:charset w:val="86"/>
    <w:family w:val="roman"/>
    <w:pitch w:val="default"/>
    <w:sig w:usb0="00000000" w:usb1="00000000" w:usb2="00000010" w:usb3="00000000" w:csb0="00040000" w:csb1="00000000"/>
    <w:embedRegular r:id="rId6" w:fontKey="{7186A580-EB8D-48E0-A265-70C8490F8316}"/>
  </w:font>
  <w:font w:name="Wingdings 2">
    <w:panose1 w:val="05020102010507070707"/>
    <w:charset w:val="02"/>
    <w:family w:val="roman"/>
    <w:pitch w:val="default"/>
    <w:sig w:usb0="00000000" w:usb1="00000000" w:usb2="00000000" w:usb3="00000000" w:csb0="80000000" w:csb1="00000000"/>
    <w:embedRegular r:id="rId7" w:fontKey="{45247694-E68E-4EE9-B3D4-0163555264E7}"/>
  </w:font>
  <w:font w:name="Cambria Math">
    <w:panose1 w:val="02040503050406030204"/>
    <w:charset w:val="00"/>
    <w:family w:val="auto"/>
    <w:pitch w:val="default"/>
    <w:sig w:usb0="E00006FF" w:usb1="420024FF" w:usb2="02000000" w:usb3="00000000" w:csb0="2000019F" w:csb1="00000000"/>
    <w:embedRegular r:id="rId8" w:fontKey="{CBD73B17-2737-4DC5-AA1D-89BBC4246961}"/>
  </w:font>
  <w:font w:name="方正小标宋_GBK">
    <w:panose1 w:val="02000000000000000000"/>
    <w:charset w:val="86"/>
    <w:family w:val="script"/>
    <w:pitch w:val="default"/>
    <w:sig w:usb0="A00002BF" w:usb1="38CF7CFA" w:usb2="00082016" w:usb3="00000000" w:csb0="00040001" w:csb1="00000000"/>
    <w:embedRegular r:id="rId9" w:fontKey="{465545AA-FD4D-40B0-9BD5-BAF0413CA7EC}"/>
  </w:font>
  <w:font w:name="WPSEMBED1">
    <w:panose1 w:val="02010609030101010101"/>
    <w:charset w:val="86"/>
    <w:family w:val="auto"/>
    <w:pitch w:val="default"/>
    <w:sig w:usb0="00000001" w:usb1="080E0000" w:usb2="00000000" w:usb3="00000000" w:csb0="00040000" w:csb1="00000000"/>
  </w:font>
  <w:font w:name="WPSEMBED2">
    <w:panose1 w:val="02000000000000000000"/>
    <w:charset w:val="86"/>
    <w:family w:val="auto"/>
    <w:pitch w:val="default"/>
    <w:sig w:usb0="A00002BF" w:usb1="38CF7CFA"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0DB6F">
    <w:pPr>
      <w:pStyle w:val="2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2601E6">
    <w:pPr>
      <w:pStyle w:val="25"/>
      <w:framePr w:wrap="around" w:vAnchor="text" w:hAnchor="margin" w:xAlign="center" w:y="1"/>
      <w:rPr>
        <w:rStyle w:val="40"/>
      </w:rPr>
    </w:pPr>
    <w:r>
      <w:fldChar w:fldCharType="begin"/>
    </w:r>
    <w:r>
      <w:rPr>
        <w:rStyle w:val="40"/>
      </w:rPr>
      <w:instrText xml:space="preserve">PAGE  </w:instrText>
    </w:r>
    <w:r>
      <w:fldChar w:fldCharType="end"/>
    </w:r>
  </w:p>
  <w:p w14:paraId="06521EA1">
    <w:pPr>
      <w:pStyle w:val="2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6A592">
    <w:pPr>
      <w:pStyle w:val="2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7EB215">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E7EB215">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75817">
    <w:pPr>
      <w:tabs>
        <w:tab w:val="center" w:pos="4153"/>
        <w:tab w:val="right" w:pos="8306"/>
      </w:tabs>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78F746">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7378F746">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00E9B5"/>
    <w:multiLevelType w:val="singleLevel"/>
    <w:tmpl w:val="BB00E9B5"/>
    <w:lvl w:ilvl="0" w:tentative="0">
      <w:start w:val="1"/>
      <w:numFmt w:val="decimal"/>
      <w:pStyle w:val="106"/>
      <w:suff w:val="space"/>
      <w:lvlText w:val="表2-%1"/>
      <w:lvlJc w:val="center"/>
      <w:pPr>
        <w:tabs>
          <w:tab w:val="left" w:pos="0"/>
        </w:tabs>
        <w:ind w:left="0" w:leftChars="0" w:firstLine="0" w:firstLineChars="0"/>
      </w:pPr>
      <w:rPr>
        <w:rFonts w:hint="default" w:ascii="Times New Roman" w:hAnsi="Times New Roman"/>
        <w:b/>
        <w:bCs/>
        <w:snapToGrid w:val="0"/>
        <w:color w:val="auto"/>
        <w:sz w:val="21"/>
        <w:szCs w:val="21"/>
      </w:rPr>
    </w:lvl>
  </w:abstractNum>
  <w:abstractNum w:abstractNumId="1">
    <w:nsid w:val="C0095D60"/>
    <w:multiLevelType w:val="singleLevel"/>
    <w:tmpl w:val="C0095D60"/>
    <w:lvl w:ilvl="0" w:tentative="0">
      <w:start w:val="1"/>
      <w:numFmt w:val="bullet"/>
      <w:pStyle w:val="18"/>
      <w:lvlText w:val=""/>
      <w:lvlJc w:val="left"/>
      <w:pPr>
        <w:tabs>
          <w:tab w:val="left" w:pos="780"/>
        </w:tabs>
        <w:ind w:left="840" w:hanging="360"/>
      </w:pPr>
      <w:rPr>
        <w:rFonts w:hint="default" w:ascii="Wingdings" w:hAnsi="Wingdings"/>
      </w:rPr>
    </w:lvl>
  </w:abstractNum>
  <w:abstractNum w:abstractNumId="2">
    <w:nsid w:val="C7FA74B9"/>
    <w:multiLevelType w:val="singleLevel"/>
    <w:tmpl w:val="C7FA74B9"/>
    <w:lvl w:ilvl="0" w:tentative="0">
      <w:start w:val="4"/>
      <w:numFmt w:val="decimal"/>
      <w:suff w:val="nothing"/>
      <w:lvlText w:val="%1、"/>
      <w:lvlJc w:val="left"/>
    </w:lvl>
  </w:abstractNum>
  <w:abstractNum w:abstractNumId="3">
    <w:nsid w:val="D0FA49B2"/>
    <w:multiLevelType w:val="multilevel"/>
    <w:tmpl w:val="D0FA49B2"/>
    <w:lvl w:ilvl="0" w:tentative="0">
      <w:start w:val="1"/>
      <w:numFmt w:val="decimal"/>
      <w:pStyle w:val="103"/>
      <w:suff w:val="space"/>
      <w:lvlText w:val="%1."/>
      <w:lvlJc w:val="left"/>
      <w:pPr>
        <w:tabs>
          <w:tab w:val="left" w:pos="0"/>
        </w:tabs>
        <w:ind w:left="0" w:firstLine="482"/>
      </w:pPr>
      <w:rPr>
        <w:rFonts w:hint="default"/>
        <w:b/>
        <w:bCs/>
        <w:color w:val="000000" w:themeColor="text1"/>
        <w:sz w:val="24"/>
        <w:szCs w:val="24"/>
        <w14:textFill>
          <w14:solidFill>
            <w14:schemeClr w14:val="tx1"/>
          </w14:solidFill>
        </w14:textFill>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3"/>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4"/>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5"/>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6"/>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7"/>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5">
    <w:nsid w:val="45D0DA85"/>
    <w:multiLevelType w:val="singleLevel"/>
    <w:tmpl w:val="45D0DA85"/>
    <w:lvl w:ilvl="0" w:tentative="0">
      <w:start w:val="1"/>
      <w:numFmt w:val="chineseCounting"/>
      <w:pStyle w:val="2"/>
      <w:suff w:val="nothing"/>
      <w:lvlText w:val="%1、"/>
      <w:lvlJc w:val="left"/>
      <w:pPr>
        <w:tabs>
          <w:tab w:val="left" w:pos="0"/>
        </w:tabs>
        <w:ind w:left="0" w:firstLine="0"/>
      </w:pPr>
      <w:rPr>
        <w:rFonts w:hint="eastAsia" w:ascii="黑体" w:hAnsi="黑体" w:eastAsia="黑体" w:cs="黑体"/>
        <w:sz w:val="30"/>
        <w:szCs w:val="30"/>
      </w:rPr>
    </w:lvl>
  </w:abstractNum>
  <w:abstractNum w:abstractNumId="6">
    <w:nsid w:val="71E5EBCC"/>
    <w:multiLevelType w:val="singleLevel"/>
    <w:tmpl w:val="71E5EBCC"/>
    <w:lvl w:ilvl="0" w:tentative="0">
      <w:start w:val="1"/>
      <w:numFmt w:val="decimal"/>
      <w:suff w:val="space"/>
      <w:lvlText w:val="图4-%1"/>
      <w:lvlJc w:val="left"/>
      <w:pPr>
        <w:tabs>
          <w:tab w:val="left" w:pos="0"/>
        </w:tabs>
        <w:ind w:left="0" w:firstLine="0"/>
      </w:pPr>
      <w:rPr>
        <w:rFonts w:hint="default"/>
        <w:b/>
        <w:sz w:val="21"/>
        <w:szCs w:val="21"/>
      </w:rPr>
    </w:lvl>
  </w:abstractNum>
  <w:abstractNum w:abstractNumId="7">
    <w:nsid w:val="7E84E819"/>
    <w:multiLevelType w:val="singleLevel"/>
    <w:tmpl w:val="7E84E819"/>
    <w:lvl w:ilvl="0" w:tentative="0">
      <w:start w:val="1"/>
      <w:numFmt w:val="decimal"/>
      <w:pStyle w:val="101"/>
      <w:suff w:val="space"/>
      <w:lvlText w:val="表1-%1"/>
      <w:lvlJc w:val="center"/>
      <w:pPr>
        <w:tabs>
          <w:tab w:val="left" w:pos="0"/>
        </w:tabs>
        <w:ind w:left="0" w:leftChars="0" w:firstLine="0" w:firstLineChars="0"/>
      </w:pPr>
      <w:rPr>
        <w:rFonts w:hint="default" w:ascii="Times New Roman" w:hAnsi="Times New Roman"/>
        <w:b/>
        <w:bCs/>
        <w:sz w:val="21"/>
        <w:szCs w:val="21"/>
      </w:rPr>
    </w:lvl>
  </w:abstractNum>
  <w:num w:numId="1">
    <w:abstractNumId w:val="5"/>
  </w:num>
  <w:num w:numId="2">
    <w:abstractNumId w:val="4"/>
  </w:num>
  <w:num w:numId="3">
    <w:abstractNumId w:val="1"/>
  </w:num>
  <w:num w:numId="4">
    <w:abstractNumId w:val="7"/>
  </w:num>
  <w:num w:numId="5">
    <w:abstractNumId w:val="3"/>
  </w:num>
  <w:num w:numId="6">
    <w:abstractNumId w:val="0"/>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UyNDcyZGYxNTIwMTQzNTc1ZDc3ZDQ4NzdiYTc5YzYifQ=="/>
  </w:docVars>
  <w:rsids>
    <w:rsidRoot w:val="391A40A5"/>
    <w:rsid w:val="000942B7"/>
    <w:rsid w:val="00123FAB"/>
    <w:rsid w:val="00167DCA"/>
    <w:rsid w:val="001A451A"/>
    <w:rsid w:val="002E52BE"/>
    <w:rsid w:val="00335488"/>
    <w:rsid w:val="004444F8"/>
    <w:rsid w:val="00550A0D"/>
    <w:rsid w:val="005815DD"/>
    <w:rsid w:val="005E746A"/>
    <w:rsid w:val="006102F2"/>
    <w:rsid w:val="006836D3"/>
    <w:rsid w:val="006B31FD"/>
    <w:rsid w:val="00757F6A"/>
    <w:rsid w:val="00770CC3"/>
    <w:rsid w:val="008775D9"/>
    <w:rsid w:val="00A0320F"/>
    <w:rsid w:val="00A25BBC"/>
    <w:rsid w:val="00B2002E"/>
    <w:rsid w:val="00BE3286"/>
    <w:rsid w:val="00C35380"/>
    <w:rsid w:val="00ED4F6A"/>
    <w:rsid w:val="00F22E95"/>
    <w:rsid w:val="01267257"/>
    <w:rsid w:val="012D0A79"/>
    <w:rsid w:val="016A6FD7"/>
    <w:rsid w:val="01747E56"/>
    <w:rsid w:val="019A5999"/>
    <w:rsid w:val="019F7A72"/>
    <w:rsid w:val="01A43617"/>
    <w:rsid w:val="01FE5D1A"/>
    <w:rsid w:val="0202605F"/>
    <w:rsid w:val="020C4532"/>
    <w:rsid w:val="02113D54"/>
    <w:rsid w:val="021358C1"/>
    <w:rsid w:val="022B0E5C"/>
    <w:rsid w:val="02347400"/>
    <w:rsid w:val="02360531"/>
    <w:rsid w:val="024D36FC"/>
    <w:rsid w:val="024E4271"/>
    <w:rsid w:val="02667C85"/>
    <w:rsid w:val="029861A6"/>
    <w:rsid w:val="02A3122C"/>
    <w:rsid w:val="02F474A0"/>
    <w:rsid w:val="03051984"/>
    <w:rsid w:val="032E03C1"/>
    <w:rsid w:val="03353615"/>
    <w:rsid w:val="03465822"/>
    <w:rsid w:val="034A5312"/>
    <w:rsid w:val="03546191"/>
    <w:rsid w:val="03716D43"/>
    <w:rsid w:val="03851643"/>
    <w:rsid w:val="03911568"/>
    <w:rsid w:val="03976126"/>
    <w:rsid w:val="03AD10F9"/>
    <w:rsid w:val="03AF56AE"/>
    <w:rsid w:val="03F43164"/>
    <w:rsid w:val="03F84D6E"/>
    <w:rsid w:val="0401532F"/>
    <w:rsid w:val="04170318"/>
    <w:rsid w:val="042F62B6"/>
    <w:rsid w:val="043D09D3"/>
    <w:rsid w:val="04503AA7"/>
    <w:rsid w:val="04531FA4"/>
    <w:rsid w:val="04670A0E"/>
    <w:rsid w:val="046F132D"/>
    <w:rsid w:val="0477576C"/>
    <w:rsid w:val="047A792A"/>
    <w:rsid w:val="047F2D99"/>
    <w:rsid w:val="0483579F"/>
    <w:rsid w:val="04A86794"/>
    <w:rsid w:val="04B8233A"/>
    <w:rsid w:val="04BD38C2"/>
    <w:rsid w:val="04DA0DE4"/>
    <w:rsid w:val="04F03C97"/>
    <w:rsid w:val="05247BA4"/>
    <w:rsid w:val="052D4EEB"/>
    <w:rsid w:val="05412745"/>
    <w:rsid w:val="05791EDF"/>
    <w:rsid w:val="05B11678"/>
    <w:rsid w:val="05E67351"/>
    <w:rsid w:val="05F0475E"/>
    <w:rsid w:val="0609596A"/>
    <w:rsid w:val="062E0F1B"/>
    <w:rsid w:val="06314567"/>
    <w:rsid w:val="066E1C4D"/>
    <w:rsid w:val="06982838"/>
    <w:rsid w:val="06C757C6"/>
    <w:rsid w:val="06D9134C"/>
    <w:rsid w:val="06F753B6"/>
    <w:rsid w:val="0705614B"/>
    <w:rsid w:val="07091BE6"/>
    <w:rsid w:val="071C0D73"/>
    <w:rsid w:val="0737795B"/>
    <w:rsid w:val="07474999"/>
    <w:rsid w:val="076253D7"/>
    <w:rsid w:val="07804B61"/>
    <w:rsid w:val="07B21F10"/>
    <w:rsid w:val="07D7113E"/>
    <w:rsid w:val="07E15B19"/>
    <w:rsid w:val="080878C8"/>
    <w:rsid w:val="081D0886"/>
    <w:rsid w:val="082767DD"/>
    <w:rsid w:val="08330E19"/>
    <w:rsid w:val="08496777"/>
    <w:rsid w:val="0863550D"/>
    <w:rsid w:val="088F549F"/>
    <w:rsid w:val="08A40A51"/>
    <w:rsid w:val="08A90D2D"/>
    <w:rsid w:val="08B65A85"/>
    <w:rsid w:val="08B73F0A"/>
    <w:rsid w:val="08F03922"/>
    <w:rsid w:val="09291221"/>
    <w:rsid w:val="09300B22"/>
    <w:rsid w:val="093446A7"/>
    <w:rsid w:val="09425A0C"/>
    <w:rsid w:val="09442C49"/>
    <w:rsid w:val="0944508B"/>
    <w:rsid w:val="096C38BB"/>
    <w:rsid w:val="09837DC3"/>
    <w:rsid w:val="099F36E6"/>
    <w:rsid w:val="09AF4121"/>
    <w:rsid w:val="09D9119E"/>
    <w:rsid w:val="0A1B5AFA"/>
    <w:rsid w:val="0A3763AF"/>
    <w:rsid w:val="0A7113D6"/>
    <w:rsid w:val="0A825391"/>
    <w:rsid w:val="0AA74C7A"/>
    <w:rsid w:val="0AE918B4"/>
    <w:rsid w:val="0AEF497D"/>
    <w:rsid w:val="0B3111E4"/>
    <w:rsid w:val="0B574A70"/>
    <w:rsid w:val="0B723658"/>
    <w:rsid w:val="0B8F5C8E"/>
    <w:rsid w:val="0B941820"/>
    <w:rsid w:val="0B9E6666"/>
    <w:rsid w:val="0BA143EE"/>
    <w:rsid w:val="0BAB2C6B"/>
    <w:rsid w:val="0BE43E2A"/>
    <w:rsid w:val="0BF26547"/>
    <w:rsid w:val="0C0B585A"/>
    <w:rsid w:val="0C220F90"/>
    <w:rsid w:val="0C2319D0"/>
    <w:rsid w:val="0C272694"/>
    <w:rsid w:val="0C38197A"/>
    <w:rsid w:val="0C3861FB"/>
    <w:rsid w:val="0C41302A"/>
    <w:rsid w:val="0C5262F1"/>
    <w:rsid w:val="0CCC5E6B"/>
    <w:rsid w:val="0CD86EBA"/>
    <w:rsid w:val="0CFE3B46"/>
    <w:rsid w:val="0D01243A"/>
    <w:rsid w:val="0D166265"/>
    <w:rsid w:val="0D1C170F"/>
    <w:rsid w:val="0D3D5EE8"/>
    <w:rsid w:val="0D5F5E5E"/>
    <w:rsid w:val="0D934BD1"/>
    <w:rsid w:val="0D9755F8"/>
    <w:rsid w:val="0DA83733"/>
    <w:rsid w:val="0DAF0B93"/>
    <w:rsid w:val="0DBE178D"/>
    <w:rsid w:val="0DCB71B5"/>
    <w:rsid w:val="0DF02F5A"/>
    <w:rsid w:val="0E0C355A"/>
    <w:rsid w:val="0E1327A4"/>
    <w:rsid w:val="0E2C237A"/>
    <w:rsid w:val="0E2C6CD5"/>
    <w:rsid w:val="0E39220B"/>
    <w:rsid w:val="0E3A41D5"/>
    <w:rsid w:val="0E4D7808"/>
    <w:rsid w:val="0E6108C5"/>
    <w:rsid w:val="0EB83A78"/>
    <w:rsid w:val="0EB85E3C"/>
    <w:rsid w:val="0ED15C06"/>
    <w:rsid w:val="0ED516DB"/>
    <w:rsid w:val="0EE20AF5"/>
    <w:rsid w:val="0EE80660"/>
    <w:rsid w:val="0EF56D77"/>
    <w:rsid w:val="0F0C3C6F"/>
    <w:rsid w:val="0F1574E5"/>
    <w:rsid w:val="0F1669F0"/>
    <w:rsid w:val="0F271D42"/>
    <w:rsid w:val="0F3E56E9"/>
    <w:rsid w:val="0F4075C9"/>
    <w:rsid w:val="0F4E618A"/>
    <w:rsid w:val="0F653515"/>
    <w:rsid w:val="0F9242C9"/>
    <w:rsid w:val="0FA8775E"/>
    <w:rsid w:val="0FBA2891"/>
    <w:rsid w:val="0FC71A98"/>
    <w:rsid w:val="0FD2721B"/>
    <w:rsid w:val="0FE02DA7"/>
    <w:rsid w:val="0FF26B15"/>
    <w:rsid w:val="0FF5697A"/>
    <w:rsid w:val="0FF860F6"/>
    <w:rsid w:val="0FF94348"/>
    <w:rsid w:val="102B64CB"/>
    <w:rsid w:val="10377407"/>
    <w:rsid w:val="104F0330"/>
    <w:rsid w:val="10611EED"/>
    <w:rsid w:val="108E7685"/>
    <w:rsid w:val="10A6309A"/>
    <w:rsid w:val="10B84804"/>
    <w:rsid w:val="10BE66B4"/>
    <w:rsid w:val="10CB6DDE"/>
    <w:rsid w:val="10CF433D"/>
    <w:rsid w:val="10ED6D2A"/>
    <w:rsid w:val="11005262"/>
    <w:rsid w:val="11112840"/>
    <w:rsid w:val="111B3BF8"/>
    <w:rsid w:val="112F78F5"/>
    <w:rsid w:val="11362E92"/>
    <w:rsid w:val="11513D10"/>
    <w:rsid w:val="11592BC4"/>
    <w:rsid w:val="115B4679"/>
    <w:rsid w:val="118F65E6"/>
    <w:rsid w:val="11967974"/>
    <w:rsid w:val="11A26379"/>
    <w:rsid w:val="11B05D16"/>
    <w:rsid w:val="11BD1AE3"/>
    <w:rsid w:val="11C83328"/>
    <w:rsid w:val="12117501"/>
    <w:rsid w:val="121B0BF2"/>
    <w:rsid w:val="121D7571"/>
    <w:rsid w:val="126D23C0"/>
    <w:rsid w:val="127203E1"/>
    <w:rsid w:val="12745A53"/>
    <w:rsid w:val="127F128E"/>
    <w:rsid w:val="1292334A"/>
    <w:rsid w:val="129D78DE"/>
    <w:rsid w:val="129E6F9D"/>
    <w:rsid w:val="12B94205"/>
    <w:rsid w:val="12E1396E"/>
    <w:rsid w:val="12E22309"/>
    <w:rsid w:val="12E37DDF"/>
    <w:rsid w:val="12E60488"/>
    <w:rsid w:val="12F0630A"/>
    <w:rsid w:val="130942CF"/>
    <w:rsid w:val="13176561"/>
    <w:rsid w:val="13185401"/>
    <w:rsid w:val="131E5E73"/>
    <w:rsid w:val="13274D28"/>
    <w:rsid w:val="132B2E00"/>
    <w:rsid w:val="13493ED5"/>
    <w:rsid w:val="134D2B55"/>
    <w:rsid w:val="13781A27"/>
    <w:rsid w:val="1384741B"/>
    <w:rsid w:val="13961EAE"/>
    <w:rsid w:val="13B448C6"/>
    <w:rsid w:val="13C7650B"/>
    <w:rsid w:val="141C5ABA"/>
    <w:rsid w:val="143F42F3"/>
    <w:rsid w:val="14587163"/>
    <w:rsid w:val="146B333A"/>
    <w:rsid w:val="146E4B79"/>
    <w:rsid w:val="14B96283"/>
    <w:rsid w:val="14C319DD"/>
    <w:rsid w:val="151B001E"/>
    <w:rsid w:val="151C682B"/>
    <w:rsid w:val="1537350F"/>
    <w:rsid w:val="155F3E95"/>
    <w:rsid w:val="15612513"/>
    <w:rsid w:val="15B74558"/>
    <w:rsid w:val="15CD77EF"/>
    <w:rsid w:val="15E01ADC"/>
    <w:rsid w:val="15FA2BC8"/>
    <w:rsid w:val="160752E5"/>
    <w:rsid w:val="16117F11"/>
    <w:rsid w:val="16573B76"/>
    <w:rsid w:val="16B014D8"/>
    <w:rsid w:val="16E6314C"/>
    <w:rsid w:val="16F21CD6"/>
    <w:rsid w:val="172B4B3F"/>
    <w:rsid w:val="17563E2E"/>
    <w:rsid w:val="17681DB3"/>
    <w:rsid w:val="176F4EEF"/>
    <w:rsid w:val="17A76529"/>
    <w:rsid w:val="17BC5E6D"/>
    <w:rsid w:val="17C70888"/>
    <w:rsid w:val="17CB22C5"/>
    <w:rsid w:val="17D21747"/>
    <w:rsid w:val="17D60FD0"/>
    <w:rsid w:val="17EE050A"/>
    <w:rsid w:val="17FF3F7F"/>
    <w:rsid w:val="180D7024"/>
    <w:rsid w:val="181635BD"/>
    <w:rsid w:val="183A304A"/>
    <w:rsid w:val="1869680E"/>
    <w:rsid w:val="186D2D55"/>
    <w:rsid w:val="186D58D3"/>
    <w:rsid w:val="18844595"/>
    <w:rsid w:val="18B3705E"/>
    <w:rsid w:val="18B708FC"/>
    <w:rsid w:val="18C33A94"/>
    <w:rsid w:val="18C60819"/>
    <w:rsid w:val="18D624C5"/>
    <w:rsid w:val="18DB187A"/>
    <w:rsid w:val="18E7733B"/>
    <w:rsid w:val="18EE0096"/>
    <w:rsid w:val="19073506"/>
    <w:rsid w:val="19107799"/>
    <w:rsid w:val="19137AFC"/>
    <w:rsid w:val="197100DD"/>
    <w:rsid w:val="197900D4"/>
    <w:rsid w:val="19817796"/>
    <w:rsid w:val="19832C36"/>
    <w:rsid w:val="19836A30"/>
    <w:rsid w:val="199210FF"/>
    <w:rsid w:val="19A30E80"/>
    <w:rsid w:val="19B35414"/>
    <w:rsid w:val="19BF2B8F"/>
    <w:rsid w:val="19D674A8"/>
    <w:rsid w:val="19E641DE"/>
    <w:rsid w:val="19EB7B6F"/>
    <w:rsid w:val="1A2A4B9C"/>
    <w:rsid w:val="1A2E0F1B"/>
    <w:rsid w:val="1A420E51"/>
    <w:rsid w:val="1A58610F"/>
    <w:rsid w:val="1A6E76E0"/>
    <w:rsid w:val="1A954C6D"/>
    <w:rsid w:val="1A9C4D38"/>
    <w:rsid w:val="1AA53898"/>
    <w:rsid w:val="1AE41750"/>
    <w:rsid w:val="1AE9320B"/>
    <w:rsid w:val="1AF30CD1"/>
    <w:rsid w:val="1B311082"/>
    <w:rsid w:val="1B4622BD"/>
    <w:rsid w:val="1B516EFF"/>
    <w:rsid w:val="1B600D30"/>
    <w:rsid w:val="1B6238C2"/>
    <w:rsid w:val="1B633EB5"/>
    <w:rsid w:val="1B6D1746"/>
    <w:rsid w:val="1B865037"/>
    <w:rsid w:val="1B903135"/>
    <w:rsid w:val="1BB966A3"/>
    <w:rsid w:val="1BBE0513"/>
    <w:rsid w:val="1BC44E2B"/>
    <w:rsid w:val="1BF16E10"/>
    <w:rsid w:val="1BFB28A1"/>
    <w:rsid w:val="1BFB31F6"/>
    <w:rsid w:val="1C2068C4"/>
    <w:rsid w:val="1C2C1601"/>
    <w:rsid w:val="1C4E5A88"/>
    <w:rsid w:val="1C541E1C"/>
    <w:rsid w:val="1C812C8B"/>
    <w:rsid w:val="1C843139"/>
    <w:rsid w:val="1C8A5463"/>
    <w:rsid w:val="1C8E406A"/>
    <w:rsid w:val="1C9571A6"/>
    <w:rsid w:val="1C984EE8"/>
    <w:rsid w:val="1CEC6D05"/>
    <w:rsid w:val="1D0A1D1B"/>
    <w:rsid w:val="1D1C0494"/>
    <w:rsid w:val="1D292E7F"/>
    <w:rsid w:val="1D5030CD"/>
    <w:rsid w:val="1D542BD8"/>
    <w:rsid w:val="1D5C7CC4"/>
    <w:rsid w:val="1D792911"/>
    <w:rsid w:val="1D7E3FDB"/>
    <w:rsid w:val="1D9A4E1B"/>
    <w:rsid w:val="1DC73AF7"/>
    <w:rsid w:val="1DC93DD6"/>
    <w:rsid w:val="1E0D4B76"/>
    <w:rsid w:val="1E333CD3"/>
    <w:rsid w:val="1E901B40"/>
    <w:rsid w:val="1EBF050A"/>
    <w:rsid w:val="1ECE4BF1"/>
    <w:rsid w:val="1EE70EC1"/>
    <w:rsid w:val="1F0D47FF"/>
    <w:rsid w:val="1F163E32"/>
    <w:rsid w:val="1F47475D"/>
    <w:rsid w:val="1F6115C2"/>
    <w:rsid w:val="1F680139"/>
    <w:rsid w:val="1F8B663F"/>
    <w:rsid w:val="1FA06E96"/>
    <w:rsid w:val="1FBF3557"/>
    <w:rsid w:val="1FDD2182"/>
    <w:rsid w:val="1FEA7809"/>
    <w:rsid w:val="1FFB1133"/>
    <w:rsid w:val="1FFD0BB3"/>
    <w:rsid w:val="20146634"/>
    <w:rsid w:val="201B48BE"/>
    <w:rsid w:val="201E3957"/>
    <w:rsid w:val="2020322B"/>
    <w:rsid w:val="202A5E57"/>
    <w:rsid w:val="20375FA9"/>
    <w:rsid w:val="207B6D66"/>
    <w:rsid w:val="20BD6CCC"/>
    <w:rsid w:val="20C958AB"/>
    <w:rsid w:val="20E701EC"/>
    <w:rsid w:val="20F535C1"/>
    <w:rsid w:val="20FD10C7"/>
    <w:rsid w:val="2107010B"/>
    <w:rsid w:val="2129610F"/>
    <w:rsid w:val="21302F42"/>
    <w:rsid w:val="21BF0821"/>
    <w:rsid w:val="221053AC"/>
    <w:rsid w:val="221D3573"/>
    <w:rsid w:val="22364E30"/>
    <w:rsid w:val="226E709F"/>
    <w:rsid w:val="227855A0"/>
    <w:rsid w:val="2292474D"/>
    <w:rsid w:val="2298548A"/>
    <w:rsid w:val="22A2261D"/>
    <w:rsid w:val="22B041C1"/>
    <w:rsid w:val="22BC2F77"/>
    <w:rsid w:val="22BE6D2B"/>
    <w:rsid w:val="22D64075"/>
    <w:rsid w:val="22DD4093"/>
    <w:rsid w:val="22E04EF3"/>
    <w:rsid w:val="230F15B6"/>
    <w:rsid w:val="231828DF"/>
    <w:rsid w:val="232E686C"/>
    <w:rsid w:val="23307C29"/>
    <w:rsid w:val="2345037B"/>
    <w:rsid w:val="236F447F"/>
    <w:rsid w:val="237567D0"/>
    <w:rsid w:val="237B69CA"/>
    <w:rsid w:val="2398757C"/>
    <w:rsid w:val="23A55DBB"/>
    <w:rsid w:val="23D1047F"/>
    <w:rsid w:val="23E97DD8"/>
    <w:rsid w:val="24030E99"/>
    <w:rsid w:val="2427584A"/>
    <w:rsid w:val="244B0A92"/>
    <w:rsid w:val="24621713"/>
    <w:rsid w:val="2463402E"/>
    <w:rsid w:val="24677D51"/>
    <w:rsid w:val="24704055"/>
    <w:rsid w:val="249C309C"/>
    <w:rsid w:val="25422D55"/>
    <w:rsid w:val="25457290"/>
    <w:rsid w:val="254A0BBB"/>
    <w:rsid w:val="254A4791"/>
    <w:rsid w:val="257F11D4"/>
    <w:rsid w:val="25CB61FB"/>
    <w:rsid w:val="25D16D75"/>
    <w:rsid w:val="25E34648"/>
    <w:rsid w:val="2611258E"/>
    <w:rsid w:val="263F0183"/>
    <w:rsid w:val="26577050"/>
    <w:rsid w:val="265E4AAD"/>
    <w:rsid w:val="266B541C"/>
    <w:rsid w:val="267D46FE"/>
    <w:rsid w:val="26BB5A5B"/>
    <w:rsid w:val="26D46B1D"/>
    <w:rsid w:val="26D575C9"/>
    <w:rsid w:val="26E72CF4"/>
    <w:rsid w:val="26FB5289"/>
    <w:rsid w:val="27183439"/>
    <w:rsid w:val="27604855"/>
    <w:rsid w:val="277C7BD6"/>
    <w:rsid w:val="277F117F"/>
    <w:rsid w:val="27A5065C"/>
    <w:rsid w:val="27C55836"/>
    <w:rsid w:val="27C837A9"/>
    <w:rsid w:val="27E06649"/>
    <w:rsid w:val="27E2603F"/>
    <w:rsid w:val="27F10124"/>
    <w:rsid w:val="281A4A03"/>
    <w:rsid w:val="28332823"/>
    <w:rsid w:val="2852419D"/>
    <w:rsid w:val="28711C86"/>
    <w:rsid w:val="287319DF"/>
    <w:rsid w:val="288F2A2D"/>
    <w:rsid w:val="28991DCC"/>
    <w:rsid w:val="28A101C9"/>
    <w:rsid w:val="28BE142A"/>
    <w:rsid w:val="28C97878"/>
    <w:rsid w:val="28DD1D90"/>
    <w:rsid w:val="28E54EB5"/>
    <w:rsid w:val="28E646FA"/>
    <w:rsid w:val="291467FA"/>
    <w:rsid w:val="291D29FD"/>
    <w:rsid w:val="292A511A"/>
    <w:rsid w:val="29502D0C"/>
    <w:rsid w:val="29585ED1"/>
    <w:rsid w:val="295F4BB8"/>
    <w:rsid w:val="29A21154"/>
    <w:rsid w:val="29BB2216"/>
    <w:rsid w:val="29C63095"/>
    <w:rsid w:val="29CB2BAE"/>
    <w:rsid w:val="29EB48A9"/>
    <w:rsid w:val="2A035680"/>
    <w:rsid w:val="2A201DF5"/>
    <w:rsid w:val="2A2B114A"/>
    <w:rsid w:val="2A3155E4"/>
    <w:rsid w:val="2A4B359A"/>
    <w:rsid w:val="2A4F7A8C"/>
    <w:rsid w:val="2A7E2798"/>
    <w:rsid w:val="2A866380"/>
    <w:rsid w:val="2A9A7E65"/>
    <w:rsid w:val="2AA208E8"/>
    <w:rsid w:val="2AA902C1"/>
    <w:rsid w:val="2AB23619"/>
    <w:rsid w:val="2AB47391"/>
    <w:rsid w:val="2AC21BC1"/>
    <w:rsid w:val="2AFA11D3"/>
    <w:rsid w:val="2AFD45BE"/>
    <w:rsid w:val="2B261911"/>
    <w:rsid w:val="2B424D7B"/>
    <w:rsid w:val="2B597F39"/>
    <w:rsid w:val="2B7A6C11"/>
    <w:rsid w:val="2B876854"/>
    <w:rsid w:val="2B8B079A"/>
    <w:rsid w:val="2BA618C3"/>
    <w:rsid w:val="2BCE6231"/>
    <w:rsid w:val="2BDE43AD"/>
    <w:rsid w:val="2BFB2D9E"/>
    <w:rsid w:val="2C1B13EE"/>
    <w:rsid w:val="2C8C39F6"/>
    <w:rsid w:val="2C956D4E"/>
    <w:rsid w:val="2CB00D1E"/>
    <w:rsid w:val="2CBF201D"/>
    <w:rsid w:val="2CD258AD"/>
    <w:rsid w:val="2CD930DF"/>
    <w:rsid w:val="2CE51A84"/>
    <w:rsid w:val="2CE5342A"/>
    <w:rsid w:val="2CE907D5"/>
    <w:rsid w:val="2D0A0B9F"/>
    <w:rsid w:val="2D1B478D"/>
    <w:rsid w:val="2D2D6F87"/>
    <w:rsid w:val="2D3622E0"/>
    <w:rsid w:val="2D3C2738"/>
    <w:rsid w:val="2D401748"/>
    <w:rsid w:val="2D522E91"/>
    <w:rsid w:val="2D5269EE"/>
    <w:rsid w:val="2D5704A8"/>
    <w:rsid w:val="2D71156A"/>
    <w:rsid w:val="2DB609C9"/>
    <w:rsid w:val="2DBD030B"/>
    <w:rsid w:val="2DFB0E33"/>
    <w:rsid w:val="2E03208E"/>
    <w:rsid w:val="2E0C3040"/>
    <w:rsid w:val="2E1E2153"/>
    <w:rsid w:val="2E2B796A"/>
    <w:rsid w:val="2E304F81"/>
    <w:rsid w:val="2E3634BD"/>
    <w:rsid w:val="2E734E6D"/>
    <w:rsid w:val="2E864E16"/>
    <w:rsid w:val="2E920333"/>
    <w:rsid w:val="2EB321FC"/>
    <w:rsid w:val="2EC632FB"/>
    <w:rsid w:val="2EC93975"/>
    <w:rsid w:val="2F097580"/>
    <w:rsid w:val="2F195EC1"/>
    <w:rsid w:val="2F1B7A9D"/>
    <w:rsid w:val="2F2063E4"/>
    <w:rsid w:val="2F464330"/>
    <w:rsid w:val="2F4A02C4"/>
    <w:rsid w:val="2F526E66"/>
    <w:rsid w:val="2F847166"/>
    <w:rsid w:val="2F8A06C1"/>
    <w:rsid w:val="2F8F783F"/>
    <w:rsid w:val="2FA35CEE"/>
    <w:rsid w:val="2FAC7B0F"/>
    <w:rsid w:val="2FB41BE1"/>
    <w:rsid w:val="2FC82F97"/>
    <w:rsid w:val="2FDC4EC6"/>
    <w:rsid w:val="2FE70FA2"/>
    <w:rsid w:val="300466C5"/>
    <w:rsid w:val="300A1337"/>
    <w:rsid w:val="302400EF"/>
    <w:rsid w:val="302F3016"/>
    <w:rsid w:val="303C2CDA"/>
    <w:rsid w:val="30492C32"/>
    <w:rsid w:val="304A7E50"/>
    <w:rsid w:val="305F3444"/>
    <w:rsid w:val="30647164"/>
    <w:rsid w:val="307A6CB2"/>
    <w:rsid w:val="3091782D"/>
    <w:rsid w:val="30D80A5D"/>
    <w:rsid w:val="30E83758"/>
    <w:rsid w:val="30ED7159"/>
    <w:rsid w:val="311B07AD"/>
    <w:rsid w:val="311C4A14"/>
    <w:rsid w:val="318E3FE1"/>
    <w:rsid w:val="31A041CB"/>
    <w:rsid w:val="31AC5437"/>
    <w:rsid w:val="31B1462B"/>
    <w:rsid w:val="31B8634B"/>
    <w:rsid w:val="31C1569F"/>
    <w:rsid w:val="31CB5EF9"/>
    <w:rsid w:val="31D76D41"/>
    <w:rsid w:val="31EA1348"/>
    <w:rsid w:val="31FA233C"/>
    <w:rsid w:val="32144BB9"/>
    <w:rsid w:val="32167667"/>
    <w:rsid w:val="3220530C"/>
    <w:rsid w:val="323D5EBE"/>
    <w:rsid w:val="32445502"/>
    <w:rsid w:val="324469ED"/>
    <w:rsid w:val="32544D32"/>
    <w:rsid w:val="32590C8E"/>
    <w:rsid w:val="3277356E"/>
    <w:rsid w:val="327B6983"/>
    <w:rsid w:val="327D7571"/>
    <w:rsid w:val="328A6803"/>
    <w:rsid w:val="32C21506"/>
    <w:rsid w:val="32C6424F"/>
    <w:rsid w:val="32CB34CA"/>
    <w:rsid w:val="32D57EA5"/>
    <w:rsid w:val="33062C5A"/>
    <w:rsid w:val="33095DA0"/>
    <w:rsid w:val="33121AF3"/>
    <w:rsid w:val="33323549"/>
    <w:rsid w:val="3333739F"/>
    <w:rsid w:val="333A56AF"/>
    <w:rsid w:val="33535743"/>
    <w:rsid w:val="335E433E"/>
    <w:rsid w:val="33863895"/>
    <w:rsid w:val="33A855B9"/>
    <w:rsid w:val="33B3571B"/>
    <w:rsid w:val="33B65581"/>
    <w:rsid w:val="33CA73DC"/>
    <w:rsid w:val="33CC574C"/>
    <w:rsid w:val="33F00D0E"/>
    <w:rsid w:val="340A0022"/>
    <w:rsid w:val="34390DE3"/>
    <w:rsid w:val="3442239D"/>
    <w:rsid w:val="34445443"/>
    <w:rsid w:val="34466147"/>
    <w:rsid w:val="345E1F05"/>
    <w:rsid w:val="34A12FF3"/>
    <w:rsid w:val="34DA5C46"/>
    <w:rsid w:val="34FF0346"/>
    <w:rsid w:val="35083E8E"/>
    <w:rsid w:val="350B5E00"/>
    <w:rsid w:val="352E1369"/>
    <w:rsid w:val="35321B26"/>
    <w:rsid w:val="353335A8"/>
    <w:rsid w:val="35431A3E"/>
    <w:rsid w:val="35843E04"/>
    <w:rsid w:val="358E07DF"/>
    <w:rsid w:val="35AB1391"/>
    <w:rsid w:val="35B00AA5"/>
    <w:rsid w:val="35B13E3D"/>
    <w:rsid w:val="35CB7BAE"/>
    <w:rsid w:val="35DC59EE"/>
    <w:rsid w:val="35E84393"/>
    <w:rsid w:val="363B429B"/>
    <w:rsid w:val="36487D7F"/>
    <w:rsid w:val="364A6DFC"/>
    <w:rsid w:val="365732C7"/>
    <w:rsid w:val="365778E0"/>
    <w:rsid w:val="367B6FB5"/>
    <w:rsid w:val="36965B9D"/>
    <w:rsid w:val="369D517D"/>
    <w:rsid w:val="36AE1B85"/>
    <w:rsid w:val="36E36908"/>
    <w:rsid w:val="36F01751"/>
    <w:rsid w:val="371E1103"/>
    <w:rsid w:val="3724003C"/>
    <w:rsid w:val="37417B60"/>
    <w:rsid w:val="379F0593"/>
    <w:rsid w:val="37B7226F"/>
    <w:rsid w:val="37C2574A"/>
    <w:rsid w:val="37CA234D"/>
    <w:rsid w:val="37E6658A"/>
    <w:rsid w:val="3839001F"/>
    <w:rsid w:val="383F746B"/>
    <w:rsid w:val="386E62D1"/>
    <w:rsid w:val="388C54AA"/>
    <w:rsid w:val="38A66E8B"/>
    <w:rsid w:val="38B43E7B"/>
    <w:rsid w:val="38B844F1"/>
    <w:rsid w:val="38D96215"/>
    <w:rsid w:val="38E52E0C"/>
    <w:rsid w:val="38F93A05"/>
    <w:rsid w:val="39131727"/>
    <w:rsid w:val="391A40A5"/>
    <w:rsid w:val="391D37C1"/>
    <w:rsid w:val="39207610"/>
    <w:rsid w:val="392579FF"/>
    <w:rsid w:val="39272B6C"/>
    <w:rsid w:val="392D1953"/>
    <w:rsid w:val="39496480"/>
    <w:rsid w:val="39544AFE"/>
    <w:rsid w:val="39730417"/>
    <w:rsid w:val="397D063B"/>
    <w:rsid w:val="39845342"/>
    <w:rsid w:val="398A1872"/>
    <w:rsid w:val="39AE065F"/>
    <w:rsid w:val="39D52E82"/>
    <w:rsid w:val="39D56C17"/>
    <w:rsid w:val="39E52F7A"/>
    <w:rsid w:val="39EA588E"/>
    <w:rsid w:val="39F378C2"/>
    <w:rsid w:val="3A173B31"/>
    <w:rsid w:val="3A4848AA"/>
    <w:rsid w:val="3A4D6952"/>
    <w:rsid w:val="3A4D7391"/>
    <w:rsid w:val="3A5244D1"/>
    <w:rsid w:val="3A586EF8"/>
    <w:rsid w:val="3A71475D"/>
    <w:rsid w:val="3A886145"/>
    <w:rsid w:val="3AB16C4D"/>
    <w:rsid w:val="3AB807D8"/>
    <w:rsid w:val="3AF61605"/>
    <w:rsid w:val="3B3836C7"/>
    <w:rsid w:val="3B4A3BB0"/>
    <w:rsid w:val="3B4C5ECF"/>
    <w:rsid w:val="3B530501"/>
    <w:rsid w:val="3B685AA3"/>
    <w:rsid w:val="3B7B381F"/>
    <w:rsid w:val="3B827442"/>
    <w:rsid w:val="3B8B7C9A"/>
    <w:rsid w:val="3B9C0DEA"/>
    <w:rsid w:val="3BB56AC5"/>
    <w:rsid w:val="3BBC42F8"/>
    <w:rsid w:val="3C154B1E"/>
    <w:rsid w:val="3C1934F8"/>
    <w:rsid w:val="3C244E8B"/>
    <w:rsid w:val="3C3814A4"/>
    <w:rsid w:val="3C692EE7"/>
    <w:rsid w:val="3C8A7F52"/>
    <w:rsid w:val="3CBC20D5"/>
    <w:rsid w:val="3CC571DC"/>
    <w:rsid w:val="3CD25455"/>
    <w:rsid w:val="3CD40BCB"/>
    <w:rsid w:val="3D274BF7"/>
    <w:rsid w:val="3D3F33B2"/>
    <w:rsid w:val="3D467345"/>
    <w:rsid w:val="3D4A1A37"/>
    <w:rsid w:val="3D5256BC"/>
    <w:rsid w:val="3D595233"/>
    <w:rsid w:val="3D5B369C"/>
    <w:rsid w:val="3D8E3A72"/>
    <w:rsid w:val="3DAC5CA6"/>
    <w:rsid w:val="3DDB658B"/>
    <w:rsid w:val="3DE31F88"/>
    <w:rsid w:val="3DED3207"/>
    <w:rsid w:val="3E071210"/>
    <w:rsid w:val="3E097385"/>
    <w:rsid w:val="3E0B6453"/>
    <w:rsid w:val="3E1D4DF6"/>
    <w:rsid w:val="3E3F6B1A"/>
    <w:rsid w:val="3E42660A"/>
    <w:rsid w:val="3E4F267D"/>
    <w:rsid w:val="3E500D27"/>
    <w:rsid w:val="3E7A6209"/>
    <w:rsid w:val="3E804F93"/>
    <w:rsid w:val="3E9F19CB"/>
    <w:rsid w:val="3EB72B54"/>
    <w:rsid w:val="3EFB01E2"/>
    <w:rsid w:val="3F0F1ACA"/>
    <w:rsid w:val="3F285800"/>
    <w:rsid w:val="3F676329"/>
    <w:rsid w:val="3F6C393F"/>
    <w:rsid w:val="3F854A01"/>
    <w:rsid w:val="3F8F3AD1"/>
    <w:rsid w:val="3FAE2C6A"/>
    <w:rsid w:val="3FB362C2"/>
    <w:rsid w:val="3FC64394"/>
    <w:rsid w:val="3FC90E32"/>
    <w:rsid w:val="3FCA57DD"/>
    <w:rsid w:val="3FCA6750"/>
    <w:rsid w:val="3FF676AC"/>
    <w:rsid w:val="4004036D"/>
    <w:rsid w:val="402442C4"/>
    <w:rsid w:val="40353870"/>
    <w:rsid w:val="403C5A07"/>
    <w:rsid w:val="407A1061"/>
    <w:rsid w:val="40844CB8"/>
    <w:rsid w:val="408D6263"/>
    <w:rsid w:val="40A35A86"/>
    <w:rsid w:val="40B36E67"/>
    <w:rsid w:val="40D4005D"/>
    <w:rsid w:val="40D7128C"/>
    <w:rsid w:val="40E1035D"/>
    <w:rsid w:val="40F167F2"/>
    <w:rsid w:val="41110C42"/>
    <w:rsid w:val="41B475E0"/>
    <w:rsid w:val="41B94E35"/>
    <w:rsid w:val="41C31810"/>
    <w:rsid w:val="41CC4B69"/>
    <w:rsid w:val="41DA2951"/>
    <w:rsid w:val="41DD6D76"/>
    <w:rsid w:val="41FC49D1"/>
    <w:rsid w:val="42084A4B"/>
    <w:rsid w:val="42172365"/>
    <w:rsid w:val="425C2C71"/>
    <w:rsid w:val="42760694"/>
    <w:rsid w:val="42915828"/>
    <w:rsid w:val="429A2DFF"/>
    <w:rsid w:val="42CB6BCE"/>
    <w:rsid w:val="43153F94"/>
    <w:rsid w:val="43234C5C"/>
    <w:rsid w:val="432B2D3F"/>
    <w:rsid w:val="432C2862"/>
    <w:rsid w:val="432F7FAB"/>
    <w:rsid w:val="43461A6B"/>
    <w:rsid w:val="437159C8"/>
    <w:rsid w:val="4389705D"/>
    <w:rsid w:val="43AB2B46"/>
    <w:rsid w:val="43D63A7D"/>
    <w:rsid w:val="44230989"/>
    <w:rsid w:val="44246EDE"/>
    <w:rsid w:val="442F526C"/>
    <w:rsid w:val="442F5AEF"/>
    <w:rsid w:val="44476729"/>
    <w:rsid w:val="44623562"/>
    <w:rsid w:val="44733B26"/>
    <w:rsid w:val="447F2F5B"/>
    <w:rsid w:val="44884175"/>
    <w:rsid w:val="449443B9"/>
    <w:rsid w:val="44A0330C"/>
    <w:rsid w:val="44A57259"/>
    <w:rsid w:val="44A67719"/>
    <w:rsid w:val="44A931CA"/>
    <w:rsid w:val="45196317"/>
    <w:rsid w:val="453F38A4"/>
    <w:rsid w:val="454D4F05"/>
    <w:rsid w:val="455F7CF5"/>
    <w:rsid w:val="45725A27"/>
    <w:rsid w:val="457C68A6"/>
    <w:rsid w:val="458F6DEB"/>
    <w:rsid w:val="45B46040"/>
    <w:rsid w:val="45CC15DB"/>
    <w:rsid w:val="45D75E6B"/>
    <w:rsid w:val="45EF7078"/>
    <w:rsid w:val="45F224BA"/>
    <w:rsid w:val="46132D66"/>
    <w:rsid w:val="4621408E"/>
    <w:rsid w:val="462C7068"/>
    <w:rsid w:val="46342CDD"/>
    <w:rsid w:val="46446ED5"/>
    <w:rsid w:val="464D2ADC"/>
    <w:rsid w:val="465A2DA4"/>
    <w:rsid w:val="465E7D59"/>
    <w:rsid w:val="466179D0"/>
    <w:rsid w:val="4662631D"/>
    <w:rsid w:val="46B3324E"/>
    <w:rsid w:val="46B533FC"/>
    <w:rsid w:val="46F8339D"/>
    <w:rsid w:val="47094169"/>
    <w:rsid w:val="47394A4E"/>
    <w:rsid w:val="473D3B5C"/>
    <w:rsid w:val="47447AD2"/>
    <w:rsid w:val="474D07FF"/>
    <w:rsid w:val="476F5D7C"/>
    <w:rsid w:val="477F19A8"/>
    <w:rsid w:val="479F4165"/>
    <w:rsid w:val="47AB41DF"/>
    <w:rsid w:val="48341C04"/>
    <w:rsid w:val="483F42E6"/>
    <w:rsid w:val="48541414"/>
    <w:rsid w:val="4858239D"/>
    <w:rsid w:val="48606163"/>
    <w:rsid w:val="486755EB"/>
    <w:rsid w:val="487E491C"/>
    <w:rsid w:val="4882498D"/>
    <w:rsid w:val="48970623"/>
    <w:rsid w:val="489817AA"/>
    <w:rsid w:val="48BF5427"/>
    <w:rsid w:val="48BF71D5"/>
    <w:rsid w:val="48DA454E"/>
    <w:rsid w:val="49133F46"/>
    <w:rsid w:val="49276CAA"/>
    <w:rsid w:val="495101E2"/>
    <w:rsid w:val="495E5F8D"/>
    <w:rsid w:val="495F5768"/>
    <w:rsid w:val="49667651"/>
    <w:rsid w:val="497A134E"/>
    <w:rsid w:val="497E2BEC"/>
    <w:rsid w:val="498068AB"/>
    <w:rsid w:val="49A10689"/>
    <w:rsid w:val="49AD041B"/>
    <w:rsid w:val="49B4143D"/>
    <w:rsid w:val="49D1292A"/>
    <w:rsid w:val="49E62C53"/>
    <w:rsid w:val="4A093D8A"/>
    <w:rsid w:val="4A0B0F5A"/>
    <w:rsid w:val="4A243E2C"/>
    <w:rsid w:val="4A3D4856"/>
    <w:rsid w:val="4A434EE7"/>
    <w:rsid w:val="4A592B0D"/>
    <w:rsid w:val="4A5C3F6F"/>
    <w:rsid w:val="4A600544"/>
    <w:rsid w:val="4A6A3171"/>
    <w:rsid w:val="4A8A0E48"/>
    <w:rsid w:val="4A9E2E1A"/>
    <w:rsid w:val="4AA36000"/>
    <w:rsid w:val="4AD056CA"/>
    <w:rsid w:val="4AD552B6"/>
    <w:rsid w:val="4AD8632C"/>
    <w:rsid w:val="4AEB5669"/>
    <w:rsid w:val="4B0B4954"/>
    <w:rsid w:val="4B124AD8"/>
    <w:rsid w:val="4B1C7BD0"/>
    <w:rsid w:val="4B3A39A2"/>
    <w:rsid w:val="4B427C4A"/>
    <w:rsid w:val="4B591C6B"/>
    <w:rsid w:val="4B681E97"/>
    <w:rsid w:val="4B6C434D"/>
    <w:rsid w:val="4B8706DA"/>
    <w:rsid w:val="4B8A01B9"/>
    <w:rsid w:val="4B8D3A4C"/>
    <w:rsid w:val="4BCC762B"/>
    <w:rsid w:val="4BE156B5"/>
    <w:rsid w:val="4BED7B41"/>
    <w:rsid w:val="4BF0061D"/>
    <w:rsid w:val="4C0A2396"/>
    <w:rsid w:val="4C39729F"/>
    <w:rsid w:val="4C3C28EB"/>
    <w:rsid w:val="4C5005AB"/>
    <w:rsid w:val="4C603BE5"/>
    <w:rsid w:val="4C763353"/>
    <w:rsid w:val="4C856A81"/>
    <w:rsid w:val="4C8E50CB"/>
    <w:rsid w:val="4C9716F3"/>
    <w:rsid w:val="4C9E5354"/>
    <w:rsid w:val="4CC50B32"/>
    <w:rsid w:val="4CCF19B1"/>
    <w:rsid w:val="4CD6689C"/>
    <w:rsid w:val="4CDC3C81"/>
    <w:rsid w:val="4CEC10F7"/>
    <w:rsid w:val="4CEE62DB"/>
    <w:rsid w:val="4CEF5BAF"/>
    <w:rsid w:val="4D221AE1"/>
    <w:rsid w:val="4D241CFD"/>
    <w:rsid w:val="4D283CA5"/>
    <w:rsid w:val="4D536CE8"/>
    <w:rsid w:val="4DB902D0"/>
    <w:rsid w:val="4DBB197A"/>
    <w:rsid w:val="4DF02264"/>
    <w:rsid w:val="4DF07E31"/>
    <w:rsid w:val="4EA01857"/>
    <w:rsid w:val="4EA50C1B"/>
    <w:rsid w:val="4EB40E5E"/>
    <w:rsid w:val="4EB66985"/>
    <w:rsid w:val="4EBE7F2F"/>
    <w:rsid w:val="4EC05A55"/>
    <w:rsid w:val="4ECF2EF9"/>
    <w:rsid w:val="4EF13E61"/>
    <w:rsid w:val="4EF70D4B"/>
    <w:rsid w:val="4F17220C"/>
    <w:rsid w:val="4F192763"/>
    <w:rsid w:val="4F2F1C34"/>
    <w:rsid w:val="4F542669"/>
    <w:rsid w:val="4F781E8C"/>
    <w:rsid w:val="4FD32C53"/>
    <w:rsid w:val="50091750"/>
    <w:rsid w:val="50120532"/>
    <w:rsid w:val="50245F5C"/>
    <w:rsid w:val="50684475"/>
    <w:rsid w:val="508664AB"/>
    <w:rsid w:val="5091511F"/>
    <w:rsid w:val="509F4B1C"/>
    <w:rsid w:val="50A2139C"/>
    <w:rsid w:val="50A6547F"/>
    <w:rsid w:val="50B415EA"/>
    <w:rsid w:val="50F61F27"/>
    <w:rsid w:val="510C4F82"/>
    <w:rsid w:val="514C35D0"/>
    <w:rsid w:val="51523CAA"/>
    <w:rsid w:val="5176004E"/>
    <w:rsid w:val="517D5E7F"/>
    <w:rsid w:val="51A11B6E"/>
    <w:rsid w:val="51BD0A18"/>
    <w:rsid w:val="51D5601F"/>
    <w:rsid w:val="51DE7DB3"/>
    <w:rsid w:val="51FC6DA4"/>
    <w:rsid w:val="52065E75"/>
    <w:rsid w:val="521265C8"/>
    <w:rsid w:val="521C6D4F"/>
    <w:rsid w:val="521D6D1B"/>
    <w:rsid w:val="523F3135"/>
    <w:rsid w:val="525212DD"/>
    <w:rsid w:val="52645155"/>
    <w:rsid w:val="526C033D"/>
    <w:rsid w:val="527D1264"/>
    <w:rsid w:val="527E5A0B"/>
    <w:rsid w:val="529D29A6"/>
    <w:rsid w:val="52E02222"/>
    <w:rsid w:val="52E777CE"/>
    <w:rsid w:val="52F42171"/>
    <w:rsid w:val="52FF3466"/>
    <w:rsid w:val="53232908"/>
    <w:rsid w:val="534A1D91"/>
    <w:rsid w:val="534E04B0"/>
    <w:rsid w:val="53746E0E"/>
    <w:rsid w:val="538A03E0"/>
    <w:rsid w:val="53A31046"/>
    <w:rsid w:val="53AC6661"/>
    <w:rsid w:val="53DC4391"/>
    <w:rsid w:val="53DD0E57"/>
    <w:rsid w:val="53EE096F"/>
    <w:rsid w:val="541936B2"/>
    <w:rsid w:val="54240834"/>
    <w:rsid w:val="54442C85"/>
    <w:rsid w:val="546E2285"/>
    <w:rsid w:val="546F4F00"/>
    <w:rsid w:val="54A24C16"/>
    <w:rsid w:val="54C46B9F"/>
    <w:rsid w:val="54C839F4"/>
    <w:rsid w:val="54D1276A"/>
    <w:rsid w:val="54F12DE9"/>
    <w:rsid w:val="54F151A4"/>
    <w:rsid w:val="55046EB5"/>
    <w:rsid w:val="55195EBF"/>
    <w:rsid w:val="55211D09"/>
    <w:rsid w:val="552C3F3B"/>
    <w:rsid w:val="55394261"/>
    <w:rsid w:val="55654C60"/>
    <w:rsid w:val="55677C9A"/>
    <w:rsid w:val="55684518"/>
    <w:rsid w:val="55771633"/>
    <w:rsid w:val="55885A03"/>
    <w:rsid w:val="5589787B"/>
    <w:rsid w:val="558E406A"/>
    <w:rsid w:val="55A1776B"/>
    <w:rsid w:val="55EF2B39"/>
    <w:rsid w:val="55F34962"/>
    <w:rsid w:val="55FB0EDC"/>
    <w:rsid w:val="56177A73"/>
    <w:rsid w:val="564828D5"/>
    <w:rsid w:val="567E2BB9"/>
    <w:rsid w:val="56982E14"/>
    <w:rsid w:val="56A32924"/>
    <w:rsid w:val="56AA4A7C"/>
    <w:rsid w:val="56C500AD"/>
    <w:rsid w:val="56EB4AB4"/>
    <w:rsid w:val="571B7CCD"/>
    <w:rsid w:val="57324409"/>
    <w:rsid w:val="57327F9E"/>
    <w:rsid w:val="573945F7"/>
    <w:rsid w:val="574309DA"/>
    <w:rsid w:val="57453BDE"/>
    <w:rsid w:val="574F7976"/>
    <w:rsid w:val="575907F5"/>
    <w:rsid w:val="578704B2"/>
    <w:rsid w:val="578E252E"/>
    <w:rsid w:val="57A0784B"/>
    <w:rsid w:val="57A84056"/>
    <w:rsid w:val="57BB500C"/>
    <w:rsid w:val="57D04DD9"/>
    <w:rsid w:val="57E5527E"/>
    <w:rsid w:val="58116B2F"/>
    <w:rsid w:val="58136BF6"/>
    <w:rsid w:val="581A61D6"/>
    <w:rsid w:val="58363918"/>
    <w:rsid w:val="58496ABB"/>
    <w:rsid w:val="58524D95"/>
    <w:rsid w:val="58630DA9"/>
    <w:rsid w:val="586C24F3"/>
    <w:rsid w:val="586C319D"/>
    <w:rsid w:val="588B37E2"/>
    <w:rsid w:val="58CE0D6F"/>
    <w:rsid w:val="58DF4D2A"/>
    <w:rsid w:val="58E660B8"/>
    <w:rsid w:val="59101387"/>
    <w:rsid w:val="593212FE"/>
    <w:rsid w:val="5936075F"/>
    <w:rsid w:val="595C637A"/>
    <w:rsid w:val="59626DCE"/>
    <w:rsid w:val="599C0E6D"/>
    <w:rsid w:val="599E2E37"/>
    <w:rsid w:val="59A321FB"/>
    <w:rsid w:val="59DE1485"/>
    <w:rsid w:val="59E953E5"/>
    <w:rsid w:val="59ED3476"/>
    <w:rsid w:val="5A223A07"/>
    <w:rsid w:val="5A471E28"/>
    <w:rsid w:val="5A8976A0"/>
    <w:rsid w:val="5AA54FE8"/>
    <w:rsid w:val="5ADD3120"/>
    <w:rsid w:val="5AE558E9"/>
    <w:rsid w:val="5B002DED"/>
    <w:rsid w:val="5B0E4BA8"/>
    <w:rsid w:val="5B0F37D2"/>
    <w:rsid w:val="5B1E1AA7"/>
    <w:rsid w:val="5B4223F6"/>
    <w:rsid w:val="5B6F7C82"/>
    <w:rsid w:val="5B8F7761"/>
    <w:rsid w:val="5B964540"/>
    <w:rsid w:val="5BBB1A7E"/>
    <w:rsid w:val="5BE54D4D"/>
    <w:rsid w:val="5C0B2A0A"/>
    <w:rsid w:val="5C3B7C73"/>
    <w:rsid w:val="5C606182"/>
    <w:rsid w:val="5C664EE6"/>
    <w:rsid w:val="5C6829A1"/>
    <w:rsid w:val="5C806824"/>
    <w:rsid w:val="5CB00D05"/>
    <w:rsid w:val="5CBA3AE4"/>
    <w:rsid w:val="5CC44962"/>
    <w:rsid w:val="5CCE4F16"/>
    <w:rsid w:val="5CD327FE"/>
    <w:rsid w:val="5CFA0A1C"/>
    <w:rsid w:val="5D0511EC"/>
    <w:rsid w:val="5D100066"/>
    <w:rsid w:val="5D172CE4"/>
    <w:rsid w:val="5D284EF1"/>
    <w:rsid w:val="5D475893"/>
    <w:rsid w:val="5D573A29"/>
    <w:rsid w:val="5D6E48CE"/>
    <w:rsid w:val="5D752101"/>
    <w:rsid w:val="5D844AB1"/>
    <w:rsid w:val="5D8D36EA"/>
    <w:rsid w:val="5D985248"/>
    <w:rsid w:val="5DA4554F"/>
    <w:rsid w:val="5DC7176B"/>
    <w:rsid w:val="5DC87FA4"/>
    <w:rsid w:val="5DD57F6E"/>
    <w:rsid w:val="5DE60909"/>
    <w:rsid w:val="5DF063E2"/>
    <w:rsid w:val="5DF97045"/>
    <w:rsid w:val="5E162F9C"/>
    <w:rsid w:val="5E2E5E7A"/>
    <w:rsid w:val="5E62059E"/>
    <w:rsid w:val="5E79177D"/>
    <w:rsid w:val="5E8545C5"/>
    <w:rsid w:val="5EEC492F"/>
    <w:rsid w:val="5F076F03"/>
    <w:rsid w:val="5F2D4A41"/>
    <w:rsid w:val="5F3C2ED6"/>
    <w:rsid w:val="5F41673E"/>
    <w:rsid w:val="5F4B3119"/>
    <w:rsid w:val="5F622211"/>
    <w:rsid w:val="5F680408"/>
    <w:rsid w:val="5F6C57AD"/>
    <w:rsid w:val="5FC35A1D"/>
    <w:rsid w:val="5FC74C48"/>
    <w:rsid w:val="5FD9539D"/>
    <w:rsid w:val="60432042"/>
    <w:rsid w:val="60914033"/>
    <w:rsid w:val="609F196E"/>
    <w:rsid w:val="60A2320D"/>
    <w:rsid w:val="60DF25A4"/>
    <w:rsid w:val="60E71463"/>
    <w:rsid w:val="60EF77D0"/>
    <w:rsid w:val="60FA4DF7"/>
    <w:rsid w:val="616D3EC0"/>
    <w:rsid w:val="61893525"/>
    <w:rsid w:val="618A5C53"/>
    <w:rsid w:val="618C466C"/>
    <w:rsid w:val="61914510"/>
    <w:rsid w:val="61BD0199"/>
    <w:rsid w:val="61EE2926"/>
    <w:rsid w:val="61EF05A4"/>
    <w:rsid w:val="61F33A2B"/>
    <w:rsid w:val="61F41846"/>
    <w:rsid w:val="62045801"/>
    <w:rsid w:val="6208709F"/>
    <w:rsid w:val="621044CB"/>
    <w:rsid w:val="62515468"/>
    <w:rsid w:val="626F35C2"/>
    <w:rsid w:val="626F5370"/>
    <w:rsid w:val="62793FA6"/>
    <w:rsid w:val="627A376C"/>
    <w:rsid w:val="62C80DBD"/>
    <w:rsid w:val="62CA29CF"/>
    <w:rsid w:val="62E27B34"/>
    <w:rsid w:val="62FB2ADE"/>
    <w:rsid w:val="63021D41"/>
    <w:rsid w:val="63116428"/>
    <w:rsid w:val="63155E00"/>
    <w:rsid w:val="63277939"/>
    <w:rsid w:val="6329146D"/>
    <w:rsid w:val="632B573B"/>
    <w:rsid w:val="63472F4F"/>
    <w:rsid w:val="63855608"/>
    <w:rsid w:val="63984453"/>
    <w:rsid w:val="639E0CCD"/>
    <w:rsid w:val="63AB062A"/>
    <w:rsid w:val="63C143B7"/>
    <w:rsid w:val="63C32ADB"/>
    <w:rsid w:val="63C4273E"/>
    <w:rsid w:val="63D47B81"/>
    <w:rsid w:val="63DB4420"/>
    <w:rsid w:val="6412273A"/>
    <w:rsid w:val="641F17EC"/>
    <w:rsid w:val="64410FBC"/>
    <w:rsid w:val="64607DB3"/>
    <w:rsid w:val="649B324A"/>
    <w:rsid w:val="64B917F4"/>
    <w:rsid w:val="64E76601"/>
    <w:rsid w:val="6562419C"/>
    <w:rsid w:val="6579238E"/>
    <w:rsid w:val="65962C14"/>
    <w:rsid w:val="65990F30"/>
    <w:rsid w:val="65A45A69"/>
    <w:rsid w:val="65A92947"/>
    <w:rsid w:val="65AC2372"/>
    <w:rsid w:val="65B52B1D"/>
    <w:rsid w:val="65BD0EA1"/>
    <w:rsid w:val="65C35D98"/>
    <w:rsid w:val="65EF3725"/>
    <w:rsid w:val="660B2E29"/>
    <w:rsid w:val="662F2BA8"/>
    <w:rsid w:val="66365C06"/>
    <w:rsid w:val="664679F8"/>
    <w:rsid w:val="664B39FF"/>
    <w:rsid w:val="66560D21"/>
    <w:rsid w:val="66A44903"/>
    <w:rsid w:val="66F422E8"/>
    <w:rsid w:val="67256946"/>
    <w:rsid w:val="672E09CB"/>
    <w:rsid w:val="67481369"/>
    <w:rsid w:val="674D7B77"/>
    <w:rsid w:val="676641F4"/>
    <w:rsid w:val="67AA12FD"/>
    <w:rsid w:val="67BA0E3C"/>
    <w:rsid w:val="67F6635C"/>
    <w:rsid w:val="67FA5D46"/>
    <w:rsid w:val="67FC2F18"/>
    <w:rsid w:val="68030801"/>
    <w:rsid w:val="68053884"/>
    <w:rsid w:val="68077DF9"/>
    <w:rsid w:val="680909F1"/>
    <w:rsid w:val="681064FA"/>
    <w:rsid w:val="68410BD2"/>
    <w:rsid w:val="684A068B"/>
    <w:rsid w:val="686A4FD7"/>
    <w:rsid w:val="686E00FC"/>
    <w:rsid w:val="6881195A"/>
    <w:rsid w:val="6885769C"/>
    <w:rsid w:val="68BA0012"/>
    <w:rsid w:val="68BF1C67"/>
    <w:rsid w:val="68D76768"/>
    <w:rsid w:val="68DA068B"/>
    <w:rsid w:val="68E85E7D"/>
    <w:rsid w:val="69000A2F"/>
    <w:rsid w:val="69674FF3"/>
    <w:rsid w:val="699056CE"/>
    <w:rsid w:val="69931944"/>
    <w:rsid w:val="69A2427D"/>
    <w:rsid w:val="69AA3132"/>
    <w:rsid w:val="69B95C57"/>
    <w:rsid w:val="69C935B8"/>
    <w:rsid w:val="69E421A0"/>
    <w:rsid w:val="69F131DA"/>
    <w:rsid w:val="6A254A46"/>
    <w:rsid w:val="6A773014"/>
    <w:rsid w:val="6A9D3289"/>
    <w:rsid w:val="6AC42060"/>
    <w:rsid w:val="6ACB15B2"/>
    <w:rsid w:val="6ACB7804"/>
    <w:rsid w:val="6ADD4AF9"/>
    <w:rsid w:val="6AFB1E97"/>
    <w:rsid w:val="6B030D4C"/>
    <w:rsid w:val="6B092E34"/>
    <w:rsid w:val="6B1B2081"/>
    <w:rsid w:val="6B4D1384"/>
    <w:rsid w:val="6B6A3D52"/>
    <w:rsid w:val="6B6C069F"/>
    <w:rsid w:val="6B77103C"/>
    <w:rsid w:val="6B7E4876"/>
    <w:rsid w:val="6B870C51"/>
    <w:rsid w:val="6B96052B"/>
    <w:rsid w:val="6BBB46AB"/>
    <w:rsid w:val="6BC77FCB"/>
    <w:rsid w:val="6BD83F86"/>
    <w:rsid w:val="6C297CF9"/>
    <w:rsid w:val="6C3B62C3"/>
    <w:rsid w:val="6C5C43F7"/>
    <w:rsid w:val="6C5E1E63"/>
    <w:rsid w:val="6C6E48EB"/>
    <w:rsid w:val="6C885CAA"/>
    <w:rsid w:val="6C8D4598"/>
    <w:rsid w:val="6C8D4A2B"/>
    <w:rsid w:val="6C975BF0"/>
    <w:rsid w:val="6C9F4238"/>
    <w:rsid w:val="6CC813DD"/>
    <w:rsid w:val="6CDB7813"/>
    <w:rsid w:val="6D08089B"/>
    <w:rsid w:val="6D18035A"/>
    <w:rsid w:val="6D1952E8"/>
    <w:rsid w:val="6D213D5C"/>
    <w:rsid w:val="6D2A25C0"/>
    <w:rsid w:val="6D2C532A"/>
    <w:rsid w:val="6D3C6806"/>
    <w:rsid w:val="6D3E606B"/>
    <w:rsid w:val="6D3F3B91"/>
    <w:rsid w:val="6D4C4AD9"/>
    <w:rsid w:val="6D6339E6"/>
    <w:rsid w:val="6D643FD6"/>
    <w:rsid w:val="6D7E290C"/>
    <w:rsid w:val="6D837B38"/>
    <w:rsid w:val="6DFB7EE8"/>
    <w:rsid w:val="6E105C5A"/>
    <w:rsid w:val="6E134541"/>
    <w:rsid w:val="6E540211"/>
    <w:rsid w:val="6E594C74"/>
    <w:rsid w:val="6E615816"/>
    <w:rsid w:val="6E6D5537"/>
    <w:rsid w:val="6E711791"/>
    <w:rsid w:val="6E782784"/>
    <w:rsid w:val="6E7C3808"/>
    <w:rsid w:val="6EE45642"/>
    <w:rsid w:val="6EF15D17"/>
    <w:rsid w:val="6F0B2965"/>
    <w:rsid w:val="6F0C0C04"/>
    <w:rsid w:val="6F121998"/>
    <w:rsid w:val="6F14514B"/>
    <w:rsid w:val="6F1801F4"/>
    <w:rsid w:val="6F255735"/>
    <w:rsid w:val="6F6E2AD8"/>
    <w:rsid w:val="6F8D2AC6"/>
    <w:rsid w:val="6F947E22"/>
    <w:rsid w:val="6F9D279C"/>
    <w:rsid w:val="6FAA57E4"/>
    <w:rsid w:val="6FAC3760"/>
    <w:rsid w:val="6FB739FF"/>
    <w:rsid w:val="6FC30AAA"/>
    <w:rsid w:val="701B004E"/>
    <w:rsid w:val="70221C74"/>
    <w:rsid w:val="70271038"/>
    <w:rsid w:val="702A0EB9"/>
    <w:rsid w:val="702C237C"/>
    <w:rsid w:val="703B4AE4"/>
    <w:rsid w:val="704240C4"/>
    <w:rsid w:val="70480FAF"/>
    <w:rsid w:val="705175B1"/>
    <w:rsid w:val="70542F87"/>
    <w:rsid w:val="705E2EF7"/>
    <w:rsid w:val="706F0B3B"/>
    <w:rsid w:val="70781B62"/>
    <w:rsid w:val="70877D29"/>
    <w:rsid w:val="70A20D6C"/>
    <w:rsid w:val="70AE5F6F"/>
    <w:rsid w:val="70B825D8"/>
    <w:rsid w:val="70BB0F08"/>
    <w:rsid w:val="70D82890"/>
    <w:rsid w:val="7105736C"/>
    <w:rsid w:val="713804B8"/>
    <w:rsid w:val="717621F9"/>
    <w:rsid w:val="71883563"/>
    <w:rsid w:val="71A36DE5"/>
    <w:rsid w:val="71B613C7"/>
    <w:rsid w:val="71D074AE"/>
    <w:rsid w:val="71D512D4"/>
    <w:rsid w:val="720876E6"/>
    <w:rsid w:val="72100205"/>
    <w:rsid w:val="721A3A60"/>
    <w:rsid w:val="721F4D23"/>
    <w:rsid w:val="72323CC5"/>
    <w:rsid w:val="72376FAB"/>
    <w:rsid w:val="723916E9"/>
    <w:rsid w:val="7242215A"/>
    <w:rsid w:val="72820361"/>
    <w:rsid w:val="72AA7EA5"/>
    <w:rsid w:val="72CC236B"/>
    <w:rsid w:val="72D80665"/>
    <w:rsid w:val="73094987"/>
    <w:rsid w:val="731D4F44"/>
    <w:rsid w:val="73364510"/>
    <w:rsid w:val="73521EC3"/>
    <w:rsid w:val="7352573A"/>
    <w:rsid w:val="73612B31"/>
    <w:rsid w:val="737352F5"/>
    <w:rsid w:val="73B726D3"/>
    <w:rsid w:val="73CD462B"/>
    <w:rsid w:val="74064A66"/>
    <w:rsid w:val="74292883"/>
    <w:rsid w:val="744877CF"/>
    <w:rsid w:val="7449020E"/>
    <w:rsid w:val="744F4E88"/>
    <w:rsid w:val="745D4E9F"/>
    <w:rsid w:val="74644B99"/>
    <w:rsid w:val="74670EB0"/>
    <w:rsid w:val="748E78D8"/>
    <w:rsid w:val="749D7B1B"/>
    <w:rsid w:val="74A92964"/>
    <w:rsid w:val="74B83751"/>
    <w:rsid w:val="74BC5C96"/>
    <w:rsid w:val="74EE65C9"/>
    <w:rsid w:val="74FB14A6"/>
    <w:rsid w:val="751C1388"/>
    <w:rsid w:val="751F6782"/>
    <w:rsid w:val="756E3266"/>
    <w:rsid w:val="758354B2"/>
    <w:rsid w:val="75866801"/>
    <w:rsid w:val="75954C96"/>
    <w:rsid w:val="75CE71AC"/>
    <w:rsid w:val="75D532E5"/>
    <w:rsid w:val="75D86488"/>
    <w:rsid w:val="75FB0F9D"/>
    <w:rsid w:val="763E1311"/>
    <w:rsid w:val="765972B7"/>
    <w:rsid w:val="76726D86"/>
    <w:rsid w:val="767D4639"/>
    <w:rsid w:val="76854D0B"/>
    <w:rsid w:val="768B6247"/>
    <w:rsid w:val="769511F3"/>
    <w:rsid w:val="769B452E"/>
    <w:rsid w:val="76B455F0"/>
    <w:rsid w:val="76BD44A5"/>
    <w:rsid w:val="76C006F9"/>
    <w:rsid w:val="76D06465"/>
    <w:rsid w:val="76E94298"/>
    <w:rsid w:val="76EC2057"/>
    <w:rsid w:val="77063F95"/>
    <w:rsid w:val="770E45B2"/>
    <w:rsid w:val="772817CF"/>
    <w:rsid w:val="7741250B"/>
    <w:rsid w:val="77551E61"/>
    <w:rsid w:val="777C610E"/>
    <w:rsid w:val="77884C6E"/>
    <w:rsid w:val="7789082B"/>
    <w:rsid w:val="778B5F6B"/>
    <w:rsid w:val="77971C54"/>
    <w:rsid w:val="77B43556"/>
    <w:rsid w:val="77B92EBE"/>
    <w:rsid w:val="77C33D3D"/>
    <w:rsid w:val="77C70FE5"/>
    <w:rsid w:val="77C74EAF"/>
    <w:rsid w:val="77CA4BA6"/>
    <w:rsid w:val="77D176B6"/>
    <w:rsid w:val="77E13575"/>
    <w:rsid w:val="77FF0DFC"/>
    <w:rsid w:val="78126A72"/>
    <w:rsid w:val="782D11B6"/>
    <w:rsid w:val="784F7A00"/>
    <w:rsid w:val="786123C0"/>
    <w:rsid w:val="78782D79"/>
    <w:rsid w:val="787A23EB"/>
    <w:rsid w:val="78B127B9"/>
    <w:rsid w:val="78BC481D"/>
    <w:rsid w:val="78E16C76"/>
    <w:rsid w:val="78FB7506"/>
    <w:rsid w:val="79051B29"/>
    <w:rsid w:val="79075EAB"/>
    <w:rsid w:val="79142376"/>
    <w:rsid w:val="79183C14"/>
    <w:rsid w:val="79252168"/>
    <w:rsid w:val="79287E44"/>
    <w:rsid w:val="79444A09"/>
    <w:rsid w:val="794A0E2F"/>
    <w:rsid w:val="7956473D"/>
    <w:rsid w:val="79935991"/>
    <w:rsid w:val="79AE2B3C"/>
    <w:rsid w:val="79B55E6A"/>
    <w:rsid w:val="79F857F4"/>
    <w:rsid w:val="7A1F75C9"/>
    <w:rsid w:val="7A3244F9"/>
    <w:rsid w:val="7A4C2D3A"/>
    <w:rsid w:val="7A5073DE"/>
    <w:rsid w:val="7A704705"/>
    <w:rsid w:val="7A7D2C49"/>
    <w:rsid w:val="7A8721A0"/>
    <w:rsid w:val="7A925A18"/>
    <w:rsid w:val="7AA11552"/>
    <w:rsid w:val="7AB636E5"/>
    <w:rsid w:val="7AF34939"/>
    <w:rsid w:val="7AFB6175"/>
    <w:rsid w:val="7B01324C"/>
    <w:rsid w:val="7B0A28DC"/>
    <w:rsid w:val="7B1915E2"/>
    <w:rsid w:val="7B4A4882"/>
    <w:rsid w:val="7B545CDA"/>
    <w:rsid w:val="7B5B603A"/>
    <w:rsid w:val="7B8865EA"/>
    <w:rsid w:val="7B9052C5"/>
    <w:rsid w:val="7B9559F0"/>
    <w:rsid w:val="7B966B02"/>
    <w:rsid w:val="7B98728E"/>
    <w:rsid w:val="7BAD444C"/>
    <w:rsid w:val="7BB310BF"/>
    <w:rsid w:val="7BCD512A"/>
    <w:rsid w:val="7BFD3595"/>
    <w:rsid w:val="7BFF10BB"/>
    <w:rsid w:val="7C0D1A2A"/>
    <w:rsid w:val="7C0E12FE"/>
    <w:rsid w:val="7C1903CF"/>
    <w:rsid w:val="7C1D0CB7"/>
    <w:rsid w:val="7C2B0102"/>
    <w:rsid w:val="7C2B3C5E"/>
    <w:rsid w:val="7C4A7F45"/>
    <w:rsid w:val="7C532EB1"/>
    <w:rsid w:val="7C6A0C2B"/>
    <w:rsid w:val="7C7E0732"/>
    <w:rsid w:val="7C80386D"/>
    <w:rsid w:val="7C813187"/>
    <w:rsid w:val="7C907F65"/>
    <w:rsid w:val="7C9178F5"/>
    <w:rsid w:val="7C943EDF"/>
    <w:rsid w:val="7CA3413D"/>
    <w:rsid w:val="7CCF4F32"/>
    <w:rsid w:val="7CE2345C"/>
    <w:rsid w:val="7CF6767B"/>
    <w:rsid w:val="7D056BA5"/>
    <w:rsid w:val="7D06585B"/>
    <w:rsid w:val="7D0E5925"/>
    <w:rsid w:val="7D6B000B"/>
    <w:rsid w:val="7D740CD0"/>
    <w:rsid w:val="7D8325AD"/>
    <w:rsid w:val="7D890A67"/>
    <w:rsid w:val="7D965A4F"/>
    <w:rsid w:val="7DB3106F"/>
    <w:rsid w:val="7DBA5F0E"/>
    <w:rsid w:val="7DBE123A"/>
    <w:rsid w:val="7DBF7A4F"/>
    <w:rsid w:val="7DCD5EF4"/>
    <w:rsid w:val="7DF74740"/>
    <w:rsid w:val="7DF84014"/>
    <w:rsid w:val="7E071003"/>
    <w:rsid w:val="7E33504C"/>
    <w:rsid w:val="7E411CAA"/>
    <w:rsid w:val="7E483EB6"/>
    <w:rsid w:val="7E4E4495"/>
    <w:rsid w:val="7E6D2106"/>
    <w:rsid w:val="7E6D67B0"/>
    <w:rsid w:val="7E725B75"/>
    <w:rsid w:val="7E7545AA"/>
    <w:rsid w:val="7E7E47DE"/>
    <w:rsid w:val="7E7F4FB9"/>
    <w:rsid w:val="7E881B0E"/>
    <w:rsid w:val="7E8C4207"/>
    <w:rsid w:val="7E9A50CB"/>
    <w:rsid w:val="7EAA45DE"/>
    <w:rsid w:val="7EAC1277"/>
    <w:rsid w:val="7ECD386E"/>
    <w:rsid w:val="7EE77B11"/>
    <w:rsid w:val="7F0D1D41"/>
    <w:rsid w:val="7F34107C"/>
    <w:rsid w:val="7F343224"/>
    <w:rsid w:val="7F421587"/>
    <w:rsid w:val="7F453845"/>
    <w:rsid w:val="7F576B30"/>
    <w:rsid w:val="7F6A7194"/>
    <w:rsid w:val="7F956BD5"/>
    <w:rsid w:val="7FF32A96"/>
    <w:rsid w:val="7FF712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3">
    <w:name w:val="heading 2"/>
    <w:next w:val="1"/>
    <w:autoRedefine/>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4">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5">
    <w:name w:val="heading 4"/>
    <w:basedOn w:val="1"/>
    <w:next w:val="1"/>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6">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7">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38">
    <w:name w:val="Default Paragraph Font"/>
    <w:autoRedefine/>
    <w:semiHidden/>
    <w:unhideWhenUsed/>
    <w:qFormat/>
    <w:uiPriority w:val="1"/>
  </w:style>
  <w:style w:type="table" w:default="1" w:styleId="36">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1"/>
    </w:rPr>
    <w:tblPr>
      <w:tblCellMar>
        <w:top w:w="0" w:type="dxa"/>
        <w:left w:w="108" w:type="dxa"/>
        <w:bottom w:w="0" w:type="dxa"/>
        <w:right w:w="108" w:type="dxa"/>
      </w:tblCellMar>
    </w:tblPr>
  </w:style>
  <w:style w:type="paragraph" w:styleId="8">
    <w:name w:val="List 3"/>
    <w:basedOn w:val="1"/>
    <w:next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9">
    <w:name w:val="E-mail Signature"/>
    <w:basedOn w:val="1"/>
    <w:next w:val="10"/>
    <w:autoRedefine/>
    <w:qFormat/>
    <w:uiPriority w:val="0"/>
    <w:pPr>
      <w:spacing w:line="460" w:lineRule="exact"/>
      <w:ind w:firstLine="200"/>
    </w:pPr>
  </w:style>
  <w:style w:type="paragraph" w:customStyle="1" w:styleId="10">
    <w:name w:val="文章"/>
    <w:basedOn w:val="11"/>
    <w:next w:val="13"/>
    <w:autoRedefine/>
    <w:qFormat/>
    <w:uiPriority w:val="0"/>
    <w:pPr>
      <w:widowControl/>
      <w:ind w:firstLine="480"/>
      <w:jc w:val="center"/>
    </w:pPr>
    <w:rPr>
      <w:sz w:val="26"/>
    </w:rPr>
  </w:style>
  <w:style w:type="paragraph" w:styleId="11">
    <w:name w:val="Body Text Indent"/>
    <w:basedOn w:val="1"/>
    <w:next w:val="12"/>
    <w:autoRedefine/>
    <w:qFormat/>
    <w:uiPriority w:val="0"/>
    <w:pPr>
      <w:adjustRightInd w:val="0"/>
      <w:spacing w:after="120"/>
      <w:ind w:left="420" w:leftChars="200"/>
      <w:textAlignment w:val="baseline"/>
    </w:pPr>
    <w:rPr>
      <w:sz w:val="21"/>
      <w:szCs w:val="21"/>
    </w:rPr>
  </w:style>
  <w:style w:type="paragraph" w:styleId="12">
    <w:name w:val="caption"/>
    <w:basedOn w:val="1"/>
    <w:next w:val="1"/>
    <w:link w:val="60"/>
    <w:autoRedefine/>
    <w:unhideWhenUsed/>
    <w:qFormat/>
    <w:uiPriority w:val="0"/>
    <w:pPr>
      <w:tabs>
        <w:tab w:val="left" w:pos="628"/>
        <w:tab w:val="left" w:pos="993"/>
        <w:tab w:val="left" w:pos="1884"/>
      </w:tabs>
      <w:jc w:val="center"/>
    </w:pPr>
    <w:rPr>
      <w:color w:val="000000"/>
      <w:sz w:val="21"/>
      <w:szCs w:val="21"/>
    </w:rPr>
  </w:style>
  <w:style w:type="paragraph" w:styleId="13">
    <w:name w:val="List"/>
    <w:basedOn w:val="1"/>
    <w:next w:val="1"/>
    <w:autoRedefine/>
    <w:qFormat/>
    <w:uiPriority w:val="0"/>
    <w:pPr>
      <w:ind w:left="200" w:hanging="200" w:hangingChars="200"/>
      <w:contextualSpacing/>
    </w:pPr>
  </w:style>
  <w:style w:type="paragraph" w:styleId="14">
    <w:name w:val="Normal Indent"/>
    <w:basedOn w:val="1"/>
    <w:autoRedefine/>
    <w:qFormat/>
    <w:uiPriority w:val="0"/>
    <w:pPr>
      <w:ind w:firstLine="200" w:firstLineChars="200"/>
    </w:pPr>
    <w:rPr>
      <w:sz w:val="21"/>
    </w:rPr>
  </w:style>
  <w:style w:type="paragraph" w:styleId="15">
    <w:name w:val="annotation text"/>
    <w:basedOn w:val="1"/>
    <w:link w:val="87"/>
    <w:autoRedefine/>
    <w:semiHidden/>
    <w:qFormat/>
    <w:uiPriority w:val="0"/>
    <w:pPr>
      <w:jc w:val="left"/>
    </w:pPr>
    <w:rPr>
      <w:kern w:val="0"/>
      <w:szCs w:val="20"/>
    </w:rPr>
  </w:style>
  <w:style w:type="paragraph" w:styleId="16">
    <w:name w:val="Body Text"/>
    <w:basedOn w:val="1"/>
    <w:next w:val="1"/>
    <w:autoRedefine/>
    <w:qFormat/>
    <w:uiPriority w:val="0"/>
    <w:pPr>
      <w:wordWrap w:val="0"/>
      <w:ind w:firstLine="1440" w:firstLineChars="200"/>
    </w:pPr>
    <w:rPr>
      <w:color w:val="000000"/>
    </w:rPr>
  </w:style>
  <w:style w:type="paragraph" w:styleId="17">
    <w:name w:val="List 2"/>
    <w:basedOn w:val="1"/>
    <w:autoRedefine/>
    <w:qFormat/>
    <w:uiPriority w:val="0"/>
    <w:rPr>
      <w:rFonts w:ascii="楷体_GB2312" w:hAnsi="宋体" w:eastAsia="楷体_GB2312"/>
      <w:color w:val="000000"/>
      <w:szCs w:val="28"/>
    </w:rPr>
  </w:style>
  <w:style w:type="paragraph" w:styleId="18">
    <w:name w:val="List Bullet 2"/>
    <w:basedOn w:val="1"/>
    <w:next w:val="19"/>
    <w:autoRedefine/>
    <w:qFormat/>
    <w:uiPriority w:val="0"/>
    <w:pPr>
      <w:numPr>
        <w:ilvl w:val="0"/>
        <w:numId w:val="3"/>
      </w:numPr>
    </w:pPr>
  </w:style>
  <w:style w:type="paragraph" w:customStyle="1" w:styleId="19">
    <w:name w:val="xl70"/>
    <w:basedOn w:val="1"/>
    <w:next w:val="20"/>
    <w:autoRedefine/>
    <w:qFormat/>
    <w:uiPriority w:val="0"/>
    <w:pPr>
      <w:widowControl/>
      <w:spacing w:before="280" w:after="280" w:line="240" w:lineRule="auto"/>
    </w:pPr>
    <w:rPr>
      <w:rFonts w:ascii="宋体"/>
    </w:rPr>
  </w:style>
  <w:style w:type="paragraph" w:customStyle="1" w:styleId="20">
    <w:name w:val="正文缩进1"/>
    <w:basedOn w:val="1"/>
    <w:next w:val="21"/>
    <w:autoRedefine/>
    <w:qFormat/>
    <w:uiPriority w:val="0"/>
    <w:pPr>
      <w:spacing w:line="312" w:lineRule="atLeast"/>
      <w:textAlignment w:val="baseline"/>
    </w:pPr>
    <w:rPr>
      <w:kern w:val="0"/>
      <w:sz w:val="28"/>
      <w:szCs w:val="20"/>
    </w:rPr>
  </w:style>
  <w:style w:type="paragraph" w:customStyle="1" w:styleId="21">
    <w:name w:val="td1"/>
    <w:basedOn w:val="1"/>
    <w:next w:val="1"/>
    <w:autoRedefine/>
    <w:qFormat/>
    <w:uiPriority w:val="0"/>
    <w:pPr>
      <w:widowControl/>
      <w:spacing w:before="280" w:after="280" w:line="300" w:lineRule="atLeast"/>
      <w:ind w:firstLine="200"/>
    </w:pPr>
    <w:rPr>
      <w:color w:val="000000"/>
      <w:sz w:val="18"/>
    </w:rPr>
  </w:style>
  <w:style w:type="paragraph" w:styleId="22">
    <w:name w:val="Plain Text"/>
    <w:basedOn w:val="1"/>
    <w:autoRedefine/>
    <w:qFormat/>
    <w:uiPriority w:val="0"/>
    <w:rPr>
      <w:rFonts w:ascii="宋体" w:hAnsi="Courier New"/>
      <w:sz w:val="20"/>
      <w:szCs w:val="20"/>
    </w:rPr>
  </w:style>
  <w:style w:type="paragraph" w:styleId="23">
    <w:name w:val="Body Text Indent 2"/>
    <w:basedOn w:val="1"/>
    <w:autoRedefine/>
    <w:qFormat/>
    <w:uiPriority w:val="0"/>
    <w:pPr>
      <w:spacing w:after="120" w:line="480" w:lineRule="auto"/>
      <w:ind w:left="420" w:leftChars="200"/>
    </w:pPr>
  </w:style>
  <w:style w:type="paragraph" w:styleId="24">
    <w:name w:val="Balloon Text"/>
    <w:basedOn w:val="1"/>
    <w:autoRedefine/>
    <w:semiHidden/>
    <w:qFormat/>
    <w:uiPriority w:val="0"/>
    <w:rPr>
      <w:kern w:val="0"/>
      <w:sz w:val="18"/>
      <w:szCs w:val="20"/>
    </w:rPr>
  </w:style>
  <w:style w:type="paragraph" w:styleId="25">
    <w:name w:val="footer"/>
    <w:basedOn w:val="1"/>
    <w:autoRedefine/>
    <w:qFormat/>
    <w:uiPriority w:val="0"/>
    <w:pPr>
      <w:tabs>
        <w:tab w:val="center" w:pos="4153"/>
        <w:tab w:val="right" w:pos="8306"/>
      </w:tabs>
      <w:snapToGrid w:val="0"/>
      <w:jc w:val="left"/>
    </w:pPr>
    <w:rPr>
      <w:sz w:val="18"/>
    </w:rPr>
  </w:style>
  <w:style w:type="paragraph" w:styleId="26">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27">
    <w:name w:val="toc 1"/>
    <w:basedOn w:val="1"/>
    <w:next w:val="1"/>
    <w:autoRedefine/>
    <w:qFormat/>
    <w:uiPriority w:val="0"/>
  </w:style>
  <w:style w:type="paragraph" w:styleId="28">
    <w:name w:val="Subtitle"/>
    <w:basedOn w:val="1"/>
    <w:next w:val="1"/>
    <w:autoRedefine/>
    <w:qFormat/>
    <w:uiPriority w:val="0"/>
    <w:pPr>
      <w:ind w:firstLine="200" w:firstLineChars="200"/>
      <w:outlineLvl w:val="1"/>
    </w:pPr>
    <w:rPr>
      <w:bCs/>
      <w:kern w:val="28"/>
      <w:szCs w:val="32"/>
    </w:rPr>
  </w:style>
  <w:style w:type="paragraph" w:styleId="29">
    <w:name w:val="Body Text Indent 3"/>
    <w:basedOn w:val="1"/>
    <w:autoRedefine/>
    <w:qFormat/>
    <w:uiPriority w:val="99"/>
    <w:pPr>
      <w:snapToGrid w:val="0"/>
      <w:spacing w:line="480" w:lineRule="exact"/>
      <w:ind w:firstLine="535" w:firstLineChars="191"/>
    </w:pPr>
    <w:rPr>
      <w:sz w:val="28"/>
    </w:rPr>
  </w:style>
  <w:style w:type="paragraph" w:styleId="30">
    <w:name w:val="table of figures"/>
    <w:basedOn w:val="1"/>
    <w:next w:val="1"/>
    <w:autoRedefine/>
    <w:qFormat/>
    <w:uiPriority w:val="0"/>
    <w:pPr>
      <w:ind w:left="200" w:leftChars="200" w:hanging="200" w:hangingChars="200"/>
    </w:pPr>
  </w:style>
  <w:style w:type="paragraph" w:styleId="31">
    <w:name w:val="toc 2"/>
    <w:basedOn w:val="1"/>
    <w:next w:val="9"/>
    <w:autoRedefine/>
    <w:qFormat/>
    <w:uiPriority w:val="0"/>
    <w:pPr>
      <w:ind w:left="420" w:leftChars="200"/>
    </w:pPr>
  </w:style>
  <w:style w:type="paragraph" w:styleId="32">
    <w:name w:val="Normal (Web)"/>
    <w:basedOn w:val="1"/>
    <w:autoRedefine/>
    <w:qFormat/>
    <w:uiPriority w:val="0"/>
    <w:pPr>
      <w:spacing w:before="100" w:beforeAutospacing="1" w:after="100" w:afterAutospacing="1"/>
      <w:jc w:val="left"/>
    </w:pPr>
    <w:rPr>
      <w:kern w:val="0"/>
    </w:rPr>
  </w:style>
  <w:style w:type="paragraph" w:styleId="33">
    <w:name w:val="annotation subject"/>
    <w:basedOn w:val="15"/>
    <w:next w:val="15"/>
    <w:link w:val="88"/>
    <w:autoRedefine/>
    <w:qFormat/>
    <w:uiPriority w:val="0"/>
    <w:rPr>
      <w:b/>
      <w:bCs/>
      <w:kern w:val="2"/>
      <w:szCs w:val="24"/>
    </w:rPr>
  </w:style>
  <w:style w:type="paragraph" w:styleId="34">
    <w:name w:val="Body Text First Indent"/>
    <w:basedOn w:val="16"/>
    <w:autoRedefine/>
    <w:qFormat/>
    <w:uiPriority w:val="0"/>
    <w:pPr>
      <w:spacing w:after="120" w:afterLines="0"/>
      <w:ind w:firstLine="420" w:firstLineChars="100"/>
      <w:jc w:val="both"/>
    </w:pPr>
    <w:rPr>
      <w:rFonts w:ascii="Times New Roman" w:hAnsi="Times New Roman" w:eastAsia="宋体" w:cs="Times New Roman"/>
    </w:rPr>
  </w:style>
  <w:style w:type="paragraph" w:styleId="35">
    <w:name w:val="Body Text First Indent 2"/>
    <w:basedOn w:val="11"/>
    <w:autoRedefine/>
    <w:qFormat/>
    <w:uiPriority w:val="0"/>
    <w:pPr>
      <w:widowControl/>
      <w:adjustRightInd/>
      <w:ind w:firstLine="420"/>
      <w:jc w:val="left"/>
      <w:textAlignment w:val="auto"/>
    </w:pPr>
    <w:rPr>
      <w:kern w:val="0"/>
      <w:sz w:val="28"/>
      <w:szCs w:val="20"/>
    </w:rPr>
  </w:style>
  <w:style w:type="table" w:styleId="37">
    <w:name w:val="Table Grid"/>
    <w:basedOn w:val="36"/>
    <w:autoRedefine/>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9">
    <w:name w:val="Strong"/>
    <w:basedOn w:val="38"/>
    <w:autoRedefine/>
    <w:qFormat/>
    <w:uiPriority w:val="0"/>
    <w:rPr>
      <w:b/>
    </w:rPr>
  </w:style>
  <w:style w:type="character" w:styleId="40">
    <w:name w:val="page number"/>
    <w:basedOn w:val="38"/>
    <w:qFormat/>
    <w:uiPriority w:val="0"/>
  </w:style>
  <w:style w:type="character" w:styleId="41">
    <w:name w:val="Hyperlink"/>
    <w:basedOn w:val="38"/>
    <w:qFormat/>
    <w:uiPriority w:val="0"/>
    <w:rPr>
      <w:color w:val="0000FF"/>
      <w:u w:val="single"/>
    </w:rPr>
  </w:style>
  <w:style w:type="character" w:styleId="42">
    <w:name w:val="annotation reference"/>
    <w:basedOn w:val="38"/>
    <w:autoRedefine/>
    <w:qFormat/>
    <w:uiPriority w:val="0"/>
    <w:rPr>
      <w:sz w:val="21"/>
      <w:szCs w:val="21"/>
    </w:rPr>
  </w:style>
  <w:style w:type="paragraph" w:customStyle="1" w:styleId="43">
    <w:name w:val="Default"/>
    <w:basedOn w:val="44"/>
    <w:next w:val="45"/>
    <w:autoRedefine/>
    <w:qFormat/>
    <w:uiPriority w:val="0"/>
    <w:pPr>
      <w:autoSpaceDE w:val="0"/>
      <w:autoSpaceDN w:val="0"/>
    </w:pPr>
    <w:rPr>
      <w:rFonts w:hAnsi="Times New Roman" w:cs="宋体"/>
      <w:color w:val="000000"/>
    </w:rPr>
  </w:style>
  <w:style w:type="paragraph" w:customStyle="1" w:styleId="44">
    <w:name w:val="纯文本1"/>
    <w:basedOn w:val="1"/>
    <w:next w:val="1"/>
    <w:autoRedefine/>
    <w:qFormat/>
    <w:uiPriority w:val="0"/>
    <w:pPr>
      <w:adjustRightInd w:val="0"/>
    </w:pPr>
    <w:rPr>
      <w:rFonts w:ascii="宋体" w:hAnsi="Courier New"/>
    </w:rPr>
  </w:style>
  <w:style w:type="paragraph" w:customStyle="1" w:styleId="45">
    <w:name w:val="样式35"/>
    <w:basedOn w:val="46"/>
    <w:next w:val="51"/>
    <w:autoRedefine/>
    <w:qFormat/>
    <w:uiPriority w:val="0"/>
    <w:pPr>
      <w:tabs>
        <w:tab w:val="left" w:pos="0"/>
        <w:tab w:val="left" w:pos="360"/>
        <w:tab w:val="left" w:pos="540"/>
        <w:tab w:val="left" w:pos="567"/>
        <w:tab w:val="left" w:pos="4140"/>
      </w:tabs>
      <w:spacing w:line="312" w:lineRule="auto"/>
      <w:ind w:firstLine="567"/>
    </w:pPr>
  </w:style>
  <w:style w:type="paragraph" w:customStyle="1" w:styleId="46">
    <w:name w:val="样式26"/>
    <w:basedOn w:val="47"/>
    <w:autoRedefine/>
    <w:qFormat/>
    <w:uiPriority w:val="0"/>
    <w:pPr>
      <w:tabs>
        <w:tab w:val="left" w:pos="0"/>
        <w:tab w:val="left" w:pos="360"/>
        <w:tab w:val="left" w:pos="540"/>
        <w:tab w:val="left" w:pos="567"/>
        <w:tab w:val="left" w:pos="4140"/>
      </w:tabs>
    </w:pPr>
  </w:style>
  <w:style w:type="paragraph" w:customStyle="1" w:styleId="47">
    <w:name w:val="样式21"/>
    <w:basedOn w:val="48"/>
    <w:autoRedefine/>
    <w:qFormat/>
    <w:uiPriority w:val="0"/>
    <w:pPr>
      <w:tabs>
        <w:tab w:val="left" w:pos="0"/>
        <w:tab w:val="left" w:pos="360"/>
        <w:tab w:val="left" w:pos="567"/>
        <w:tab w:val="left" w:pos="4140"/>
      </w:tabs>
      <w:spacing w:beforeLines="0" w:afterLines="0"/>
      <w:ind w:hanging="992"/>
    </w:pPr>
  </w:style>
  <w:style w:type="paragraph" w:customStyle="1" w:styleId="48">
    <w:name w:val="样式5"/>
    <w:basedOn w:val="49"/>
    <w:autoRedefine/>
    <w:qFormat/>
    <w:uiPriority w:val="0"/>
    <w:pPr>
      <w:tabs>
        <w:tab w:val="left" w:pos="0"/>
        <w:tab w:val="left" w:pos="360"/>
        <w:tab w:val="left" w:pos="4140"/>
      </w:tabs>
      <w:ind w:right="-105" w:rightChars="-50"/>
      <w:jc w:val="center"/>
    </w:pPr>
    <w:rPr>
      <w:rFonts w:ascii="宋体"/>
      <w:sz w:val="21"/>
    </w:rPr>
  </w:style>
  <w:style w:type="paragraph" w:customStyle="1" w:styleId="49">
    <w:name w:val="样式12"/>
    <w:basedOn w:val="50"/>
    <w:autoRedefine/>
    <w:qFormat/>
    <w:uiPriority w:val="0"/>
    <w:pPr>
      <w:keepNext/>
      <w:keepLines/>
      <w:tabs>
        <w:tab w:val="left" w:pos="0"/>
        <w:tab w:val="left" w:pos="360"/>
        <w:tab w:val="left" w:pos="4140"/>
      </w:tabs>
      <w:spacing w:beforeLines="50" w:afterLines="50"/>
      <w:ind w:left="567" w:hanging="567"/>
      <w:outlineLvl w:val="1"/>
    </w:pPr>
    <w:rPr>
      <w:rFonts w:eastAsia="MS Mincho"/>
      <w:kern w:val="0"/>
      <w:sz w:val="28"/>
      <w:szCs w:val="28"/>
    </w:rPr>
  </w:style>
  <w:style w:type="paragraph" w:customStyle="1" w:styleId="50">
    <w:name w:val="样式 标题 3标题 3 Char标题3H3h33rd level第二层条三级标题ReHead 3 WSA头..."/>
    <w:basedOn w:val="4"/>
    <w:qFormat/>
    <w:uiPriority w:val="0"/>
    <w:pPr>
      <w:tabs>
        <w:tab w:val="left" w:pos="0"/>
        <w:tab w:val="left" w:pos="4140"/>
        <w:tab w:val="clear" w:pos="420"/>
      </w:tabs>
      <w:ind w:left="4140" w:hanging="720"/>
    </w:pPr>
    <w:rPr>
      <w:rFonts w:eastAsia="黑体"/>
      <w:color w:val="FF0000"/>
    </w:rPr>
  </w:style>
  <w:style w:type="paragraph" w:customStyle="1" w:styleId="51">
    <w:name w:val="font6"/>
    <w:basedOn w:val="1"/>
    <w:next w:val="31"/>
    <w:autoRedefine/>
    <w:qFormat/>
    <w:uiPriority w:val="0"/>
    <w:pPr>
      <w:widowControl/>
      <w:spacing w:before="280" w:after="280"/>
    </w:pPr>
    <w:rPr>
      <w:sz w:val="21"/>
    </w:rPr>
  </w:style>
  <w:style w:type="paragraph" w:customStyle="1" w:styleId="52">
    <w:name w:val="图表名称"/>
    <w:basedOn w:val="34"/>
    <w:next w:val="53"/>
    <w:autoRedefine/>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customStyle="1" w:styleId="53">
    <w:name w:val="报告正文"/>
    <w:basedOn w:val="1"/>
    <w:autoRedefine/>
    <w:qFormat/>
    <w:uiPriority w:val="0"/>
    <w:pPr>
      <w:ind w:firstLine="480" w:firstLineChars="200"/>
    </w:pPr>
  </w:style>
  <w:style w:type="paragraph" w:customStyle="1" w:styleId="54">
    <w:name w:val="正文文字 6"/>
    <w:basedOn w:val="55"/>
    <w:next w:val="1"/>
    <w:autoRedefine/>
    <w:qFormat/>
    <w:uiPriority w:val="0"/>
    <w:pPr>
      <w:widowControl w:val="0"/>
      <w:ind w:left="240"/>
      <w:jc w:val="both"/>
    </w:pPr>
    <w:rPr>
      <w:rFonts w:ascii="宋体"/>
      <w:bCs/>
      <w:sz w:val="32"/>
      <w:szCs w:val="32"/>
    </w:rPr>
  </w:style>
  <w:style w:type="paragraph" w:customStyle="1" w:styleId="55">
    <w:name w:val="图位置"/>
    <w:next w:val="56"/>
    <w:autoRedefine/>
    <w:qFormat/>
    <w:uiPriority w:val="0"/>
    <w:pPr>
      <w:jc w:val="center"/>
    </w:pPr>
    <w:rPr>
      <w:rFonts w:ascii="Times New Roman" w:hAnsi="Times New Roman" w:eastAsia="宋体" w:cs="Times New Roman"/>
      <w:kern w:val="2"/>
      <w:sz w:val="24"/>
      <w:szCs w:val="21"/>
      <w:lang w:val="en-US" w:eastAsia="zh-CN" w:bidi="ar-SA"/>
    </w:rPr>
  </w:style>
  <w:style w:type="paragraph" w:customStyle="1" w:styleId="56">
    <w:name w:val="图题"/>
    <w:basedOn w:val="1"/>
    <w:next w:val="1"/>
    <w:autoRedefine/>
    <w:qFormat/>
    <w:uiPriority w:val="0"/>
    <w:pPr>
      <w:jc w:val="center"/>
    </w:pPr>
    <w:rPr>
      <w:rFonts w:ascii="宋体" w:hAnsi="宋体" w:eastAsia="黑体"/>
      <w:b/>
    </w:rPr>
  </w:style>
  <w:style w:type="paragraph" w:customStyle="1" w:styleId="57">
    <w:name w:val="TT标题"/>
    <w:basedOn w:val="1"/>
    <w:autoRedefine/>
    <w:qFormat/>
    <w:uiPriority w:val="0"/>
    <w:pPr>
      <w:jc w:val="center"/>
    </w:pPr>
    <w:rPr>
      <w:rFonts w:cs="宋体"/>
      <w:b/>
      <w:szCs w:val="20"/>
    </w:rPr>
  </w:style>
  <w:style w:type="paragraph" w:customStyle="1" w:styleId="58">
    <w:name w:val="6-正文"/>
    <w:basedOn w:val="1"/>
    <w:link w:val="91"/>
    <w:autoRedefine/>
    <w:qFormat/>
    <w:uiPriority w:val="0"/>
    <w:rPr>
      <w:szCs w:val="28"/>
    </w:rPr>
  </w:style>
  <w:style w:type="paragraph" w:customStyle="1" w:styleId="59">
    <w:name w:val="表格文字"/>
    <w:autoRedefine/>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60">
    <w:name w:val="题注 字符"/>
    <w:link w:val="12"/>
    <w:autoRedefine/>
    <w:qFormat/>
    <w:uiPriority w:val="0"/>
    <w:rPr>
      <w:rFonts w:ascii="Times New Roman" w:hAnsi="Times New Roman"/>
      <w:b/>
      <w:bCs/>
      <w:color w:val="000000"/>
      <w:sz w:val="21"/>
      <w:szCs w:val="21"/>
    </w:rPr>
  </w:style>
  <w:style w:type="paragraph" w:customStyle="1" w:styleId="61">
    <w:name w:val="括号标题"/>
    <w:basedOn w:val="44"/>
    <w:next w:val="54"/>
    <w:autoRedefine/>
    <w:qFormat/>
    <w:uiPriority w:val="0"/>
    <w:pPr>
      <w:autoSpaceDE w:val="0"/>
      <w:autoSpaceDN w:val="0"/>
    </w:pPr>
    <w:rPr>
      <w:rFonts w:hAnsi="宋体"/>
      <w:color w:val="000000"/>
    </w:rPr>
  </w:style>
  <w:style w:type="paragraph" w:customStyle="1" w:styleId="62">
    <w:name w:val="J-表格内容（5号+居中）"/>
    <w:basedOn w:val="1"/>
    <w:autoRedefine/>
    <w:qFormat/>
    <w:uiPriority w:val="0"/>
    <w:pPr>
      <w:spacing w:line="240" w:lineRule="auto"/>
      <w:jc w:val="center"/>
    </w:pPr>
    <w:rPr>
      <w:sz w:val="21"/>
      <w:szCs w:val="21"/>
    </w:rPr>
  </w:style>
  <w:style w:type="paragraph" w:customStyle="1" w:styleId="63">
    <w:name w:val="表 内容"/>
    <w:basedOn w:val="1"/>
    <w:autoRedefine/>
    <w:qFormat/>
    <w:uiPriority w:val="0"/>
    <w:pPr>
      <w:adjustRightInd w:val="0"/>
      <w:snapToGrid w:val="0"/>
      <w:spacing w:beforeLines="15"/>
      <w:jc w:val="center"/>
    </w:pPr>
    <w:rPr>
      <w:kern w:val="0"/>
      <w:sz w:val="20"/>
      <w:szCs w:val="21"/>
    </w:rPr>
  </w:style>
  <w:style w:type="paragraph" w:customStyle="1" w:styleId="64">
    <w:name w:val="表内字"/>
    <w:basedOn w:val="65"/>
    <w:autoRedefine/>
    <w:qFormat/>
    <w:uiPriority w:val="0"/>
    <w:pPr>
      <w:autoSpaceDE w:val="0"/>
      <w:autoSpaceDN w:val="0"/>
      <w:spacing w:line="320" w:lineRule="exact"/>
    </w:pPr>
    <w:rPr>
      <w:rFonts w:hAnsi="宋体"/>
      <w:kern w:val="2"/>
      <w:sz w:val="21"/>
      <w:szCs w:val="21"/>
    </w:rPr>
  </w:style>
  <w:style w:type="paragraph" w:customStyle="1" w:styleId="65">
    <w:name w:val="表格"/>
    <w:basedOn w:val="14"/>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6">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7">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8">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9">
    <w:name w:val="font61"/>
    <w:basedOn w:val="38"/>
    <w:autoRedefine/>
    <w:qFormat/>
    <w:uiPriority w:val="0"/>
    <w:rPr>
      <w:rFonts w:hint="default" w:ascii="Times New Roman" w:hAnsi="Times New Roman" w:cs="Times New Roman"/>
      <w:b/>
      <w:color w:val="000000"/>
      <w:sz w:val="18"/>
      <w:szCs w:val="18"/>
      <w:u w:val="none"/>
    </w:rPr>
  </w:style>
  <w:style w:type="character" w:customStyle="1" w:styleId="70">
    <w:name w:val="font81"/>
    <w:basedOn w:val="38"/>
    <w:autoRedefine/>
    <w:qFormat/>
    <w:uiPriority w:val="0"/>
    <w:rPr>
      <w:rFonts w:hint="default" w:ascii="Times New Roman" w:hAnsi="Times New Roman" w:cs="Times New Roman"/>
      <w:b/>
      <w:color w:val="000000"/>
      <w:sz w:val="18"/>
      <w:szCs w:val="18"/>
      <w:u w:val="none"/>
    </w:rPr>
  </w:style>
  <w:style w:type="character" w:customStyle="1" w:styleId="71">
    <w:name w:val="font51"/>
    <w:basedOn w:val="38"/>
    <w:autoRedefine/>
    <w:qFormat/>
    <w:uiPriority w:val="0"/>
    <w:rPr>
      <w:rFonts w:hint="eastAsia" w:ascii="宋体" w:hAnsi="宋体" w:eastAsia="宋体" w:cs="宋体"/>
      <w:b/>
      <w:color w:val="000000"/>
      <w:sz w:val="18"/>
      <w:szCs w:val="18"/>
      <w:u w:val="none"/>
    </w:rPr>
  </w:style>
  <w:style w:type="character" w:customStyle="1" w:styleId="72">
    <w:name w:val="font91"/>
    <w:basedOn w:val="38"/>
    <w:autoRedefine/>
    <w:qFormat/>
    <w:uiPriority w:val="0"/>
    <w:rPr>
      <w:rFonts w:ascii="Calibri" w:hAnsi="Calibri" w:cs="Calibri"/>
      <w:color w:val="auto"/>
      <w:sz w:val="21"/>
      <w:szCs w:val="21"/>
      <w:u w:val="none"/>
    </w:rPr>
  </w:style>
  <w:style w:type="character" w:customStyle="1" w:styleId="73">
    <w:name w:val="font111"/>
    <w:basedOn w:val="38"/>
    <w:autoRedefine/>
    <w:qFormat/>
    <w:uiPriority w:val="0"/>
    <w:rPr>
      <w:rFonts w:hint="default" w:ascii="Times New Roman" w:hAnsi="Times New Roman" w:cs="Times New Roman"/>
      <w:b/>
      <w:color w:val="000000"/>
      <w:sz w:val="18"/>
      <w:szCs w:val="18"/>
      <w:u w:val="none"/>
    </w:rPr>
  </w:style>
  <w:style w:type="character" w:customStyle="1" w:styleId="74">
    <w:name w:val="font101"/>
    <w:basedOn w:val="38"/>
    <w:autoRedefine/>
    <w:qFormat/>
    <w:uiPriority w:val="0"/>
    <w:rPr>
      <w:rFonts w:hint="eastAsia" w:ascii="宋体" w:hAnsi="宋体" w:eastAsia="宋体" w:cs="宋体"/>
      <w:b/>
      <w:color w:val="000000"/>
      <w:sz w:val="18"/>
      <w:szCs w:val="18"/>
      <w:u w:val="none"/>
    </w:rPr>
  </w:style>
  <w:style w:type="paragraph" w:customStyle="1" w:styleId="75">
    <w:name w:val="附图附件"/>
    <w:basedOn w:val="1"/>
    <w:autoRedefine/>
    <w:qFormat/>
    <w:uiPriority w:val="0"/>
    <w:pPr>
      <w:spacing w:line="240" w:lineRule="auto"/>
      <w:jc w:val="center"/>
      <w:outlineLvl w:val="0"/>
    </w:pPr>
  </w:style>
  <w:style w:type="paragraph" w:customStyle="1" w:styleId="76">
    <w:name w:val="J-表格标题+图片标题（5号+居中）"/>
    <w:basedOn w:val="1"/>
    <w:autoRedefine/>
    <w:qFormat/>
    <w:uiPriority w:val="0"/>
    <w:pPr>
      <w:spacing w:line="240" w:lineRule="auto"/>
      <w:jc w:val="center"/>
    </w:pPr>
    <w:rPr>
      <w:b/>
      <w:sz w:val="21"/>
      <w:szCs w:val="21"/>
    </w:rPr>
  </w:style>
  <w:style w:type="paragraph" w:customStyle="1" w:styleId="77">
    <w:name w:val="报告表小标题"/>
    <w:basedOn w:val="1"/>
    <w:autoRedefine/>
    <w:qFormat/>
    <w:uiPriority w:val="0"/>
    <w:pPr>
      <w:spacing w:before="100" w:beforeAutospacing="1"/>
    </w:pPr>
    <w:rPr>
      <w:b/>
    </w:rPr>
  </w:style>
  <w:style w:type="character" w:customStyle="1" w:styleId="78">
    <w:name w:val="font21"/>
    <w:basedOn w:val="38"/>
    <w:autoRedefine/>
    <w:qFormat/>
    <w:uiPriority w:val="0"/>
    <w:rPr>
      <w:rFonts w:hint="eastAsia" w:ascii="宋体" w:hAnsi="宋体" w:eastAsia="宋体" w:cs="宋体"/>
      <w:b/>
      <w:bCs/>
      <w:color w:val="000000"/>
      <w:sz w:val="21"/>
      <w:szCs w:val="21"/>
      <w:u w:val="none"/>
    </w:rPr>
  </w:style>
  <w:style w:type="character" w:customStyle="1" w:styleId="79">
    <w:name w:val="font11"/>
    <w:basedOn w:val="38"/>
    <w:autoRedefine/>
    <w:qFormat/>
    <w:uiPriority w:val="0"/>
    <w:rPr>
      <w:rFonts w:hint="eastAsia" w:ascii="宋体" w:hAnsi="宋体" w:eastAsia="宋体" w:cs="宋体"/>
      <w:color w:val="000000"/>
      <w:sz w:val="21"/>
      <w:szCs w:val="21"/>
      <w:u w:val="none"/>
    </w:rPr>
  </w:style>
  <w:style w:type="character" w:customStyle="1" w:styleId="80">
    <w:name w:val="font41"/>
    <w:basedOn w:val="38"/>
    <w:autoRedefine/>
    <w:qFormat/>
    <w:uiPriority w:val="0"/>
    <w:rPr>
      <w:rFonts w:hint="eastAsia" w:ascii="宋体" w:hAnsi="宋体" w:eastAsia="宋体" w:cs="宋体"/>
      <w:color w:val="000000"/>
      <w:sz w:val="21"/>
      <w:szCs w:val="21"/>
      <w:u w:val="none"/>
    </w:rPr>
  </w:style>
  <w:style w:type="paragraph" w:customStyle="1" w:styleId="81">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82">
    <w:name w:val="List Paragraph"/>
    <w:basedOn w:val="1"/>
    <w:autoRedefine/>
    <w:qFormat/>
    <w:uiPriority w:val="99"/>
    <w:pPr>
      <w:ind w:firstLine="420" w:firstLineChars="200"/>
    </w:pPr>
  </w:style>
  <w:style w:type="character" w:customStyle="1" w:styleId="83">
    <w:name w:val="fontstyle01"/>
    <w:basedOn w:val="38"/>
    <w:autoRedefine/>
    <w:qFormat/>
    <w:uiPriority w:val="0"/>
    <w:rPr>
      <w:rFonts w:hint="eastAsia" w:ascii="宋体" w:hAnsi="宋体" w:eastAsia="宋体"/>
      <w:color w:val="000000"/>
      <w:sz w:val="24"/>
      <w:szCs w:val="24"/>
    </w:rPr>
  </w:style>
  <w:style w:type="paragraph" w:customStyle="1" w:styleId="84">
    <w:name w:val="HJ-正文"/>
    <w:basedOn w:val="1"/>
    <w:autoRedefine/>
    <w:qFormat/>
    <w:uiPriority w:val="0"/>
    <w:pPr>
      <w:ind w:firstLine="480" w:firstLineChars="200"/>
    </w:pPr>
  </w:style>
  <w:style w:type="paragraph" w:customStyle="1" w:styleId="85">
    <w:name w:val="WPSOffice手动目录 1"/>
    <w:autoRedefine/>
    <w:qFormat/>
    <w:uiPriority w:val="0"/>
    <w:rPr>
      <w:rFonts w:ascii="Times New Roman" w:hAnsi="Times New Roman" w:eastAsia="宋体" w:cs="Times New Roman"/>
      <w:lang w:val="en-US" w:eastAsia="zh-CN" w:bidi="ar-SA"/>
    </w:rPr>
  </w:style>
  <w:style w:type="paragraph" w:customStyle="1" w:styleId="86">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7">
    <w:name w:val="批注文字 字符"/>
    <w:basedOn w:val="38"/>
    <w:link w:val="15"/>
    <w:autoRedefine/>
    <w:semiHidden/>
    <w:qFormat/>
    <w:uiPriority w:val="0"/>
    <w:rPr>
      <w:sz w:val="24"/>
    </w:rPr>
  </w:style>
  <w:style w:type="character" w:customStyle="1" w:styleId="88">
    <w:name w:val="批注主题 字符"/>
    <w:basedOn w:val="87"/>
    <w:link w:val="33"/>
    <w:autoRedefine/>
    <w:qFormat/>
    <w:uiPriority w:val="0"/>
    <w:rPr>
      <w:b/>
      <w:bCs/>
      <w:kern w:val="2"/>
      <w:sz w:val="24"/>
      <w:szCs w:val="24"/>
    </w:rPr>
  </w:style>
  <w:style w:type="character" w:customStyle="1" w:styleId="89">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90">
    <w:name w:val="font31"/>
    <w:basedOn w:val="38"/>
    <w:autoRedefine/>
    <w:qFormat/>
    <w:uiPriority w:val="0"/>
    <w:rPr>
      <w:rFonts w:hint="default" w:ascii="Times New Roman" w:hAnsi="Times New Roman" w:cs="Times New Roman"/>
      <w:color w:val="000000"/>
      <w:sz w:val="21"/>
      <w:szCs w:val="21"/>
      <w:u w:val="none"/>
    </w:rPr>
  </w:style>
  <w:style w:type="character" w:customStyle="1" w:styleId="91">
    <w:name w:val="6-正文 Char"/>
    <w:link w:val="58"/>
    <w:autoRedefine/>
    <w:qFormat/>
    <w:uiPriority w:val="0"/>
    <w:rPr>
      <w:szCs w:val="28"/>
    </w:rPr>
  </w:style>
  <w:style w:type="table" w:customStyle="1" w:styleId="92">
    <w:name w:val="报告书标准表格"/>
    <w:basedOn w:val="36"/>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3">
    <w:name w:val="表格内容"/>
    <w:basedOn w:val="94"/>
    <w:autoRedefine/>
    <w:qFormat/>
    <w:uiPriority w:val="0"/>
    <w:rPr>
      <w:sz w:val="21"/>
      <w:szCs w:val="21"/>
    </w:rPr>
  </w:style>
  <w:style w:type="paragraph" w:customStyle="1" w:styleId="94">
    <w:name w:val="表格标题"/>
    <w:basedOn w:val="95"/>
    <w:next w:val="1"/>
    <w:autoRedefine/>
    <w:qFormat/>
    <w:uiPriority w:val="0"/>
    <w:pPr>
      <w:jc w:val="center"/>
    </w:pPr>
    <w:rPr>
      <w:rFonts w:ascii="Times New Roman" w:hAnsi="Times New Roman"/>
      <w:b/>
    </w:rPr>
  </w:style>
  <w:style w:type="paragraph" w:customStyle="1" w:styleId="95">
    <w:name w:val="表格000"/>
    <w:basedOn w:val="1"/>
    <w:autoRedefine/>
    <w:qFormat/>
    <w:uiPriority w:val="0"/>
    <w:pPr>
      <w:jc w:val="center"/>
    </w:pPr>
    <w:rPr>
      <w:kern w:val="11"/>
      <w:szCs w:val="21"/>
    </w:rPr>
  </w:style>
  <w:style w:type="character" w:customStyle="1" w:styleId="96">
    <w:name w:val="16"/>
    <w:basedOn w:val="38"/>
    <w:autoRedefine/>
    <w:qFormat/>
    <w:uiPriority w:val="0"/>
    <w:rPr>
      <w:rFonts w:hint="default" w:ascii="Times New Roman" w:hAnsi="Times New Roman" w:cs="Times New Roman"/>
      <w:color w:val="000000"/>
      <w:sz w:val="21"/>
      <w:szCs w:val="21"/>
    </w:rPr>
  </w:style>
  <w:style w:type="character" w:customStyle="1" w:styleId="97">
    <w:name w:val="17"/>
    <w:basedOn w:val="38"/>
    <w:autoRedefine/>
    <w:qFormat/>
    <w:uiPriority w:val="0"/>
    <w:rPr>
      <w:rFonts w:hint="default" w:ascii="Times New Roman" w:hAnsi="Times New Roman" w:cs="Times New Roman"/>
      <w:color w:val="000000"/>
      <w:sz w:val="21"/>
      <w:szCs w:val="21"/>
      <w:vertAlign w:val="superscript"/>
    </w:rPr>
  </w:style>
  <w:style w:type="character" w:customStyle="1" w:styleId="98">
    <w:name w:val="15"/>
    <w:basedOn w:val="38"/>
    <w:autoRedefine/>
    <w:qFormat/>
    <w:uiPriority w:val="0"/>
    <w:rPr>
      <w:rFonts w:hint="eastAsia" w:ascii="宋体" w:hAnsi="宋体" w:eastAsia="宋体"/>
      <w:color w:val="000000"/>
      <w:sz w:val="21"/>
      <w:szCs w:val="21"/>
    </w:rPr>
  </w:style>
  <w:style w:type="paragraph" w:customStyle="1" w:styleId="99">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100">
    <w:name w:val="图表标题"/>
    <w:basedOn w:val="1"/>
    <w:next w:val="1"/>
    <w:autoRedefine/>
    <w:qFormat/>
    <w:uiPriority w:val="0"/>
    <w:pPr>
      <w:jc w:val="center"/>
    </w:pPr>
    <w:rPr>
      <w:b/>
      <w:sz w:val="21"/>
    </w:rPr>
  </w:style>
  <w:style w:type="paragraph" w:customStyle="1" w:styleId="101">
    <w:name w:val="表1"/>
    <w:basedOn w:val="1"/>
    <w:next w:val="65"/>
    <w:autoRedefine/>
    <w:qFormat/>
    <w:uiPriority w:val="0"/>
    <w:pPr>
      <w:numPr>
        <w:ilvl w:val="0"/>
        <w:numId w:val="4"/>
      </w:numPr>
      <w:spacing w:line="360" w:lineRule="auto"/>
      <w:ind w:firstLine="0" w:firstLineChars="0"/>
      <w:jc w:val="center"/>
    </w:pPr>
    <w:rPr>
      <w:b/>
      <w:sz w:val="24"/>
    </w:rPr>
  </w:style>
  <w:style w:type="table" w:customStyle="1" w:styleId="102">
    <w:name w:val="常规"/>
    <w:basedOn w:val="36"/>
    <w:autoRedefine/>
    <w:qFormat/>
    <w:uiPriority w:val="0"/>
    <w:pPr>
      <w:keepNext w:val="0"/>
      <w:keepLines w:val="0"/>
      <w:widowControl/>
      <w:suppressLineNumbers w:val="0"/>
      <w:spacing w:before="0" w:beforeAutospacing="0" w:after="0" w:afterAutospacing="0" w:line="276" w:lineRule="auto"/>
      <w:ind w:left="0" w:right="0"/>
      <w:jc w:val="center"/>
    </w:pPr>
    <w:rPr>
      <w:rFonts w:hint="default" w:ascii="Times New Roman" w:hAnsi="Times New Roman" w:eastAsia="宋体" w:cs="Times New Roman"/>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vAlign w:val="center"/>
    </w:tcPr>
    <w:tblStylePr w:type="firstRow">
      <w:rPr>
        <w:rFonts w:hint="default" w:ascii="Times New Roman" w:hAnsi="Times New Roman" w:eastAsia="宋体" w:cs="Times New Roman"/>
        <w:b w:val="0"/>
        <w:sz w:val="21"/>
        <w:szCs w:val="21"/>
      </w:rPr>
    </w:tblStylePr>
  </w:style>
  <w:style w:type="paragraph" w:customStyle="1" w:styleId="103">
    <w:name w:val="小节标题"/>
    <w:basedOn w:val="1"/>
    <w:next w:val="104"/>
    <w:autoRedefine/>
    <w:qFormat/>
    <w:uiPriority w:val="0"/>
    <w:pPr>
      <w:widowControl/>
      <w:numPr>
        <w:ilvl w:val="0"/>
        <w:numId w:val="5"/>
      </w:numPr>
      <w:tabs>
        <w:tab w:val="clear" w:pos="0"/>
      </w:tabs>
      <w:spacing w:line="360" w:lineRule="auto"/>
      <w:ind w:firstLine="560" w:firstLineChars="200"/>
      <w:jc w:val="left"/>
    </w:pPr>
    <w:rPr>
      <w:rFonts w:hint="eastAsia" w:cs="宋体"/>
      <w:b/>
      <w:bCs/>
      <w:sz w:val="24"/>
      <w:szCs w:val="21"/>
      <w:lang w:bidi="ar"/>
    </w:rPr>
  </w:style>
  <w:style w:type="paragraph" w:customStyle="1" w:styleId="104">
    <w:name w:val="正文小四"/>
    <w:basedOn w:val="1"/>
    <w:autoRedefine/>
    <w:qFormat/>
    <w:uiPriority w:val="0"/>
    <w:pPr>
      <w:spacing w:line="360" w:lineRule="auto"/>
      <w:ind w:firstLine="420" w:firstLineChars="200"/>
    </w:pPr>
    <w:rPr>
      <w:rFonts w:ascii="Times New Roman" w:hAnsi="Times New Roman"/>
      <w:sz w:val="24"/>
    </w:rPr>
  </w:style>
  <w:style w:type="character" w:customStyle="1" w:styleId="105">
    <w:name w:val="font71"/>
    <w:basedOn w:val="38"/>
    <w:autoRedefine/>
    <w:qFormat/>
    <w:uiPriority w:val="0"/>
    <w:rPr>
      <w:rFonts w:hint="eastAsia" w:ascii="宋体" w:hAnsi="宋体" w:eastAsia="宋体" w:cs="宋体"/>
      <w:color w:val="000000"/>
      <w:sz w:val="20"/>
      <w:szCs w:val="20"/>
      <w:u w:val="none"/>
    </w:rPr>
  </w:style>
  <w:style w:type="paragraph" w:customStyle="1" w:styleId="106">
    <w:name w:val="表2"/>
    <w:basedOn w:val="1"/>
    <w:next w:val="65"/>
    <w:autoRedefine/>
    <w:qFormat/>
    <w:uiPriority w:val="0"/>
    <w:pPr>
      <w:numPr>
        <w:ilvl w:val="0"/>
        <w:numId w:val="6"/>
      </w:numPr>
    </w:pPr>
  </w:style>
  <w:style w:type="character" w:customStyle="1" w:styleId="107">
    <w:name w:val="font13"/>
    <w:basedOn w:val="38"/>
    <w:autoRedefine/>
    <w:qFormat/>
    <w:uiPriority w:val="0"/>
    <w:rPr>
      <w:rFonts w:hint="eastAsia" w:ascii="宋体" w:hAnsi="宋体" w:eastAsia="宋体" w:cs="宋体"/>
      <w:b/>
      <w:bCs/>
      <w:color w:val="000000"/>
      <w:sz w:val="20"/>
      <w:szCs w:val="20"/>
      <w:u w:val="none"/>
    </w:rPr>
  </w:style>
  <w:style w:type="character" w:customStyle="1" w:styleId="108">
    <w:name w:val="font121"/>
    <w:basedOn w:val="38"/>
    <w:autoRedefine/>
    <w:qFormat/>
    <w:uiPriority w:val="0"/>
    <w:rPr>
      <w:rFonts w:hint="default" w:ascii="Times New Roman" w:hAnsi="Times New Roman" w:cs="Times New Roman"/>
      <w:color w:val="000000"/>
      <w:sz w:val="20"/>
      <w:szCs w:val="20"/>
      <w:u w:val="none"/>
      <w:vertAlign w:val="superscript"/>
    </w:rPr>
  </w:style>
  <w:style w:type="paragraph" w:customStyle="1" w:styleId="109">
    <w:name w:val="国寰正文"/>
    <w:basedOn w:val="1"/>
    <w:autoRedefine/>
    <w:qFormat/>
    <w:uiPriority w:val="0"/>
    <w:pPr>
      <w:adjustRightInd w:val="0"/>
      <w:snapToGrid w:val="0"/>
      <w:spacing w:line="360" w:lineRule="auto"/>
      <w:ind w:firstLine="200" w:firstLineChars="200"/>
    </w:pPr>
    <w:rPr>
      <w:spacing w:val="0"/>
      <w:kern w:val="2"/>
      <w:sz w:val="24"/>
      <w:szCs w:val="24"/>
    </w:rPr>
  </w:style>
  <w:style w:type="character" w:customStyle="1" w:styleId="110">
    <w:name w:val="fontstyle21"/>
    <w:autoRedefine/>
    <w:qFormat/>
    <w:uiPriority w:val="0"/>
    <w:rPr>
      <w:rFonts w:hint="default" w:ascii="Times New Roman" w:hAnsi="Times New Roman" w:cs="Times New Roman"/>
      <w:color w:val="000000"/>
      <w:sz w:val="24"/>
      <w:szCs w:val="24"/>
    </w:rPr>
  </w:style>
  <w:style w:type="character" w:customStyle="1" w:styleId="111">
    <w:name w:val="fontstyle11"/>
    <w:basedOn w:val="38"/>
    <w:autoRedefine/>
    <w:qFormat/>
    <w:uiPriority w:val="0"/>
    <w:rPr>
      <w:rFonts w:hint="default" w:ascii="Times New Roman" w:hAnsi="Times New Roman" w:cs="Times New Roman"/>
      <w:color w:val="000000"/>
      <w:sz w:val="24"/>
      <w:szCs w:val="24"/>
    </w:rPr>
  </w:style>
  <w:style w:type="character" w:customStyle="1" w:styleId="112">
    <w:name w:val="font112"/>
    <w:basedOn w:val="38"/>
    <w:autoRedefine/>
    <w:qFormat/>
    <w:uiPriority w:val="0"/>
    <w:rPr>
      <w:rFonts w:hint="eastAsia" w:ascii="宋体" w:hAnsi="宋体" w:eastAsia="宋体" w:cs="宋体"/>
      <w:color w:val="000000"/>
      <w:sz w:val="20"/>
      <w:szCs w:val="20"/>
      <w:u w:val="none"/>
    </w:rPr>
  </w:style>
  <w:style w:type="paragraph" w:customStyle="1" w:styleId="113">
    <w:name w:val="TT正文"/>
    <w:basedOn w:val="1"/>
    <w:qFormat/>
    <w:uiPriority w:val="0"/>
    <w:pPr>
      <w:spacing w:line="360" w:lineRule="auto"/>
      <w:ind w:firstLine="200" w:firstLineChars="200"/>
    </w:pPr>
    <w:rPr>
      <w:sz w:val="24"/>
    </w:rPr>
  </w:style>
  <w:style w:type="paragraph" w:customStyle="1" w:styleId="114">
    <w:name w:val="Table Paragraph"/>
    <w:basedOn w:val="1"/>
    <w:qFormat/>
    <w:uiPriority w:val="1"/>
    <w:pPr>
      <w:jc w:val="left"/>
    </w:pPr>
    <w:rPr>
      <w:rFonts w:ascii="Calibri" w:hAnsi="Calibri"/>
      <w:kern w:val="0"/>
      <w:sz w:val="22"/>
      <w:szCs w:val="22"/>
      <w:lang w:eastAsia="en-US"/>
    </w:rPr>
  </w:style>
  <w:style w:type="table" w:customStyle="1" w:styleId="115">
    <w:name w:val="Table Normal"/>
    <w:semiHidden/>
    <w:unhideWhenUsed/>
    <w:qFormat/>
    <w:uiPriority w:val="0"/>
    <w:tblPr>
      <w:tblCellMar>
        <w:top w:w="0" w:type="dxa"/>
        <w:left w:w="0" w:type="dxa"/>
        <w:bottom w:w="0" w:type="dxa"/>
        <w:right w:w="0" w:type="dxa"/>
      </w:tblCellMar>
    </w:tblPr>
  </w:style>
  <w:style w:type="paragraph" w:customStyle="1" w:styleId="116">
    <w:name w:val="Table Text"/>
    <w:basedOn w:val="1"/>
    <w:semiHidden/>
    <w:qFormat/>
    <w:uiPriority w:val="0"/>
    <w:rPr>
      <w:rFonts w:ascii="Times New Roman" w:hAnsi="Times New Roman" w:eastAsia="Times New Roman" w:cs="Times New Roman"/>
      <w:sz w:val="21"/>
      <w:szCs w:val="21"/>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footer" Target="footer4.xml"/><Relationship Id="rId79" Type="http://schemas.openxmlformats.org/officeDocument/2006/relationships/customXml" Target="../customXml/item1.xml"/><Relationship Id="rId78" Type="http://schemas.openxmlformats.org/officeDocument/2006/relationships/image" Target="media/image65.jpe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3.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png"/><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customXml" Target="ink/ink4.xml"/><Relationship Id="rId28" Type="http://schemas.openxmlformats.org/officeDocument/2006/relationships/customXml" Target="ink/ink3.xml"/><Relationship Id="rId27" Type="http://schemas.openxmlformats.org/officeDocument/2006/relationships/customXml" Target="ink/ink2.xml"/><Relationship Id="rId26" Type="http://schemas.openxmlformats.org/officeDocument/2006/relationships/image" Target="media/image16.png"/><Relationship Id="rId25" Type="http://schemas.openxmlformats.org/officeDocument/2006/relationships/customXml" Target="ink/ink1.xml"/><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a:solidFill>
            <a:srgbClr val="FFFF00"/>
          </a:solidFill>
          <a:prstDash val="lgDashDot"/>
        </a:ln>
      </a:spPr>
      <a:bodyPr/>
      <a:lstStyle/>
      <a:style>
        <a:lnRef idx="2">
          <a:schemeClr val="accent1"/>
        </a:lnRef>
        <a:fillRef idx="0">
          <a:srgbClr val="FFFFFF"/>
        </a:fillRef>
        <a:effectRef idx="0">
          <a:srgbClr val="FFFFFF"/>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EwNzgwNDIxMjA1IiwKCSJHcm91cElkIiA6ICIxODEwMjE1NDg3IiwKCSJJbWFnZSIgOiAiaVZCT1J3MEtHZ29BQUFBTlNVaEVVZ0FBQk9JQUFBSmdDQVlBQUFBbkxzeXZBQUFBQVhOU1IwSUFyczRjNlFBQUlBQkpSRUZVZUp6czNYZDRsRlg2Ly9IUG1aazBDRVdrZzJ0VWlva21JVUhFd29Jb1lrWFh0a3BkUkJDK0srb0tyQWdxSWdwaUFZV2xxRWhWaW1VcG9paXVnb0FDaW1rMEZWQkFRQkVqQVpLUU5wbnord015dnd3ekNRRUNFK0Q5dWk0dVpzNXp6alAzQXptWmVlNDVSUU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MN2NCR2lBQUFBdmtsRVFWU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mZBL3dIZ3NMTDlYYWIyWndBQUFBQkpSVTVFcmtKZ2dnPT0iLAoJIlRoZW1lIiA6ICIiLAoJIlR5cGUiIDogImZsb3ciLAoJIlVzZXJJZCIgOiAiMTM3ODEzNDY0MCIsCgkiVmVyc2lvbiIgOiAiNjciCn0K"/>
    </extobj>
    <extobj name="ECB019B1-382A-4266-B25C-5B523AA43C14-2">
      <extobjdata type="ECB019B1-382A-4266-B25C-5B523AA43C14" data="ewoJIkZpbGVJZCIgOiAiNTIxODI5NjQxNTA1IiwKCSJHcm91cElkIiA6ICIxODEwMjE1NDg3IiwKCSJJbWFnZSIgOiAiaVZCT1J3MEtHZ29BQUFBTlNVaEVVZ0FBQmpRQUFBTFVDQVlBQUFDc0Z0c0RBQUFBQVhOU1IwSUFyczRjNlFBQUlBQkpSRUZVZUp6czNYbDAxTlg5Ly9IWC9jeGtoY2dpSUZZVVZQZ0JRWkw1ZktJVnEwRGRlaXhhQys2NDFGcGIxN1pDM1JDMTdkZGE2NEo3bGJvdlZWRlVGRlNzdTBnRkVUTXptVUFFaVVJUmw0QmlXSVFzTTUvNyt5T1RtSVJKU0VnZ0xNL0hPVG5NM1B1KzkvTytJNXpqbVhmdXZSS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MzJuL0g0Qlo5TmhrOVNWV0FBQUFBRWxGVGtTdVFtQ0MiLAoJIlRoZW1lIiA6ICIiLAoJIlR5cGUiIDogImZsb3ciLAoJIlVzZXJJZCIgOiAiMTM3ODEzNDY0MCIsCgkiVmVyc2lvbiIgOiAiIgp9Cg=="/>
    </extobj>
    <extobj name="ECB019B1-382A-4266-B25C-5B523AA43C14-3">
      <extobjdata type="ECB019B1-382A-4266-B25C-5B523AA43C14" data="ewoJIkZpbGVJZCIgOiAiNDU2NDQ2MTQ5OTc5IiwKCSJHcm91cElkIiA6ICIxODEwMjE1NDg3IiwKCSJJbWFnZSIgOiAiaVZCT1J3MEtHZ29BQUFBTlNVaEVVZ0FBQTFNQUFBT0VDQVlBQUFCRWcyc0xBQUFBQVhOU1IwSUFyczRjNlFBQUlBQkpSRUZVZUp6czNYZDRGTlg2Qi9Edk83dEpOb0dFTHRJMGFxUUVTSFptRWZRcU5oUzlGbXpZTGw3RmhnMkJLeUFXQkZGUVFKVCtFN3dvVjdCYzhFcXpJU2lDaUlDYW5VMEZCRFVnVlFPRWxyTEp6dm45a2RsMWsyeENLRXI3ZnA2SGgreVpjODZjR2JMRHZET25B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URML3dkRGlSRDBNR2FaOGdBQUFBQkpSVTVFcmtKZ2dnPT0iLAoJIlRoZW1lIiA6ICIiLAoJIlR5cGUiIDogImZsb3ciLAoJIlVzZXJJZCIgOiAiMTM3ODEzNDY0MCIsCgkiVmVyc2lvbiIgOiAiMjQ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148</Pages>
  <Words>15542</Words>
  <Characters>16664</Characters>
  <Lines>1</Lines>
  <Paragraphs>1</Paragraphs>
  <TotalTime>5</TotalTime>
  <ScaleCrop>false</ScaleCrop>
  <LinksUpToDate>false</LinksUpToDate>
  <CharactersWithSpaces>16880</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2026-06-03T02:07:31Z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640685BE32F74F48BD9B12A64512A47A_13</vt:lpwstr>
  </property>
  <property fmtid="{D5CDD505-2E9C-101B-9397-08002B2CF9AE}" pid="4" name="KSOTemplateDocerSaveRecord">
    <vt:lpwstr>eyJoZGlkIjoiYTY3NjljNDJiNDZmNDUzMTJiY2Y2OGFhMmE2ZDkwMDMiLCJ1c2VySWQiOiIzNzQ0OTk2MDAifQ==</vt:lpwstr>
  </property>
</Properties>
</file>